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9AF78">
      <w:pPr>
        <w:pStyle w:val="24"/>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6"/>
        <w:tblW w:w="494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31"/>
        <w:gridCol w:w="1785"/>
        <w:gridCol w:w="1287"/>
        <w:gridCol w:w="4669"/>
      </w:tblGrid>
      <w:tr w14:paraId="58095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3348EEB8">
            <w:pPr>
              <w:spacing w:line="240" w:lineRule="auto"/>
              <w:ind w:firstLine="0" w:firstLineChars="0"/>
              <w:jc w:val="center"/>
              <w:rPr>
                <w:rFonts w:ascii="宋体" w:hAnsi="宋体" w:cs="宋体"/>
                <w:color w:val="auto"/>
                <w:szCs w:val="21"/>
              </w:rPr>
            </w:pPr>
            <w:r>
              <w:rPr>
                <w:rFonts w:hint="eastAsia" w:ascii="宋体" w:hAnsi="宋体" w:cs="宋体"/>
                <w:color w:val="auto"/>
                <w:szCs w:val="21"/>
              </w:rPr>
              <w:t>建设项目名称</w:t>
            </w:r>
          </w:p>
        </w:tc>
        <w:tc>
          <w:tcPr>
            <w:tcW w:w="7748" w:type="dxa"/>
            <w:gridSpan w:val="3"/>
            <w:vAlign w:val="center"/>
          </w:tcPr>
          <w:p w14:paraId="20BE5DD8">
            <w:pPr>
              <w:spacing w:line="240" w:lineRule="auto"/>
              <w:ind w:firstLine="0" w:firstLineChars="0"/>
              <w:jc w:val="center"/>
              <w:rPr>
                <w:rFonts w:ascii="宋体" w:hAnsi="宋体" w:cs="宋体"/>
                <w:color w:val="auto"/>
                <w:szCs w:val="21"/>
              </w:rPr>
            </w:pPr>
            <w:r>
              <w:rPr>
                <w:rFonts w:hint="eastAsia"/>
                <w:color w:val="auto"/>
                <w:sz w:val="24"/>
                <w:lang w:val="en-US" w:eastAsia="zh-CN"/>
              </w:rPr>
              <w:t>十源能源站项目</w:t>
            </w:r>
          </w:p>
        </w:tc>
      </w:tr>
      <w:tr w14:paraId="1E524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54EC6300">
            <w:pPr>
              <w:spacing w:line="460" w:lineRule="exact"/>
              <w:ind w:firstLine="0" w:firstLineChars="0"/>
              <w:jc w:val="center"/>
              <w:rPr>
                <w:rFonts w:ascii="宋体" w:hAnsi="宋体" w:cs="宋体"/>
                <w:color w:val="auto"/>
                <w:szCs w:val="21"/>
              </w:rPr>
            </w:pPr>
            <w:r>
              <w:rPr>
                <w:rFonts w:hint="eastAsia" w:ascii="宋体" w:hAnsi="宋体" w:cs="宋体"/>
                <w:color w:val="auto"/>
                <w:szCs w:val="21"/>
              </w:rPr>
              <w:t>项目代码</w:t>
            </w:r>
          </w:p>
        </w:tc>
        <w:tc>
          <w:tcPr>
            <w:tcW w:w="7748" w:type="dxa"/>
            <w:gridSpan w:val="3"/>
            <w:vAlign w:val="center"/>
          </w:tcPr>
          <w:p w14:paraId="703525BE">
            <w:pPr>
              <w:spacing w:line="460" w:lineRule="exact"/>
              <w:ind w:firstLine="0" w:firstLineChars="0"/>
              <w:jc w:val="center"/>
              <w:rPr>
                <w:rFonts w:ascii="宋体" w:hAnsi="宋体" w:cs="宋体"/>
                <w:color w:val="auto"/>
                <w:szCs w:val="21"/>
              </w:rPr>
            </w:pPr>
            <w:r>
              <w:rPr>
                <w:rFonts w:hint="eastAsia"/>
                <w:color w:val="auto"/>
                <w:sz w:val="24"/>
                <w:szCs w:val="24"/>
                <w:lang w:val="en-US" w:eastAsia="zh-CN"/>
              </w:rPr>
              <w:t>*</w:t>
            </w:r>
          </w:p>
        </w:tc>
      </w:tr>
      <w:tr w14:paraId="2DBAD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0994C6BC">
            <w:pPr>
              <w:spacing w:line="240" w:lineRule="auto"/>
              <w:ind w:firstLine="0" w:firstLineChars="0"/>
              <w:jc w:val="center"/>
              <w:rPr>
                <w:rFonts w:ascii="宋体" w:hAnsi="宋体" w:cs="宋体"/>
                <w:color w:val="auto"/>
                <w:szCs w:val="21"/>
              </w:rPr>
            </w:pPr>
            <w:r>
              <w:rPr>
                <w:rFonts w:hint="eastAsia" w:ascii="宋体" w:hAnsi="宋体" w:cs="宋体"/>
                <w:color w:val="auto"/>
                <w:szCs w:val="21"/>
              </w:rPr>
              <w:t>建设单位联系人</w:t>
            </w:r>
          </w:p>
        </w:tc>
        <w:tc>
          <w:tcPr>
            <w:tcW w:w="1787" w:type="dxa"/>
            <w:vAlign w:val="center"/>
          </w:tcPr>
          <w:p w14:paraId="39202BF2">
            <w:pPr>
              <w:spacing w:line="240" w:lineRule="auto"/>
              <w:ind w:firstLine="0" w:firstLineChars="0"/>
              <w:jc w:val="center"/>
              <w:rPr>
                <w:rFonts w:hint="default" w:ascii="宋体" w:hAnsi="宋体" w:eastAsia="宋体" w:cs="宋体"/>
                <w:color w:val="auto"/>
                <w:szCs w:val="21"/>
                <w:lang w:val="en-US" w:eastAsia="zh-CN"/>
              </w:rPr>
            </w:pPr>
            <w:r>
              <w:rPr>
                <w:rFonts w:hint="eastAsia"/>
                <w:color w:val="auto"/>
                <w:sz w:val="24"/>
                <w:szCs w:val="24"/>
                <w:lang w:val="en-US" w:eastAsia="zh-CN"/>
              </w:rPr>
              <w:t>*</w:t>
            </w:r>
          </w:p>
        </w:tc>
        <w:tc>
          <w:tcPr>
            <w:tcW w:w="1288" w:type="dxa"/>
            <w:vAlign w:val="center"/>
          </w:tcPr>
          <w:p w14:paraId="21D59119">
            <w:pPr>
              <w:spacing w:line="240" w:lineRule="auto"/>
              <w:ind w:firstLine="0" w:firstLineChars="0"/>
              <w:jc w:val="center"/>
              <w:rPr>
                <w:rFonts w:ascii="宋体" w:hAnsi="宋体" w:cs="宋体"/>
                <w:color w:val="auto"/>
                <w:szCs w:val="21"/>
              </w:rPr>
            </w:pPr>
            <w:r>
              <w:rPr>
                <w:rFonts w:hint="eastAsia" w:ascii="宋体" w:hAnsi="宋体" w:cs="宋体"/>
                <w:color w:val="auto"/>
                <w:szCs w:val="21"/>
              </w:rPr>
              <w:t>联系方式</w:t>
            </w:r>
          </w:p>
        </w:tc>
        <w:tc>
          <w:tcPr>
            <w:tcW w:w="4673" w:type="dxa"/>
            <w:vAlign w:val="center"/>
          </w:tcPr>
          <w:p w14:paraId="47CC1AB7">
            <w:pPr>
              <w:spacing w:line="240" w:lineRule="auto"/>
              <w:ind w:firstLine="0" w:firstLineChars="0"/>
              <w:jc w:val="center"/>
              <w:rPr>
                <w:rFonts w:hint="default" w:ascii="宋体" w:hAnsi="宋体" w:eastAsia="宋体" w:cs="宋体"/>
                <w:color w:val="auto"/>
                <w:szCs w:val="21"/>
                <w:lang w:val="en-US" w:eastAsia="zh-CN"/>
              </w:rPr>
            </w:pPr>
            <w:r>
              <w:rPr>
                <w:rFonts w:hint="eastAsia"/>
                <w:color w:val="auto"/>
                <w:sz w:val="24"/>
                <w:szCs w:val="24"/>
                <w:lang w:val="en-US" w:eastAsia="zh-CN"/>
              </w:rPr>
              <w:t>*</w:t>
            </w:r>
          </w:p>
        </w:tc>
      </w:tr>
      <w:tr w14:paraId="29058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03474203">
            <w:pPr>
              <w:spacing w:line="240" w:lineRule="auto"/>
              <w:ind w:firstLine="0" w:firstLineChars="0"/>
              <w:jc w:val="center"/>
              <w:rPr>
                <w:rFonts w:ascii="宋体" w:hAnsi="宋体" w:cs="宋体"/>
                <w:color w:val="auto"/>
                <w:szCs w:val="21"/>
              </w:rPr>
            </w:pPr>
            <w:r>
              <w:rPr>
                <w:rFonts w:hint="eastAsia" w:ascii="宋体" w:hAnsi="宋体" w:cs="宋体"/>
                <w:color w:val="auto"/>
                <w:szCs w:val="21"/>
              </w:rPr>
              <w:t>建设地点</w:t>
            </w:r>
          </w:p>
        </w:tc>
        <w:tc>
          <w:tcPr>
            <w:tcW w:w="7748" w:type="dxa"/>
            <w:gridSpan w:val="3"/>
            <w:vAlign w:val="center"/>
          </w:tcPr>
          <w:p w14:paraId="62FD7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安徽省淮北市烈山区烈山镇</w:t>
            </w:r>
          </w:p>
        </w:tc>
      </w:tr>
      <w:tr w14:paraId="670D9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7CFF5513">
            <w:pPr>
              <w:spacing w:line="460" w:lineRule="exact"/>
              <w:ind w:firstLine="0" w:firstLineChars="0"/>
              <w:jc w:val="center"/>
              <w:rPr>
                <w:rFonts w:ascii="宋体" w:hAnsi="宋体" w:cs="宋体"/>
                <w:color w:val="auto"/>
                <w:szCs w:val="21"/>
              </w:rPr>
            </w:pPr>
            <w:r>
              <w:rPr>
                <w:rFonts w:hint="eastAsia" w:ascii="宋体" w:hAnsi="宋体" w:cs="宋体"/>
                <w:color w:val="auto"/>
                <w:szCs w:val="21"/>
              </w:rPr>
              <w:t>地理坐标</w:t>
            </w:r>
          </w:p>
        </w:tc>
        <w:tc>
          <w:tcPr>
            <w:tcW w:w="7748" w:type="dxa"/>
            <w:gridSpan w:val="3"/>
            <w:vAlign w:val="center"/>
          </w:tcPr>
          <w:p w14:paraId="543737A5">
            <w:pPr>
              <w:spacing w:line="460" w:lineRule="exact"/>
              <w:ind w:firstLine="0" w:firstLineChars="0"/>
              <w:jc w:val="center"/>
              <w:rPr>
                <w:rFonts w:hint="default"/>
                <w:color w:val="auto"/>
                <w:sz w:val="24"/>
                <w:u w:val="none"/>
                <w:lang w:val="en-US" w:eastAsia="zh-CN"/>
              </w:rPr>
            </w:pPr>
            <w:r>
              <w:rPr>
                <w:rFonts w:hint="eastAsia"/>
                <w:color w:val="auto"/>
                <w:sz w:val="24"/>
                <w:szCs w:val="24"/>
                <w:lang w:val="en-US" w:eastAsia="zh-CN"/>
              </w:rPr>
              <w:t>*</w:t>
            </w:r>
          </w:p>
        </w:tc>
      </w:tr>
      <w:tr w14:paraId="2DD37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5E26AA6D">
            <w:pPr>
              <w:spacing w:line="460" w:lineRule="exact"/>
              <w:ind w:firstLine="0" w:firstLineChars="0"/>
              <w:jc w:val="center"/>
              <w:rPr>
                <w:rFonts w:ascii="宋体" w:hAnsi="宋体" w:cs="宋体"/>
                <w:color w:val="auto"/>
                <w:szCs w:val="21"/>
              </w:rPr>
            </w:pPr>
            <w:r>
              <w:rPr>
                <w:rFonts w:hint="eastAsia" w:ascii="宋体" w:hAnsi="宋体" w:cs="宋体"/>
                <w:color w:val="auto"/>
                <w:szCs w:val="21"/>
              </w:rPr>
              <w:t>国民经济</w:t>
            </w:r>
          </w:p>
          <w:p w14:paraId="1F5C7094">
            <w:pPr>
              <w:spacing w:line="460" w:lineRule="exact"/>
              <w:ind w:firstLine="0" w:firstLineChars="0"/>
              <w:jc w:val="center"/>
              <w:rPr>
                <w:rFonts w:ascii="宋体" w:hAnsi="宋体" w:cs="宋体"/>
                <w:color w:val="auto"/>
                <w:szCs w:val="21"/>
              </w:rPr>
            </w:pPr>
            <w:r>
              <w:rPr>
                <w:rFonts w:hint="eastAsia" w:ascii="宋体" w:hAnsi="宋体" w:cs="宋体"/>
                <w:color w:val="auto"/>
                <w:szCs w:val="21"/>
              </w:rPr>
              <w:t>行业类别</w:t>
            </w:r>
          </w:p>
        </w:tc>
        <w:tc>
          <w:tcPr>
            <w:tcW w:w="1787" w:type="dxa"/>
            <w:vAlign w:val="center"/>
          </w:tcPr>
          <w:p w14:paraId="61799AA4">
            <w:pPr>
              <w:spacing w:line="460" w:lineRule="exact"/>
              <w:ind w:firstLine="0" w:firstLineChars="0"/>
              <w:jc w:val="center"/>
              <w:rPr>
                <w:rFonts w:hint="eastAsia" w:eastAsia="宋体"/>
                <w:color w:val="auto"/>
                <w:lang w:eastAsia="zh-CN"/>
              </w:rPr>
            </w:pPr>
            <w:r>
              <w:rPr>
                <w:rFonts w:hint="eastAsia"/>
                <w:color w:val="auto"/>
                <w:sz w:val="24"/>
                <w:szCs w:val="24"/>
                <w:lang w:val="en-US" w:eastAsia="zh-CN"/>
              </w:rPr>
              <w:t>*</w:t>
            </w:r>
          </w:p>
        </w:tc>
        <w:tc>
          <w:tcPr>
            <w:tcW w:w="1288" w:type="dxa"/>
            <w:vAlign w:val="center"/>
          </w:tcPr>
          <w:p w14:paraId="167E7AB5">
            <w:pPr>
              <w:spacing w:line="460" w:lineRule="exact"/>
              <w:ind w:firstLine="0" w:firstLineChars="0"/>
              <w:jc w:val="center"/>
              <w:rPr>
                <w:rFonts w:ascii="宋体" w:hAnsi="宋体" w:cs="宋体"/>
                <w:color w:val="auto"/>
                <w:szCs w:val="21"/>
              </w:rPr>
            </w:pPr>
            <w:bookmarkStart w:id="0" w:name="_Hlk49843745"/>
            <w:r>
              <w:rPr>
                <w:rFonts w:hint="eastAsia" w:ascii="宋体" w:hAnsi="宋体" w:cs="宋体"/>
                <w:color w:val="auto"/>
                <w:szCs w:val="21"/>
              </w:rPr>
              <w:t>建设项目</w:t>
            </w:r>
          </w:p>
          <w:p w14:paraId="5B0558E3">
            <w:pPr>
              <w:spacing w:line="460" w:lineRule="exact"/>
              <w:ind w:firstLine="0" w:firstLineChars="0"/>
              <w:jc w:val="center"/>
              <w:rPr>
                <w:rFonts w:ascii="宋体" w:hAnsi="宋体" w:cs="宋体"/>
                <w:color w:val="auto"/>
                <w:szCs w:val="21"/>
              </w:rPr>
            </w:pPr>
            <w:r>
              <w:rPr>
                <w:rFonts w:hint="eastAsia" w:ascii="宋体" w:hAnsi="宋体" w:cs="宋体"/>
                <w:color w:val="auto"/>
                <w:szCs w:val="21"/>
              </w:rPr>
              <w:t>行业类别</w:t>
            </w:r>
            <w:bookmarkEnd w:id="0"/>
          </w:p>
        </w:tc>
        <w:tc>
          <w:tcPr>
            <w:tcW w:w="4673" w:type="dxa"/>
            <w:vAlign w:val="center"/>
          </w:tcPr>
          <w:p w14:paraId="049FD057">
            <w:pPr>
              <w:spacing w:line="460" w:lineRule="exact"/>
              <w:ind w:firstLine="0" w:firstLineChars="0"/>
              <w:jc w:val="center"/>
              <w:rPr>
                <w:rFonts w:hint="default" w:ascii="宋体" w:hAnsi="宋体" w:cs="宋体"/>
                <w:color w:val="auto"/>
                <w:szCs w:val="21"/>
                <w:lang w:val="en-US"/>
              </w:rPr>
            </w:pPr>
            <w:r>
              <w:rPr>
                <w:rFonts w:hint="eastAsia"/>
                <w:color w:val="auto"/>
                <w:sz w:val="24"/>
                <w:szCs w:val="24"/>
                <w:lang w:val="en-US" w:eastAsia="zh-CN"/>
              </w:rPr>
              <w:t>*</w:t>
            </w:r>
          </w:p>
        </w:tc>
      </w:tr>
      <w:tr w14:paraId="58ED9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04749584">
            <w:pPr>
              <w:spacing w:line="460" w:lineRule="exact"/>
              <w:ind w:firstLine="0" w:firstLineChars="0"/>
              <w:jc w:val="center"/>
              <w:rPr>
                <w:rFonts w:ascii="宋体" w:hAnsi="宋体" w:cs="宋体"/>
                <w:color w:val="auto"/>
                <w:szCs w:val="21"/>
              </w:rPr>
            </w:pPr>
            <w:r>
              <w:rPr>
                <w:rFonts w:hint="eastAsia" w:ascii="宋体" w:hAnsi="宋体" w:cs="宋体"/>
                <w:color w:val="auto"/>
                <w:szCs w:val="21"/>
              </w:rPr>
              <w:t>建设性质</w:t>
            </w:r>
          </w:p>
        </w:tc>
        <w:tc>
          <w:tcPr>
            <w:tcW w:w="1787" w:type="dxa"/>
            <w:vAlign w:val="center"/>
          </w:tcPr>
          <w:p w14:paraId="29C27F3B">
            <w:pPr>
              <w:spacing w:line="460" w:lineRule="exact"/>
              <w:ind w:firstLine="0" w:firstLineChars="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新建（迁建）</w:t>
            </w:r>
          </w:p>
          <w:p w14:paraId="1A94691B">
            <w:pPr>
              <w:spacing w:line="460" w:lineRule="exact"/>
              <w:ind w:firstLine="0" w:firstLineChars="0"/>
              <w:jc w:val="left"/>
              <w:rPr>
                <w:rFonts w:ascii="宋体" w:hAnsi="宋体" w:cs="宋体"/>
                <w:color w:val="auto"/>
                <w:szCs w:val="21"/>
              </w:rPr>
            </w:pPr>
            <w:r>
              <w:rPr>
                <w:rFonts w:hint="eastAsia" w:ascii="宋体" w:hAnsi="宋体" w:cs="宋体"/>
                <w:color w:val="auto"/>
                <w:szCs w:val="21"/>
              </w:rPr>
              <w:t>□改建</w:t>
            </w:r>
          </w:p>
          <w:p w14:paraId="30CBC0D1">
            <w:pPr>
              <w:spacing w:line="460" w:lineRule="exact"/>
              <w:ind w:firstLine="0" w:firstLineChars="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扩建</w:t>
            </w:r>
          </w:p>
          <w:p w14:paraId="38B0FAEC">
            <w:pPr>
              <w:spacing w:line="460" w:lineRule="exact"/>
              <w:ind w:firstLine="0" w:firstLineChars="0"/>
              <w:jc w:val="left"/>
              <w:rPr>
                <w:rFonts w:ascii="宋体" w:hAnsi="宋体" w:cs="宋体"/>
                <w:color w:val="auto"/>
                <w:szCs w:val="21"/>
              </w:rPr>
            </w:pPr>
            <w:r>
              <w:rPr>
                <w:rFonts w:hint="eastAsia" w:ascii="宋体" w:hAnsi="宋体" w:cs="宋体"/>
                <w:color w:val="auto"/>
                <w:szCs w:val="21"/>
              </w:rPr>
              <w:t>□技术改造</w:t>
            </w:r>
          </w:p>
        </w:tc>
        <w:tc>
          <w:tcPr>
            <w:tcW w:w="1288" w:type="dxa"/>
            <w:vAlign w:val="center"/>
          </w:tcPr>
          <w:p w14:paraId="694DF7D7">
            <w:pPr>
              <w:spacing w:line="460" w:lineRule="exact"/>
              <w:ind w:firstLine="0" w:firstLineChars="0"/>
              <w:jc w:val="center"/>
              <w:rPr>
                <w:rFonts w:ascii="宋体" w:hAnsi="宋体" w:cs="宋体"/>
                <w:color w:val="auto"/>
                <w:szCs w:val="21"/>
              </w:rPr>
            </w:pPr>
            <w:r>
              <w:rPr>
                <w:rFonts w:hint="eastAsia" w:ascii="宋体" w:hAnsi="宋体" w:cs="宋体"/>
                <w:color w:val="auto"/>
                <w:szCs w:val="21"/>
              </w:rPr>
              <w:t>建设项目</w:t>
            </w:r>
          </w:p>
          <w:p w14:paraId="56E6C270">
            <w:pPr>
              <w:spacing w:line="460" w:lineRule="exact"/>
              <w:ind w:firstLine="0" w:firstLineChars="0"/>
              <w:jc w:val="center"/>
              <w:rPr>
                <w:rFonts w:ascii="宋体" w:hAnsi="宋体" w:cs="宋体"/>
                <w:color w:val="auto"/>
                <w:szCs w:val="21"/>
              </w:rPr>
            </w:pPr>
            <w:r>
              <w:rPr>
                <w:rFonts w:hint="eastAsia" w:ascii="宋体" w:hAnsi="宋体" w:cs="宋体"/>
                <w:color w:val="auto"/>
                <w:szCs w:val="21"/>
              </w:rPr>
              <w:t>申报情形</w:t>
            </w:r>
          </w:p>
        </w:tc>
        <w:tc>
          <w:tcPr>
            <w:tcW w:w="4673" w:type="dxa"/>
            <w:vAlign w:val="center"/>
          </w:tcPr>
          <w:p w14:paraId="215A5091">
            <w:pPr>
              <w:spacing w:line="460" w:lineRule="exact"/>
              <w:ind w:firstLine="0" w:firstLineChars="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首次申报项目</w:t>
            </w:r>
          </w:p>
          <w:p w14:paraId="1E74135F">
            <w:pPr>
              <w:spacing w:line="460" w:lineRule="exact"/>
              <w:ind w:firstLine="0" w:firstLineChars="0"/>
              <w:jc w:val="left"/>
              <w:rPr>
                <w:rFonts w:ascii="宋体" w:hAnsi="宋体" w:cs="宋体"/>
                <w:color w:val="auto"/>
                <w:szCs w:val="21"/>
              </w:rPr>
            </w:pPr>
            <w:r>
              <w:rPr>
                <w:rFonts w:hint="eastAsia" w:ascii="宋体" w:hAnsi="宋体" w:cs="宋体"/>
                <w:color w:val="auto"/>
                <w:szCs w:val="21"/>
              </w:rPr>
              <w:t>□不予批准后再次申报项目</w:t>
            </w:r>
          </w:p>
          <w:p w14:paraId="72D3DE72">
            <w:pPr>
              <w:spacing w:line="460" w:lineRule="exact"/>
              <w:ind w:firstLine="0" w:firstLineChars="0"/>
              <w:jc w:val="left"/>
              <w:rPr>
                <w:rFonts w:ascii="宋体" w:hAnsi="宋体" w:cs="宋体"/>
                <w:color w:val="auto"/>
                <w:szCs w:val="21"/>
              </w:rPr>
            </w:pPr>
            <w:r>
              <w:rPr>
                <w:rFonts w:hint="eastAsia" w:ascii="宋体" w:hAnsi="宋体" w:cs="宋体"/>
                <w:color w:val="auto"/>
                <w:szCs w:val="21"/>
              </w:rPr>
              <w:t>□超五年重新审核项目</w:t>
            </w:r>
          </w:p>
          <w:p w14:paraId="1A67371C">
            <w:pPr>
              <w:spacing w:line="460" w:lineRule="exact"/>
              <w:ind w:firstLine="0" w:firstLineChars="0"/>
              <w:jc w:val="left"/>
              <w:rPr>
                <w:rFonts w:ascii="宋体" w:hAnsi="宋体" w:cs="宋体"/>
                <w:color w:val="auto"/>
                <w:szCs w:val="21"/>
              </w:rPr>
            </w:pPr>
            <w:r>
              <w:rPr>
                <w:rFonts w:hint="eastAsia" w:ascii="宋体" w:hAnsi="宋体" w:cs="宋体"/>
                <w:color w:val="auto"/>
                <w:szCs w:val="21"/>
              </w:rPr>
              <w:t>□重大变动重新报批项目</w:t>
            </w:r>
          </w:p>
        </w:tc>
      </w:tr>
      <w:tr w14:paraId="6BB12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7642A762">
            <w:pPr>
              <w:spacing w:line="460" w:lineRule="exact"/>
              <w:ind w:firstLine="0" w:firstLineChars="0"/>
              <w:jc w:val="center"/>
              <w:rPr>
                <w:rFonts w:ascii="宋体" w:hAnsi="宋体" w:cs="宋体"/>
                <w:color w:val="auto"/>
                <w:szCs w:val="21"/>
              </w:rPr>
            </w:pPr>
            <w:r>
              <w:rPr>
                <w:rFonts w:hint="eastAsia" w:ascii="宋体" w:hAnsi="宋体" w:cs="宋体"/>
                <w:color w:val="auto"/>
                <w:szCs w:val="21"/>
              </w:rPr>
              <w:t>项目审批（核准</w:t>
            </w:r>
            <w:r>
              <w:rPr>
                <w:rFonts w:ascii="宋体" w:hAnsi="宋体" w:cs="宋体"/>
                <w:color w:val="auto"/>
                <w:szCs w:val="21"/>
              </w:rPr>
              <w:t>/</w:t>
            </w:r>
            <w:r>
              <w:rPr>
                <w:rFonts w:hint="eastAsia" w:ascii="宋体" w:hAnsi="宋体" w:cs="宋体"/>
                <w:color w:val="auto"/>
                <w:szCs w:val="21"/>
              </w:rPr>
              <w:t>备案）部门（选填）</w:t>
            </w:r>
          </w:p>
        </w:tc>
        <w:tc>
          <w:tcPr>
            <w:tcW w:w="1787" w:type="dxa"/>
            <w:vAlign w:val="center"/>
          </w:tcPr>
          <w:p w14:paraId="6278B1D3">
            <w:pPr>
              <w:spacing w:line="460" w:lineRule="exact"/>
              <w:ind w:firstLine="0" w:firstLineChars="0"/>
              <w:jc w:val="center"/>
              <w:rPr>
                <w:rFonts w:hint="default" w:ascii="宋体" w:hAnsi="宋体" w:eastAsia="宋体" w:cs="宋体"/>
                <w:color w:val="auto"/>
                <w:szCs w:val="21"/>
                <w:lang w:val="en-US" w:eastAsia="zh-CN"/>
              </w:rPr>
            </w:pPr>
            <w:r>
              <w:rPr>
                <w:rFonts w:hint="eastAsia"/>
                <w:color w:val="auto"/>
                <w:sz w:val="24"/>
                <w:lang w:val="en-US" w:eastAsia="zh-CN"/>
              </w:rPr>
              <w:t>淮北市烈山区发展和改革委员会</w:t>
            </w:r>
          </w:p>
        </w:tc>
        <w:tc>
          <w:tcPr>
            <w:tcW w:w="1288" w:type="dxa"/>
            <w:vAlign w:val="center"/>
          </w:tcPr>
          <w:p w14:paraId="397EED7E">
            <w:pPr>
              <w:spacing w:line="460" w:lineRule="exact"/>
              <w:ind w:firstLine="0" w:firstLineChars="0"/>
              <w:jc w:val="center"/>
              <w:rPr>
                <w:rFonts w:ascii="宋体" w:hAnsi="宋体" w:cs="宋体"/>
                <w:color w:val="auto"/>
                <w:szCs w:val="21"/>
              </w:rPr>
            </w:pPr>
            <w:r>
              <w:rPr>
                <w:rFonts w:hint="eastAsia" w:ascii="宋体" w:hAnsi="宋体" w:cs="宋体"/>
                <w:color w:val="auto"/>
                <w:szCs w:val="21"/>
              </w:rPr>
              <w:t>项目审批（核准</w:t>
            </w:r>
            <w:r>
              <w:rPr>
                <w:rFonts w:ascii="宋体" w:hAnsi="宋体" w:cs="宋体"/>
                <w:color w:val="auto"/>
                <w:szCs w:val="21"/>
              </w:rPr>
              <w:t>/</w:t>
            </w:r>
          </w:p>
          <w:p w14:paraId="0F55022C">
            <w:pPr>
              <w:spacing w:line="460" w:lineRule="exact"/>
              <w:ind w:firstLine="0" w:firstLineChars="0"/>
              <w:jc w:val="center"/>
              <w:rPr>
                <w:rFonts w:ascii="宋体" w:hAnsi="宋体" w:cs="宋体"/>
                <w:color w:val="auto"/>
                <w:szCs w:val="21"/>
              </w:rPr>
            </w:pPr>
            <w:r>
              <w:rPr>
                <w:rFonts w:hint="eastAsia" w:ascii="宋体" w:hAnsi="宋体" w:cs="宋体"/>
                <w:color w:val="auto"/>
                <w:szCs w:val="21"/>
              </w:rPr>
              <w:t>备案）文号（选填）</w:t>
            </w:r>
          </w:p>
        </w:tc>
        <w:tc>
          <w:tcPr>
            <w:tcW w:w="4673" w:type="dxa"/>
            <w:vAlign w:val="center"/>
          </w:tcPr>
          <w:p w14:paraId="4BAC366F">
            <w:pPr>
              <w:spacing w:line="460" w:lineRule="exact"/>
              <w:ind w:firstLine="0" w:firstLineChars="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无</w:t>
            </w:r>
          </w:p>
        </w:tc>
      </w:tr>
      <w:tr w14:paraId="20FC8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45980044">
            <w:pPr>
              <w:spacing w:line="240" w:lineRule="auto"/>
              <w:ind w:firstLine="0" w:firstLineChars="0"/>
              <w:jc w:val="center"/>
              <w:rPr>
                <w:rFonts w:ascii="宋体" w:hAnsi="宋体" w:cs="宋体"/>
                <w:color w:val="auto"/>
                <w:szCs w:val="21"/>
              </w:rPr>
            </w:pPr>
            <w:r>
              <w:rPr>
                <w:rFonts w:hint="eastAsia" w:ascii="宋体" w:hAnsi="宋体" w:cs="宋体"/>
                <w:color w:val="auto"/>
                <w:szCs w:val="21"/>
              </w:rPr>
              <w:t>总投资（万元）</w:t>
            </w:r>
          </w:p>
        </w:tc>
        <w:tc>
          <w:tcPr>
            <w:tcW w:w="1787" w:type="dxa"/>
            <w:vAlign w:val="center"/>
          </w:tcPr>
          <w:p w14:paraId="76AA1D83">
            <w:pPr>
              <w:spacing w:line="240" w:lineRule="auto"/>
              <w:ind w:firstLine="0" w:firstLineChars="0"/>
              <w:jc w:val="center"/>
              <w:rPr>
                <w:rFonts w:hint="default" w:eastAsia="宋体"/>
                <w:color w:val="auto"/>
                <w:lang w:val="en-US" w:eastAsia="zh-CN"/>
              </w:rPr>
            </w:pPr>
            <w:r>
              <w:rPr>
                <w:rFonts w:hint="eastAsia"/>
                <w:color w:val="auto"/>
                <w:sz w:val="24"/>
                <w:lang w:val="en-US" w:eastAsia="zh-CN"/>
              </w:rPr>
              <w:t>16000</w:t>
            </w:r>
          </w:p>
        </w:tc>
        <w:tc>
          <w:tcPr>
            <w:tcW w:w="1288" w:type="dxa"/>
            <w:tcMar>
              <w:top w:w="16" w:type="dxa"/>
              <w:left w:w="16" w:type="dxa"/>
              <w:right w:w="16" w:type="dxa"/>
            </w:tcMar>
            <w:vAlign w:val="center"/>
          </w:tcPr>
          <w:p w14:paraId="62ED9526">
            <w:pPr>
              <w:spacing w:line="240" w:lineRule="auto"/>
              <w:ind w:firstLine="0" w:firstLineChars="0"/>
              <w:jc w:val="center"/>
              <w:rPr>
                <w:rFonts w:ascii="宋体" w:hAnsi="宋体" w:cs="宋体"/>
                <w:color w:val="auto"/>
                <w:szCs w:val="21"/>
              </w:rPr>
            </w:pPr>
            <w:r>
              <w:rPr>
                <w:rFonts w:hint="eastAsia" w:ascii="宋体" w:hAnsi="宋体" w:cs="宋体"/>
                <w:color w:val="auto"/>
                <w:szCs w:val="21"/>
              </w:rPr>
              <w:t>环保投资（万元）</w:t>
            </w:r>
          </w:p>
        </w:tc>
        <w:tc>
          <w:tcPr>
            <w:tcW w:w="4673" w:type="dxa"/>
            <w:vAlign w:val="center"/>
          </w:tcPr>
          <w:p w14:paraId="38427FEF">
            <w:pPr>
              <w:spacing w:line="240" w:lineRule="auto"/>
              <w:ind w:firstLine="0" w:firstLineChars="0"/>
              <w:jc w:val="center"/>
              <w:rPr>
                <w:rFonts w:hint="default" w:eastAsia="宋体"/>
                <w:color w:val="auto"/>
                <w:lang w:val="en-US" w:eastAsia="zh-CN"/>
              </w:rPr>
            </w:pPr>
            <w:r>
              <w:rPr>
                <w:rFonts w:hint="eastAsia"/>
                <w:color w:val="auto"/>
                <w:lang w:val="en-US" w:eastAsia="zh-CN"/>
              </w:rPr>
              <w:t>140</w:t>
            </w:r>
          </w:p>
        </w:tc>
      </w:tr>
      <w:tr w14:paraId="28166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2473F1AC">
            <w:pPr>
              <w:spacing w:line="240" w:lineRule="auto"/>
              <w:ind w:firstLine="0" w:firstLineChars="0"/>
              <w:jc w:val="center"/>
              <w:rPr>
                <w:rFonts w:ascii="宋体" w:hAnsi="宋体" w:cs="宋体"/>
                <w:color w:val="auto"/>
                <w:szCs w:val="21"/>
              </w:rPr>
            </w:pPr>
            <w:r>
              <w:rPr>
                <w:rFonts w:hint="eastAsia" w:ascii="宋体" w:hAnsi="宋体" w:cs="宋体"/>
                <w:color w:val="auto"/>
                <w:szCs w:val="21"/>
              </w:rPr>
              <w:t>环保投资占比（</w:t>
            </w:r>
            <w:r>
              <w:rPr>
                <w:color w:val="auto"/>
                <w:szCs w:val="21"/>
              </w:rPr>
              <w:t>%</w:t>
            </w:r>
            <w:r>
              <w:rPr>
                <w:rFonts w:hint="eastAsia" w:ascii="宋体" w:hAnsi="宋体" w:cs="宋体"/>
                <w:color w:val="auto"/>
                <w:szCs w:val="21"/>
              </w:rPr>
              <w:t>）</w:t>
            </w:r>
          </w:p>
        </w:tc>
        <w:tc>
          <w:tcPr>
            <w:tcW w:w="1787" w:type="dxa"/>
            <w:vAlign w:val="center"/>
          </w:tcPr>
          <w:p w14:paraId="2A6E5278">
            <w:pPr>
              <w:spacing w:line="240" w:lineRule="auto"/>
              <w:ind w:firstLine="0" w:firstLineChars="0"/>
              <w:jc w:val="center"/>
              <w:rPr>
                <w:rFonts w:hint="default" w:eastAsia="宋体"/>
                <w:color w:val="auto"/>
                <w:lang w:val="en-US" w:eastAsia="zh-CN"/>
              </w:rPr>
            </w:pPr>
            <w:r>
              <w:rPr>
                <w:rFonts w:hint="default" w:eastAsia="宋体"/>
                <w:color w:val="auto"/>
                <w:lang w:val="en-US" w:eastAsia="zh-CN"/>
              </w:rPr>
              <w:t>0.875</w:t>
            </w:r>
          </w:p>
        </w:tc>
        <w:tc>
          <w:tcPr>
            <w:tcW w:w="1288" w:type="dxa"/>
            <w:tcMar>
              <w:top w:w="16" w:type="dxa"/>
              <w:left w:w="16" w:type="dxa"/>
              <w:right w:w="16" w:type="dxa"/>
            </w:tcMar>
            <w:vAlign w:val="center"/>
          </w:tcPr>
          <w:p w14:paraId="596A0B7B">
            <w:pPr>
              <w:spacing w:line="240" w:lineRule="auto"/>
              <w:ind w:firstLine="0" w:firstLineChars="0"/>
              <w:jc w:val="center"/>
              <w:rPr>
                <w:rFonts w:ascii="宋体" w:hAnsi="宋体" w:cs="宋体"/>
                <w:color w:val="auto"/>
                <w:szCs w:val="21"/>
              </w:rPr>
            </w:pPr>
            <w:r>
              <w:rPr>
                <w:rFonts w:hint="eastAsia" w:ascii="宋体" w:hAnsi="宋体" w:cs="宋体"/>
                <w:color w:val="auto"/>
                <w:szCs w:val="21"/>
              </w:rPr>
              <w:t>施工工期</w:t>
            </w:r>
          </w:p>
        </w:tc>
        <w:tc>
          <w:tcPr>
            <w:tcW w:w="4673" w:type="dxa"/>
            <w:vAlign w:val="center"/>
          </w:tcPr>
          <w:p w14:paraId="084E75F3">
            <w:pPr>
              <w:spacing w:line="240" w:lineRule="auto"/>
              <w:ind w:firstLine="0" w:firstLineChars="0"/>
              <w:jc w:val="center"/>
              <w:rPr>
                <w:color w:val="auto"/>
              </w:rPr>
            </w:pPr>
            <w:r>
              <w:rPr>
                <w:rFonts w:hint="eastAsia"/>
                <w:color w:val="auto"/>
                <w:lang w:val="en-US" w:eastAsia="zh-CN"/>
              </w:rPr>
              <w:t>24个月</w:t>
            </w:r>
          </w:p>
        </w:tc>
      </w:tr>
      <w:tr w14:paraId="52B7B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2" w:type="dxa"/>
            <w:tcMar>
              <w:top w:w="16" w:type="dxa"/>
              <w:left w:w="16" w:type="dxa"/>
              <w:right w:w="16" w:type="dxa"/>
            </w:tcMar>
            <w:vAlign w:val="center"/>
          </w:tcPr>
          <w:p w14:paraId="29EAF34F">
            <w:pPr>
              <w:spacing w:line="460" w:lineRule="exact"/>
              <w:ind w:firstLine="0" w:firstLineChars="0"/>
              <w:jc w:val="center"/>
              <w:rPr>
                <w:rFonts w:ascii="宋体" w:hAnsi="宋体" w:cs="宋体"/>
                <w:color w:val="auto"/>
                <w:szCs w:val="21"/>
              </w:rPr>
            </w:pPr>
            <w:r>
              <w:rPr>
                <w:rFonts w:hint="eastAsia" w:ascii="宋体" w:hAnsi="宋体" w:cs="宋体"/>
                <w:color w:val="auto"/>
                <w:szCs w:val="21"/>
              </w:rPr>
              <w:t>是否开工建设</w:t>
            </w:r>
          </w:p>
        </w:tc>
        <w:tc>
          <w:tcPr>
            <w:tcW w:w="1787" w:type="dxa"/>
            <w:vAlign w:val="center"/>
          </w:tcPr>
          <w:p w14:paraId="1EC12E5C">
            <w:pPr>
              <w:spacing w:line="460" w:lineRule="exact"/>
              <w:ind w:firstLine="0" w:firstLineChars="0"/>
              <w:jc w:val="both"/>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否</w:t>
            </w:r>
          </w:p>
          <w:p w14:paraId="42EA9016">
            <w:pPr>
              <w:spacing w:line="460" w:lineRule="exact"/>
              <w:ind w:firstLine="0" w:firstLineChars="0"/>
              <w:jc w:val="both"/>
              <w:rPr>
                <w:rFonts w:ascii="宋体" w:hAnsi="宋体" w:cs="宋体"/>
                <w:color w:val="auto"/>
                <w:szCs w:val="21"/>
              </w:rPr>
            </w:pPr>
            <w:r>
              <w:rPr>
                <w:rFonts w:hint="eastAsia" w:ascii="宋体" w:hAnsi="宋体" w:cs="宋体"/>
                <w:color w:val="auto"/>
                <w:szCs w:val="21"/>
              </w:rPr>
              <w:t>□是</w:t>
            </w:r>
          </w:p>
        </w:tc>
        <w:tc>
          <w:tcPr>
            <w:tcW w:w="1288" w:type="dxa"/>
            <w:tcMar>
              <w:top w:w="16" w:type="dxa"/>
              <w:left w:w="16" w:type="dxa"/>
              <w:right w:w="16" w:type="dxa"/>
            </w:tcMar>
            <w:vAlign w:val="center"/>
          </w:tcPr>
          <w:p w14:paraId="1047F769">
            <w:pPr>
              <w:spacing w:line="460" w:lineRule="exact"/>
              <w:ind w:firstLine="0" w:firstLineChars="0"/>
              <w:jc w:val="center"/>
              <w:rPr>
                <w:rFonts w:ascii="宋体" w:hAnsi="宋体" w:cs="宋体"/>
                <w:color w:val="auto"/>
                <w:szCs w:val="21"/>
              </w:rPr>
            </w:pPr>
            <w:r>
              <w:rPr>
                <w:rFonts w:hint="eastAsia" w:ascii="宋体" w:hAnsi="宋体" w:cs="宋体"/>
                <w:color w:val="auto"/>
                <w:spacing w:val="-6"/>
                <w:szCs w:val="21"/>
              </w:rPr>
              <w:t>用地面积（</w:t>
            </w:r>
            <w:r>
              <w:rPr>
                <w:color w:val="auto"/>
                <w:spacing w:val="-6"/>
                <w:szCs w:val="21"/>
              </w:rPr>
              <w:t>m</w:t>
            </w:r>
            <w:r>
              <w:rPr>
                <w:color w:val="auto"/>
                <w:spacing w:val="-6"/>
                <w:szCs w:val="21"/>
                <w:vertAlign w:val="superscript"/>
              </w:rPr>
              <w:t>2</w:t>
            </w:r>
            <w:r>
              <w:rPr>
                <w:rFonts w:hint="eastAsia" w:ascii="宋体" w:hAnsi="宋体" w:cs="宋体"/>
                <w:color w:val="auto"/>
                <w:spacing w:val="-6"/>
                <w:szCs w:val="21"/>
              </w:rPr>
              <w:t>）</w:t>
            </w:r>
          </w:p>
        </w:tc>
        <w:tc>
          <w:tcPr>
            <w:tcW w:w="4673" w:type="dxa"/>
            <w:vAlign w:val="center"/>
          </w:tcPr>
          <w:p w14:paraId="03EFEA7D">
            <w:pPr>
              <w:spacing w:line="460" w:lineRule="exact"/>
              <w:ind w:firstLine="0" w:firstLineChars="0"/>
              <w:jc w:val="center"/>
              <w:rPr>
                <w:rFonts w:hint="default" w:eastAsia="宋体"/>
                <w:color w:val="auto"/>
                <w:lang w:val="en-US" w:eastAsia="zh-CN"/>
              </w:rPr>
            </w:pPr>
            <w:r>
              <w:rPr>
                <w:rFonts w:hint="eastAsia"/>
                <w:color w:val="auto"/>
                <w:sz w:val="24"/>
                <w:szCs w:val="24"/>
              </w:rPr>
              <w:t>6042.45</w:t>
            </w:r>
          </w:p>
        </w:tc>
      </w:tr>
      <w:tr w14:paraId="701E1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63" w:hRule="atLeast"/>
          <w:jc w:val="center"/>
        </w:trPr>
        <w:tc>
          <w:tcPr>
            <w:tcW w:w="1032" w:type="dxa"/>
            <w:vAlign w:val="center"/>
          </w:tcPr>
          <w:p w14:paraId="1CD69CA7">
            <w:pPr>
              <w:autoSpaceDE w:val="0"/>
              <w:autoSpaceDN w:val="0"/>
              <w:spacing w:line="240" w:lineRule="auto"/>
              <w:ind w:firstLine="0" w:firstLineChars="0"/>
              <w:jc w:val="center"/>
              <w:rPr>
                <w:rFonts w:ascii="宋体" w:hAnsi="宋体" w:cs="宋体"/>
                <w:color w:val="auto"/>
                <w:kern w:val="0"/>
                <w:szCs w:val="21"/>
              </w:rPr>
            </w:pPr>
            <w:r>
              <w:rPr>
                <w:rFonts w:hint="eastAsia" w:ascii="宋体" w:hAnsi="宋体" w:cs="宋体"/>
                <w:color w:val="auto"/>
                <w:kern w:val="0"/>
                <w:szCs w:val="21"/>
              </w:rPr>
              <w:t>专项评价设置情况</w:t>
            </w:r>
          </w:p>
        </w:tc>
        <w:tc>
          <w:tcPr>
            <w:tcW w:w="7748" w:type="dxa"/>
            <w:gridSpan w:val="3"/>
            <w:vAlign w:val="center"/>
          </w:tcPr>
          <w:p w14:paraId="2DB27782">
            <w:pPr>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根据《建设项目环境影响报告表编制技术指南</w:t>
            </w:r>
            <w:r>
              <w:rPr>
                <w:rFonts w:hint="default" w:ascii="Times New Roman" w:hAnsi="Times New Roman"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污染影响类</w:t>
            </w:r>
            <w:r>
              <w:rPr>
                <w:rFonts w:hint="default" w:ascii="Times New Roman" w:hAnsi="Times New Roman" w:cs="Times New Roman"/>
                <w:color w:val="auto"/>
                <w:kern w:val="0"/>
                <w:sz w:val="24"/>
                <w:szCs w:val="24"/>
                <w:lang w:val="en-US" w:eastAsia="zh-CN"/>
              </w:rPr>
              <w:t>）（试行）</w:t>
            </w:r>
            <w:r>
              <w:rPr>
                <w:rFonts w:hint="default" w:ascii="Times New Roman" w:hAnsi="Times New Roman" w:eastAsia="宋体" w:cs="Times New Roman"/>
                <w:color w:val="auto"/>
                <w:kern w:val="0"/>
                <w:sz w:val="24"/>
                <w:szCs w:val="24"/>
                <w:lang w:val="en-US" w:eastAsia="zh-CN"/>
              </w:rPr>
              <w:t>》，</w:t>
            </w:r>
            <w:r>
              <w:rPr>
                <w:rFonts w:hint="eastAsia"/>
                <w:color w:val="auto"/>
                <w:lang w:val="en-US" w:eastAsia="zh-CN"/>
              </w:rPr>
              <w:t>本项目</w:t>
            </w:r>
            <w:r>
              <w:rPr>
                <w:rFonts w:hint="default" w:ascii="Times New Roman" w:hAnsi="Times New Roman" w:cs="Times New Roman"/>
                <w:color w:val="auto"/>
                <w:kern w:val="0"/>
                <w:sz w:val="24"/>
                <w:szCs w:val="24"/>
                <w:lang w:val="en-US" w:eastAsia="zh-CN"/>
              </w:rPr>
              <w:t>无需</w:t>
            </w:r>
            <w:r>
              <w:rPr>
                <w:rFonts w:hint="default" w:ascii="Times New Roman" w:hAnsi="Times New Roman" w:eastAsia="宋体" w:cs="Times New Roman"/>
                <w:color w:val="auto"/>
                <w:kern w:val="0"/>
                <w:sz w:val="24"/>
                <w:szCs w:val="24"/>
                <w:lang w:val="en-US" w:eastAsia="zh-CN"/>
              </w:rPr>
              <w:t>开展专项评价，</w:t>
            </w:r>
            <w:r>
              <w:rPr>
                <w:rFonts w:hint="eastAsia" w:cs="Times New Roman"/>
                <w:color w:val="auto"/>
                <w:kern w:val="0"/>
                <w:sz w:val="24"/>
                <w:szCs w:val="24"/>
                <w:lang w:val="en-US" w:eastAsia="zh-CN"/>
              </w:rPr>
              <w:t>具体内容</w:t>
            </w:r>
            <w:r>
              <w:rPr>
                <w:rFonts w:hint="default" w:ascii="Times New Roman" w:hAnsi="Times New Roman" w:eastAsia="宋体" w:cs="Times New Roman"/>
                <w:color w:val="auto"/>
                <w:kern w:val="0"/>
                <w:sz w:val="24"/>
                <w:szCs w:val="24"/>
                <w:lang w:val="en-US" w:eastAsia="zh-CN"/>
              </w:rPr>
              <w:t>判定依据见表1-1。</w:t>
            </w:r>
          </w:p>
          <w:p w14:paraId="16D16E96">
            <w:pPr>
              <w:keepLines w:val="0"/>
              <w:pageBreakBefore w:val="0"/>
              <w:widowControl/>
              <w:kinsoku/>
              <w:wordWrap/>
              <w:overflowPunct/>
              <w:topLinePunct w:val="0"/>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表1-1 项目专项评价设置情况表</w:t>
            </w:r>
          </w:p>
          <w:tbl>
            <w:tblPr>
              <w:tblStyle w:val="27"/>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985"/>
              <w:gridCol w:w="1032"/>
              <w:gridCol w:w="1232"/>
            </w:tblGrid>
            <w:tr w14:paraId="7FCA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Align w:val="center"/>
                </w:tcPr>
                <w:p w14:paraId="69386D21">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专项评价</w:t>
                  </w:r>
                </w:p>
                <w:p w14:paraId="43D5122B">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的类别</w:t>
                  </w:r>
                </w:p>
              </w:tc>
              <w:tc>
                <w:tcPr>
                  <w:tcW w:w="3890" w:type="dxa"/>
                  <w:vAlign w:val="center"/>
                </w:tcPr>
                <w:p w14:paraId="23333F1F">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设置原则</w:t>
                  </w:r>
                </w:p>
              </w:tc>
              <w:tc>
                <w:tcPr>
                  <w:tcW w:w="1009" w:type="dxa"/>
                  <w:vAlign w:val="center"/>
                </w:tcPr>
                <w:p w14:paraId="5D3D9EAC">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本项目情况</w:t>
                  </w:r>
                </w:p>
              </w:tc>
              <w:tc>
                <w:tcPr>
                  <w:tcW w:w="1204" w:type="dxa"/>
                  <w:vAlign w:val="center"/>
                </w:tcPr>
                <w:p w14:paraId="44C4B53C">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是否设置</w:t>
                  </w:r>
                </w:p>
                <w:p w14:paraId="03048E6F">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专项评价</w:t>
                  </w:r>
                </w:p>
              </w:tc>
            </w:tr>
            <w:tr w14:paraId="34B2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Align w:val="center"/>
                </w:tcPr>
                <w:p w14:paraId="36BB2BA0">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大气</w:t>
                  </w:r>
                </w:p>
                <w:p w14:paraId="2A14F2D3">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3890" w:type="dxa"/>
                  <w:vAlign w:val="center"/>
                </w:tcPr>
                <w:p w14:paraId="696FBD4C">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排放废气含有毒有害污染物、二噁英、苯并[a]芘、氰化物、氯气且厂界外500米</w:t>
                  </w:r>
                  <w:r>
                    <w:rPr>
                      <w:rFonts w:hint="default" w:ascii="Times New Roman" w:hAnsi="Times New Roman" w:cs="Times New Roman"/>
                      <w:color w:val="auto"/>
                      <w:kern w:val="0"/>
                      <w:sz w:val="21"/>
                      <w:szCs w:val="21"/>
                      <w:lang w:val="en-US" w:eastAsia="zh-CN"/>
                    </w:rPr>
                    <w:t>范围</w:t>
                  </w:r>
                  <w:r>
                    <w:rPr>
                      <w:rFonts w:hint="default" w:ascii="Times New Roman" w:hAnsi="Times New Roman" w:eastAsia="宋体" w:cs="Times New Roman"/>
                      <w:color w:val="auto"/>
                      <w:kern w:val="0"/>
                      <w:sz w:val="21"/>
                      <w:szCs w:val="21"/>
                      <w:lang w:val="en-US" w:eastAsia="zh-CN"/>
                    </w:rPr>
                    <w:t>内有环境空气保护目标的建设项目</w:t>
                  </w:r>
                </w:p>
              </w:tc>
              <w:tc>
                <w:tcPr>
                  <w:tcW w:w="1009" w:type="dxa"/>
                  <w:vAlign w:val="center"/>
                </w:tcPr>
                <w:p w14:paraId="6697F19F">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不涉及</w:t>
                  </w:r>
                  <w:r>
                    <w:rPr>
                      <w:rFonts w:hint="eastAsia"/>
                      <w:color w:val="auto"/>
                      <w:lang w:val="en-US" w:eastAsia="zh-CN"/>
                    </w:rPr>
                    <w:t>*</w:t>
                  </w:r>
                </w:p>
              </w:tc>
              <w:tc>
                <w:tcPr>
                  <w:tcW w:w="1204" w:type="dxa"/>
                  <w:vAlign w:val="center"/>
                </w:tcPr>
                <w:p w14:paraId="3CE67505">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r w14:paraId="4E9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Align w:val="center"/>
                </w:tcPr>
                <w:p w14:paraId="0C186431">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地表水</w:t>
                  </w:r>
                </w:p>
              </w:tc>
              <w:tc>
                <w:tcPr>
                  <w:tcW w:w="3890" w:type="dxa"/>
                  <w:vAlign w:val="center"/>
                </w:tcPr>
                <w:p w14:paraId="428533F6">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新增工业废水直排建设项目（槽罐车外送污水处理厂的除外）；新增废水直排的污水集中处理厂</w:t>
                  </w:r>
                </w:p>
              </w:tc>
              <w:tc>
                <w:tcPr>
                  <w:tcW w:w="1009" w:type="dxa"/>
                  <w:vAlign w:val="center"/>
                </w:tcPr>
                <w:p w14:paraId="1887DE94">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不涉及</w:t>
                  </w:r>
                </w:p>
              </w:tc>
              <w:tc>
                <w:tcPr>
                  <w:tcW w:w="1204" w:type="dxa"/>
                  <w:vAlign w:val="center"/>
                </w:tcPr>
                <w:p w14:paraId="65CF32EE">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r w14:paraId="171A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Align w:val="center"/>
                </w:tcPr>
                <w:p w14:paraId="6EF04B66">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环境风险</w:t>
                  </w:r>
                </w:p>
              </w:tc>
              <w:tc>
                <w:tcPr>
                  <w:tcW w:w="3890" w:type="dxa"/>
                  <w:vAlign w:val="center"/>
                </w:tcPr>
                <w:p w14:paraId="29CC0070">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有毒有害和易燃易爆危险物质存储量超过临界量的建设项目</w:t>
                  </w:r>
                </w:p>
              </w:tc>
              <w:tc>
                <w:tcPr>
                  <w:tcW w:w="1009" w:type="dxa"/>
                  <w:vAlign w:val="center"/>
                </w:tcPr>
                <w:p w14:paraId="1AEF08AC">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Q＜1</w:t>
                  </w:r>
                </w:p>
              </w:tc>
              <w:tc>
                <w:tcPr>
                  <w:tcW w:w="1204" w:type="dxa"/>
                  <w:vAlign w:val="center"/>
                </w:tcPr>
                <w:p w14:paraId="51EE6C7B">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r w14:paraId="51F6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Align w:val="center"/>
                </w:tcPr>
                <w:p w14:paraId="0930C88D">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生态</w:t>
                  </w:r>
                </w:p>
              </w:tc>
              <w:tc>
                <w:tcPr>
                  <w:tcW w:w="3890" w:type="dxa"/>
                  <w:vAlign w:val="center"/>
                </w:tcPr>
                <w:p w14:paraId="5152A481">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取水口下游500米范围内有重要水生生物的自然产卵场、索饵场、越冬场和洄游通道的新增河道取水的污染类建设项目</w:t>
                  </w:r>
                </w:p>
              </w:tc>
              <w:tc>
                <w:tcPr>
                  <w:tcW w:w="1009" w:type="dxa"/>
                  <w:vAlign w:val="center"/>
                </w:tcPr>
                <w:p w14:paraId="3AD8CCB2">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不涉及</w:t>
                  </w:r>
                </w:p>
              </w:tc>
              <w:tc>
                <w:tcPr>
                  <w:tcW w:w="1204" w:type="dxa"/>
                  <w:vAlign w:val="center"/>
                </w:tcPr>
                <w:p w14:paraId="4E541A43">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r w14:paraId="036A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Align w:val="center"/>
                </w:tcPr>
                <w:p w14:paraId="6F4FF925">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海洋</w:t>
                  </w:r>
                </w:p>
              </w:tc>
              <w:tc>
                <w:tcPr>
                  <w:tcW w:w="3890" w:type="dxa"/>
                  <w:vAlign w:val="center"/>
                </w:tcPr>
                <w:p w14:paraId="7F810CE7">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直接向海排放污染物的海洋工程建设项目</w:t>
                  </w:r>
                </w:p>
              </w:tc>
              <w:tc>
                <w:tcPr>
                  <w:tcW w:w="1009" w:type="dxa"/>
                  <w:vAlign w:val="center"/>
                </w:tcPr>
                <w:p w14:paraId="0A975BFA">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不涉及</w:t>
                  </w:r>
                </w:p>
              </w:tc>
              <w:tc>
                <w:tcPr>
                  <w:tcW w:w="1204" w:type="dxa"/>
                  <w:vAlign w:val="center"/>
                </w:tcPr>
                <w:p w14:paraId="487A4021">
                  <w:pPr>
                    <w:pStyle w:val="4"/>
                    <w:keepLines w:val="0"/>
                    <w:pageBreakBefore w:val="0"/>
                    <w:widowControl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bl>
          <w:p w14:paraId="6E0A12F2">
            <w:pPr>
              <w:autoSpaceDE w:val="0"/>
              <w:autoSpaceDN w:val="0"/>
              <w:spacing w:line="240" w:lineRule="auto"/>
              <w:ind w:firstLine="0" w:firstLineChars="0"/>
              <w:jc w:val="left"/>
              <w:rPr>
                <w:rFonts w:hint="default" w:ascii="宋体" w:hAnsi="宋体" w:eastAsia="宋体" w:cs="宋体"/>
                <w:color w:val="auto"/>
                <w:kern w:val="0"/>
                <w:szCs w:val="21"/>
                <w:lang w:val="en-US" w:eastAsia="zh-CN"/>
              </w:rPr>
            </w:pPr>
            <w:r>
              <w:rPr>
                <w:rFonts w:hint="default" w:ascii="Times New Roman" w:hAnsi="Times New Roman" w:cs="Times New Roman"/>
                <w:color w:val="auto"/>
                <w:kern w:val="0"/>
                <w:sz w:val="21"/>
                <w:szCs w:val="21"/>
                <w:lang w:val="en-US" w:eastAsia="zh-CN"/>
              </w:rPr>
              <w:t>注：本项目500m范围内有居民，但排放的废气不涉及有毒有害污染物、二噁英、苯并[a]芘、氰化物、氯气及《有毒有害大气污染物名录（2018年）》中污染因子</w:t>
            </w:r>
            <w:r>
              <w:rPr>
                <w:rFonts w:hint="eastAsia"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因此</w:t>
            </w:r>
            <w:r>
              <w:rPr>
                <w:rFonts w:hint="eastAsia"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本项目无需设置专项评价</w:t>
            </w:r>
            <w:r>
              <w:rPr>
                <w:rFonts w:hint="eastAsia" w:cs="Times New Roman"/>
                <w:color w:val="auto"/>
                <w:kern w:val="0"/>
                <w:sz w:val="21"/>
                <w:szCs w:val="21"/>
                <w:lang w:val="en-US" w:eastAsia="zh-CN"/>
              </w:rPr>
              <w:t>。</w:t>
            </w:r>
          </w:p>
        </w:tc>
      </w:tr>
      <w:tr w14:paraId="00D42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32" w:type="dxa"/>
            <w:vAlign w:val="center"/>
          </w:tcPr>
          <w:p w14:paraId="1F686AF4">
            <w:pPr>
              <w:autoSpaceDE w:val="0"/>
              <w:autoSpaceDN w:val="0"/>
              <w:spacing w:line="240" w:lineRule="auto"/>
              <w:ind w:firstLine="0" w:firstLineChars="0"/>
              <w:jc w:val="center"/>
              <w:rPr>
                <w:rFonts w:ascii="宋体" w:hAnsi="宋体" w:cs="宋体"/>
                <w:color w:val="auto"/>
                <w:kern w:val="0"/>
                <w:szCs w:val="21"/>
              </w:rPr>
            </w:pPr>
            <w:r>
              <w:rPr>
                <w:rFonts w:hint="eastAsia" w:ascii="宋体" w:hAnsi="宋体" w:cs="宋体"/>
                <w:color w:val="auto"/>
                <w:szCs w:val="21"/>
              </w:rPr>
              <w:t>规划情况</w:t>
            </w:r>
          </w:p>
        </w:tc>
        <w:tc>
          <w:tcPr>
            <w:tcW w:w="7748" w:type="dxa"/>
            <w:gridSpan w:val="3"/>
            <w:vAlign w:val="center"/>
          </w:tcPr>
          <w:p w14:paraId="21B8B1C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r w14:paraId="43A33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032" w:type="dxa"/>
            <w:vAlign w:val="center"/>
          </w:tcPr>
          <w:p w14:paraId="1CEC0544">
            <w:pPr>
              <w:spacing w:line="240" w:lineRule="auto"/>
              <w:ind w:firstLine="0" w:firstLineChars="0"/>
              <w:jc w:val="center"/>
              <w:rPr>
                <w:rFonts w:ascii="宋体" w:hAnsi="宋体" w:cs="宋体"/>
                <w:color w:val="auto"/>
                <w:kern w:val="0"/>
                <w:szCs w:val="21"/>
              </w:rPr>
            </w:pPr>
            <w:r>
              <w:rPr>
                <w:rFonts w:hint="eastAsia" w:ascii="宋体" w:hAnsi="宋体" w:cs="宋体"/>
                <w:color w:val="auto"/>
                <w:szCs w:val="21"/>
              </w:rPr>
              <w:t>规划环境影响评价情况</w:t>
            </w:r>
          </w:p>
        </w:tc>
        <w:tc>
          <w:tcPr>
            <w:tcW w:w="7748" w:type="dxa"/>
            <w:gridSpan w:val="3"/>
            <w:vAlign w:val="center"/>
          </w:tcPr>
          <w:p w14:paraId="50BBFAA6">
            <w:pPr>
              <w:autoSpaceDE w:val="0"/>
              <w:autoSpaceDN w:val="0"/>
              <w:spacing w:line="240" w:lineRule="auto"/>
              <w:ind w:firstLine="0" w:firstLineChars="0"/>
              <w:jc w:val="center"/>
              <w:rPr>
                <w:rFonts w:hint="eastAsia" w:ascii="宋体" w:hAnsi="宋体" w:eastAsia="宋体" w:cs="宋体"/>
                <w:color w:val="auto"/>
                <w:kern w:val="0"/>
                <w:szCs w:val="21"/>
                <w:lang w:val="en-US" w:eastAsia="zh-CN"/>
              </w:rPr>
            </w:pPr>
            <w:r>
              <w:rPr>
                <w:rFonts w:hint="eastAsia"/>
                <w:color w:val="auto"/>
                <w:kern w:val="0"/>
              </w:rPr>
              <w:t>无</w:t>
            </w:r>
          </w:p>
        </w:tc>
      </w:tr>
      <w:tr w14:paraId="3284E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2" w:type="dxa"/>
            <w:shd w:val="clear" w:color="auto" w:fill="auto"/>
            <w:vAlign w:val="center"/>
          </w:tcPr>
          <w:p w14:paraId="0431DAF5">
            <w:pPr>
              <w:autoSpaceDE w:val="0"/>
              <w:autoSpaceDN w:val="0"/>
              <w:spacing w:line="240" w:lineRule="auto"/>
              <w:ind w:firstLine="0" w:firstLineChars="0"/>
              <w:jc w:val="center"/>
              <w:rPr>
                <w:rFonts w:hint="eastAsia" w:ascii="宋体" w:hAnsi="宋体" w:eastAsia="宋体" w:cs="宋体"/>
                <w:color w:val="auto"/>
                <w:kern w:val="0"/>
                <w:sz w:val="24"/>
                <w:szCs w:val="21"/>
                <w:lang w:val="en-US" w:eastAsia="zh-CN" w:bidi="ar-SA"/>
              </w:rPr>
            </w:pPr>
            <w:r>
              <w:rPr>
                <w:rFonts w:hint="eastAsia" w:ascii="宋体" w:hAnsi="宋体" w:cs="宋体"/>
                <w:color w:val="auto"/>
                <w:kern w:val="0"/>
                <w:szCs w:val="21"/>
              </w:rPr>
              <w:t>规划及规划环境影响评价符合性分析</w:t>
            </w:r>
          </w:p>
        </w:tc>
        <w:tc>
          <w:tcPr>
            <w:tcW w:w="7748" w:type="dxa"/>
            <w:gridSpan w:val="3"/>
            <w:shd w:val="clear" w:color="auto" w:fill="auto"/>
            <w:vAlign w:val="center"/>
          </w:tcPr>
          <w:p w14:paraId="4394A4A1">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eastAsia"/>
                <w:color w:val="auto"/>
                <w:sz w:val="24"/>
                <w:szCs w:val="24"/>
                <w:lang w:val="en-US" w:eastAsia="zh-CN"/>
              </w:rPr>
            </w:pPr>
          </w:p>
          <w:p w14:paraId="5C5B9D87">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eastAsia"/>
                <w:color w:val="auto"/>
                <w:sz w:val="24"/>
                <w:szCs w:val="24"/>
                <w:lang w:val="en-US" w:eastAsia="zh-CN"/>
              </w:rPr>
            </w:pPr>
          </w:p>
          <w:p w14:paraId="05013FB8">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eastAsia"/>
                <w:color w:val="auto"/>
                <w:sz w:val="24"/>
                <w:szCs w:val="24"/>
                <w:lang w:val="en-US" w:eastAsia="zh-CN"/>
              </w:rPr>
            </w:pPr>
          </w:p>
          <w:p w14:paraId="7DBC632D">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eastAsia"/>
                <w:color w:val="auto"/>
                <w:sz w:val="24"/>
                <w:szCs w:val="24"/>
                <w:lang w:val="en-US" w:eastAsia="zh-CN"/>
              </w:rPr>
            </w:pPr>
          </w:p>
          <w:p w14:paraId="246FA943">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eastAsia"/>
                <w:color w:val="auto"/>
                <w:sz w:val="24"/>
                <w:szCs w:val="24"/>
                <w:lang w:val="en-US" w:eastAsia="zh-CN"/>
              </w:rPr>
            </w:pPr>
          </w:p>
          <w:p w14:paraId="34CF3D40">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default" w:ascii="Times New Roman" w:hAnsi="Times New Roman" w:cs="Times New Roman"/>
                <w:color w:val="auto"/>
                <w:kern w:val="2"/>
                <w:sz w:val="24"/>
                <w:szCs w:val="24"/>
                <w:lang w:val="en-US" w:eastAsia="zh-CN"/>
              </w:rPr>
            </w:pPr>
            <w:r>
              <w:rPr>
                <w:rFonts w:hint="eastAsia"/>
                <w:color w:val="auto"/>
                <w:sz w:val="24"/>
                <w:szCs w:val="24"/>
                <w:lang w:val="en-US" w:eastAsia="zh-CN"/>
              </w:rPr>
              <w:t>*</w:t>
            </w:r>
          </w:p>
          <w:p w14:paraId="58E00D92">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default" w:ascii="Times New Roman" w:hAnsi="Times New Roman" w:cs="Times New Roman"/>
                <w:color w:val="auto"/>
                <w:kern w:val="2"/>
                <w:sz w:val="24"/>
                <w:szCs w:val="24"/>
                <w:lang w:val="en-US" w:eastAsia="zh-CN"/>
              </w:rPr>
            </w:pPr>
          </w:p>
          <w:p w14:paraId="70CB202E">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default" w:ascii="Times New Roman" w:hAnsi="Times New Roman" w:cs="Times New Roman"/>
                <w:color w:val="auto"/>
                <w:kern w:val="2"/>
                <w:sz w:val="24"/>
                <w:szCs w:val="24"/>
                <w:lang w:val="en-US" w:eastAsia="zh-CN"/>
              </w:rPr>
            </w:pPr>
          </w:p>
          <w:p w14:paraId="550B849F">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default" w:ascii="Times New Roman" w:hAnsi="Times New Roman" w:cs="Times New Roman"/>
                <w:color w:val="auto"/>
                <w:kern w:val="2"/>
                <w:sz w:val="24"/>
                <w:szCs w:val="24"/>
                <w:lang w:val="en-US" w:eastAsia="zh-CN"/>
              </w:rPr>
            </w:pPr>
          </w:p>
          <w:p w14:paraId="7F82E2A1">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default" w:ascii="Times New Roman" w:hAnsi="Times New Roman" w:cs="Times New Roman"/>
                <w:color w:val="auto"/>
                <w:kern w:val="2"/>
                <w:sz w:val="24"/>
                <w:szCs w:val="24"/>
                <w:lang w:val="en-US" w:eastAsia="zh-CN"/>
              </w:rPr>
            </w:pPr>
          </w:p>
          <w:p w14:paraId="5805C9B7">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rFonts w:hint="default" w:ascii="Times New Roman" w:hAnsi="Times New Roman" w:cs="Times New Roman"/>
                <w:color w:val="auto"/>
                <w:kern w:val="2"/>
                <w:sz w:val="24"/>
                <w:szCs w:val="24"/>
                <w:lang w:val="en-US" w:eastAsia="zh-CN"/>
              </w:rPr>
            </w:pPr>
          </w:p>
          <w:p w14:paraId="4D9BA7F1">
            <w:pPr>
              <w:keepNext w:val="0"/>
              <w:keepLines w:val="0"/>
              <w:pageBreakBefore w:val="0"/>
              <w:widowControl w:val="0"/>
              <w:kinsoku/>
              <w:wordWrap/>
              <w:overflowPunct/>
              <w:topLinePunct w:val="0"/>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2"/>
                <w:sz w:val="24"/>
                <w:szCs w:val="24"/>
                <w:lang w:val="en-US" w:eastAsia="zh-CN" w:bidi="ar-SA"/>
              </w:rPr>
            </w:pPr>
          </w:p>
        </w:tc>
      </w:tr>
    </w:tbl>
    <w:p w14:paraId="3B5ACB08">
      <w:pPr>
        <w:outlineLvl w:val="0"/>
        <w:rPr>
          <w:rFonts w:eastAsia="黑体"/>
          <w:color w:val="auto"/>
          <w:sz w:val="30"/>
        </w:rPr>
        <w:sectPr>
          <w:headerReference r:id="rId5" w:type="default"/>
          <w:footerReference r:id="rId6" w:type="default"/>
          <w:pgSz w:w="11906" w:h="16838"/>
          <w:pgMar w:top="1701" w:right="1531" w:bottom="1701" w:left="1531" w:header="851" w:footer="1077" w:gutter="0"/>
          <w:pgNumType w:fmt="decimal" w:start="1"/>
          <w:cols w:space="720" w:num="1"/>
          <w:docGrid w:linePitch="312" w:charSpace="0"/>
        </w:sectPr>
      </w:pPr>
    </w:p>
    <w:tbl>
      <w:tblPr>
        <w:tblStyle w:val="26"/>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297"/>
      </w:tblGrid>
      <w:tr w14:paraId="48168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92" w:hRule="atLeast"/>
          <w:jc w:val="center"/>
        </w:trPr>
        <w:tc>
          <w:tcPr>
            <w:tcW w:w="573" w:type="dxa"/>
            <w:vAlign w:val="center"/>
          </w:tcPr>
          <w:p w14:paraId="12AD54F3">
            <w:pPr>
              <w:autoSpaceDE w:val="0"/>
              <w:autoSpaceDN w:val="0"/>
              <w:ind w:firstLine="0" w:firstLineChars="0"/>
              <w:jc w:val="center"/>
              <w:rPr>
                <w:rFonts w:ascii="宋体" w:hAnsi="宋体" w:cs="宋体"/>
                <w:color w:val="auto"/>
                <w:kern w:val="0"/>
                <w:szCs w:val="21"/>
              </w:rPr>
            </w:pPr>
            <w:r>
              <w:rPr>
                <w:rFonts w:hint="eastAsia" w:ascii="宋体" w:hAnsi="宋体" w:cs="宋体"/>
                <w:color w:val="auto"/>
                <w:kern w:val="0"/>
                <w:szCs w:val="21"/>
              </w:rPr>
              <w:t>其他符合性分析</w:t>
            </w:r>
          </w:p>
        </w:tc>
        <w:tc>
          <w:tcPr>
            <w:tcW w:w="8297" w:type="dxa"/>
            <w:vAlign w:val="center"/>
          </w:tcPr>
          <w:p w14:paraId="1B4BCC5B">
            <w:pPr>
              <w:autoSpaceDE w:val="0"/>
              <w:autoSpaceDN w:val="0"/>
              <w:ind w:firstLine="0" w:firstLineChars="0"/>
              <w:rPr>
                <w:b/>
                <w:bCs/>
                <w:color w:val="auto"/>
              </w:rPr>
            </w:pPr>
            <w:r>
              <w:rPr>
                <w:rFonts w:hint="eastAsia"/>
                <w:b/>
                <w:bCs/>
                <w:color w:val="auto"/>
              </w:rPr>
              <w:t>1、选址符合性分析</w:t>
            </w:r>
          </w:p>
          <w:p w14:paraId="29B252DE">
            <w:pPr>
              <w:ind w:firstLine="480"/>
              <w:rPr>
                <w:color w:val="auto"/>
              </w:rPr>
            </w:pPr>
            <w:r>
              <w:rPr>
                <w:rFonts w:hint="eastAsia"/>
                <w:color w:val="auto"/>
              </w:rPr>
              <w:t>（1）用地性质分析</w:t>
            </w:r>
          </w:p>
          <w:p w14:paraId="59CC92FD">
            <w:pPr>
              <w:ind w:firstLine="480"/>
              <w:rPr>
                <w:color w:val="auto"/>
              </w:rPr>
            </w:pPr>
            <w:r>
              <w:rPr>
                <w:rFonts w:hint="eastAsia"/>
                <w:color w:val="auto"/>
              </w:rPr>
              <w:t>本项目位于</w:t>
            </w:r>
            <w:r>
              <w:rPr>
                <w:rFonts w:hint="eastAsia"/>
                <w:color w:val="auto"/>
                <w:lang w:val="en-US" w:eastAsia="zh-CN"/>
              </w:rPr>
              <w:t>安徽省淮北市烈山区</w:t>
            </w:r>
            <w:r>
              <w:rPr>
                <w:rFonts w:hint="eastAsia"/>
                <w:color w:val="auto"/>
              </w:rPr>
              <w:t>，</w:t>
            </w:r>
            <w:r>
              <w:rPr>
                <w:rFonts w:hint="eastAsia" w:cs="Times New Roman"/>
                <w:color w:val="auto"/>
                <w:kern w:val="0"/>
                <w:szCs w:val="21"/>
                <w:lang w:val="en-US" w:eastAsia="zh-CN"/>
              </w:rPr>
              <w:t>根据建设项目用地规划许可证</w:t>
            </w:r>
            <w:r>
              <w:rPr>
                <w:rFonts w:hint="eastAsia"/>
                <w:color w:val="auto"/>
                <w:lang w:val="en-US" w:eastAsia="zh-CN"/>
              </w:rPr>
              <w:t>，能源站项目土地用途为供热用地，性质为建设用地</w:t>
            </w:r>
            <w:r>
              <w:rPr>
                <w:rFonts w:hint="eastAsia"/>
                <w:color w:val="auto"/>
              </w:rPr>
              <w:t>。</w:t>
            </w:r>
          </w:p>
          <w:p w14:paraId="5C456799">
            <w:pPr>
              <w:autoSpaceDE w:val="0"/>
              <w:autoSpaceDN w:val="0"/>
              <w:ind w:left="480" w:leftChars="200" w:firstLine="0" w:firstLineChars="0"/>
              <w:jc w:val="left"/>
              <w:rPr>
                <w:bCs/>
                <w:color w:val="auto"/>
              </w:rPr>
            </w:pPr>
            <w:r>
              <w:rPr>
                <w:rFonts w:hint="eastAsia"/>
                <w:color w:val="auto"/>
              </w:rPr>
              <w:t>（2）环境相容</w:t>
            </w:r>
            <w:r>
              <w:rPr>
                <w:color w:val="auto"/>
              </w:rPr>
              <w:t>性</w:t>
            </w:r>
          </w:p>
          <w:p w14:paraId="680742CB">
            <w:pPr>
              <w:pStyle w:val="14"/>
              <w:rPr>
                <w:color w:val="auto"/>
              </w:rPr>
            </w:pPr>
            <w:r>
              <w:rPr>
                <w:rFonts w:hint="eastAsia"/>
                <w:color w:val="auto"/>
              </w:rPr>
              <w:t>本项目位于</w:t>
            </w:r>
            <w:r>
              <w:rPr>
                <w:rFonts w:hint="eastAsia"/>
                <w:color w:val="auto"/>
                <w:lang w:val="en-US" w:eastAsia="zh-CN"/>
              </w:rPr>
              <w:t>安徽省淮北市烈山区</w:t>
            </w:r>
            <w:r>
              <w:rPr>
                <w:rFonts w:hint="eastAsia"/>
                <w:color w:val="auto"/>
              </w:rPr>
              <w:t>，本项目</w:t>
            </w:r>
            <w:r>
              <w:rPr>
                <w:rFonts w:hint="eastAsia"/>
                <w:lang w:val="en-US" w:eastAsia="zh-CN"/>
              </w:rPr>
              <w:t>建设占地面积10亩的能源站，建设</w:t>
            </w:r>
            <w:r>
              <w:rPr>
                <w:rFonts w:hint="eastAsia"/>
                <w:sz w:val="24"/>
                <w:szCs w:val="24"/>
              </w:rPr>
              <w:t>供热主干网</w:t>
            </w:r>
            <w:r>
              <w:rPr>
                <w:rFonts w:hint="eastAsia"/>
                <w:sz w:val="24"/>
                <w:szCs w:val="24"/>
                <w:lang w:val="en-US" w:eastAsia="zh-CN"/>
              </w:rPr>
              <w:t>1200</w:t>
            </w:r>
            <w:r>
              <w:rPr>
                <w:rFonts w:hint="eastAsia"/>
                <w:sz w:val="24"/>
                <w:szCs w:val="24"/>
              </w:rPr>
              <w:t>米，入户分支冷热管道8000米</w:t>
            </w:r>
            <w:r>
              <w:rPr>
                <w:rFonts w:hint="eastAsia"/>
                <w:sz w:val="24"/>
                <w:szCs w:val="24"/>
                <w:lang w:val="en-US" w:eastAsia="zh-CN"/>
              </w:rPr>
              <w:t>的管网</w:t>
            </w:r>
            <w:r>
              <w:rPr>
                <w:rFonts w:hint="eastAsia"/>
                <w:sz w:val="24"/>
                <w:szCs w:val="24"/>
                <w:lang w:eastAsia="zh-CN"/>
              </w:rPr>
              <w:t>，</w:t>
            </w:r>
            <w:r>
              <w:rPr>
                <w:rFonts w:hint="eastAsia"/>
                <w:color w:val="auto"/>
                <w:lang w:val="en-US" w:eastAsia="zh-CN"/>
              </w:rPr>
              <w:t>能源站</w:t>
            </w:r>
            <w:r>
              <w:rPr>
                <w:rFonts w:hint="eastAsia"/>
                <w:color w:val="auto"/>
              </w:rPr>
              <w:t>厂区</w:t>
            </w:r>
            <w:r>
              <w:rPr>
                <w:rFonts w:hint="eastAsia"/>
                <w:color w:val="auto"/>
                <w:lang w:val="en-US" w:eastAsia="zh-CN"/>
              </w:rPr>
              <w:t>北侧</w:t>
            </w:r>
            <w:r>
              <w:rPr>
                <w:rFonts w:hint="eastAsia"/>
                <w:color w:val="auto"/>
              </w:rPr>
              <w:t>为</w:t>
            </w:r>
            <w:r>
              <w:rPr>
                <w:rFonts w:hint="eastAsia"/>
                <w:color w:val="auto"/>
                <w:lang w:val="en-US" w:eastAsia="zh-CN"/>
              </w:rPr>
              <w:t>国家电网服务大厅</w:t>
            </w:r>
            <w:r>
              <w:rPr>
                <w:rFonts w:hint="eastAsia"/>
                <w:color w:val="auto"/>
              </w:rPr>
              <w:t>，</w:t>
            </w:r>
            <w:r>
              <w:rPr>
                <w:rFonts w:hint="eastAsia"/>
                <w:color w:val="auto"/>
                <w:lang w:val="en-US" w:eastAsia="zh-CN"/>
              </w:rPr>
              <w:t>东侧为空地，南侧淮北市汽车客运站，西侧为</w:t>
            </w:r>
            <w:r>
              <w:rPr>
                <w:rFonts w:hint="eastAsia" w:cs="Times New Roman"/>
                <w:color w:val="auto"/>
                <w:sz w:val="24"/>
                <w:lang w:val="en-US" w:eastAsia="zh-CN"/>
              </w:rPr>
              <w:t>栗</w:t>
            </w:r>
            <w:r>
              <w:rPr>
                <w:rFonts w:hint="eastAsia"/>
                <w:color w:val="auto"/>
                <w:lang w:val="en-US" w:eastAsia="zh-CN"/>
              </w:rPr>
              <w:t>园路，隔路为新北花园及港利华师城</w:t>
            </w:r>
            <w:r>
              <w:rPr>
                <w:rFonts w:hint="eastAsia" w:ascii="宋体" w:hAnsi="宋体" w:cs="宋体"/>
                <w:color w:val="auto"/>
                <w:szCs w:val="21"/>
                <w:lang w:eastAsia="zh-CN"/>
              </w:rPr>
              <w:t>。</w:t>
            </w:r>
            <w:r>
              <w:rPr>
                <w:rFonts w:hint="eastAsia" w:ascii="宋体" w:hAnsi="宋体" w:cs="宋体"/>
                <w:color w:val="auto"/>
                <w:szCs w:val="21"/>
                <w:lang w:val="en-US" w:eastAsia="zh-CN"/>
              </w:rPr>
              <w:t>管网周边分别有学校及住宅区，主要为港利华师城、周边小区及服务机构配套供热，</w:t>
            </w:r>
            <w:r>
              <w:rPr>
                <w:rFonts w:hint="eastAsia"/>
                <w:lang w:val="en-US" w:eastAsia="zh-CN"/>
              </w:rPr>
              <w:t>项目运营过程</w:t>
            </w:r>
            <w:r>
              <w:rPr>
                <w:rFonts w:hint="eastAsia"/>
                <w:color w:val="auto"/>
                <w:lang w:val="en-US" w:eastAsia="zh-CN"/>
              </w:rPr>
              <w:t>采取相应污染防治措施后</w:t>
            </w:r>
            <w:r>
              <w:rPr>
                <w:rFonts w:hint="eastAsia"/>
                <w:lang w:val="en-US" w:eastAsia="zh-CN"/>
              </w:rPr>
              <w:t>均能达标排放</w:t>
            </w:r>
            <w:r>
              <w:rPr>
                <w:rFonts w:hint="eastAsia"/>
                <w:color w:val="auto"/>
                <w:lang w:val="en-US" w:eastAsia="zh-CN"/>
              </w:rPr>
              <w:t>，对周边环境影响较小。</w:t>
            </w:r>
            <w:r>
              <w:rPr>
                <w:rFonts w:hint="eastAsia"/>
                <w:bCs/>
                <w:color w:val="auto"/>
              </w:rPr>
              <w:t>因此，本项目建设与周边环境相容。</w:t>
            </w:r>
          </w:p>
          <w:p w14:paraId="76B94DBC">
            <w:pPr>
              <w:autoSpaceDE w:val="0"/>
              <w:autoSpaceDN w:val="0"/>
              <w:ind w:firstLine="480"/>
              <w:jc w:val="left"/>
              <w:rPr>
                <w:color w:val="auto"/>
              </w:rPr>
            </w:pPr>
            <w:r>
              <w:rPr>
                <w:rFonts w:hint="eastAsia"/>
                <w:color w:val="auto"/>
              </w:rPr>
              <w:t>（3）环境承载能力</w:t>
            </w:r>
          </w:p>
          <w:p w14:paraId="7ABE6AE8">
            <w:pPr>
              <w:pStyle w:val="14"/>
              <w:ind w:firstLine="480"/>
              <w:rPr>
                <w:color w:val="auto"/>
              </w:rPr>
            </w:pPr>
            <w:r>
              <w:rPr>
                <w:rFonts w:hint="eastAsia"/>
                <w:color w:val="auto"/>
                <w:szCs w:val="24"/>
              </w:rPr>
              <w:t>本项目周边500m范围内无自然保护区、风景旅游景点和文物古迹等；项目所在地交通方便，水电供应可靠；本项目在做好废气治理和废水处理措施的前提下，对环境质量的影响较小，建成后不会造成环境质量下降。因此，项目在环境承载能力内。</w:t>
            </w:r>
          </w:p>
          <w:p w14:paraId="083DF9B4">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（4）</w:t>
            </w:r>
            <w:r>
              <w:rPr>
                <w:rFonts w:hint="default" w:ascii="Times New Roman" w:hAnsi="Times New Roman" w:eastAsia="宋体" w:cs="Times New Roman"/>
                <w:color w:val="auto"/>
                <w:kern w:val="0"/>
                <w:sz w:val="24"/>
                <w:szCs w:val="24"/>
              </w:rPr>
              <w:t>环境功能区划相符性分析</w:t>
            </w:r>
          </w:p>
          <w:p w14:paraId="3F4448C3">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项目营运期产生的环境影响不会改变区域环境质量，故项目的建设不会突破区域环境质量底线。</w:t>
            </w:r>
          </w:p>
          <w:p w14:paraId="7405B2E0">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color w:val="auto"/>
                <w:kern w:val="2"/>
                <w:sz w:val="24"/>
                <w:szCs w:val="24"/>
                <w:lang w:val="en-US" w:eastAsia="zh-CN"/>
              </w:rPr>
            </w:pPr>
            <w:r>
              <w:rPr>
                <w:rFonts w:hint="default" w:ascii="Times New Roman" w:hAnsi="Times New Roman" w:eastAsia="宋体" w:cs="Times New Roman"/>
                <w:b w:val="0"/>
                <w:bCs/>
                <w:color w:val="auto"/>
                <w:kern w:val="2"/>
                <w:sz w:val="24"/>
                <w:szCs w:val="24"/>
              </w:rPr>
              <w:t>综上所述，</w:t>
            </w:r>
            <w:r>
              <w:rPr>
                <w:rFonts w:hint="default" w:ascii="Times New Roman" w:hAnsi="Times New Roman" w:eastAsia="宋体" w:cs="Times New Roman"/>
                <w:b w:val="0"/>
                <w:bCs/>
                <w:color w:val="auto"/>
                <w:kern w:val="2"/>
                <w:sz w:val="24"/>
                <w:szCs w:val="24"/>
                <w:lang w:val="en-US" w:eastAsia="zh-CN"/>
              </w:rPr>
              <w:t>本项目的选址符合</w:t>
            </w:r>
            <w:r>
              <w:rPr>
                <w:rFonts w:hint="default" w:ascii="Times New Roman" w:hAnsi="Times New Roman" w:cs="Times New Roman"/>
                <w:color w:val="auto"/>
                <w:kern w:val="0"/>
                <w:sz w:val="24"/>
                <w:szCs w:val="24"/>
                <w:lang w:val="en-US" w:eastAsia="zh-CN"/>
              </w:rPr>
              <w:t>区域</w:t>
            </w:r>
            <w:r>
              <w:rPr>
                <w:rFonts w:hint="default" w:ascii="Times New Roman" w:hAnsi="Times New Roman" w:eastAsia="宋体" w:cs="Times New Roman"/>
                <w:color w:val="auto"/>
                <w:kern w:val="0"/>
                <w:sz w:val="24"/>
                <w:szCs w:val="24"/>
                <w:lang w:val="en-US" w:eastAsia="zh-CN"/>
              </w:rPr>
              <w:t>总体规划</w:t>
            </w:r>
            <w:r>
              <w:rPr>
                <w:rFonts w:hint="default" w:ascii="Times New Roman" w:hAnsi="Times New Roman" w:eastAsia="宋体" w:cs="Times New Roman"/>
                <w:b w:val="0"/>
                <w:bCs/>
                <w:color w:val="auto"/>
                <w:kern w:val="2"/>
                <w:sz w:val="24"/>
                <w:szCs w:val="24"/>
                <w:lang w:val="en-US" w:eastAsia="zh-CN"/>
              </w:rPr>
              <w:t>，符合区域环境功能区划，与周边环境相容，在环境承载能力内，项目选址合理。</w:t>
            </w:r>
          </w:p>
          <w:p w14:paraId="4AFE7981">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lang w:val="en-US" w:eastAsia="zh-CN"/>
              </w:rPr>
            </w:pPr>
            <w:r>
              <w:rPr>
                <w:rFonts w:hint="eastAsia"/>
                <w:b/>
                <w:bCs/>
                <w:color w:val="auto"/>
              </w:rPr>
              <w:t>2</w:t>
            </w:r>
            <w:r>
              <w:rPr>
                <w:b/>
                <w:bCs/>
                <w:color w:val="auto"/>
              </w:rPr>
              <w:t>、</w:t>
            </w:r>
            <w:r>
              <w:rPr>
                <w:rFonts w:hint="eastAsia"/>
                <w:b/>
                <w:bCs/>
                <w:lang w:val="en-US" w:eastAsia="zh-CN"/>
              </w:rPr>
              <w:t>与生态环境分区管控要求的符合性分析</w:t>
            </w:r>
          </w:p>
          <w:p w14:paraId="0EA08FD2">
            <w:pPr>
              <w:keepNext w:val="0"/>
              <w:keepLines w:val="0"/>
              <w:pageBreakBefore w:val="0"/>
              <w:widowControl w:val="0"/>
              <w:kinsoku/>
              <w:wordWrap/>
              <w:overflowPunct/>
              <w:topLinePunct w:val="0"/>
              <w:autoSpaceDE/>
              <w:autoSpaceDN/>
              <w:bidi w:val="0"/>
              <w:adjustRightInd/>
              <w:snapToGrid/>
              <w:ind w:firstLine="482" w:firstLineChars="200"/>
              <w:textAlignment w:val="auto"/>
              <w:rPr>
                <w:b/>
                <w:bCs/>
                <w:color w:val="auto"/>
              </w:rPr>
            </w:pPr>
            <w:r>
              <w:rPr>
                <w:b/>
                <w:bCs/>
                <w:color w:val="auto"/>
              </w:rPr>
              <w:t>（1）生态保护红线</w:t>
            </w:r>
          </w:p>
          <w:p w14:paraId="6741BE29">
            <w:pPr>
              <w:spacing w:before="0" w:beforeAutospacing="0" w:after="0" w:afterAutospacing="0"/>
              <w:ind w:left="0" w:right="0" w:firstLine="448" w:firstLineChars="187"/>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根据安徽省生态环境厅关于印发《安徽省</w:t>
            </w:r>
            <w:r>
              <w:rPr>
                <w:rFonts w:hint="eastAsia" w:cs="Times New Roman"/>
                <w:color w:val="auto"/>
                <w:kern w:val="2"/>
                <w:sz w:val="24"/>
                <w:szCs w:val="24"/>
                <w:lang w:val="en-US" w:eastAsia="zh-CN"/>
              </w:rPr>
              <w:t>“</w:t>
            </w:r>
            <w:r>
              <w:rPr>
                <w:rFonts w:hint="default" w:ascii="Times New Roman" w:hAnsi="Times New Roman" w:eastAsia="宋体" w:cs="Times New Roman"/>
                <w:color w:val="auto"/>
                <w:kern w:val="2"/>
                <w:sz w:val="24"/>
                <w:szCs w:val="24"/>
                <w:lang w:val="en-US" w:eastAsia="zh-CN"/>
              </w:rPr>
              <w:t>三线一单</w:t>
            </w:r>
            <w:r>
              <w:rPr>
                <w:rFonts w:hint="eastAsia" w:cs="Times New Roman"/>
                <w:color w:val="auto"/>
                <w:kern w:val="2"/>
                <w:sz w:val="24"/>
                <w:szCs w:val="24"/>
                <w:lang w:val="en-US" w:eastAsia="zh-CN"/>
              </w:rPr>
              <w:t>”</w:t>
            </w:r>
            <w:r>
              <w:rPr>
                <w:rFonts w:hint="default" w:ascii="Times New Roman" w:hAnsi="Times New Roman" w:eastAsia="宋体" w:cs="Times New Roman"/>
                <w:color w:val="auto"/>
                <w:kern w:val="2"/>
                <w:sz w:val="24"/>
                <w:szCs w:val="24"/>
                <w:lang w:val="en-US" w:eastAsia="zh-CN"/>
              </w:rPr>
              <w:t>生态环境分区管控管理办法（暂行）的通知》的要求，“在建设项目环评中，做好与“三线—单”生态环境分区管控相符性分析，充分论证是否符合生态环境准入清单要求，对不符合的依法不予审批。”</w:t>
            </w:r>
            <w:r>
              <w:rPr>
                <w:rFonts w:hint="default" w:ascii="Times New Roman" w:hAnsi="Times New Roman" w:cs="Times New Roman"/>
                <w:color w:val="auto"/>
                <w:kern w:val="2"/>
                <w:sz w:val="24"/>
                <w:szCs w:val="24"/>
              </w:rPr>
              <w:t>根据</w:t>
            </w:r>
            <w:r>
              <w:rPr>
                <w:rFonts w:hint="default" w:ascii="Times New Roman" w:hAnsi="Times New Roman" w:cs="Times New Roman"/>
                <w:color w:val="auto"/>
                <w:kern w:val="2"/>
                <w:sz w:val="24"/>
                <w:szCs w:val="24"/>
                <w:lang w:eastAsia="zh-CN"/>
              </w:rPr>
              <w:t>安徽省“三线一单”公众服务平台</w:t>
            </w:r>
            <w:r>
              <w:rPr>
                <w:rFonts w:hint="default" w:ascii="Times New Roman" w:hAnsi="Times New Roman" w:cs="Times New Roman"/>
                <w:color w:val="auto"/>
                <w:kern w:val="2"/>
                <w:sz w:val="24"/>
                <w:szCs w:val="24"/>
                <w:lang w:val="en-US" w:eastAsia="zh-CN"/>
              </w:rPr>
              <w:t>查询可知，本项目所在地环境管控单元编码：ZH34060420153，</w:t>
            </w:r>
            <w:r>
              <w:rPr>
                <w:rFonts w:hint="default" w:ascii="Times New Roman" w:hAnsi="Times New Roman" w:eastAsia="宋体" w:cs="Times New Roman"/>
                <w:color w:val="auto"/>
                <w:kern w:val="2"/>
                <w:sz w:val="24"/>
                <w:szCs w:val="24"/>
                <w:lang w:val="en-US" w:eastAsia="zh-CN"/>
              </w:rPr>
              <w:t>项目涉及沿淮绿色生态廊道区</w:t>
            </w:r>
            <w:r>
              <w:rPr>
                <w:rFonts w:hint="eastAsia" w:ascii="Times New Roman" w:hAnsi="Times New Roman" w:eastAsia="宋体" w:cs="Times New Roman"/>
                <w:color w:val="auto"/>
                <w:kern w:val="2"/>
                <w:sz w:val="24"/>
                <w:szCs w:val="24"/>
                <w:lang w:val="en-US" w:eastAsia="zh-CN"/>
              </w:rPr>
              <w:t>—</w:t>
            </w:r>
            <w:r>
              <w:rPr>
                <w:rFonts w:hint="eastAsia" w:cs="Times New Roman"/>
                <w:color w:val="auto"/>
                <w:kern w:val="2"/>
                <w:sz w:val="24"/>
                <w:szCs w:val="24"/>
                <w:lang w:val="en-US" w:eastAsia="zh-CN"/>
              </w:rPr>
              <w:t>重点</w:t>
            </w:r>
            <w:r>
              <w:rPr>
                <w:rFonts w:hint="default" w:ascii="Times New Roman" w:hAnsi="Times New Roman" w:eastAsia="宋体" w:cs="Times New Roman"/>
                <w:color w:val="auto"/>
                <w:kern w:val="2"/>
                <w:sz w:val="24"/>
                <w:szCs w:val="24"/>
                <w:lang w:val="en-US" w:eastAsia="zh-CN"/>
              </w:rPr>
              <w:t>管控单元</w:t>
            </w:r>
            <w:r>
              <w:rPr>
                <w:rFonts w:hint="eastAsia" w:cs="Times New Roman"/>
                <w:color w:val="auto"/>
                <w:kern w:val="2"/>
                <w:sz w:val="24"/>
                <w:szCs w:val="24"/>
                <w:lang w:val="en-US" w:eastAsia="zh-CN"/>
              </w:rPr>
              <w:t>6。</w:t>
            </w:r>
            <w:r>
              <w:rPr>
                <w:rFonts w:hint="default" w:ascii="Times New Roman" w:hAnsi="Times New Roman" w:eastAsia="宋体" w:cs="Times New Roman"/>
                <w:color w:val="auto"/>
                <w:kern w:val="2"/>
                <w:sz w:val="24"/>
                <w:szCs w:val="24"/>
                <w:lang w:val="en-US" w:eastAsia="zh-CN"/>
              </w:rPr>
              <w:t>项目建设符合其空间布局约束、污染物排放管控、资源开发效率等要求。</w:t>
            </w:r>
          </w:p>
          <w:p w14:paraId="226549D0">
            <w:pPr>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jc w:val="left"/>
              <w:textAlignment w:val="auto"/>
              <w:rPr>
                <w:rFonts w:hint="eastAsia" w:cs="宋体"/>
                <w:b/>
                <w:bCs/>
                <w:sz w:val="24"/>
                <w:szCs w:val="24"/>
              </w:rPr>
            </w:pPr>
            <w:r>
              <w:rPr>
                <w:rFonts w:hint="eastAsia" w:cs="宋体"/>
                <w:b/>
                <w:bCs/>
                <w:sz w:val="24"/>
                <w:szCs w:val="24"/>
              </w:rPr>
              <w:t>环境质量底线及分区管控</w:t>
            </w:r>
          </w:p>
          <w:p w14:paraId="4B2B3DF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Chars="0" w:right="0" w:rightChars="0" w:firstLine="480" w:firstLineChars="200"/>
              <w:jc w:val="left"/>
              <w:textAlignment w:val="auto"/>
              <w:rPr>
                <w:rFonts w:hint="eastAsia" w:ascii="Times New Roman" w:hAnsi="Times New Roman" w:cs="Times New Roman"/>
                <w:kern w:val="0"/>
                <w:sz w:val="24"/>
                <w:szCs w:val="24"/>
                <w:lang w:val="en-US" w:eastAsia="zh-CN"/>
              </w:rPr>
            </w:pPr>
            <w:r>
              <w:rPr>
                <w:rFonts w:hint="default" w:ascii="Times New Roman" w:hAnsi="Times New Roman" w:eastAsia="宋体" w:cs="Times New Roman"/>
                <w:kern w:val="0"/>
                <w:sz w:val="24"/>
                <w:szCs w:val="24"/>
                <w:lang w:val="en-US" w:eastAsia="zh-CN"/>
              </w:rPr>
              <w:t>①</w:t>
            </w:r>
            <w:r>
              <w:rPr>
                <w:rFonts w:hint="eastAsia" w:ascii="Times New Roman" w:hAnsi="Times New Roman" w:cs="Times New Roman"/>
                <w:kern w:val="0"/>
                <w:sz w:val="24"/>
                <w:szCs w:val="24"/>
                <w:lang w:val="en-US" w:eastAsia="zh-CN"/>
              </w:rPr>
              <w:t>质量底线</w:t>
            </w:r>
          </w:p>
          <w:p w14:paraId="11994337">
            <w:pPr>
              <w:bidi w:val="0"/>
              <w:rPr>
                <w:rFonts w:hint="eastAsia"/>
              </w:rPr>
            </w:pPr>
            <w:r>
              <w:rPr>
                <w:color w:val="auto"/>
                <w:kern w:val="0"/>
              </w:rPr>
              <w:t>根据环境现状监测结果</w:t>
            </w:r>
            <w:r>
              <w:rPr>
                <w:rFonts w:hint="eastAsia"/>
                <w:color w:val="auto"/>
                <w:kern w:val="0"/>
              </w:rPr>
              <w:t>及</w:t>
            </w:r>
            <w:r>
              <w:rPr>
                <w:color w:val="auto"/>
              </w:rPr>
              <w:t>《</w:t>
            </w:r>
            <w:r>
              <w:rPr>
                <w:rFonts w:hint="eastAsia"/>
                <w:color w:val="auto"/>
                <w:lang w:eastAsia="zh-CN"/>
              </w:rPr>
              <w:t>2023年淮北市环境质量公告</w:t>
            </w:r>
            <w:r>
              <w:rPr>
                <w:color w:val="auto"/>
              </w:rPr>
              <w:t>》</w:t>
            </w:r>
            <w:r>
              <w:rPr>
                <w:rFonts w:hint="eastAsia"/>
                <w:color w:val="auto"/>
              </w:rPr>
              <w:t>。</w:t>
            </w:r>
            <w:r>
              <w:rPr>
                <w:color w:val="auto"/>
                <w:kern w:val="0"/>
              </w:rPr>
              <w:t>项目所在区域环境空气质量功能区属于二类区，区域内的</w:t>
            </w:r>
            <w:r>
              <w:rPr>
                <w:rFonts w:hint="eastAsia"/>
                <w:color w:val="auto"/>
                <w:kern w:val="0"/>
                <w:lang w:val="en-US" w:eastAsia="zh-CN"/>
              </w:rPr>
              <w:t>环境空气</w:t>
            </w:r>
            <w:r>
              <w:rPr>
                <w:color w:val="auto"/>
                <w:kern w:val="0"/>
              </w:rPr>
              <w:t>质量不能完全满足《环境空气质量标准》及其修改单中的二级标准要求</w:t>
            </w:r>
            <w:r>
              <w:rPr>
                <w:rFonts w:hint="default" w:ascii="Times New Roman" w:hAnsi="Times New Roman" w:cs="Times New Roman"/>
                <w:kern w:val="0"/>
                <w:sz w:val="24"/>
                <w:szCs w:val="24"/>
              </w:rPr>
              <w:t>；区域</w:t>
            </w:r>
            <w:r>
              <w:rPr>
                <w:rFonts w:hint="eastAsia"/>
              </w:rPr>
              <w:t>地表水</w:t>
            </w:r>
            <w:r>
              <w:rPr>
                <w:rFonts w:hint="eastAsia"/>
                <w:lang w:val="en-US" w:eastAsia="zh-CN"/>
              </w:rPr>
              <w:t>闸河</w:t>
            </w:r>
            <w:r>
              <w:t>执行《地表水环境质量标准》（GB3838-2002）中</w:t>
            </w:r>
            <w:r>
              <w:fldChar w:fldCharType="begin"/>
            </w:r>
            <w:r>
              <w:instrText xml:space="preserve"> = 4 \* ROMAN \* MERGEFORMAT </w:instrText>
            </w:r>
            <w:r>
              <w:fldChar w:fldCharType="separate"/>
            </w:r>
            <w:r>
              <w:t>IV</w:t>
            </w:r>
            <w:r>
              <w:fldChar w:fldCharType="end"/>
            </w:r>
            <w:r>
              <w:t>类水质标准</w:t>
            </w:r>
            <w:r>
              <w:rPr>
                <w:rFonts w:hint="eastAsia"/>
              </w:rPr>
              <w:t>；</w:t>
            </w:r>
            <w:r>
              <w:rPr>
                <w:rFonts w:hint="eastAsia"/>
                <w:lang w:val="en-US" w:eastAsia="zh-CN"/>
              </w:rPr>
              <w:t>萧濉新河</w:t>
            </w:r>
            <w:r>
              <w:t>执行《地表水环境质量标准》（GB3838-2002）中</w:t>
            </w:r>
            <w:r>
              <w:fldChar w:fldCharType="begin"/>
            </w:r>
            <w:r>
              <w:instrText xml:space="preserve"> = 3 \* ROMAN \* MERGEFORMAT </w:instrText>
            </w:r>
            <w:r>
              <w:fldChar w:fldCharType="separate"/>
            </w:r>
            <w:r>
              <w:t>III</w:t>
            </w:r>
            <w:r>
              <w:fldChar w:fldCharType="end"/>
            </w:r>
            <w:r>
              <w:t>类水质标准</w:t>
            </w:r>
            <w:r>
              <w:rPr>
                <w:rFonts w:hint="default" w:ascii="Times New Roman" w:hAnsi="Times New Roman" w:cs="Times New Roman"/>
                <w:kern w:val="0"/>
                <w:sz w:val="24"/>
                <w:szCs w:val="24"/>
              </w:rPr>
              <w:t>；区域声环境质量达到《声环境质量标准》（GB3096-2008）</w:t>
            </w:r>
            <w:r>
              <w:rPr>
                <w:rFonts w:hint="eastAsia" w:cs="Times New Roman"/>
                <w:kern w:val="0"/>
                <w:sz w:val="24"/>
                <w:szCs w:val="24"/>
                <w:lang w:val="en-US" w:eastAsia="zh-CN"/>
              </w:rPr>
              <w:t>2</w:t>
            </w:r>
            <w:r>
              <w:rPr>
                <w:rFonts w:hint="default" w:ascii="Times New Roman" w:hAnsi="Times New Roman" w:cs="Times New Roman"/>
                <w:kern w:val="0"/>
                <w:sz w:val="24"/>
                <w:szCs w:val="24"/>
              </w:rPr>
              <w:t>类区标准</w:t>
            </w:r>
            <w:r>
              <w:rPr>
                <w:rFonts w:hint="eastAsia" w:cs="Times New Roman"/>
                <w:kern w:val="0"/>
                <w:sz w:val="24"/>
                <w:szCs w:val="24"/>
                <w:lang w:eastAsia="zh-CN"/>
              </w:rPr>
              <w:t>。</w:t>
            </w:r>
            <w:r>
              <w:rPr>
                <w:rFonts w:hint="default" w:ascii="Times New Roman" w:hAnsi="Times New Roman" w:cs="Times New Roman"/>
                <w:kern w:val="0"/>
                <w:sz w:val="24"/>
                <w:szCs w:val="24"/>
              </w:rPr>
              <w:t>本项目污染物经各项环保措施处理后，能够达标排放，对周边环境的影响在可接受范围之内，不会改变当地的环境功能</w:t>
            </w:r>
            <w:r>
              <w:rPr>
                <w:rFonts w:hint="eastAsia" w:cs="宋体"/>
                <w:sz w:val="24"/>
                <w:szCs w:val="24"/>
              </w:rPr>
              <w:t>。</w:t>
            </w:r>
          </w:p>
          <w:p w14:paraId="588AD8C0">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②</w:t>
            </w:r>
            <w:r>
              <w:rPr>
                <w:rFonts w:hint="eastAsia" w:ascii="Times New Roman" w:hAnsi="Times New Roman" w:eastAsia="宋体" w:cs="Times New Roman"/>
                <w:color w:val="auto"/>
                <w:kern w:val="0"/>
                <w:sz w:val="24"/>
                <w:szCs w:val="24"/>
                <w:lang w:val="en-US" w:eastAsia="zh-CN"/>
              </w:rPr>
              <w:t>分区管</w:t>
            </w:r>
            <w:r>
              <w:rPr>
                <w:rFonts w:hint="eastAsia" w:cs="宋体"/>
                <w:color w:val="auto"/>
                <w:sz w:val="24"/>
                <w:szCs w:val="24"/>
              </w:rPr>
              <w:t>控</w:t>
            </w:r>
          </w:p>
          <w:p w14:paraId="6AF0808E">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根据安徽省生态环境厅发布的《安徽省</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三线一单</w:t>
            </w:r>
            <w:r>
              <w:rPr>
                <w:rFonts w:hint="eastAsia" w:cs="Times New Roman"/>
                <w:color w:val="auto"/>
                <w:sz w:val="24"/>
                <w:szCs w:val="24"/>
                <w:lang w:eastAsia="zh-CN"/>
              </w:rPr>
              <w:t>”</w:t>
            </w:r>
            <w:r>
              <w:rPr>
                <w:rFonts w:hint="default" w:ascii="Times New Roman" w:hAnsi="Times New Roman" w:cs="Times New Roman"/>
                <w:color w:val="auto"/>
                <w:kern w:val="0"/>
                <w:sz w:val="24"/>
                <w:szCs w:val="24"/>
                <w:lang w:val="en-US" w:eastAsia="zh-CN"/>
              </w:rPr>
              <w:t>生态环境分区管控管理办法（暂行）》（皖环发〔2022〕5号）（以下简称《办法》），《办法》要求</w:t>
            </w:r>
            <w:r>
              <w:rPr>
                <w:rFonts w:hint="eastAsia" w:ascii="Times New Roman" w:hAnsi="Times New Roman" w:cs="Times New Roman"/>
                <w:color w:val="auto"/>
                <w:kern w:val="0"/>
                <w:sz w:val="24"/>
                <w:szCs w:val="24"/>
                <w:lang w:val="en-US" w:eastAsia="zh-CN"/>
              </w:rPr>
              <w:t>“</w:t>
            </w:r>
            <w:r>
              <w:rPr>
                <w:rFonts w:hint="default" w:ascii="Times New Roman" w:hAnsi="Times New Roman" w:cs="Times New Roman"/>
                <w:color w:val="auto"/>
                <w:kern w:val="0"/>
                <w:sz w:val="24"/>
                <w:szCs w:val="24"/>
                <w:lang w:val="en-US" w:eastAsia="zh-CN"/>
              </w:rPr>
              <w:t>在建设项目环评中，做好与</w:t>
            </w:r>
            <w:r>
              <w:rPr>
                <w:rFonts w:hint="eastAsia" w:ascii="Times New Roman" w:hAnsi="Times New Roman" w:cs="Times New Roman"/>
                <w:color w:val="auto"/>
                <w:kern w:val="0"/>
                <w:sz w:val="24"/>
                <w:szCs w:val="24"/>
                <w:lang w:val="en-US" w:eastAsia="zh-CN"/>
              </w:rPr>
              <w:t>“</w:t>
            </w:r>
            <w:r>
              <w:rPr>
                <w:rFonts w:hint="default" w:ascii="Times New Roman" w:hAnsi="Times New Roman" w:cs="Times New Roman"/>
                <w:color w:val="auto"/>
                <w:kern w:val="0"/>
                <w:sz w:val="24"/>
                <w:szCs w:val="24"/>
                <w:lang w:val="en-US" w:eastAsia="zh-CN"/>
              </w:rPr>
              <w:t>三线一单</w:t>
            </w:r>
            <w:r>
              <w:rPr>
                <w:rFonts w:hint="eastAsia" w:ascii="Times New Roman" w:hAnsi="Times New Roman" w:cs="Times New Roman"/>
                <w:color w:val="auto"/>
                <w:kern w:val="0"/>
                <w:sz w:val="24"/>
                <w:szCs w:val="24"/>
                <w:lang w:val="en-US" w:eastAsia="zh-CN"/>
              </w:rPr>
              <w:t>”</w:t>
            </w:r>
            <w:r>
              <w:rPr>
                <w:rFonts w:hint="default" w:ascii="Times New Roman" w:hAnsi="Times New Roman" w:cs="Times New Roman"/>
                <w:color w:val="auto"/>
                <w:kern w:val="0"/>
                <w:sz w:val="24"/>
                <w:szCs w:val="24"/>
                <w:lang w:val="en-US" w:eastAsia="zh-CN"/>
              </w:rPr>
              <w:t>生态环境分区管控相符性分析，充分论证是否符合生态环境准入清单要求。</w:t>
            </w:r>
          </w:p>
          <w:p w14:paraId="66221FA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项目位于</w:t>
            </w:r>
            <w:r>
              <w:rPr>
                <w:rFonts w:hint="eastAsia" w:cs="Times New Roman"/>
                <w:color w:val="auto"/>
                <w:kern w:val="0"/>
                <w:sz w:val="24"/>
                <w:szCs w:val="24"/>
                <w:lang w:val="en-US" w:eastAsia="zh-CN"/>
              </w:rPr>
              <w:t>安徽省淮北市烈山区，</w:t>
            </w:r>
            <w:r>
              <w:rPr>
                <w:rFonts w:hint="default" w:ascii="Times New Roman" w:hAnsi="Times New Roman" w:cs="Times New Roman"/>
                <w:color w:val="auto"/>
                <w:kern w:val="0"/>
                <w:sz w:val="24"/>
                <w:szCs w:val="24"/>
                <w:lang w:val="en-US" w:eastAsia="zh-CN"/>
              </w:rPr>
              <w:t>分别对照淮北市环境管控单元图以及大气环境、水环境、地下水环境和土壤环境管控单元图，</w:t>
            </w:r>
            <w:r>
              <w:rPr>
                <w:rFonts w:hint="eastAsia" w:ascii="Times New Roman" w:hAnsi="Times New Roman" w:cs="Times New Roman"/>
                <w:color w:val="auto"/>
                <w:kern w:val="0"/>
                <w:sz w:val="24"/>
                <w:szCs w:val="24"/>
                <w:lang w:val="en-US" w:eastAsia="zh-CN"/>
              </w:rPr>
              <w:t>本项目所在</w:t>
            </w:r>
            <w:r>
              <w:rPr>
                <w:rFonts w:hint="eastAsia" w:cs="Times New Roman"/>
                <w:color w:val="auto"/>
                <w:kern w:val="0"/>
                <w:sz w:val="24"/>
                <w:szCs w:val="24"/>
                <w:lang w:val="en-US" w:eastAsia="zh-CN"/>
              </w:rPr>
              <w:t>地水</w:t>
            </w:r>
            <w:r>
              <w:rPr>
                <w:rFonts w:hint="default" w:ascii="Times New Roman" w:hAnsi="Times New Roman" w:cs="Times New Roman"/>
                <w:color w:val="auto"/>
                <w:kern w:val="0"/>
                <w:sz w:val="24"/>
                <w:szCs w:val="24"/>
                <w:lang w:val="en-US" w:eastAsia="zh-CN"/>
              </w:rPr>
              <w:t>环境属于</w:t>
            </w:r>
            <w:r>
              <w:rPr>
                <w:rFonts w:hint="eastAsia"/>
                <w:color w:val="auto"/>
                <w:lang w:val="en-US" w:eastAsia="zh-CN"/>
              </w:rPr>
              <w:t>城镇生活污染重点管控区</w:t>
            </w:r>
            <w:r>
              <w:rPr>
                <w:rFonts w:hint="default" w:ascii="Times New Roman" w:hAnsi="Times New Roman" w:cs="Times New Roman"/>
                <w:color w:val="auto"/>
                <w:kern w:val="0"/>
                <w:sz w:val="24"/>
                <w:szCs w:val="24"/>
                <w:lang w:val="en-US" w:eastAsia="zh-CN"/>
              </w:rPr>
              <w:t>，大气环境属于</w:t>
            </w:r>
            <w:r>
              <w:rPr>
                <w:rFonts w:hint="eastAsia" w:cs="Times New Roman"/>
                <w:color w:val="auto"/>
                <w:kern w:val="0"/>
                <w:sz w:val="24"/>
                <w:szCs w:val="24"/>
                <w:lang w:val="en-US" w:eastAsia="zh-CN"/>
              </w:rPr>
              <w:t>受体敏感重点</w:t>
            </w:r>
            <w:r>
              <w:rPr>
                <w:rFonts w:hint="default" w:ascii="Times New Roman" w:hAnsi="Times New Roman" w:cs="Times New Roman"/>
                <w:color w:val="auto"/>
                <w:kern w:val="0"/>
                <w:sz w:val="24"/>
                <w:szCs w:val="24"/>
                <w:lang w:val="en-US" w:eastAsia="zh-CN"/>
              </w:rPr>
              <w:t>管控区，土壤环境属于一般防控区。</w:t>
            </w:r>
          </w:p>
          <w:p w14:paraId="170C0A9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auto"/>
              <w:rPr>
                <w:rFonts w:hint="eastAsia" w:cs="宋体"/>
                <w:color w:val="auto"/>
                <w:sz w:val="24"/>
                <w:szCs w:val="24"/>
              </w:rPr>
            </w:pPr>
            <w:r>
              <w:rPr>
                <w:rFonts w:hint="default" w:ascii="Times New Roman" w:hAnsi="Times New Roman" w:cs="Times New Roman"/>
                <w:color w:val="auto"/>
                <w:kern w:val="0"/>
                <w:sz w:val="24"/>
                <w:szCs w:val="24"/>
                <w:lang w:val="en-US" w:eastAsia="zh-CN"/>
              </w:rPr>
              <w:t>水环境</w:t>
            </w:r>
            <w:r>
              <w:rPr>
                <w:rFonts w:hint="eastAsia" w:cs="宋体"/>
                <w:color w:val="auto"/>
                <w:sz w:val="24"/>
                <w:szCs w:val="24"/>
              </w:rPr>
              <w:t>重点管控区：依据《中华人民共和国水污染防治法》《水污染防治行动计划》《安徽省水污染防治工作方案》及淮北市水污染防治工作方案对重点管控区实施管控；依据淮北市相关开发区规划、规划环评及审查意见相关要求对开发区实施管控；落实《安徽省“十四五”生态环境保护规划》《安徽省“十四五”节能减排实施方案》《淮北市“十四五”生态环境保护规划》《淮北市“十四五”水生态环境保护专项规划》《淮北市“十四五”节能减排方案》《淮北市水污染防治工作方案》等要求；新建、改建和扩建项目水污染物实施“等量替代”。</w:t>
            </w:r>
          </w:p>
          <w:p w14:paraId="45F4FCB0">
            <w:pPr>
              <w:pStyle w:val="14"/>
              <w:rPr>
                <w:rFonts w:hint="eastAsia" w:eastAsia="宋体"/>
                <w:color w:val="auto"/>
                <w:lang w:eastAsia="zh-CN"/>
              </w:rPr>
            </w:pPr>
            <w:r>
              <w:rPr>
                <w:rFonts w:hint="default" w:ascii="Times New Roman" w:hAnsi="Times New Roman" w:cs="Times New Roman"/>
                <w:color w:val="auto"/>
                <w:kern w:val="0"/>
                <w:sz w:val="24"/>
                <w:szCs w:val="24"/>
                <w:lang w:val="en-US" w:eastAsia="zh-CN"/>
              </w:rPr>
              <w:t>大气环境</w:t>
            </w:r>
            <w:r>
              <w:rPr>
                <w:rFonts w:hint="eastAsia" w:cs="Times New Roman"/>
                <w:color w:val="auto"/>
                <w:kern w:val="0"/>
                <w:sz w:val="24"/>
                <w:szCs w:val="24"/>
                <w:lang w:val="en-US" w:eastAsia="zh-CN"/>
              </w:rPr>
              <w:t>高排放重点</w:t>
            </w:r>
            <w:r>
              <w:rPr>
                <w:rFonts w:hint="default" w:ascii="Times New Roman" w:hAnsi="Times New Roman" w:cs="Times New Roman"/>
                <w:color w:val="auto"/>
                <w:kern w:val="0"/>
                <w:sz w:val="24"/>
                <w:szCs w:val="24"/>
                <w:lang w:val="en-US" w:eastAsia="zh-CN"/>
              </w:rPr>
              <w:t>管控区</w:t>
            </w:r>
            <w:r>
              <w:rPr>
                <w:rFonts w:hint="eastAsia" w:ascii="Times New Roman" w:hAnsi="Times New Roman" w:cs="Times New Roman"/>
                <w:color w:val="auto"/>
                <w:kern w:val="0"/>
                <w:sz w:val="24"/>
                <w:szCs w:val="24"/>
                <w:lang w:val="en-US" w:eastAsia="zh-CN"/>
              </w:rPr>
              <w:t>：落实《安徽省大气污染防治条例》《安徽省碳达峰实施方案的通知》《安徽省工业领域碳达峰实施方案》《安徽省城乡建设领域碳达峰实施方案》《关于进一步加强新上“两高”项目管理的通知》《安徽省挥发性有机物污染整治工作方案》《关于进一步加强建设项目新增大气污染物总量控制指标管理工作的通知》《安徽省“十四五”节能减排实施方案》《深入打好污染防治攻坚战行动方案》《淮北市“十四五”节能减排实施方案》要求；严格目标实施计划，加强环境监管，促进生态环境质量好转；新建、改建和扩建项目大气污染物实施“倍量替代”，执行特别排放标准的行业实施提标升级改造</w:t>
            </w:r>
            <w:r>
              <w:rPr>
                <w:rFonts w:hint="eastAsia"/>
                <w:color w:val="auto"/>
                <w:lang w:eastAsia="zh-CN"/>
              </w:rPr>
              <w:t>。</w:t>
            </w:r>
          </w:p>
          <w:p w14:paraId="096256EB">
            <w:pPr>
              <w:pStyle w:val="14"/>
              <w:rPr>
                <w:rFonts w:hint="eastAsia" w:ascii="Times New Roman" w:hAnsi="Times New Roman" w:cs="Times New Roman"/>
                <w:color w:val="auto"/>
                <w:kern w:val="0"/>
                <w:sz w:val="24"/>
                <w:szCs w:val="24"/>
                <w:lang w:val="en-US" w:eastAsia="zh-CN"/>
              </w:rPr>
            </w:pPr>
            <w:r>
              <w:rPr>
                <w:rFonts w:hint="eastAsia" w:cs="Times New Roman"/>
                <w:color w:val="auto"/>
                <w:kern w:val="0"/>
                <w:sz w:val="24"/>
                <w:szCs w:val="24"/>
                <w:lang w:val="en-US" w:eastAsia="zh-CN"/>
              </w:rPr>
              <w:t>本项目锅炉燃烧废气</w:t>
            </w:r>
            <w:r>
              <w:rPr>
                <w:rFonts w:hint="default" w:eastAsia="宋体"/>
                <w:color w:val="auto"/>
                <w:lang w:val="en-US" w:eastAsia="zh-CN"/>
              </w:rPr>
              <w:t>经设备自带的低氮燃烧器燃烧后通过DA001排气筒排放（排放高度18m）</w:t>
            </w:r>
            <w:r>
              <w:rPr>
                <w:rFonts w:hint="eastAsia"/>
                <w:color w:val="auto"/>
                <w:highlight w:val="none"/>
                <w:lang w:val="en-US" w:eastAsia="zh-CN"/>
              </w:rPr>
              <w:t>。</w:t>
            </w:r>
            <w:r>
              <w:rPr>
                <w:color w:val="auto"/>
              </w:rPr>
              <w:t>项目所在地大气环境质量中的基本污染物细颗粒物（PM</w:t>
            </w:r>
            <w:r>
              <w:rPr>
                <w:color w:val="auto"/>
                <w:vertAlign w:val="subscript"/>
              </w:rPr>
              <w:t>2.5</w:t>
            </w:r>
            <w:r>
              <w:rPr>
                <w:color w:val="auto"/>
              </w:rPr>
              <w:t>）超标，本项目所在地为大气环境空气质量不达标区。</w:t>
            </w:r>
            <w:r>
              <w:rPr>
                <w:rFonts w:hint="eastAsia"/>
                <w:color w:val="auto"/>
                <w:lang w:val="en-US" w:eastAsia="zh-CN"/>
              </w:rPr>
              <w:t>能源站在运营过程中经环保设施处理后颗粒物</w:t>
            </w:r>
            <w:r>
              <w:rPr>
                <w:rFonts w:hint="eastAsia"/>
                <w:color w:val="auto"/>
              </w:rPr>
              <w:t>均能达标排放</w:t>
            </w:r>
            <w:r>
              <w:rPr>
                <w:rFonts w:hint="eastAsia"/>
                <w:color w:val="auto"/>
                <w:lang w:eastAsia="zh-CN"/>
              </w:rPr>
              <w:t>，</w:t>
            </w:r>
            <w:r>
              <w:rPr>
                <w:rFonts w:hint="eastAsia"/>
                <w:color w:val="auto"/>
                <w:lang w:val="en-US" w:eastAsia="zh-CN"/>
              </w:rPr>
              <w:t>管网施工期施工扬尘采取施工期设置围挡，对裸露的地面和堆置的土方适量洒水抑尘，距离居民较近处采取遮盖和围护等措施；施工机械和汽车运输废气采取距离衰减、优化燃料、安装尾气净化器等的措施；焊接烟尘要求焊接工序在施工期内尽快完成，以减小对周边环境的影响时间。因此，</w:t>
            </w:r>
            <w:r>
              <w:rPr>
                <w:color w:val="auto"/>
              </w:rPr>
              <w:t>不会降低现有环境质量。</w:t>
            </w:r>
          </w:p>
          <w:p w14:paraId="00A8C12F">
            <w:pPr>
              <w:pStyle w:val="14"/>
              <w:rPr>
                <w:rFonts w:hint="eastAsia"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地下水属于一般防控区</w:t>
            </w:r>
            <w:r>
              <w:rPr>
                <w:rFonts w:hint="eastAsia" w:ascii="Times New Roman" w:hAnsi="Times New Roman" w:cs="Times New Roman"/>
                <w:color w:val="auto"/>
                <w:kern w:val="0"/>
                <w:sz w:val="24"/>
                <w:szCs w:val="24"/>
                <w:lang w:val="en-US" w:eastAsia="zh-CN"/>
              </w:rPr>
              <w:t>：落实《国务院办公厅关于印发实行最严格水资源管理制度考核办法的通知》《安徽省“十四五”土壤、地下水和农村生态环境保护规划》《淮北市“十四五”土壤（地下水）和农村生态环境保护规划》等要求</w:t>
            </w:r>
            <w:r>
              <w:rPr>
                <w:rFonts w:hint="eastAsia" w:cs="Times New Roman"/>
                <w:color w:val="auto"/>
                <w:kern w:val="0"/>
                <w:sz w:val="24"/>
                <w:szCs w:val="24"/>
                <w:lang w:val="en-US" w:eastAsia="zh-CN"/>
              </w:rPr>
              <w:t>。</w:t>
            </w:r>
          </w:p>
          <w:p w14:paraId="0BF389E4">
            <w:pPr>
              <w:pStyle w:val="14"/>
              <w:rPr>
                <w:rFonts w:hint="eastAsia" w:cs="Times New Roman"/>
                <w:color w:val="auto"/>
                <w:kern w:val="0"/>
                <w:sz w:val="24"/>
                <w:szCs w:val="24"/>
                <w:lang w:val="en-US" w:eastAsia="zh-CN"/>
              </w:rPr>
            </w:pPr>
            <w:r>
              <w:rPr>
                <w:rFonts w:hint="eastAsia" w:cs="Times New Roman"/>
                <w:color w:val="auto"/>
                <w:kern w:val="0"/>
                <w:sz w:val="24"/>
                <w:szCs w:val="24"/>
                <w:lang w:val="en-US" w:eastAsia="zh-CN"/>
              </w:rPr>
              <w:t>管网施工期车辆冲洗废水施工废水集中收集，经临时沉淀池处理后循环使用；管道试压水管道试压水经临时沉淀池沉淀、生活污水依托附近公厕的化粪池处理后接管网进入淮北蓝海水处理有限公司进一步处理，部分作为平山电厂冷却循环水，剩余部分排入萧濉新河；</w:t>
            </w:r>
            <w:r>
              <w:rPr>
                <w:color w:val="auto"/>
              </w:rPr>
              <w:t>不会降低现有环境质量。</w:t>
            </w:r>
          </w:p>
          <w:p w14:paraId="62793627">
            <w:pPr>
              <w:pStyle w:val="14"/>
              <w:rPr>
                <w:color w:val="auto"/>
              </w:rPr>
            </w:pPr>
            <w:r>
              <w:rPr>
                <w:rFonts w:hint="eastAsia" w:cs="Times New Roman"/>
                <w:color w:val="auto"/>
                <w:kern w:val="0"/>
                <w:sz w:val="24"/>
                <w:szCs w:val="24"/>
                <w:lang w:val="en-US" w:eastAsia="zh-CN"/>
              </w:rPr>
              <w:t>能源站营运期</w:t>
            </w:r>
            <w:r>
              <w:rPr>
                <w:rFonts w:hint="eastAsia"/>
                <w:color w:val="auto"/>
                <w:lang w:val="en-US" w:eastAsia="zh-CN"/>
              </w:rPr>
              <w:t>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r>
              <w:rPr>
                <w:rFonts w:hint="eastAsia"/>
                <w:color w:val="auto"/>
                <w:lang w:eastAsia="zh-CN"/>
              </w:rPr>
              <w:t>，</w:t>
            </w:r>
            <w:r>
              <w:rPr>
                <w:color w:val="auto"/>
              </w:rPr>
              <w:t>不会降低现有环境质量。</w:t>
            </w:r>
          </w:p>
          <w:p w14:paraId="73ED33B5">
            <w:pPr>
              <w:pStyle w:val="14"/>
              <w:rPr>
                <w:rFonts w:hint="eastAsia" w:eastAsia="宋体" w:cs="宋体"/>
                <w:color w:val="auto"/>
                <w:sz w:val="24"/>
                <w:szCs w:val="24"/>
                <w:lang w:eastAsia="zh-CN"/>
              </w:rPr>
            </w:pPr>
            <w:r>
              <w:rPr>
                <w:color w:val="auto"/>
              </w:rPr>
              <w:t>项目区域地下水满足《地下水质量标准》（GB/T14848-2017）</w:t>
            </w:r>
            <w:r>
              <w:rPr>
                <w:color w:val="auto"/>
              </w:rPr>
              <w:fldChar w:fldCharType="begin"/>
            </w:r>
            <w:r>
              <w:rPr>
                <w:color w:val="auto"/>
              </w:rPr>
              <w:instrText xml:space="preserve"> = 3 \* ROMAN \* MERGEFORMAT </w:instrText>
            </w:r>
            <w:r>
              <w:rPr>
                <w:color w:val="auto"/>
              </w:rPr>
              <w:fldChar w:fldCharType="separate"/>
            </w:r>
            <w:r>
              <w:rPr>
                <w:color w:val="auto"/>
              </w:rPr>
              <w:t>III</w:t>
            </w:r>
            <w:r>
              <w:rPr>
                <w:color w:val="auto"/>
              </w:rPr>
              <w:fldChar w:fldCharType="end"/>
            </w:r>
            <w:r>
              <w:rPr>
                <w:color w:val="auto"/>
              </w:rPr>
              <w:t>类标准。各项污染物均能做到达标排放，环境风险可控</w:t>
            </w:r>
            <w:r>
              <w:rPr>
                <w:rFonts w:hint="eastAsia"/>
                <w:color w:val="auto"/>
                <w:lang w:eastAsia="zh-CN"/>
              </w:rPr>
              <w:t>。</w:t>
            </w:r>
          </w:p>
          <w:p w14:paraId="302E834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auto"/>
              <w:rPr>
                <w:rFonts w:hint="eastAsia" w:eastAsia="宋体" w:cs="宋体"/>
                <w:color w:val="auto"/>
                <w:sz w:val="24"/>
                <w:szCs w:val="24"/>
                <w:lang w:eastAsia="zh-CN"/>
              </w:rPr>
            </w:pPr>
            <w:r>
              <w:rPr>
                <w:rFonts w:hint="default" w:ascii="Times New Roman" w:hAnsi="Times New Roman" w:cs="Times New Roman"/>
                <w:color w:val="auto"/>
                <w:kern w:val="0"/>
                <w:sz w:val="24"/>
                <w:szCs w:val="24"/>
                <w:lang w:val="en-US" w:eastAsia="zh-CN"/>
              </w:rPr>
              <w:t>土壤环境一般防控区</w:t>
            </w:r>
            <w:r>
              <w:rPr>
                <w:rFonts w:hint="eastAsia" w:ascii="Times New Roman" w:hAnsi="Times New Roman" w:cs="Times New Roman"/>
                <w:color w:val="auto"/>
                <w:kern w:val="0"/>
                <w:sz w:val="24"/>
                <w:szCs w:val="24"/>
                <w:lang w:val="en-US" w:eastAsia="zh-CN"/>
              </w:rPr>
              <w:t>：依据落实《安徽省“十四五”环境保护规划》《安徽省“十四五”土壤、地下水和农村生态环境保护规划》《安徽省重金属污染防控工作方案》《安徽省“十四五”危险废物工业固体废物污染环境防治规划》《安徽省土壤污染防治工作方案》《淮北市“十四五”土壤（地下水）和农村生态环境保护规划》《尾矿污染环境防治管理办法》等要求，防止土壤污染风险。</w:t>
            </w:r>
            <w:r>
              <w:rPr>
                <w:rFonts w:hint="eastAsia" w:cs="Times New Roman"/>
                <w:color w:val="auto"/>
                <w:kern w:val="0"/>
                <w:sz w:val="24"/>
                <w:szCs w:val="24"/>
                <w:lang w:val="en-US" w:eastAsia="zh-CN"/>
              </w:rPr>
              <w:t>本项目能源站设置的</w:t>
            </w:r>
            <w:r>
              <w:rPr>
                <w:rFonts w:hint="eastAsia"/>
                <w:color w:val="auto"/>
                <w:lang w:val="en-US" w:eastAsia="zh-CN"/>
              </w:rPr>
              <w:t>气化间、地埋式储罐区、事故池（有容积不低于240m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lang w:val="en-US" w:eastAsia="zh-CN"/>
              </w:rPr>
              <w:t>、节能站机房</w:t>
            </w:r>
            <w:r>
              <w:rPr>
                <w:color w:val="auto"/>
              </w:rPr>
              <w:t>等设重点防渗</w:t>
            </w:r>
            <w:r>
              <w:rPr>
                <w:rFonts w:hint="eastAsia"/>
                <w:color w:val="auto"/>
                <w:lang w:eastAsia="zh-CN"/>
              </w:rPr>
              <w:t>。</w:t>
            </w:r>
          </w:p>
          <w:p w14:paraId="671AE2CB">
            <w:pPr>
              <w:bidi w:val="0"/>
              <w:rPr>
                <w:rFonts w:hint="eastAsia" w:cs="宋体"/>
                <w:b/>
                <w:bCs/>
                <w:color w:val="auto"/>
                <w:sz w:val="24"/>
                <w:szCs w:val="24"/>
                <w:lang w:eastAsia="zh-CN"/>
              </w:rPr>
            </w:pPr>
            <w:r>
              <w:rPr>
                <w:rFonts w:hint="eastAsia" w:cs="宋体"/>
                <w:b/>
                <w:bCs/>
                <w:color w:val="auto"/>
                <w:sz w:val="24"/>
                <w:szCs w:val="24"/>
                <w:lang w:eastAsia="zh-CN"/>
              </w:rPr>
              <w:t>（</w:t>
            </w:r>
            <w:r>
              <w:rPr>
                <w:rFonts w:hint="eastAsia" w:cs="宋体"/>
                <w:b/>
                <w:bCs/>
                <w:color w:val="auto"/>
                <w:sz w:val="24"/>
                <w:szCs w:val="24"/>
                <w:lang w:val="en-US" w:eastAsia="zh-CN"/>
              </w:rPr>
              <w:t>3</w:t>
            </w:r>
            <w:r>
              <w:rPr>
                <w:rFonts w:hint="eastAsia" w:cs="宋体"/>
                <w:b/>
                <w:bCs/>
                <w:color w:val="auto"/>
                <w:sz w:val="24"/>
                <w:szCs w:val="24"/>
                <w:lang w:eastAsia="zh-CN"/>
              </w:rPr>
              <w:t>）</w:t>
            </w:r>
            <w:r>
              <w:rPr>
                <w:rFonts w:hint="eastAsia" w:cs="宋体"/>
                <w:b/>
                <w:bCs/>
                <w:color w:val="auto"/>
                <w:sz w:val="24"/>
                <w:szCs w:val="24"/>
              </w:rPr>
              <w:t>资源利用上线</w:t>
            </w:r>
          </w:p>
          <w:p w14:paraId="18CE8BBF">
            <w:pPr>
              <w:autoSpaceDE w:val="0"/>
              <w:autoSpaceDN w:val="0"/>
              <w:ind w:firstLine="480"/>
              <w:jc w:val="left"/>
              <w:rPr>
                <w:rFonts w:cs="宋体"/>
                <w:color w:val="auto"/>
              </w:rPr>
            </w:pPr>
            <w:r>
              <w:rPr>
                <w:rFonts w:hint="eastAsia" w:cs="宋体"/>
                <w:color w:val="auto"/>
              </w:rPr>
              <w:t>本项目建设过程中所利用的资源主要为水资源、电资源，均为清洁能源。</w:t>
            </w:r>
          </w:p>
          <w:p w14:paraId="530FE328">
            <w:pPr>
              <w:ind w:firstLine="448" w:firstLineChars="187"/>
              <w:rPr>
                <w:color w:val="auto"/>
              </w:rPr>
            </w:pPr>
            <w:r>
              <w:rPr>
                <w:color w:val="auto"/>
              </w:rPr>
              <w:t>煤资源利用上限：本项目不</w:t>
            </w:r>
            <w:r>
              <w:rPr>
                <w:rFonts w:hint="eastAsia"/>
                <w:color w:val="auto"/>
              </w:rPr>
              <w:t>使用</w:t>
            </w:r>
            <w:r>
              <w:rPr>
                <w:rFonts w:hint="eastAsia"/>
                <w:color w:val="auto"/>
                <w:lang w:val="en-US" w:eastAsia="zh-CN"/>
              </w:rPr>
              <w:t>煤炭资源</w:t>
            </w:r>
            <w:r>
              <w:rPr>
                <w:color w:val="auto"/>
              </w:rPr>
              <w:t>。</w:t>
            </w:r>
          </w:p>
          <w:p w14:paraId="29803775">
            <w:pPr>
              <w:ind w:firstLine="448" w:firstLineChars="187"/>
              <w:rPr>
                <w:color w:val="auto"/>
              </w:rPr>
            </w:pPr>
            <w:r>
              <w:rPr>
                <w:color w:val="auto"/>
              </w:rPr>
              <w:t>水资源利用上限：</w:t>
            </w:r>
            <w:r>
              <w:rPr>
                <w:rFonts w:hint="eastAsia"/>
                <w:color w:val="auto"/>
              </w:rPr>
              <w:t>本</w:t>
            </w:r>
            <w:r>
              <w:rPr>
                <w:color w:val="auto"/>
              </w:rPr>
              <w:t>项目用水来自市政供水，本项目用</w:t>
            </w:r>
            <w:r>
              <w:rPr>
                <w:rFonts w:hint="eastAsia"/>
                <w:color w:val="auto"/>
                <w:lang w:val="en-US" w:eastAsia="zh-CN"/>
              </w:rPr>
              <w:t>水</w:t>
            </w:r>
            <w:r>
              <w:rPr>
                <w:color w:val="auto"/>
              </w:rPr>
              <w:t>量较小，</w:t>
            </w:r>
            <w:r>
              <w:rPr>
                <w:rFonts w:hint="eastAsia"/>
                <w:color w:val="auto"/>
                <w:lang w:val="en-US" w:eastAsia="zh-CN"/>
              </w:rPr>
              <w:t>管网用水循环使用，不外排，</w:t>
            </w:r>
            <w:r>
              <w:rPr>
                <w:color w:val="auto"/>
              </w:rPr>
              <w:t>不属于高耗水行业，对水资源影响较小</w:t>
            </w:r>
            <w:r>
              <w:rPr>
                <w:rFonts w:hint="eastAsia"/>
                <w:color w:val="auto"/>
              </w:rPr>
              <w:t>。</w:t>
            </w:r>
          </w:p>
          <w:p w14:paraId="02C7C500">
            <w:pPr>
              <w:ind w:firstLine="448" w:firstLineChars="187"/>
              <w:rPr>
                <w:color w:val="auto"/>
              </w:rPr>
            </w:pPr>
            <w:r>
              <w:rPr>
                <w:color w:val="auto"/>
              </w:rPr>
              <w:t>土地资源利用上限：</w:t>
            </w:r>
            <w:r>
              <w:rPr>
                <w:rFonts w:hint="eastAsia"/>
                <w:color w:val="auto"/>
              </w:rPr>
              <w:t>本</w:t>
            </w:r>
            <w:r>
              <w:rPr>
                <w:color w:val="auto"/>
              </w:rPr>
              <w:t>项目</w:t>
            </w:r>
            <w:r>
              <w:rPr>
                <w:rFonts w:hint="eastAsia"/>
                <w:color w:val="auto"/>
                <w:lang w:val="en-US" w:eastAsia="zh-CN"/>
              </w:rPr>
              <w:t>能源站</w:t>
            </w:r>
            <w:r>
              <w:rPr>
                <w:color w:val="auto"/>
              </w:rPr>
              <w:t>用地为</w:t>
            </w:r>
            <w:r>
              <w:rPr>
                <w:rFonts w:hint="eastAsia"/>
                <w:color w:val="auto"/>
                <w:lang w:val="en-US" w:eastAsia="zh-CN"/>
              </w:rPr>
              <w:t>建设用地</w:t>
            </w:r>
            <w:r>
              <w:rPr>
                <w:color w:val="auto"/>
              </w:rPr>
              <w:t>，</w:t>
            </w:r>
            <w:r>
              <w:rPr>
                <w:rFonts w:hint="eastAsia"/>
                <w:color w:val="auto"/>
                <w:lang w:val="en-US" w:eastAsia="zh-CN"/>
              </w:rPr>
              <w:t>管网填埋后恢复原状，</w:t>
            </w:r>
            <w:r>
              <w:rPr>
                <w:color w:val="auto"/>
              </w:rPr>
              <w:t>不新增土地资源的利用。</w:t>
            </w:r>
          </w:p>
          <w:p w14:paraId="481431CE">
            <w:pPr>
              <w:pStyle w:val="14"/>
              <w:rPr>
                <w:rFonts w:cs="宋体"/>
                <w:color w:val="auto"/>
              </w:rPr>
            </w:pPr>
            <w:r>
              <w:rPr>
                <w:rFonts w:hint="eastAsia" w:cs="宋体"/>
                <w:color w:val="auto"/>
              </w:rPr>
              <w:t>项目的水、电等资源利用不会突破</w:t>
            </w:r>
            <w:r>
              <w:rPr>
                <w:rFonts w:hint="eastAsia"/>
                <w:color w:val="auto"/>
                <w:lang w:val="en-US" w:eastAsia="zh-CN"/>
              </w:rPr>
              <w:t>区域</w:t>
            </w:r>
            <w:r>
              <w:rPr>
                <w:rFonts w:hint="eastAsia" w:cs="宋体"/>
                <w:color w:val="auto"/>
              </w:rPr>
              <w:t>的资源利用上线。</w:t>
            </w:r>
          </w:p>
          <w:p w14:paraId="7A5A5EA2">
            <w:pPr>
              <w:keepNext w:val="0"/>
              <w:keepLines w:val="0"/>
              <w:pageBreakBefore w:val="0"/>
              <w:widowControl w:val="0"/>
              <w:kinsoku/>
              <w:wordWrap/>
              <w:overflowPunct/>
              <w:topLinePunct w:val="0"/>
              <w:autoSpaceDE w:val="0"/>
              <w:autoSpaceDN w:val="0"/>
              <w:bidi w:val="0"/>
              <w:adjustRightInd/>
              <w:snapToGrid/>
              <w:ind w:left="0" w:firstLine="482"/>
              <w:textAlignment w:val="auto"/>
              <w:rPr>
                <w:rFonts w:hint="eastAsia" w:cs="宋体"/>
                <w:b/>
                <w:bCs/>
                <w:color w:val="auto"/>
              </w:rPr>
            </w:pPr>
            <w:r>
              <w:rPr>
                <w:rFonts w:hint="eastAsia" w:cs="宋体"/>
                <w:b/>
                <w:bCs/>
                <w:color w:val="auto"/>
              </w:rPr>
              <w:t>（4）生态环境准入清单</w:t>
            </w:r>
          </w:p>
          <w:p w14:paraId="743FBBAA">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cs="宋体"/>
                <w:color w:val="auto"/>
                <w:sz w:val="24"/>
                <w:szCs w:val="24"/>
                <w:lang w:eastAsia="zh-CN"/>
              </w:rPr>
            </w:pPr>
            <w:r>
              <w:rPr>
                <w:rFonts w:hint="eastAsia" w:cs="宋体"/>
                <w:color w:val="auto"/>
                <w:sz w:val="24"/>
                <w:szCs w:val="24"/>
                <w:lang w:eastAsia="zh-CN"/>
              </w:rPr>
              <w:t>本次环评对照《安徽省长江经济带发展负面清单实施细则（试行，2022年版）》（皖长江办〔2022〕10号）、《市场准入负面清单（2022年版）》及地方政策进行说明。</w:t>
            </w:r>
          </w:p>
          <w:p w14:paraId="60EC6EA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auto"/>
              <w:rPr>
                <w:rFonts w:hint="eastAsia" w:cs="宋体"/>
                <w:color w:val="auto"/>
                <w:sz w:val="24"/>
                <w:szCs w:val="24"/>
                <w:lang w:eastAsia="zh-CN"/>
              </w:rPr>
            </w:pPr>
            <w:r>
              <w:rPr>
                <w:rFonts w:hint="eastAsia" w:cs="宋体"/>
                <w:color w:val="auto"/>
                <w:sz w:val="24"/>
                <w:szCs w:val="24"/>
                <w:lang w:eastAsia="zh-CN"/>
              </w:rPr>
              <w:t>①安徽省长江经济带发展负面清单实施细则（试行，2022年版）</w:t>
            </w:r>
          </w:p>
          <w:p w14:paraId="6D71790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auto"/>
              <w:rPr>
                <w:rFonts w:hint="eastAsia" w:cs="宋体"/>
                <w:color w:val="auto"/>
                <w:sz w:val="24"/>
                <w:szCs w:val="24"/>
                <w:lang w:eastAsia="zh-CN"/>
              </w:rPr>
            </w:pPr>
            <w:r>
              <w:rPr>
                <w:rFonts w:hint="eastAsia" w:cs="宋体"/>
                <w:color w:val="auto"/>
                <w:sz w:val="24"/>
                <w:szCs w:val="24"/>
                <w:lang w:eastAsia="zh-CN"/>
              </w:rPr>
              <w:t>根据推动长江经济带发展领导小组办公室文件：推动长江经济带发展领导小组办公室关于印发《长江经济带发展负面清单指南（试行，2022年版）的通知》（长江办〔2022〕7号）可知，安徽省列入负面清单范围。</w:t>
            </w:r>
          </w:p>
          <w:p w14:paraId="64D012A7">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auto"/>
              <w:rPr>
                <w:rFonts w:hint="eastAsia" w:cs="宋体"/>
                <w:color w:val="auto"/>
                <w:sz w:val="24"/>
                <w:szCs w:val="24"/>
                <w:lang w:eastAsia="zh-CN"/>
              </w:rPr>
            </w:pPr>
            <w:r>
              <w:rPr>
                <w:rFonts w:hint="eastAsia" w:cs="宋体"/>
                <w:color w:val="auto"/>
                <w:sz w:val="24"/>
                <w:szCs w:val="24"/>
                <w:lang w:eastAsia="zh-CN"/>
              </w:rPr>
              <w:t>对照《安徽省长江经济带发展负面清单实施细则（试行，2022年版）》（皖长江办〔2022〕10号）如下：</w:t>
            </w:r>
          </w:p>
          <w:p w14:paraId="51B9838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cs="宋体"/>
                <w:b/>
                <w:bCs/>
                <w:color w:val="auto"/>
                <w:sz w:val="24"/>
                <w:szCs w:val="24"/>
              </w:rPr>
            </w:pPr>
            <w:r>
              <w:rPr>
                <w:rFonts w:hint="eastAsia" w:cs="宋体"/>
                <w:b/>
                <w:bCs/>
                <w:color w:val="auto"/>
                <w:sz w:val="24"/>
                <w:szCs w:val="24"/>
              </w:rPr>
              <w:t>表1-</w:t>
            </w:r>
            <w:r>
              <w:rPr>
                <w:rFonts w:hint="eastAsia" w:cs="宋体"/>
                <w:b/>
                <w:bCs/>
                <w:color w:val="auto"/>
                <w:sz w:val="24"/>
                <w:szCs w:val="24"/>
                <w:lang w:val="en-US" w:eastAsia="zh-CN"/>
              </w:rPr>
              <w:t>1</w:t>
            </w:r>
            <w:r>
              <w:rPr>
                <w:rFonts w:hint="eastAsia" w:cs="宋体"/>
                <w:b/>
                <w:bCs/>
                <w:color w:val="auto"/>
                <w:sz w:val="24"/>
                <w:szCs w:val="24"/>
              </w:rPr>
              <w:t xml:space="preserve">  与</w:t>
            </w:r>
            <w:r>
              <w:rPr>
                <w:rFonts w:hint="eastAsia" w:cs="宋体"/>
                <w:b/>
                <w:bCs/>
                <w:color w:val="auto"/>
                <w:sz w:val="24"/>
                <w:szCs w:val="24"/>
                <w:lang w:eastAsia="zh-CN"/>
              </w:rPr>
              <w:t>安徽省长江经济带发展负面清单实施细则</w:t>
            </w:r>
            <w:r>
              <w:rPr>
                <w:rFonts w:hint="eastAsia" w:cs="宋体"/>
                <w:b/>
                <w:bCs/>
                <w:color w:val="auto"/>
                <w:sz w:val="24"/>
                <w:szCs w:val="24"/>
              </w:rPr>
              <w:t>的相符性分析</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7"/>
              <w:gridCol w:w="4545"/>
              <w:gridCol w:w="2989"/>
            </w:tblGrid>
            <w:tr w14:paraId="438C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59B0E83C">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44"/>
                      <w:sz w:val="21"/>
                      <w:szCs w:val="21"/>
                      <w:lang w:val="en-US" w:eastAsia="zh-CN"/>
                    </w:rPr>
                  </w:pPr>
                  <w:r>
                    <w:rPr>
                      <w:rFonts w:hint="default" w:ascii="Times New Roman" w:hAnsi="Times New Roman" w:eastAsia="宋体" w:cs="Times New Roman"/>
                      <w:b/>
                      <w:bCs/>
                      <w:color w:val="auto"/>
                      <w:kern w:val="44"/>
                      <w:sz w:val="21"/>
                      <w:szCs w:val="21"/>
                      <w:lang w:val="en-US" w:eastAsia="zh-CN"/>
                    </w:rPr>
                    <w:t>序号</w:t>
                  </w:r>
                </w:p>
              </w:tc>
              <w:tc>
                <w:tcPr>
                  <w:tcW w:w="4545" w:type="dxa"/>
                  <w:vAlign w:val="center"/>
                </w:tcPr>
                <w:p w14:paraId="7F28EF2B">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44"/>
                      <w:sz w:val="21"/>
                      <w:szCs w:val="21"/>
                      <w:lang w:val="en-US" w:eastAsia="zh-CN"/>
                    </w:rPr>
                  </w:pPr>
                  <w:r>
                    <w:rPr>
                      <w:rFonts w:hint="eastAsia" w:ascii="Times New Roman" w:hAnsi="Times New Roman" w:cs="Times New Roman"/>
                      <w:b/>
                      <w:bCs/>
                      <w:color w:val="auto"/>
                      <w:kern w:val="44"/>
                      <w:sz w:val="21"/>
                      <w:szCs w:val="21"/>
                      <w:lang w:val="en-US" w:eastAsia="zh-CN"/>
                    </w:rPr>
                    <w:t>实施细则</w:t>
                  </w:r>
                </w:p>
              </w:tc>
              <w:tc>
                <w:tcPr>
                  <w:tcW w:w="2989" w:type="dxa"/>
                  <w:vAlign w:val="center"/>
                </w:tcPr>
                <w:p w14:paraId="20A2CC82">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44"/>
                      <w:sz w:val="21"/>
                      <w:szCs w:val="21"/>
                      <w:lang w:val="en-US" w:eastAsia="zh-CN"/>
                    </w:rPr>
                  </w:pPr>
                  <w:r>
                    <w:rPr>
                      <w:rFonts w:hint="default" w:ascii="Times New Roman" w:hAnsi="Times New Roman" w:eastAsia="宋体" w:cs="Times New Roman"/>
                      <w:b/>
                      <w:bCs/>
                      <w:color w:val="auto"/>
                      <w:kern w:val="44"/>
                      <w:sz w:val="21"/>
                      <w:szCs w:val="21"/>
                      <w:lang w:val="en-US" w:eastAsia="zh-CN"/>
                    </w:rPr>
                    <w:t>符合性分析</w:t>
                  </w:r>
                </w:p>
              </w:tc>
            </w:tr>
            <w:tr w14:paraId="3B05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5DBBAE1B">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default" w:ascii="Times New Roman" w:hAnsi="Times New Roman" w:eastAsia="宋体" w:cs="Times New Roman"/>
                      <w:b w:val="0"/>
                      <w:bCs w:val="0"/>
                      <w:color w:val="auto"/>
                      <w:kern w:val="44"/>
                      <w:sz w:val="21"/>
                      <w:szCs w:val="21"/>
                      <w:lang w:val="en-US" w:eastAsia="zh-CN"/>
                    </w:rPr>
                    <w:t>1</w:t>
                  </w:r>
                </w:p>
              </w:tc>
              <w:tc>
                <w:tcPr>
                  <w:tcW w:w="4545" w:type="dxa"/>
                  <w:vAlign w:val="center"/>
                </w:tcPr>
                <w:p w14:paraId="42B95A98">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eastAsia" w:ascii="Times New Roman" w:hAnsi="Times New Roman" w:cs="Times New Roman"/>
                      <w:b w:val="0"/>
                      <w:bCs w:val="0"/>
                      <w:color w:val="auto"/>
                      <w:kern w:val="44"/>
                      <w:sz w:val="21"/>
                      <w:szCs w:val="21"/>
                      <w:lang w:val="en-US" w:eastAsia="zh-CN"/>
                    </w:rPr>
                    <w:t>第四条、</w:t>
                  </w:r>
                  <w:r>
                    <w:rPr>
                      <w:rFonts w:hint="default" w:ascii="Times New Roman" w:hAnsi="Times New Roman" w:eastAsia="宋体" w:cs="Times New Roman"/>
                      <w:b w:val="0"/>
                      <w:bCs w:val="0"/>
                      <w:color w:val="auto"/>
                      <w:kern w:val="44"/>
                      <w:sz w:val="21"/>
                      <w:szCs w:val="21"/>
                      <w:lang w:val="en-US" w:eastAsia="zh-CN"/>
                    </w:rPr>
                    <w:t>禁止建设不符合全国和省级港口布局规划以及港口总体规划的码头项目，禁止建设不符合《长江干线过江通道布局规划》的过江通道项目</w:t>
                  </w:r>
                </w:p>
              </w:tc>
              <w:tc>
                <w:tcPr>
                  <w:tcW w:w="2989" w:type="dxa"/>
                  <w:vAlign w:val="center"/>
                </w:tcPr>
                <w:p w14:paraId="34DC8B0F">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default" w:ascii="Times New Roman" w:hAnsi="Times New Roman" w:eastAsia="宋体" w:cs="Times New Roman"/>
                      <w:b w:val="0"/>
                      <w:bCs w:val="0"/>
                      <w:color w:val="auto"/>
                      <w:kern w:val="44"/>
                      <w:sz w:val="21"/>
                      <w:szCs w:val="21"/>
                      <w:lang w:val="en-US" w:eastAsia="zh-CN"/>
                    </w:rPr>
                    <w:t>本项目位于</w:t>
                  </w:r>
                  <w:r>
                    <w:rPr>
                      <w:rFonts w:hint="eastAsia"/>
                      <w:color w:val="auto"/>
                      <w:lang w:val="en-US" w:eastAsia="zh-CN"/>
                    </w:rPr>
                    <w:t>安徽省淮北市烈山区</w:t>
                  </w:r>
                  <w:r>
                    <w:rPr>
                      <w:rFonts w:hint="default" w:ascii="Times New Roman" w:hAnsi="Times New Roman" w:eastAsia="宋体" w:cs="Times New Roman"/>
                      <w:b w:val="0"/>
                      <w:bCs w:val="0"/>
                      <w:color w:val="auto"/>
                      <w:kern w:val="44"/>
                      <w:sz w:val="21"/>
                      <w:szCs w:val="21"/>
                      <w:lang w:val="en-US" w:eastAsia="zh-CN"/>
                    </w:rPr>
                    <w:t>，不属于码头项目</w:t>
                  </w:r>
                </w:p>
              </w:tc>
            </w:tr>
            <w:tr w14:paraId="1C31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28FC65A9">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default" w:ascii="Times New Roman" w:hAnsi="Times New Roman" w:eastAsia="宋体" w:cs="Times New Roman"/>
                      <w:b w:val="0"/>
                      <w:bCs w:val="0"/>
                      <w:color w:val="auto"/>
                      <w:kern w:val="44"/>
                      <w:sz w:val="21"/>
                      <w:szCs w:val="21"/>
                      <w:lang w:val="en-US" w:eastAsia="zh-CN"/>
                    </w:rPr>
                    <w:t>2</w:t>
                  </w:r>
                </w:p>
              </w:tc>
              <w:tc>
                <w:tcPr>
                  <w:tcW w:w="4545" w:type="dxa"/>
                  <w:vAlign w:val="center"/>
                </w:tcPr>
                <w:p w14:paraId="5E60C54E">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eastAsia" w:ascii="Times New Roman" w:hAnsi="Times New Roman" w:cs="Times New Roman"/>
                      <w:b w:val="0"/>
                      <w:bCs w:val="0"/>
                      <w:color w:val="auto"/>
                      <w:kern w:val="44"/>
                      <w:sz w:val="21"/>
                      <w:szCs w:val="21"/>
                      <w:lang w:val="en-US" w:eastAsia="zh-CN"/>
                    </w:rPr>
                    <w:t>第五条、禁止在自然保护区核心区、缓冲区的岸线和河段范围内投资建设旅游和生产经营项目。禁止违反风景名胜区规划，在风景名胜区的岸线和河段范围内设立各类开发区，在核心景区的岸线和河段范围内建设与风景名胜资源保护无关的项目</w:t>
                  </w:r>
                </w:p>
              </w:tc>
              <w:tc>
                <w:tcPr>
                  <w:tcW w:w="2989" w:type="dxa"/>
                  <w:vAlign w:val="center"/>
                </w:tcPr>
                <w:p w14:paraId="02638EDB">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default" w:ascii="Times New Roman" w:hAnsi="Times New Roman" w:eastAsia="宋体" w:cs="Times New Roman"/>
                      <w:b w:val="0"/>
                      <w:bCs w:val="0"/>
                      <w:color w:val="auto"/>
                      <w:kern w:val="44"/>
                      <w:sz w:val="21"/>
                      <w:szCs w:val="21"/>
                      <w:lang w:val="en-US" w:eastAsia="zh-CN"/>
                    </w:rPr>
                    <w:t>项目不属于自然保护区核心区、缓冲区的岸线和河段范围内投资建设旅游和生产经营项目</w:t>
                  </w:r>
                </w:p>
              </w:tc>
            </w:tr>
            <w:tr w14:paraId="022D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45C98700">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default" w:ascii="Times New Roman" w:hAnsi="Times New Roman" w:eastAsia="宋体" w:cs="Times New Roman"/>
                      <w:b w:val="0"/>
                      <w:bCs w:val="0"/>
                      <w:color w:val="auto"/>
                      <w:kern w:val="44"/>
                      <w:sz w:val="21"/>
                      <w:szCs w:val="21"/>
                      <w:lang w:val="en-US" w:eastAsia="zh-CN"/>
                    </w:rPr>
                    <w:t>3</w:t>
                  </w:r>
                </w:p>
              </w:tc>
              <w:tc>
                <w:tcPr>
                  <w:tcW w:w="4545" w:type="dxa"/>
                  <w:vAlign w:val="center"/>
                </w:tcPr>
                <w:p w14:paraId="6B6D7CD4">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default" w:ascii="Times New Roman" w:hAnsi="Times New Roman" w:eastAsia="宋体" w:cs="Times New Roman"/>
                      <w:b w:val="0"/>
                      <w:bCs w:val="0"/>
                      <w:color w:val="auto"/>
                      <w:kern w:val="44"/>
                      <w:sz w:val="21"/>
                      <w:szCs w:val="21"/>
                      <w:lang w:val="en-US" w:eastAsia="zh-CN"/>
                    </w:rPr>
                    <w:t>第六条</w:t>
                  </w:r>
                  <w:r>
                    <w:rPr>
                      <w:rFonts w:hint="eastAsia" w:ascii="Times New Roman" w:hAnsi="Times New Roman" w:cs="Times New Roman"/>
                      <w:b w:val="0"/>
                      <w:bCs w:val="0"/>
                      <w:color w:val="auto"/>
                      <w:kern w:val="44"/>
                      <w:sz w:val="21"/>
                      <w:szCs w:val="21"/>
                      <w:lang w:val="en-US" w:eastAsia="zh-CN"/>
                    </w:rPr>
                    <w:t>、</w:t>
                  </w:r>
                  <w:r>
                    <w:rPr>
                      <w:rFonts w:hint="default" w:ascii="Times New Roman" w:hAnsi="Times New Roman" w:eastAsia="宋体" w:cs="Times New Roman"/>
                      <w:b w:val="0"/>
                      <w:bCs w:val="0"/>
                      <w:color w:val="auto"/>
                      <w:kern w:val="44"/>
                      <w:sz w:val="21"/>
                      <w:szCs w:val="21"/>
                      <w:lang w:val="en-US" w:eastAsia="zh-CN"/>
                    </w:rPr>
                    <w:t>禁止在饮用水水源一级保护区的岸线和河段范围内新建、改建、扩建与供水设施和保护水源无关的项目，以及网箱养殖、畜禽养殖、施用化肥农药的种植以及旅游等可能污染饮用水水体的投资建设项目，禁止设立工业废渣、生活垃圾和其他废弃物堆场，禁止设置排污口。禁止在饮用水水源二级保护区的岸线和河段范围内新建、改建、扩建排放污染物的项目，禁止设置排污口</w:t>
                  </w:r>
                </w:p>
              </w:tc>
              <w:tc>
                <w:tcPr>
                  <w:tcW w:w="2989" w:type="dxa"/>
                  <w:vAlign w:val="center"/>
                </w:tcPr>
                <w:p w14:paraId="0AED980A">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44"/>
                      <w:sz w:val="21"/>
                      <w:szCs w:val="21"/>
                      <w:lang w:val="en-US" w:eastAsia="zh-CN"/>
                    </w:rPr>
                  </w:pPr>
                  <w:r>
                    <w:rPr>
                      <w:rFonts w:hint="default" w:ascii="Times New Roman" w:hAnsi="Times New Roman" w:eastAsia="宋体" w:cs="Times New Roman"/>
                      <w:b w:val="0"/>
                      <w:bCs w:val="0"/>
                      <w:color w:val="auto"/>
                      <w:kern w:val="44"/>
                      <w:sz w:val="21"/>
                      <w:szCs w:val="21"/>
                      <w:lang w:val="en-US" w:eastAsia="zh-CN"/>
                    </w:rPr>
                    <w:t>项目不涉及饮用水水源保护区</w:t>
                  </w:r>
                </w:p>
              </w:tc>
            </w:tr>
            <w:tr w14:paraId="37C9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021CC4A7">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4</w:t>
                  </w:r>
                </w:p>
              </w:tc>
              <w:tc>
                <w:tcPr>
                  <w:tcW w:w="4545" w:type="dxa"/>
                  <w:vAlign w:val="center"/>
                </w:tcPr>
                <w:p w14:paraId="1E6910A2">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第七条</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禁止在水产种质资源保护区的岸线和河段范围内新建围湖（河</w:t>
                  </w:r>
                  <w:r>
                    <w:rPr>
                      <w:rFonts w:hint="eastAsia" w:cs="Times New Roman"/>
                      <w:b w:val="0"/>
                      <w:bCs w:val="0"/>
                      <w:color w:val="000000" w:themeColor="text1"/>
                      <w:kern w:val="44"/>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造田</w:t>
                  </w:r>
                  <w:r>
                    <w:rPr>
                      <w:rFonts w:hint="eastAsia" w:cs="Times New Roman"/>
                      <w:b w:val="0"/>
                      <w:bCs w:val="0"/>
                      <w:color w:val="000000" w:themeColor="text1"/>
                      <w:kern w:val="44"/>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地）等项目</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w:t>
                  </w:r>
                </w:p>
                <w:p w14:paraId="081F60D2">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除国家另有规定外，禁止在国家湿地公园的岸线和河段范围内挖沙、采矿，以及任何不符合主体功能定位的投资建设项目</w:t>
                  </w:r>
                </w:p>
              </w:tc>
              <w:tc>
                <w:tcPr>
                  <w:tcW w:w="2989" w:type="dxa"/>
                  <w:vAlign w:val="center"/>
                </w:tcPr>
                <w:p w14:paraId="5852664B">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项目用地不涉及国家湿地公园</w:t>
                  </w:r>
                </w:p>
              </w:tc>
            </w:tr>
            <w:tr w14:paraId="77E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28794DB8">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5</w:t>
                  </w:r>
                </w:p>
              </w:tc>
              <w:tc>
                <w:tcPr>
                  <w:tcW w:w="4545" w:type="dxa"/>
                  <w:vAlign w:val="center"/>
                </w:tcPr>
                <w:p w14:paraId="797ED898">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第八条</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禁止违法利用、占用长江流域河湖岸线。禁止在《长江岸线保护和开发利用总体规划》划定的岸线保护区和保留区内投资建设除事关公共安全及公共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989" w:type="dxa"/>
                  <w:vAlign w:val="center"/>
                </w:tcPr>
                <w:p w14:paraId="399B05F2">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项目不属于《长江岸线保护和开发利用总体规划》划定的岸线保护区、保留区。项目不属于《全国重要江河湖泊水功能区划》划定的河段保护区、保留区</w:t>
                  </w:r>
                </w:p>
              </w:tc>
            </w:tr>
            <w:tr w14:paraId="5814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7CD8BF7A">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6</w:t>
                  </w:r>
                </w:p>
              </w:tc>
              <w:tc>
                <w:tcPr>
                  <w:tcW w:w="4545" w:type="dxa"/>
                  <w:vAlign w:val="center"/>
                </w:tcPr>
                <w:p w14:paraId="2869AF40">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第十一条禁止在长江（安徽段）干支流、巢湖岸线一公里范围内新建、扩建化工园区和化工项目。已批未开工的项目</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依法停止建设，支持重新选址。已经开工建设的项目，严格进行检查评估，不符合岸线规划和环保、安全要求的，全部依法依规停建搬迁</w:t>
                  </w:r>
                </w:p>
              </w:tc>
              <w:tc>
                <w:tcPr>
                  <w:tcW w:w="2989" w:type="dxa"/>
                  <w:vAlign w:val="center"/>
                </w:tcPr>
                <w:p w14:paraId="7816267C">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本项目距离长江干支流大于1公里</w:t>
                  </w:r>
                </w:p>
              </w:tc>
            </w:tr>
            <w:tr w14:paraId="69A6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1CCA95F3">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7</w:t>
                  </w:r>
                </w:p>
              </w:tc>
              <w:tc>
                <w:tcPr>
                  <w:tcW w:w="4545" w:type="dxa"/>
                  <w:vAlign w:val="center"/>
                </w:tcPr>
                <w:p w14:paraId="693FA055">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第十二条</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禁止在合规园区外新建、扩建钢铁、石化、化工、焦化、建材、有色、制浆造纸等高污染项目</w:t>
                  </w:r>
                  <w:r>
                    <w:rPr>
                      <w:rFonts w:hint="eastAsia" w:cs="Times New Roman"/>
                      <w:b w:val="0"/>
                      <w:bCs w:val="0"/>
                      <w:color w:val="000000" w:themeColor="text1"/>
                      <w:kern w:val="44"/>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禁止新建、扩建不符合国家石化、现代煤化工等产业布局规划的项目</w:t>
                  </w:r>
                </w:p>
              </w:tc>
              <w:tc>
                <w:tcPr>
                  <w:tcW w:w="2989" w:type="dxa"/>
                  <w:vAlign w:val="center"/>
                </w:tcPr>
                <w:p w14:paraId="47BA885C">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eastAsia"/>
                      <w:color w:val="auto"/>
                      <w:lang w:val="en-US" w:eastAsia="zh-CN"/>
                    </w:rPr>
                    <w:t>本项目属于其他水泥类似制品制造，不属于高耗能、高排放项目</w:t>
                  </w:r>
                </w:p>
              </w:tc>
            </w:tr>
            <w:tr w14:paraId="6AAC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62494F47">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8</w:t>
                  </w:r>
                </w:p>
              </w:tc>
              <w:tc>
                <w:tcPr>
                  <w:tcW w:w="4545" w:type="dxa"/>
                  <w:vAlign w:val="center"/>
                </w:tcPr>
                <w:p w14:paraId="6332CDF0">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第十三条禁止新建、扩建不符合国家石化、现代煤化工等产业布局规划的项目</w:t>
                  </w:r>
                </w:p>
              </w:tc>
              <w:tc>
                <w:tcPr>
                  <w:tcW w:w="2989" w:type="dxa"/>
                  <w:vAlign w:val="center"/>
                </w:tcPr>
                <w:p w14:paraId="0059A0B6">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项目不属于</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禁止新建、扩建不符合国家石化、现代煤化工等产业布局规划的项目</w:t>
                  </w:r>
                </w:p>
              </w:tc>
            </w:tr>
            <w:tr w14:paraId="7FF5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37" w:type="dxa"/>
                  <w:vAlign w:val="center"/>
                </w:tcPr>
                <w:p w14:paraId="51C69AE7">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9</w:t>
                  </w:r>
                </w:p>
              </w:tc>
              <w:tc>
                <w:tcPr>
                  <w:tcW w:w="4545" w:type="dxa"/>
                  <w:vAlign w:val="center"/>
                </w:tcPr>
                <w:p w14:paraId="24DCA7C8">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第十四条禁止新建、扩建法律法规和相关政策明令禁止的落后产能项目。严格执行国家《产业结构调整指导目录》淘汰类和限制类有关规定，禁止投资建设属于淘汰类的项目，禁止投资新建属于限制类的项目。对属于限制类的现有生产能力，允许企业在一定期限内采取措施改造升级。禁止新建、扩建不符合国家产能置换要求的严重过剩产能行业的项目。禁止新建、扩建不符合要求的高耗能高排放项目</w:t>
                  </w:r>
                </w:p>
              </w:tc>
              <w:tc>
                <w:tcPr>
                  <w:tcW w:w="2989" w:type="dxa"/>
                  <w:vAlign w:val="center"/>
                </w:tcPr>
                <w:p w14:paraId="341EC1D1">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对</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照</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fldChar w:fldCharType="begin"/>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instrText xml:space="preserve"> HYPERLINK "https://baike.so.com/doc/9150588-9483747.html" \t "_blank" </w:instrTex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fldChar w:fldCharType="separate"/>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《关于进一步加强淘汰落后产能工作的通知》</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fldChar w:fldCharType="end"/>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和</w:t>
                  </w:r>
                  <w:r>
                    <w:rPr>
                      <w:rFonts w:hint="eastAsia" w:cs="Times New Roman"/>
                      <w:b w:val="0"/>
                      <w:bCs w:val="0"/>
                      <w:color w:val="000000" w:themeColor="text1"/>
                      <w:kern w:val="44"/>
                      <w:sz w:val="21"/>
                      <w:szCs w:val="21"/>
                      <w:lang w:val="en-US" w:eastAsia="zh-CN"/>
                      <w14:textFill>
                        <w14:solidFill>
                          <w14:schemeClr w14:val="tx1"/>
                        </w14:solidFill>
                      </w14:textFill>
                    </w:rPr>
                    <w:t>《</w:t>
                  </w:r>
                  <w:r>
                    <w:rPr>
                      <w:rFonts w:hint="eastAsia" w:cs="宋体"/>
                      <w:color w:val="auto"/>
                    </w:rPr>
                    <w:t>产业结构调整指导目录（</w:t>
                  </w:r>
                  <w:r>
                    <w:rPr>
                      <w:rFonts w:hint="eastAsia"/>
                      <w:lang w:val="en-US" w:eastAsia="zh-CN"/>
                    </w:rPr>
                    <w:t>2024年本</w:t>
                  </w:r>
                  <w:r>
                    <w:rPr>
                      <w:rFonts w:hint="eastAsia" w:cs="宋体"/>
                      <w:color w:val="auto"/>
                    </w:rPr>
                    <w:t>）</w:t>
                  </w:r>
                  <w:r>
                    <w:rPr>
                      <w:rFonts w:hint="eastAsia" w:cs="Times New Roman"/>
                      <w:b w:val="0"/>
                      <w:bCs w:val="0"/>
                      <w:color w:val="000000" w:themeColor="text1"/>
                      <w:kern w:val="44"/>
                      <w:sz w:val="21"/>
                      <w:szCs w:val="21"/>
                      <w:lang w:val="en-US" w:eastAsia="zh-CN"/>
                      <w14:textFill>
                        <w14:solidFill>
                          <w14:schemeClr w14:val="tx1"/>
                        </w14:solidFill>
                      </w14:textFill>
                    </w:rPr>
                    <w:t>》</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项目不属于淘汰和限制类项目，</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不属于法律法规和相关政策明令禁止的落后产能项目</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不属于产能严重过剩行业</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，不属于高耗能项目</w:t>
                  </w:r>
                </w:p>
              </w:tc>
            </w:tr>
            <w:tr w14:paraId="6B6E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71" w:type="dxa"/>
                  <w:gridSpan w:val="3"/>
                  <w:vAlign w:val="center"/>
                </w:tcPr>
                <w:p w14:paraId="28F0518B">
                  <w:pPr>
                    <w:pStyle w:val="4"/>
                    <w:keepNext/>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综上所述，本项目</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不涉及</w:t>
                  </w:r>
                  <w:r>
                    <w:rPr>
                      <w:rFonts w:hint="default" w:ascii="Times New Roman" w:hAnsi="Times New Roman" w:eastAsia="宋体" w:cs="Times New Roman"/>
                      <w:b w:val="0"/>
                      <w:bCs w:val="0"/>
                      <w:color w:val="000000" w:themeColor="text1"/>
                      <w:kern w:val="44"/>
                      <w:sz w:val="21"/>
                      <w:szCs w:val="21"/>
                      <w:lang w:val="en-US" w:eastAsia="zh-CN"/>
                      <w14:textFill>
                        <w14:solidFill>
                          <w14:schemeClr w14:val="tx1"/>
                        </w14:solidFill>
                      </w14:textFill>
                    </w:rPr>
                    <w:t>安徽省长江经济带发展负面清单</w:t>
                  </w:r>
                  <w:r>
                    <w:rPr>
                      <w:rFonts w:hint="eastAsia" w:ascii="Times New Roman" w:hAnsi="Times New Roman" w:cs="Times New Roman"/>
                      <w:b w:val="0"/>
                      <w:bCs w:val="0"/>
                      <w:color w:val="000000" w:themeColor="text1"/>
                      <w:kern w:val="44"/>
                      <w:sz w:val="21"/>
                      <w:szCs w:val="21"/>
                      <w:lang w:val="en-US" w:eastAsia="zh-CN"/>
                      <w14:textFill>
                        <w14:solidFill>
                          <w14:schemeClr w14:val="tx1"/>
                        </w14:solidFill>
                      </w14:textFill>
                    </w:rPr>
                    <w:t>内容</w:t>
                  </w:r>
                </w:p>
              </w:tc>
            </w:tr>
          </w:tbl>
          <w:p w14:paraId="36812CF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lang w:val="en-US" w:eastAsia="zh-CN"/>
              </w:rPr>
              <w:t>对照</w:t>
            </w:r>
            <w:r>
              <w:rPr>
                <w:rFonts w:hint="default" w:ascii="Times New Roman" w:hAnsi="Times New Roman" w:cs="Times New Roman"/>
                <w:color w:val="auto"/>
                <w:sz w:val="24"/>
                <w:szCs w:val="24"/>
              </w:rPr>
              <w:t>《市场准入负面清单（202</w:t>
            </w:r>
            <w:r>
              <w:rPr>
                <w:rFonts w:hint="default" w:ascii="Times New Roman" w:hAnsi="Times New Roman" w:cs="Times New Roman"/>
                <w:color w:val="auto"/>
                <w:sz w:val="24"/>
                <w:szCs w:val="24"/>
                <w:lang w:val="en-US" w:eastAsia="zh-CN"/>
              </w:rPr>
              <w:t>2年</w:t>
            </w:r>
            <w:r>
              <w:rPr>
                <w:rFonts w:hint="default" w:ascii="Times New Roman" w:hAnsi="Times New Roman" w:cs="Times New Roman"/>
                <w:color w:val="auto"/>
                <w:sz w:val="24"/>
                <w:szCs w:val="24"/>
              </w:rPr>
              <w:t>版）》</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本项目不涉及</w:t>
            </w:r>
            <w:r>
              <w:rPr>
                <w:rFonts w:hint="default" w:ascii="Times New Roman" w:hAnsi="Times New Roman" w:eastAsia="宋体" w:cs="Times New Roman"/>
                <w:color w:val="auto"/>
                <w:sz w:val="24"/>
                <w:szCs w:val="24"/>
                <w:lang w:val="en-US" w:eastAsia="zh-CN"/>
              </w:rPr>
              <w:t>其</w:t>
            </w:r>
            <w:r>
              <w:rPr>
                <w:rFonts w:hint="default" w:ascii="Times New Roman" w:hAnsi="Times New Roman" w:cs="Times New Roman"/>
                <w:color w:val="auto"/>
                <w:sz w:val="24"/>
                <w:szCs w:val="24"/>
              </w:rPr>
              <w:t>中禁止准入类和限制准入类项目。</w:t>
            </w:r>
          </w:p>
          <w:p w14:paraId="2B5D6B0F">
            <w:pPr>
              <w:ind w:firstLine="480"/>
            </w:pPr>
            <w:r>
              <w:rPr>
                <w:rFonts w:hint="eastAsia" w:cs="宋体"/>
                <w:color w:val="auto"/>
                <w:kern w:val="0"/>
              </w:rPr>
              <w:t>项目已于</w:t>
            </w:r>
            <w:r>
              <w:rPr>
                <w:color w:val="auto"/>
                <w:kern w:val="0"/>
              </w:rPr>
              <w:t>202</w:t>
            </w:r>
            <w:r>
              <w:rPr>
                <w:rFonts w:hint="eastAsia"/>
                <w:color w:val="auto"/>
                <w:kern w:val="0"/>
                <w:lang w:val="en-US" w:eastAsia="zh-CN"/>
              </w:rPr>
              <w:t>3</w:t>
            </w:r>
            <w:r>
              <w:rPr>
                <w:rFonts w:hint="eastAsia" w:cs="宋体"/>
                <w:color w:val="auto"/>
                <w:kern w:val="0"/>
              </w:rPr>
              <w:t>年</w:t>
            </w:r>
            <w:r>
              <w:rPr>
                <w:rFonts w:hint="eastAsia"/>
                <w:color w:val="auto"/>
                <w:kern w:val="0"/>
                <w:lang w:val="en-US" w:eastAsia="zh-CN"/>
              </w:rPr>
              <w:t>3</w:t>
            </w:r>
            <w:r>
              <w:rPr>
                <w:rFonts w:hint="eastAsia" w:cs="宋体"/>
                <w:color w:val="auto"/>
                <w:kern w:val="0"/>
              </w:rPr>
              <w:t>月</w:t>
            </w:r>
            <w:r>
              <w:rPr>
                <w:rFonts w:hint="eastAsia"/>
                <w:color w:val="auto"/>
                <w:kern w:val="0"/>
                <w:lang w:val="en-US" w:eastAsia="zh-CN"/>
              </w:rPr>
              <w:t>6</w:t>
            </w:r>
            <w:r>
              <w:rPr>
                <w:rFonts w:hint="eastAsia" w:cs="宋体"/>
                <w:color w:val="auto"/>
                <w:kern w:val="0"/>
              </w:rPr>
              <w:t>日取得</w:t>
            </w:r>
            <w:r>
              <w:rPr>
                <w:rFonts w:hint="eastAsia" w:cs="宋体"/>
                <w:color w:val="auto"/>
                <w:kern w:val="0"/>
                <w:lang w:val="en-US" w:eastAsia="zh-CN"/>
              </w:rPr>
              <w:t>淮北市烈山区发展和改革委员会下发的备案表（项目代码：2303-340604-04-01-344349）</w:t>
            </w:r>
            <w:r>
              <w:t>，符合当地产业政策。</w:t>
            </w:r>
          </w:p>
          <w:p w14:paraId="4E33D5B8">
            <w:pPr>
              <w:pStyle w:val="14"/>
            </w:pPr>
            <w:r>
              <w:t>本项目属于</w:t>
            </w:r>
            <w:r>
              <w:rPr>
                <w:rFonts w:hint="eastAsia"/>
                <w:color w:val="auto"/>
              </w:rPr>
              <w:t>《产业结构调整指导目录》（</w:t>
            </w:r>
            <w:r>
              <w:rPr>
                <w:rFonts w:hint="eastAsia"/>
                <w:lang w:val="en-US" w:eastAsia="zh-CN"/>
              </w:rPr>
              <w:t>2024年本</w:t>
            </w:r>
            <w:r>
              <w:rPr>
                <w:rFonts w:hint="eastAsia"/>
                <w:color w:val="auto"/>
              </w:rPr>
              <w:t>）</w:t>
            </w:r>
            <w:r>
              <w:rPr>
                <w:rFonts w:hint="eastAsia"/>
                <w:color w:val="auto"/>
                <w:lang w:val="en-US" w:eastAsia="zh-CN"/>
              </w:rPr>
              <w:t>鼓励类</w:t>
            </w:r>
            <w:r>
              <w:t>中</w:t>
            </w:r>
            <w:r>
              <w:rPr>
                <w:rFonts w:hint="eastAsia"/>
                <w:lang w:val="en-US" w:eastAsia="zh-CN"/>
              </w:rPr>
              <w:t>“二十二、城镇基础设施，城镇集中供热建设和改造工程”</w:t>
            </w:r>
            <w:r>
              <w:t>。</w:t>
            </w:r>
          </w:p>
          <w:p w14:paraId="7D47CD00">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综上，项目建设符合</w:t>
            </w:r>
            <w:r>
              <w:rPr>
                <w:rFonts w:hint="eastAsia"/>
                <w:lang w:eastAsia="zh-CN"/>
              </w:rPr>
              <w:t>“</w:t>
            </w:r>
            <w:r>
              <w:rPr>
                <w:rFonts w:hint="eastAsia"/>
              </w:rPr>
              <w:t>三线一单</w:t>
            </w:r>
            <w:r>
              <w:rPr>
                <w:rFonts w:hint="eastAsia"/>
                <w:lang w:eastAsia="zh-CN"/>
              </w:rPr>
              <w:t>”</w:t>
            </w:r>
            <w:r>
              <w:rPr>
                <w:rFonts w:hint="eastAsia"/>
              </w:rPr>
              <w:t>要求。</w:t>
            </w:r>
          </w:p>
          <w:p w14:paraId="738A2556">
            <w:pPr>
              <w:widowControl w:val="0"/>
              <w:wordWrap/>
              <w:autoSpaceDE w:val="0"/>
              <w:autoSpaceDN w:val="0"/>
              <w:adjustRightInd/>
              <w:snapToGrid/>
              <w:spacing w:before="0" w:beforeAutospacing="0" w:after="0" w:afterAutospacing="0" w:line="360" w:lineRule="auto"/>
              <w:ind w:left="0" w:leftChars="0" w:right="0" w:firstLine="0" w:firstLineChars="0"/>
              <w:jc w:val="left"/>
              <w:textAlignment w:val="auto"/>
              <w:rPr>
                <w:rFonts w:hint="default" w:ascii="Times New Roman" w:hAnsi="Times New Roman" w:eastAsia="宋体" w:cs="Times New Roman"/>
                <w:b/>
                <w:bCs/>
                <w:color w:val="auto"/>
                <w:kern w:val="2"/>
                <w:sz w:val="24"/>
                <w:szCs w:val="24"/>
                <w:lang w:eastAsia="zh-CN"/>
              </w:rPr>
            </w:pPr>
            <w:r>
              <w:rPr>
                <w:rFonts w:hint="default" w:ascii="Times New Roman" w:hAnsi="Times New Roman" w:eastAsia="宋体" w:cs="Times New Roman"/>
                <w:b/>
                <w:bCs/>
                <w:color w:val="auto"/>
                <w:kern w:val="2"/>
                <w:sz w:val="24"/>
                <w:szCs w:val="24"/>
                <w:lang w:val="en-US" w:eastAsia="zh-CN"/>
              </w:rPr>
              <w:t>3</w:t>
            </w:r>
            <w:r>
              <w:rPr>
                <w:rFonts w:hint="default" w:ascii="Times New Roman" w:hAnsi="Times New Roman" w:eastAsia="宋体" w:cs="Times New Roman"/>
                <w:b/>
                <w:bCs/>
                <w:color w:val="auto"/>
                <w:kern w:val="2"/>
                <w:sz w:val="24"/>
                <w:szCs w:val="24"/>
                <w:lang w:eastAsia="zh-CN"/>
              </w:rPr>
              <w:t>、产业政策符合性</w:t>
            </w:r>
          </w:p>
          <w:p w14:paraId="3E10C642">
            <w:pPr>
              <w:ind w:firstLine="480"/>
              <w:rPr>
                <w:color w:val="auto"/>
              </w:rPr>
            </w:pPr>
            <w:r>
              <w:rPr>
                <w:rFonts w:hint="eastAsia" w:cs="宋体"/>
                <w:color w:val="auto"/>
                <w:kern w:val="0"/>
                <w:lang w:val="en-US" w:eastAsia="zh-CN"/>
              </w:rPr>
              <w:t>本</w:t>
            </w:r>
            <w:r>
              <w:rPr>
                <w:rFonts w:hint="eastAsia" w:cs="宋体"/>
                <w:color w:val="auto"/>
                <w:kern w:val="0"/>
              </w:rPr>
              <w:t>项目已于</w:t>
            </w:r>
            <w:r>
              <w:rPr>
                <w:color w:val="auto"/>
                <w:kern w:val="0"/>
              </w:rPr>
              <w:t>202</w:t>
            </w:r>
            <w:r>
              <w:rPr>
                <w:rFonts w:hint="eastAsia"/>
                <w:color w:val="auto"/>
                <w:kern w:val="0"/>
                <w:lang w:val="en-US" w:eastAsia="zh-CN"/>
              </w:rPr>
              <w:t>3</w:t>
            </w:r>
            <w:r>
              <w:rPr>
                <w:rFonts w:hint="eastAsia" w:cs="宋体"/>
                <w:color w:val="auto"/>
                <w:kern w:val="0"/>
              </w:rPr>
              <w:t>年</w:t>
            </w:r>
            <w:r>
              <w:rPr>
                <w:rFonts w:hint="eastAsia"/>
                <w:color w:val="auto"/>
                <w:kern w:val="0"/>
                <w:lang w:val="en-US" w:eastAsia="zh-CN"/>
              </w:rPr>
              <w:t>3</w:t>
            </w:r>
            <w:r>
              <w:rPr>
                <w:rFonts w:hint="eastAsia" w:cs="宋体"/>
                <w:color w:val="auto"/>
                <w:kern w:val="0"/>
              </w:rPr>
              <w:t>月</w:t>
            </w:r>
            <w:r>
              <w:rPr>
                <w:rFonts w:hint="eastAsia"/>
                <w:color w:val="auto"/>
                <w:kern w:val="0"/>
                <w:lang w:val="en-US" w:eastAsia="zh-CN"/>
              </w:rPr>
              <w:t>6</w:t>
            </w:r>
            <w:r>
              <w:rPr>
                <w:rFonts w:hint="eastAsia" w:cs="宋体"/>
                <w:color w:val="auto"/>
                <w:kern w:val="0"/>
              </w:rPr>
              <w:t>日取得</w:t>
            </w:r>
            <w:r>
              <w:rPr>
                <w:rFonts w:hint="eastAsia" w:cs="宋体"/>
                <w:color w:val="auto"/>
                <w:kern w:val="0"/>
                <w:lang w:val="en-US" w:eastAsia="zh-CN"/>
              </w:rPr>
              <w:t>淮北市烈山区发展和改革委员会下发的备案表（项目代码：2303-340604-04-01-344349）</w:t>
            </w:r>
            <w:r>
              <w:rPr>
                <w:color w:val="auto"/>
              </w:rPr>
              <w:t>，符合当地产业政策。</w:t>
            </w:r>
          </w:p>
          <w:p w14:paraId="4E61FB04">
            <w:pPr>
              <w:pStyle w:val="14"/>
              <w:rPr>
                <w:color w:val="auto"/>
              </w:rPr>
            </w:pPr>
            <w:r>
              <w:rPr>
                <w:color w:val="auto"/>
              </w:rPr>
              <w:t>本项目属于</w:t>
            </w:r>
            <w:r>
              <w:rPr>
                <w:rFonts w:hint="eastAsia"/>
                <w:color w:val="auto"/>
              </w:rPr>
              <w:t>《产业结构调整指导目录》（</w:t>
            </w:r>
            <w:r>
              <w:rPr>
                <w:rFonts w:hint="eastAsia"/>
                <w:color w:val="auto"/>
                <w:lang w:val="en-US" w:eastAsia="zh-CN"/>
              </w:rPr>
              <w:t>2024年本</w:t>
            </w:r>
            <w:r>
              <w:rPr>
                <w:rFonts w:hint="eastAsia"/>
                <w:color w:val="auto"/>
              </w:rPr>
              <w:t>）</w:t>
            </w:r>
            <w:r>
              <w:rPr>
                <w:rFonts w:hint="eastAsia"/>
                <w:color w:val="auto"/>
                <w:lang w:val="en-US" w:eastAsia="zh-CN"/>
              </w:rPr>
              <w:t>鼓励类</w:t>
            </w:r>
            <w:r>
              <w:rPr>
                <w:color w:val="auto"/>
              </w:rPr>
              <w:t>中</w:t>
            </w:r>
            <w:r>
              <w:rPr>
                <w:rFonts w:hint="eastAsia"/>
                <w:color w:val="auto"/>
                <w:lang w:val="en-US" w:eastAsia="zh-CN"/>
              </w:rPr>
              <w:t>“二十二、市政基础设施，城镇集中供热建设和改造工程”</w:t>
            </w:r>
            <w:r>
              <w:rPr>
                <w:color w:val="auto"/>
              </w:rPr>
              <w:t>。</w:t>
            </w:r>
          </w:p>
          <w:p w14:paraId="7B96BA2B">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lang w:val="en-US" w:eastAsia="zh-CN"/>
              </w:rPr>
            </w:pPr>
            <w:r>
              <w:rPr>
                <w:rFonts w:hint="eastAsia" w:cs="Times New Roman"/>
                <w:color w:val="auto"/>
                <w:kern w:val="0"/>
                <w:sz w:val="24"/>
                <w:szCs w:val="24"/>
                <w:lang w:val="en-US" w:eastAsia="zh-CN"/>
              </w:rPr>
              <w:t>因此，属于鼓励类</w:t>
            </w:r>
            <w:r>
              <w:rPr>
                <w:rFonts w:hint="eastAsia"/>
                <w:color w:val="auto"/>
                <w:lang w:val="en-US" w:eastAsia="zh-CN"/>
              </w:rPr>
              <w:t>。</w:t>
            </w:r>
          </w:p>
          <w:p w14:paraId="4C7DD7FC">
            <w:pPr>
              <w:keepNext w:val="0"/>
              <w:keepLines w:val="0"/>
              <w:pageBreakBefore w:val="0"/>
              <w:widowControl w:val="0"/>
              <w:numPr>
                <w:ilvl w:val="0"/>
                <w:numId w:val="2"/>
              </w:numPr>
              <w:kinsoku/>
              <w:wordWrap/>
              <w:overflowPunct/>
              <w:topLinePunct w:val="0"/>
              <w:autoSpaceDE w:val="0"/>
              <w:autoSpaceDN w:val="0"/>
              <w:bidi w:val="0"/>
              <w:adjustRightInd/>
              <w:snapToGrid/>
              <w:spacing w:before="0" w:beforeAutospacing="0" w:after="0" w:afterAutospacing="0" w:line="360" w:lineRule="auto"/>
              <w:ind w:left="0" w:right="0" w:firstLine="0" w:firstLineChars="0"/>
              <w:jc w:val="left"/>
              <w:textAlignment w:val="auto"/>
              <w:rPr>
                <w:color w:val="auto"/>
              </w:rPr>
            </w:pPr>
            <w:r>
              <w:rPr>
                <w:rFonts w:hint="eastAsia"/>
                <w:b/>
                <w:bCs/>
                <w:color w:val="auto"/>
              </w:rPr>
              <w:t>政策</w:t>
            </w:r>
            <w:r>
              <w:rPr>
                <w:b/>
                <w:bCs/>
                <w:color w:val="auto"/>
              </w:rPr>
              <w:t>符合性分析</w:t>
            </w:r>
          </w:p>
          <w:p w14:paraId="2D6C6DD2">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right="0" w:rightChars="0"/>
              <w:jc w:val="center"/>
              <w:textAlignment w:val="auto"/>
              <w:rPr>
                <w:rFonts w:hint="default"/>
                <w:b/>
                <w:bCs/>
                <w:lang w:val="en-US" w:eastAsia="zh-CN"/>
              </w:rPr>
            </w:pPr>
            <w:r>
              <w:rPr>
                <w:rFonts w:hint="eastAsia"/>
                <w:b/>
                <w:bCs/>
                <w:lang w:val="en-US" w:eastAsia="zh-CN"/>
              </w:rPr>
              <w:t>表1-2  政策符合性一览表</w:t>
            </w:r>
          </w:p>
          <w:tbl>
            <w:tblPr>
              <w:tblStyle w:val="27"/>
              <w:tblpPr w:leftFromText="180" w:rightFromText="180" w:vertAnchor="text" w:tblpX="1"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757"/>
              <w:gridCol w:w="3422"/>
              <w:gridCol w:w="2935"/>
              <w:gridCol w:w="545"/>
            </w:tblGrid>
            <w:tr w14:paraId="65CE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2" w:type="dxa"/>
                  <w:vAlign w:val="center"/>
                </w:tcPr>
                <w:p w14:paraId="5E4C1C9B">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default"/>
                      <w:b/>
                      <w:bCs/>
                      <w:color w:val="auto"/>
                      <w:lang w:val="en-US" w:eastAsia="zh-CN"/>
                    </w:rPr>
                  </w:pPr>
                  <w:r>
                    <w:rPr>
                      <w:rFonts w:hint="eastAsia"/>
                      <w:b/>
                      <w:bCs/>
                      <w:color w:val="auto"/>
                    </w:rPr>
                    <w:t>序号</w:t>
                  </w:r>
                </w:p>
              </w:tc>
              <w:tc>
                <w:tcPr>
                  <w:tcW w:w="757" w:type="dxa"/>
                  <w:vAlign w:val="center"/>
                </w:tcPr>
                <w:p w14:paraId="627A20FC">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default"/>
                      <w:b/>
                      <w:bCs/>
                      <w:color w:val="auto"/>
                      <w:lang w:val="en-US" w:eastAsia="zh-CN"/>
                    </w:rPr>
                  </w:pPr>
                  <w:r>
                    <w:rPr>
                      <w:rFonts w:hint="eastAsia"/>
                      <w:b/>
                      <w:bCs/>
                      <w:color w:val="auto"/>
                    </w:rPr>
                    <w:t>政策类别</w:t>
                  </w:r>
                </w:p>
              </w:tc>
              <w:tc>
                <w:tcPr>
                  <w:tcW w:w="3422" w:type="dxa"/>
                  <w:vAlign w:val="center"/>
                </w:tcPr>
                <w:p w14:paraId="55FEB867">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default"/>
                      <w:b/>
                      <w:bCs/>
                      <w:color w:val="auto"/>
                      <w:lang w:val="en-US" w:eastAsia="zh-CN"/>
                    </w:rPr>
                  </w:pPr>
                  <w:r>
                    <w:rPr>
                      <w:rFonts w:hint="eastAsia"/>
                      <w:b/>
                      <w:bCs/>
                      <w:color w:val="auto"/>
                    </w:rPr>
                    <w:t>规定内容</w:t>
                  </w:r>
                </w:p>
              </w:tc>
              <w:tc>
                <w:tcPr>
                  <w:tcW w:w="2935" w:type="dxa"/>
                  <w:vAlign w:val="center"/>
                </w:tcPr>
                <w:p w14:paraId="245FA3D5">
                  <w:pPr>
                    <w:pStyle w:val="4"/>
                    <w:keepNext/>
                    <w:keepLines w:val="0"/>
                    <w:pageBreakBefore w:val="0"/>
                    <w:widowControl w:val="0"/>
                    <w:kinsoku/>
                    <w:wordWrap/>
                    <w:overflowPunct w:val="0"/>
                    <w:topLinePunct w:val="0"/>
                    <w:autoSpaceDE/>
                    <w:autoSpaceDN/>
                    <w:bidi w:val="0"/>
                    <w:adjustRightInd/>
                    <w:snapToGrid/>
                    <w:ind w:firstLineChars="0"/>
                    <w:jc w:val="left"/>
                    <w:textAlignment w:val="auto"/>
                    <w:rPr>
                      <w:rFonts w:hint="default"/>
                      <w:b/>
                      <w:bCs/>
                      <w:color w:val="auto"/>
                      <w:lang w:val="en-US" w:eastAsia="zh-CN"/>
                    </w:rPr>
                  </w:pPr>
                  <w:r>
                    <w:rPr>
                      <w:rFonts w:hint="eastAsia"/>
                      <w:b/>
                      <w:bCs/>
                      <w:color w:val="auto"/>
                    </w:rPr>
                    <w:t>本项目内容</w:t>
                  </w:r>
                </w:p>
              </w:tc>
              <w:tc>
                <w:tcPr>
                  <w:tcW w:w="545" w:type="dxa"/>
                  <w:vAlign w:val="center"/>
                </w:tcPr>
                <w:p w14:paraId="095B77CB">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default"/>
                      <w:b/>
                      <w:bCs/>
                      <w:color w:val="auto"/>
                      <w:lang w:val="en-US" w:eastAsia="zh-CN"/>
                    </w:rPr>
                  </w:pPr>
                  <w:r>
                    <w:rPr>
                      <w:rFonts w:hint="eastAsia"/>
                      <w:b/>
                      <w:bCs/>
                      <w:color w:val="auto"/>
                    </w:rPr>
                    <w:t>相符性</w:t>
                  </w:r>
                </w:p>
              </w:tc>
            </w:tr>
            <w:tr w14:paraId="2BB1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vMerge w:val="restart"/>
                  <w:shd w:val="clear" w:color="auto" w:fill="auto"/>
                  <w:vAlign w:val="center"/>
                </w:tcPr>
                <w:p w14:paraId="69DFFF6C">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1</w:t>
                  </w:r>
                </w:p>
              </w:tc>
              <w:tc>
                <w:tcPr>
                  <w:tcW w:w="757" w:type="dxa"/>
                  <w:vMerge w:val="restart"/>
                  <w:shd w:val="clear" w:color="auto" w:fill="auto"/>
                  <w:vAlign w:val="center"/>
                </w:tcPr>
                <w:p w14:paraId="5815D117">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44"/>
                      <w:sz w:val="21"/>
                      <w:szCs w:val="24"/>
                      <w:lang w:val="en-US" w:eastAsia="zh-CN" w:bidi="ar-SA"/>
                    </w:rPr>
                  </w:pPr>
                  <w:r>
                    <w:rPr>
                      <w:rFonts w:hint="eastAsia" w:eastAsia="宋体"/>
                      <w:color w:val="auto"/>
                      <w:sz w:val="21"/>
                      <w:szCs w:val="21"/>
                      <w:lang w:eastAsia="zh-CN"/>
                    </w:rPr>
                    <w:t>《中共中央国务院关于深入打好污染防治攻坚战的意见》</w:t>
                  </w:r>
                  <w:r>
                    <w:rPr>
                      <w:rFonts w:hint="eastAsia"/>
                      <w:color w:val="auto"/>
                      <w:sz w:val="21"/>
                      <w:szCs w:val="21"/>
                      <w:lang w:eastAsia="zh-CN"/>
                    </w:rPr>
                    <w:t>（</w:t>
                  </w:r>
                  <w:r>
                    <w:rPr>
                      <w:rFonts w:hint="eastAsia" w:eastAsia="宋体"/>
                      <w:color w:val="auto"/>
                      <w:sz w:val="21"/>
                      <w:szCs w:val="21"/>
                      <w:lang w:val="en-US" w:eastAsia="zh-CN"/>
                    </w:rPr>
                    <w:t>2021年11月2日</w:t>
                  </w:r>
                  <w:r>
                    <w:rPr>
                      <w:rFonts w:hint="eastAsia"/>
                      <w:color w:val="auto"/>
                      <w:sz w:val="21"/>
                      <w:szCs w:val="21"/>
                      <w:lang w:eastAsia="zh-CN"/>
                    </w:rPr>
                    <w:t>）</w:t>
                  </w:r>
                </w:p>
              </w:tc>
              <w:tc>
                <w:tcPr>
                  <w:tcW w:w="3422" w:type="dxa"/>
                  <w:shd w:val="clear" w:color="auto" w:fill="auto"/>
                  <w:vAlign w:val="center"/>
                </w:tcPr>
                <w:p w14:paraId="6028E23D">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b w:val="0"/>
                      <w:bCs/>
                      <w:color w:val="auto"/>
                    </w:rPr>
                  </w:pPr>
                  <w:r>
                    <w:rPr>
                      <w:rFonts w:hint="eastAsia" w:cs="宋体"/>
                      <w:b w:val="0"/>
                      <w:bCs/>
                      <w:color w:val="auto"/>
                    </w:rPr>
                    <w:t>深入打好蓝天保卫战：</w:t>
                  </w:r>
                </w:p>
                <w:p w14:paraId="305A2484">
                  <w:pPr>
                    <w:pStyle w:val="35"/>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left"/>
                    <w:textAlignment w:val="auto"/>
                    <w:rPr>
                      <w:b w:val="0"/>
                      <w:bCs/>
                      <w:color w:val="auto"/>
                    </w:rPr>
                  </w:pPr>
                  <w:r>
                    <w:rPr>
                      <w:b w:val="0"/>
                      <w:bCs/>
                      <w:color w:val="auto"/>
                    </w:rPr>
                    <w:fldChar w:fldCharType="begin"/>
                  </w:r>
                  <w:r>
                    <w:rPr>
                      <w:b w:val="0"/>
                      <w:bCs/>
                      <w:color w:val="auto"/>
                    </w:rPr>
                    <w:instrText xml:space="preserve"> = 1 \* GB3 \* MERGEFORMAT </w:instrText>
                  </w:r>
                  <w:r>
                    <w:rPr>
                      <w:b w:val="0"/>
                      <w:bCs/>
                      <w:color w:val="auto"/>
                    </w:rPr>
                    <w:fldChar w:fldCharType="separate"/>
                  </w:r>
                  <w:r>
                    <w:rPr>
                      <w:rFonts w:hint="eastAsia" w:ascii="宋体" w:hAnsi="宋体" w:cs="宋体"/>
                      <w:b w:val="0"/>
                      <w:bCs/>
                      <w:color w:val="auto"/>
                    </w:rPr>
                    <w:t>①</w:t>
                  </w:r>
                  <w:r>
                    <w:rPr>
                      <w:rFonts w:hint="eastAsia" w:ascii="宋体" w:hAnsi="宋体" w:cs="宋体"/>
                      <w:b w:val="0"/>
                      <w:bCs/>
                      <w:color w:val="auto"/>
                    </w:rPr>
                    <w:fldChar w:fldCharType="end"/>
                  </w:r>
                  <w:r>
                    <w:rPr>
                      <w:rFonts w:hint="eastAsia" w:cs="宋体"/>
                      <w:b w:val="0"/>
                      <w:bCs/>
                      <w:color w:val="auto"/>
                    </w:rPr>
                    <w:t>着力打好重污染天气消除攻坚战。聚焦秋冬季细颗粒物污染，加大重点区域、重点行业结构调整和污染治理力度；</w:t>
                  </w:r>
                </w:p>
                <w:p w14:paraId="7AA1A3BD">
                  <w:pPr>
                    <w:pStyle w:val="35"/>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left"/>
                    <w:textAlignment w:val="auto"/>
                    <w:rPr>
                      <w:b w:val="0"/>
                      <w:bCs/>
                      <w:color w:val="auto"/>
                    </w:rPr>
                  </w:pPr>
                  <w:r>
                    <w:rPr>
                      <w:b w:val="0"/>
                      <w:bCs/>
                      <w:color w:val="auto"/>
                    </w:rPr>
                    <w:fldChar w:fldCharType="begin"/>
                  </w:r>
                  <w:r>
                    <w:rPr>
                      <w:b w:val="0"/>
                      <w:bCs/>
                      <w:color w:val="auto"/>
                    </w:rPr>
                    <w:instrText xml:space="preserve"> = 2 \* GB3 \* MERGEFORMAT </w:instrText>
                  </w:r>
                  <w:r>
                    <w:rPr>
                      <w:b w:val="0"/>
                      <w:bCs/>
                      <w:color w:val="auto"/>
                    </w:rPr>
                    <w:fldChar w:fldCharType="separate"/>
                  </w:r>
                  <w:r>
                    <w:rPr>
                      <w:rFonts w:hint="eastAsia" w:ascii="宋体" w:hAnsi="宋体" w:cs="宋体"/>
                      <w:b w:val="0"/>
                      <w:bCs/>
                      <w:color w:val="auto"/>
                    </w:rPr>
                    <w:t>②</w:t>
                  </w:r>
                  <w:r>
                    <w:rPr>
                      <w:rFonts w:hint="eastAsia" w:ascii="宋体" w:hAnsi="宋体" w:cs="宋体"/>
                      <w:b w:val="0"/>
                      <w:bCs/>
                      <w:color w:val="auto"/>
                    </w:rPr>
                    <w:fldChar w:fldCharType="end"/>
                  </w:r>
                  <w:r>
                    <w:rPr>
                      <w:rFonts w:hint="eastAsia" w:cs="宋体"/>
                      <w:b w:val="0"/>
                      <w:bCs/>
                      <w:color w:val="auto"/>
                    </w:rPr>
                    <w:t>着力打好臭氧污染防治攻坚战。聚焦夏秋季臭氧污染，大力推进挥发性有机物和氮氧化物协同减排；</w:t>
                  </w:r>
                </w:p>
                <w:p w14:paraId="1D1DBEAB">
                  <w:pPr>
                    <w:pStyle w:val="35"/>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left"/>
                    <w:textAlignment w:val="auto"/>
                    <w:rPr>
                      <w:b w:val="0"/>
                      <w:bCs/>
                      <w:color w:val="auto"/>
                    </w:rPr>
                  </w:pPr>
                  <w:r>
                    <w:rPr>
                      <w:b w:val="0"/>
                      <w:bCs/>
                      <w:color w:val="auto"/>
                    </w:rPr>
                    <w:fldChar w:fldCharType="begin"/>
                  </w:r>
                  <w:r>
                    <w:rPr>
                      <w:b w:val="0"/>
                      <w:bCs/>
                      <w:color w:val="auto"/>
                    </w:rPr>
                    <w:instrText xml:space="preserve"> = 3 \* GB3 \* MERGEFORMAT </w:instrText>
                  </w:r>
                  <w:r>
                    <w:rPr>
                      <w:b w:val="0"/>
                      <w:bCs/>
                      <w:color w:val="auto"/>
                    </w:rPr>
                    <w:fldChar w:fldCharType="separate"/>
                  </w:r>
                  <w:r>
                    <w:rPr>
                      <w:rFonts w:hint="eastAsia" w:ascii="宋体" w:hAnsi="宋体" w:cs="宋体"/>
                      <w:b w:val="0"/>
                      <w:bCs/>
                      <w:color w:val="auto"/>
                    </w:rPr>
                    <w:t>③</w:t>
                  </w:r>
                  <w:r>
                    <w:rPr>
                      <w:rFonts w:hint="eastAsia" w:ascii="宋体" w:hAnsi="宋体" w:cs="宋体"/>
                      <w:b w:val="0"/>
                      <w:bCs/>
                      <w:color w:val="auto"/>
                    </w:rPr>
                    <w:fldChar w:fldCharType="end"/>
                  </w:r>
                  <w:r>
                    <w:rPr>
                      <w:rFonts w:hint="eastAsia" w:cs="宋体"/>
                      <w:b w:val="0"/>
                      <w:bCs/>
                      <w:color w:val="auto"/>
                    </w:rPr>
                    <w:t>持续打好柴油货车污染治理攻坚战；</w:t>
                  </w:r>
                </w:p>
                <w:p w14:paraId="4D150CAB">
                  <w:pPr>
                    <w:pStyle w:val="4"/>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color w:val="auto"/>
                      <w:kern w:val="44"/>
                      <w:sz w:val="21"/>
                      <w:szCs w:val="24"/>
                      <w:lang w:val="en-US" w:eastAsia="zh-CN" w:bidi="ar-SA"/>
                    </w:rPr>
                  </w:pPr>
                  <w:r>
                    <w:rPr>
                      <w:b w:val="0"/>
                      <w:bCs/>
                      <w:color w:val="auto"/>
                    </w:rPr>
                    <w:fldChar w:fldCharType="begin"/>
                  </w:r>
                  <w:r>
                    <w:rPr>
                      <w:b w:val="0"/>
                      <w:bCs/>
                      <w:color w:val="auto"/>
                    </w:rPr>
                    <w:instrText xml:space="preserve"> = 4 \* GB3 \* MERGEFORMAT </w:instrText>
                  </w:r>
                  <w:r>
                    <w:rPr>
                      <w:b w:val="0"/>
                      <w:bCs/>
                      <w:color w:val="auto"/>
                    </w:rPr>
                    <w:fldChar w:fldCharType="separate"/>
                  </w:r>
                  <w:r>
                    <w:rPr>
                      <w:rFonts w:hint="eastAsia" w:ascii="宋体" w:hAnsi="宋体" w:cs="宋体"/>
                      <w:b w:val="0"/>
                      <w:bCs/>
                      <w:color w:val="auto"/>
                    </w:rPr>
                    <w:t>④</w:t>
                  </w:r>
                  <w:r>
                    <w:rPr>
                      <w:rFonts w:hint="eastAsia" w:ascii="宋体" w:hAnsi="宋体" w:cs="宋体"/>
                      <w:b w:val="0"/>
                      <w:bCs/>
                      <w:color w:val="auto"/>
                    </w:rPr>
                    <w:fldChar w:fldCharType="end"/>
                  </w:r>
                  <w:r>
                    <w:rPr>
                      <w:rFonts w:hint="eastAsia" w:cs="宋体"/>
                      <w:b w:val="0"/>
                      <w:bCs/>
                      <w:color w:val="auto"/>
                    </w:rPr>
                    <w:t>加强大气面源和噪声污染治理。强化施工、道路、堆场、裸露地面等扬尘管控，加强城市</w:t>
                  </w:r>
                  <w:r>
                    <w:rPr>
                      <w:rFonts w:hint="eastAsia" w:cs="宋体"/>
                      <w:b w:val="0"/>
                      <w:bCs/>
                      <w:color w:val="auto"/>
                      <w:lang w:val="en-US" w:eastAsia="zh-CN"/>
                    </w:rPr>
                    <w:t>保洁</w:t>
                  </w:r>
                  <w:r>
                    <w:rPr>
                      <w:rFonts w:hint="eastAsia" w:cs="宋体"/>
                      <w:b w:val="0"/>
                      <w:bCs/>
                      <w:color w:val="auto"/>
                    </w:rPr>
                    <w:t>和清扫</w:t>
                  </w:r>
                </w:p>
              </w:tc>
              <w:tc>
                <w:tcPr>
                  <w:tcW w:w="2935" w:type="dxa"/>
                  <w:shd w:val="clear" w:color="auto" w:fill="auto"/>
                  <w:vAlign w:val="center"/>
                </w:tcPr>
                <w:p w14:paraId="3E7B216C">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eastAsia="宋体"/>
                      <w:color w:val="auto"/>
                      <w:lang w:val="en-US" w:eastAsia="zh-CN"/>
                    </w:rPr>
                  </w:pPr>
                  <w:r>
                    <w:rPr>
                      <w:rFonts w:hint="eastAsia"/>
                      <w:color w:val="auto"/>
                      <w:lang w:val="en-US" w:eastAsia="zh-CN"/>
                    </w:rPr>
                    <w:t>管网铺设施工期：</w:t>
                  </w:r>
                </w:p>
                <w:p w14:paraId="3655EE2B">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eastAsia="宋体"/>
                      <w:color w:val="auto"/>
                      <w:lang w:val="en-US" w:eastAsia="zh-CN"/>
                    </w:rPr>
                  </w:pPr>
                  <w:r>
                    <w:rPr>
                      <w:rFonts w:hint="default" w:eastAsia="宋体"/>
                      <w:color w:val="auto"/>
                      <w:lang w:val="en-US" w:eastAsia="zh-CN"/>
                    </w:rPr>
                    <w:t>施工、运输扬尘在施工现场周边安装密目网封闭式围档、定时洒水、运输车辆限速限载、运输车辆及临时堆土区采取篷布遮挡、清理渣土运输车轮胎及车身等措施；施工机械和运输车辆废气加强设备维修保养工作、对故障设备和运输车辆及时维修处理、运输路线绕开敏感点集中区等措施；焊接烟尘焊接烟尘产生量小、产生点分散，采取在施工期内尽快完成，以减小对周边环境的影响时间</w:t>
                  </w:r>
                </w:p>
                <w:p w14:paraId="654361C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lang w:val="en-US" w:eastAsia="zh-CN"/>
                    </w:rPr>
                  </w:pPr>
                  <w:r>
                    <w:rPr>
                      <w:rFonts w:hint="eastAsia"/>
                      <w:color w:val="auto"/>
                      <w:sz w:val="21"/>
                      <w:szCs w:val="21"/>
                      <w:lang w:val="en-US" w:eastAsia="zh-CN"/>
                    </w:rPr>
                    <w:t>能源站营运期：</w:t>
                  </w:r>
                </w:p>
                <w:p w14:paraId="68B209C6">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color w:val="auto"/>
                      <w:kern w:val="44"/>
                      <w:sz w:val="21"/>
                      <w:szCs w:val="24"/>
                      <w:lang w:val="en-US" w:eastAsia="zh-CN" w:bidi="ar-SA"/>
                    </w:rPr>
                  </w:pPr>
                  <w:r>
                    <w:rPr>
                      <w:rFonts w:hint="default" w:eastAsia="宋体"/>
                      <w:color w:val="auto"/>
                      <w:lang w:val="en-US" w:eastAsia="zh-CN"/>
                    </w:rPr>
                    <w:t>经设备自带的低氮燃烧器燃烧后通过</w:t>
                  </w:r>
                  <w:r>
                    <w:rPr>
                      <w:rFonts w:hint="eastAsia"/>
                      <w:color w:val="auto"/>
                      <w:lang w:val="en-US" w:eastAsia="zh-CN"/>
                    </w:rPr>
                    <w:t>18m高</w:t>
                  </w:r>
                  <w:r>
                    <w:rPr>
                      <w:rFonts w:hint="default"/>
                      <w:color w:val="auto"/>
                      <w:lang w:val="en-US" w:eastAsia="zh-CN"/>
                    </w:rPr>
                    <w:t>DA001排气筒排放</w:t>
                  </w:r>
                  <w:r>
                    <w:rPr>
                      <w:rFonts w:hint="eastAsia"/>
                      <w:color w:val="auto"/>
                      <w:highlight w:val="none"/>
                      <w:lang w:eastAsia="zh-CN"/>
                    </w:rPr>
                    <w:t>；</w:t>
                  </w:r>
                  <w:r>
                    <w:rPr>
                      <w:rFonts w:hint="eastAsia"/>
                      <w:color w:val="auto"/>
                      <w:highlight w:val="none"/>
                      <w:lang w:val="en-US" w:eastAsia="zh-CN"/>
                    </w:rPr>
                    <w:t>采用新能源运输车辆，</w:t>
                  </w:r>
                  <w:r>
                    <w:rPr>
                      <w:rFonts w:hint="eastAsia" w:ascii="宋体" w:hAnsi="宋体" w:eastAsia="宋体" w:cs="宋体"/>
                      <w:i w:val="0"/>
                      <w:iCs w:val="0"/>
                      <w:caps w:val="0"/>
                      <w:color w:val="auto"/>
                      <w:spacing w:val="0"/>
                      <w:sz w:val="21"/>
                      <w:szCs w:val="21"/>
                      <w:highlight w:val="none"/>
                      <w:shd w:val="clear" w:fill="FFFFFF"/>
                    </w:rPr>
                    <w:t>淘汰</w:t>
                  </w:r>
                  <w:r>
                    <w:rPr>
                      <w:rFonts w:hint="eastAsia"/>
                      <w:color w:val="auto"/>
                      <w:lang w:val="en-US" w:eastAsia="zh-CN"/>
                    </w:rPr>
                    <w:t>国五</w:t>
                  </w:r>
                  <w:r>
                    <w:rPr>
                      <w:rFonts w:hint="eastAsia" w:ascii="宋体" w:hAnsi="宋体" w:eastAsia="宋体" w:cs="宋体"/>
                      <w:i w:val="0"/>
                      <w:iCs w:val="0"/>
                      <w:caps w:val="0"/>
                      <w:color w:val="auto"/>
                      <w:spacing w:val="0"/>
                      <w:sz w:val="21"/>
                      <w:szCs w:val="21"/>
                      <w:highlight w:val="none"/>
                      <w:shd w:val="clear" w:fill="FFFFFF"/>
                    </w:rPr>
                    <w:t>及以下排放标准营运重型柴油货车</w:t>
                  </w:r>
                  <w:r>
                    <w:rPr>
                      <w:rFonts w:hint="eastAsia" w:ascii="宋体" w:hAnsi="宋体" w:eastAsia="宋体" w:cs="宋体"/>
                      <w:i w:val="0"/>
                      <w:iCs w:val="0"/>
                      <w:caps w:val="0"/>
                      <w:color w:val="auto"/>
                      <w:spacing w:val="0"/>
                      <w:sz w:val="21"/>
                      <w:szCs w:val="21"/>
                      <w:highlight w:val="none"/>
                      <w:shd w:val="clear" w:fill="FFFFFF"/>
                      <w:lang w:eastAsia="zh-CN"/>
                    </w:rPr>
                    <w:t>；</w:t>
                  </w:r>
                  <w:r>
                    <w:rPr>
                      <w:rFonts w:hint="default" w:ascii="Times New Roman" w:hAnsi="Times New Roman" w:eastAsia="宋体" w:cs="Times New Roman"/>
                      <w:b w:val="0"/>
                      <w:bCs/>
                      <w:color w:val="auto"/>
                      <w:sz w:val="21"/>
                      <w:szCs w:val="21"/>
                      <w:highlight w:val="none"/>
                    </w:rPr>
                    <w:t>优选低噪设备，合理布局、基础减振</w:t>
                  </w:r>
                </w:p>
              </w:tc>
              <w:tc>
                <w:tcPr>
                  <w:tcW w:w="545" w:type="dxa"/>
                  <w:shd w:val="clear" w:color="auto" w:fill="auto"/>
                  <w:vAlign w:val="center"/>
                </w:tcPr>
                <w:p w14:paraId="18BA806D">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符合</w:t>
                  </w:r>
                </w:p>
              </w:tc>
            </w:tr>
            <w:tr w14:paraId="575A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vMerge w:val="continue"/>
                  <w:vAlign w:val="center"/>
                </w:tcPr>
                <w:p w14:paraId="1564A69E">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rPr>
                  </w:pPr>
                </w:p>
              </w:tc>
              <w:tc>
                <w:tcPr>
                  <w:tcW w:w="757" w:type="dxa"/>
                  <w:vMerge w:val="continue"/>
                  <w:vAlign w:val="center"/>
                </w:tcPr>
                <w:p w14:paraId="4DB06454">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rPr>
                  </w:pPr>
                </w:p>
              </w:tc>
              <w:tc>
                <w:tcPr>
                  <w:tcW w:w="3422" w:type="dxa"/>
                  <w:shd w:val="clear" w:color="auto" w:fill="auto"/>
                  <w:vAlign w:val="center"/>
                </w:tcPr>
                <w:p w14:paraId="0B73CDB2">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b w:val="0"/>
                      <w:bCs/>
                      <w:color w:val="auto"/>
                    </w:rPr>
                  </w:pPr>
                  <w:r>
                    <w:rPr>
                      <w:rFonts w:hint="eastAsia" w:cs="宋体"/>
                      <w:b w:val="0"/>
                      <w:bCs/>
                      <w:color w:val="auto"/>
                    </w:rPr>
                    <w:t>深入打好碧水保卫战：</w:t>
                  </w:r>
                </w:p>
                <w:p w14:paraId="052AB248">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rFonts w:hint="eastAsia" w:cs="宋体"/>
                      <w:b w:val="0"/>
                      <w:bCs/>
                      <w:color w:val="auto"/>
                      <w:spacing w:val="-9"/>
                    </w:rPr>
                  </w:pPr>
                  <w:r>
                    <w:rPr>
                      <w:b w:val="0"/>
                      <w:bCs/>
                      <w:color w:val="auto"/>
                      <w:spacing w:val="-9"/>
                    </w:rPr>
                    <w:fldChar w:fldCharType="begin"/>
                  </w:r>
                  <w:r>
                    <w:rPr>
                      <w:b w:val="0"/>
                      <w:bCs/>
                      <w:color w:val="auto"/>
                      <w:spacing w:val="-9"/>
                    </w:rPr>
                    <w:instrText xml:space="preserve"> = 1 \* GB3 \* MERGEFORMAT </w:instrText>
                  </w:r>
                  <w:r>
                    <w:rPr>
                      <w:b w:val="0"/>
                      <w:bCs/>
                      <w:color w:val="auto"/>
                      <w:spacing w:val="-9"/>
                    </w:rPr>
                    <w:fldChar w:fldCharType="separate"/>
                  </w:r>
                  <w:r>
                    <w:rPr>
                      <w:rFonts w:hint="eastAsia" w:ascii="宋体" w:hAnsi="宋体" w:cs="宋体"/>
                      <w:b w:val="0"/>
                      <w:bCs/>
                      <w:color w:val="auto"/>
                      <w:spacing w:val="-9"/>
                    </w:rPr>
                    <w:t>①</w:t>
                  </w:r>
                  <w:r>
                    <w:rPr>
                      <w:rFonts w:hint="eastAsia" w:ascii="宋体" w:hAnsi="宋体" w:cs="宋体"/>
                      <w:b w:val="0"/>
                      <w:bCs/>
                      <w:color w:val="auto"/>
                      <w:spacing w:val="-9"/>
                    </w:rPr>
                    <w:fldChar w:fldCharType="end"/>
                  </w:r>
                  <w:r>
                    <w:rPr>
                      <w:rFonts w:hint="eastAsia" w:cs="宋体"/>
                      <w:b w:val="0"/>
                      <w:bCs/>
                      <w:color w:val="auto"/>
                      <w:spacing w:val="-9"/>
                    </w:rPr>
                    <w:t>持续打好城市黑臭水体治理攻坚战；</w:t>
                  </w:r>
                </w:p>
                <w:p w14:paraId="58318EC1">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rFonts w:hint="eastAsia" w:cs="宋体"/>
                      <w:b w:val="0"/>
                      <w:bCs/>
                      <w:color w:val="auto"/>
                      <w:spacing w:val="-9"/>
                    </w:rPr>
                  </w:pPr>
                  <w:r>
                    <w:rPr>
                      <w:b w:val="0"/>
                      <w:bCs/>
                      <w:color w:val="auto"/>
                      <w:spacing w:val="-9"/>
                    </w:rPr>
                    <w:fldChar w:fldCharType="begin"/>
                  </w:r>
                  <w:r>
                    <w:rPr>
                      <w:b w:val="0"/>
                      <w:bCs/>
                      <w:color w:val="auto"/>
                      <w:spacing w:val="-9"/>
                    </w:rPr>
                    <w:instrText xml:space="preserve"> = 2 \* GB3 \* MERGEFORMAT </w:instrText>
                  </w:r>
                  <w:r>
                    <w:rPr>
                      <w:b w:val="0"/>
                      <w:bCs/>
                      <w:color w:val="auto"/>
                      <w:spacing w:val="-9"/>
                    </w:rPr>
                    <w:fldChar w:fldCharType="separate"/>
                  </w:r>
                  <w:r>
                    <w:rPr>
                      <w:rFonts w:hint="eastAsia" w:ascii="宋体" w:hAnsi="宋体" w:cs="宋体"/>
                      <w:b w:val="0"/>
                      <w:bCs/>
                      <w:color w:val="auto"/>
                      <w:spacing w:val="-9"/>
                    </w:rPr>
                    <w:t>②</w:t>
                  </w:r>
                  <w:r>
                    <w:rPr>
                      <w:rFonts w:hint="eastAsia" w:ascii="宋体" w:hAnsi="宋体" w:cs="宋体"/>
                      <w:b w:val="0"/>
                      <w:bCs/>
                      <w:color w:val="auto"/>
                      <w:spacing w:val="-9"/>
                    </w:rPr>
                    <w:fldChar w:fldCharType="end"/>
                  </w:r>
                  <w:r>
                    <w:rPr>
                      <w:rFonts w:hint="eastAsia" w:cs="宋体"/>
                      <w:b w:val="0"/>
                      <w:bCs/>
                      <w:color w:val="auto"/>
                      <w:spacing w:val="-9"/>
                    </w:rPr>
                    <w:t>持续打好长江保护修复攻坚战；</w:t>
                  </w:r>
                </w:p>
                <w:p w14:paraId="0522CB94">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rFonts w:hint="eastAsia" w:cs="宋体"/>
                      <w:b w:val="0"/>
                      <w:bCs/>
                      <w:color w:val="auto"/>
                      <w:spacing w:val="-9"/>
                    </w:rPr>
                  </w:pPr>
                  <w:r>
                    <w:rPr>
                      <w:b w:val="0"/>
                      <w:bCs/>
                      <w:color w:val="auto"/>
                      <w:spacing w:val="-9"/>
                    </w:rPr>
                    <w:fldChar w:fldCharType="begin"/>
                  </w:r>
                  <w:r>
                    <w:rPr>
                      <w:b w:val="0"/>
                      <w:bCs/>
                      <w:color w:val="auto"/>
                      <w:spacing w:val="-9"/>
                    </w:rPr>
                    <w:instrText xml:space="preserve"> = 3 \* GB3 \* MERGEFORMAT </w:instrText>
                  </w:r>
                  <w:r>
                    <w:rPr>
                      <w:b w:val="0"/>
                      <w:bCs/>
                      <w:color w:val="auto"/>
                      <w:spacing w:val="-9"/>
                    </w:rPr>
                    <w:fldChar w:fldCharType="separate"/>
                  </w:r>
                  <w:r>
                    <w:rPr>
                      <w:rFonts w:hint="eastAsia" w:ascii="宋体" w:hAnsi="宋体" w:cs="宋体"/>
                      <w:b w:val="0"/>
                      <w:bCs/>
                      <w:color w:val="auto"/>
                      <w:spacing w:val="-9"/>
                    </w:rPr>
                    <w:t>③</w:t>
                  </w:r>
                  <w:r>
                    <w:rPr>
                      <w:rFonts w:hint="eastAsia" w:ascii="宋体" w:hAnsi="宋体" w:cs="宋体"/>
                      <w:b w:val="0"/>
                      <w:bCs/>
                      <w:color w:val="auto"/>
                      <w:spacing w:val="-9"/>
                    </w:rPr>
                    <w:fldChar w:fldCharType="end"/>
                  </w:r>
                  <w:r>
                    <w:rPr>
                      <w:rFonts w:hint="eastAsia" w:cs="宋体"/>
                      <w:b w:val="0"/>
                      <w:bCs/>
                      <w:color w:val="auto"/>
                      <w:spacing w:val="-9"/>
                    </w:rPr>
                    <w:t>着力打好黄河生态保护治理攻坚战；</w:t>
                  </w:r>
                </w:p>
                <w:p w14:paraId="37106CFA">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rFonts w:hint="eastAsia" w:cs="宋体"/>
                      <w:b w:val="0"/>
                      <w:bCs/>
                      <w:color w:val="auto"/>
                      <w:spacing w:val="-9"/>
                    </w:rPr>
                  </w:pPr>
                  <w:r>
                    <w:rPr>
                      <w:b w:val="0"/>
                      <w:bCs/>
                      <w:color w:val="auto"/>
                      <w:spacing w:val="-9"/>
                    </w:rPr>
                    <w:fldChar w:fldCharType="begin"/>
                  </w:r>
                  <w:r>
                    <w:rPr>
                      <w:b w:val="0"/>
                      <w:bCs/>
                      <w:color w:val="auto"/>
                      <w:spacing w:val="-9"/>
                    </w:rPr>
                    <w:instrText xml:space="preserve"> = 4 \* GB3 \* MERGEFORMAT </w:instrText>
                  </w:r>
                  <w:r>
                    <w:rPr>
                      <w:b w:val="0"/>
                      <w:bCs/>
                      <w:color w:val="auto"/>
                      <w:spacing w:val="-9"/>
                    </w:rPr>
                    <w:fldChar w:fldCharType="separate"/>
                  </w:r>
                  <w:r>
                    <w:rPr>
                      <w:rFonts w:hint="eastAsia" w:ascii="宋体" w:hAnsi="宋体" w:cs="宋体"/>
                      <w:b w:val="0"/>
                      <w:bCs/>
                      <w:color w:val="auto"/>
                      <w:spacing w:val="-9"/>
                    </w:rPr>
                    <w:t>④</w:t>
                  </w:r>
                  <w:r>
                    <w:rPr>
                      <w:rFonts w:hint="eastAsia" w:ascii="宋体" w:hAnsi="宋体" w:cs="宋体"/>
                      <w:b w:val="0"/>
                      <w:bCs/>
                      <w:color w:val="auto"/>
                      <w:spacing w:val="-9"/>
                    </w:rPr>
                    <w:fldChar w:fldCharType="end"/>
                  </w:r>
                  <w:r>
                    <w:rPr>
                      <w:rFonts w:hint="eastAsia" w:cs="宋体"/>
                      <w:b w:val="0"/>
                      <w:bCs/>
                      <w:color w:val="auto"/>
                      <w:spacing w:val="-9"/>
                    </w:rPr>
                    <w:t>巩固提升饮用水安全保障水平；</w:t>
                  </w:r>
                </w:p>
                <w:p w14:paraId="79D8D84A">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rFonts w:hint="eastAsia" w:cs="宋体"/>
                      <w:b w:val="0"/>
                      <w:bCs/>
                      <w:color w:val="auto"/>
                      <w:spacing w:val="-9"/>
                    </w:rPr>
                  </w:pPr>
                  <w:r>
                    <w:rPr>
                      <w:b w:val="0"/>
                      <w:bCs/>
                      <w:color w:val="auto"/>
                      <w:spacing w:val="-9"/>
                    </w:rPr>
                    <w:fldChar w:fldCharType="begin"/>
                  </w:r>
                  <w:r>
                    <w:rPr>
                      <w:b w:val="0"/>
                      <w:bCs/>
                      <w:color w:val="auto"/>
                      <w:spacing w:val="-9"/>
                    </w:rPr>
                    <w:instrText xml:space="preserve"> = 5 \* GB3 \* MERGEFORMAT </w:instrText>
                  </w:r>
                  <w:r>
                    <w:rPr>
                      <w:b w:val="0"/>
                      <w:bCs/>
                      <w:color w:val="auto"/>
                      <w:spacing w:val="-9"/>
                    </w:rPr>
                    <w:fldChar w:fldCharType="separate"/>
                  </w:r>
                  <w:r>
                    <w:rPr>
                      <w:rFonts w:hint="eastAsia" w:ascii="宋体" w:hAnsi="宋体" w:cs="宋体"/>
                      <w:b w:val="0"/>
                      <w:bCs/>
                      <w:color w:val="auto"/>
                      <w:spacing w:val="-9"/>
                    </w:rPr>
                    <w:t>⑤</w:t>
                  </w:r>
                  <w:r>
                    <w:rPr>
                      <w:rFonts w:hint="eastAsia" w:ascii="宋体" w:hAnsi="宋体" w:cs="宋体"/>
                      <w:b w:val="0"/>
                      <w:bCs/>
                      <w:color w:val="auto"/>
                      <w:spacing w:val="-9"/>
                    </w:rPr>
                    <w:fldChar w:fldCharType="end"/>
                  </w:r>
                  <w:r>
                    <w:rPr>
                      <w:rFonts w:hint="eastAsia" w:cs="宋体"/>
                      <w:b w:val="0"/>
                      <w:bCs/>
                      <w:color w:val="auto"/>
                      <w:spacing w:val="-9"/>
                    </w:rPr>
                    <w:t>着力打好重点海域综合治理攻坚战；</w:t>
                  </w:r>
                </w:p>
                <w:p w14:paraId="1D2F52CF">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rightChars="0" w:firstLine="0" w:firstLineChars="0"/>
                    <w:jc w:val="left"/>
                    <w:textAlignment w:val="auto"/>
                    <w:rPr>
                      <w:rFonts w:hint="eastAsia" w:ascii="Times New Roman" w:hAnsi="Times New Roman" w:eastAsia="宋体" w:cs="Times New Roman"/>
                      <w:color w:val="auto"/>
                      <w:kern w:val="2"/>
                      <w:sz w:val="21"/>
                      <w:szCs w:val="20"/>
                      <w:lang w:val="en-US" w:eastAsia="zh-CN" w:bidi="ar-SA"/>
                    </w:rPr>
                  </w:pPr>
                  <w:r>
                    <w:rPr>
                      <w:b w:val="0"/>
                      <w:bCs/>
                      <w:color w:val="auto"/>
                      <w:spacing w:val="-9"/>
                    </w:rPr>
                    <w:fldChar w:fldCharType="begin"/>
                  </w:r>
                  <w:r>
                    <w:rPr>
                      <w:b w:val="0"/>
                      <w:bCs/>
                      <w:color w:val="auto"/>
                      <w:spacing w:val="-9"/>
                    </w:rPr>
                    <w:instrText xml:space="preserve"> = 6 \* GB3 \* MERGEFORMAT </w:instrText>
                  </w:r>
                  <w:r>
                    <w:rPr>
                      <w:b w:val="0"/>
                      <w:bCs/>
                      <w:color w:val="auto"/>
                      <w:spacing w:val="-9"/>
                    </w:rPr>
                    <w:fldChar w:fldCharType="separate"/>
                  </w:r>
                  <w:r>
                    <w:rPr>
                      <w:rFonts w:hint="eastAsia" w:ascii="宋体" w:hAnsi="宋体" w:cs="宋体"/>
                      <w:b w:val="0"/>
                      <w:bCs/>
                      <w:color w:val="auto"/>
                      <w:spacing w:val="-9"/>
                    </w:rPr>
                    <w:t>⑥</w:t>
                  </w:r>
                  <w:r>
                    <w:rPr>
                      <w:rFonts w:hint="eastAsia" w:ascii="宋体" w:hAnsi="宋体" w:cs="宋体"/>
                      <w:b w:val="0"/>
                      <w:bCs/>
                      <w:color w:val="auto"/>
                      <w:spacing w:val="-9"/>
                    </w:rPr>
                    <w:fldChar w:fldCharType="end"/>
                  </w:r>
                  <w:r>
                    <w:rPr>
                      <w:rFonts w:hint="eastAsia" w:cs="宋体"/>
                      <w:b w:val="0"/>
                      <w:bCs/>
                      <w:color w:val="auto"/>
                      <w:spacing w:val="-9"/>
                    </w:rPr>
                    <w:t>强化陆域海域污染协同</w:t>
                  </w:r>
                  <w:r>
                    <w:rPr>
                      <w:rFonts w:hint="eastAsia" w:cs="宋体"/>
                      <w:b w:val="0"/>
                      <w:bCs/>
                      <w:color w:val="auto"/>
                      <w:spacing w:val="-9"/>
                      <w:lang w:val="en-US" w:eastAsia="zh-CN"/>
                    </w:rPr>
                    <w:t>治理</w:t>
                  </w:r>
                </w:p>
              </w:tc>
              <w:tc>
                <w:tcPr>
                  <w:tcW w:w="2935" w:type="dxa"/>
                  <w:shd w:val="clear" w:color="auto" w:fill="auto"/>
                  <w:vAlign w:val="center"/>
                </w:tcPr>
                <w:p w14:paraId="0C24C1CF">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cs="宋体"/>
                      <w:color w:val="auto"/>
                      <w:lang w:val="en-US" w:eastAsia="zh-CN"/>
                    </w:rPr>
                  </w:pPr>
                  <w:r>
                    <w:rPr>
                      <w:rFonts w:hint="eastAsia" w:cs="宋体"/>
                      <w:color w:val="auto"/>
                      <w:lang w:val="en-US" w:eastAsia="zh-CN"/>
                    </w:rPr>
                    <w:t>管网铺设施工期：</w:t>
                  </w:r>
                  <w:r>
                    <w:rPr>
                      <w:rFonts w:hint="eastAsia"/>
                      <w:color w:val="auto"/>
                      <w:sz w:val="21"/>
                      <w:szCs w:val="21"/>
                      <w:lang w:val="en-US" w:eastAsia="zh-CN"/>
                    </w:rPr>
                    <w:t>生活污水经附近公厕的化粪池处理，管道试压水经临时</w:t>
                  </w:r>
                  <w:r>
                    <w:rPr>
                      <w:rFonts w:hint="default"/>
                      <w:color w:val="auto"/>
                      <w:sz w:val="21"/>
                      <w:szCs w:val="21"/>
                      <w:lang w:val="en-US" w:eastAsia="zh-CN"/>
                    </w:rPr>
                    <w:t>沉淀池处理</w:t>
                  </w:r>
                  <w:r>
                    <w:rPr>
                      <w:rFonts w:hint="eastAsia"/>
                      <w:color w:val="auto"/>
                      <w:sz w:val="21"/>
                      <w:szCs w:val="21"/>
                      <w:lang w:val="en-US" w:eastAsia="zh-CN"/>
                    </w:rPr>
                    <w:t>后</w:t>
                  </w:r>
                  <w:r>
                    <w:rPr>
                      <w:rFonts w:hint="eastAsia"/>
                      <w:color w:val="auto"/>
                      <w:lang w:val="en-US" w:eastAsia="zh-CN"/>
                    </w:rPr>
                    <w:t>接管网进入淮北蓝海水处理有限公司进一步处理，部分作为平山电厂冷却循环水，剩余部分排入萧濉新河</w:t>
                  </w:r>
                  <w:r>
                    <w:rPr>
                      <w:rFonts w:hint="eastAsia"/>
                      <w:color w:val="auto"/>
                      <w:sz w:val="21"/>
                      <w:szCs w:val="21"/>
                      <w:lang w:val="en-US" w:eastAsia="zh-CN"/>
                    </w:rPr>
                    <w:t>。</w:t>
                  </w:r>
                  <w:r>
                    <w:rPr>
                      <w:rFonts w:hint="default"/>
                      <w:color w:val="auto"/>
                      <w:sz w:val="21"/>
                      <w:szCs w:val="21"/>
                      <w:lang w:val="en-US" w:eastAsia="zh-CN"/>
                    </w:rPr>
                    <w:t>施工废水集中收集，经</w:t>
                  </w:r>
                  <w:r>
                    <w:rPr>
                      <w:rFonts w:hint="eastAsia"/>
                      <w:color w:val="auto"/>
                      <w:sz w:val="21"/>
                      <w:szCs w:val="21"/>
                      <w:lang w:val="en-US" w:eastAsia="zh-CN"/>
                    </w:rPr>
                    <w:t>临时</w:t>
                  </w:r>
                  <w:r>
                    <w:rPr>
                      <w:rFonts w:hint="default"/>
                      <w:color w:val="auto"/>
                      <w:sz w:val="21"/>
                      <w:szCs w:val="21"/>
                      <w:lang w:val="en-US" w:eastAsia="zh-CN"/>
                    </w:rPr>
                    <w:t>沉淀池处理后</w:t>
                  </w:r>
                  <w:r>
                    <w:rPr>
                      <w:rFonts w:hint="eastAsia"/>
                      <w:color w:val="auto"/>
                      <w:sz w:val="21"/>
                      <w:szCs w:val="21"/>
                      <w:lang w:val="en-US" w:eastAsia="zh-CN"/>
                    </w:rPr>
                    <w:t>循环使用</w:t>
                  </w:r>
                </w:p>
                <w:p w14:paraId="06FDED78">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color w:val="auto"/>
                      <w:kern w:val="44"/>
                      <w:sz w:val="21"/>
                      <w:szCs w:val="24"/>
                      <w:lang w:val="en-US" w:eastAsia="zh-CN" w:bidi="ar-SA"/>
                    </w:rPr>
                  </w:pPr>
                  <w:r>
                    <w:rPr>
                      <w:rFonts w:hint="eastAsia" w:cs="宋体"/>
                      <w:color w:val="auto"/>
                      <w:lang w:val="en-US" w:eastAsia="zh-CN"/>
                    </w:rPr>
                    <w:t>能源站营运期：厂区实行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p>
              </w:tc>
              <w:tc>
                <w:tcPr>
                  <w:tcW w:w="545" w:type="dxa"/>
                  <w:shd w:val="clear" w:color="auto" w:fill="auto"/>
                  <w:vAlign w:val="center"/>
                </w:tcPr>
                <w:p w14:paraId="025A7755">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符合</w:t>
                  </w:r>
                </w:p>
              </w:tc>
            </w:tr>
            <w:tr w14:paraId="67CB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vMerge w:val="continue"/>
                  <w:vAlign w:val="center"/>
                </w:tcPr>
                <w:p w14:paraId="1347F5EA">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rPr>
                  </w:pPr>
                </w:p>
              </w:tc>
              <w:tc>
                <w:tcPr>
                  <w:tcW w:w="757" w:type="dxa"/>
                  <w:vMerge w:val="continue"/>
                  <w:vAlign w:val="center"/>
                </w:tcPr>
                <w:p w14:paraId="38515615">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rPr>
                  </w:pPr>
                </w:p>
              </w:tc>
              <w:tc>
                <w:tcPr>
                  <w:tcW w:w="3422" w:type="dxa"/>
                  <w:shd w:val="clear" w:color="auto" w:fill="auto"/>
                  <w:vAlign w:val="center"/>
                </w:tcPr>
                <w:p w14:paraId="3163128A">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b w:val="0"/>
                      <w:bCs/>
                      <w:color w:val="auto"/>
                    </w:rPr>
                  </w:pPr>
                  <w:r>
                    <w:rPr>
                      <w:rFonts w:hint="eastAsia" w:cs="宋体"/>
                      <w:b w:val="0"/>
                      <w:bCs/>
                      <w:color w:val="auto"/>
                    </w:rPr>
                    <w:t>深入打好净土保卫战：</w:t>
                  </w:r>
                </w:p>
                <w:p w14:paraId="5E42B98A">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b w:val="0"/>
                      <w:bCs/>
                      <w:color w:val="auto"/>
                    </w:rPr>
                  </w:pPr>
                  <w:r>
                    <w:rPr>
                      <w:b w:val="0"/>
                      <w:bCs/>
                      <w:color w:val="auto"/>
                    </w:rPr>
                    <w:fldChar w:fldCharType="begin"/>
                  </w:r>
                  <w:r>
                    <w:rPr>
                      <w:b w:val="0"/>
                      <w:bCs/>
                      <w:color w:val="auto"/>
                    </w:rPr>
                    <w:instrText xml:space="preserve"> = 1 \* GB3 \* MERGEFORMAT </w:instrText>
                  </w:r>
                  <w:r>
                    <w:rPr>
                      <w:b w:val="0"/>
                      <w:bCs/>
                      <w:color w:val="auto"/>
                    </w:rPr>
                    <w:fldChar w:fldCharType="separate"/>
                  </w:r>
                  <w:r>
                    <w:rPr>
                      <w:rFonts w:hint="eastAsia" w:ascii="宋体" w:hAnsi="宋体" w:cs="宋体"/>
                      <w:b w:val="0"/>
                      <w:bCs/>
                      <w:color w:val="auto"/>
                    </w:rPr>
                    <w:t>①</w:t>
                  </w:r>
                  <w:r>
                    <w:rPr>
                      <w:rFonts w:hint="eastAsia" w:ascii="宋体" w:hAnsi="宋体" w:cs="宋体"/>
                      <w:b w:val="0"/>
                      <w:bCs/>
                      <w:color w:val="auto"/>
                    </w:rPr>
                    <w:fldChar w:fldCharType="end"/>
                  </w:r>
                  <w:r>
                    <w:rPr>
                      <w:rFonts w:hint="eastAsia" w:cs="宋体"/>
                      <w:b w:val="0"/>
                      <w:bCs/>
                      <w:color w:val="auto"/>
                    </w:rPr>
                    <w:t>持续打好农业农村污染治理攻坚战；</w:t>
                  </w:r>
                </w:p>
                <w:p w14:paraId="0F29D5D2">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b w:val="0"/>
                      <w:bCs/>
                      <w:color w:val="auto"/>
                    </w:rPr>
                  </w:pPr>
                  <w:r>
                    <w:rPr>
                      <w:b w:val="0"/>
                      <w:bCs/>
                      <w:color w:val="auto"/>
                    </w:rPr>
                    <w:fldChar w:fldCharType="begin"/>
                  </w:r>
                  <w:r>
                    <w:rPr>
                      <w:b w:val="0"/>
                      <w:bCs/>
                      <w:color w:val="auto"/>
                    </w:rPr>
                    <w:instrText xml:space="preserve"> = 2 \* GB3 \* MERGEFORMAT </w:instrText>
                  </w:r>
                  <w:r>
                    <w:rPr>
                      <w:b w:val="0"/>
                      <w:bCs/>
                      <w:color w:val="auto"/>
                    </w:rPr>
                    <w:fldChar w:fldCharType="separate"/>
                  </w:r>
                  <w:r>
                    <w:rPr>
                      <w:rFonts w:hint="eastAsia" w:ascii="宋体" w:hAnsi="宋体" w:cs="宋体"/>
                      <w:b w:val="0"/>
                      <w:bCs/>
                      <w:color w:val="auto"/>
                    </w:rPr>
                    <w:t>②</w:t>
                  </w:r>
                  <w:r>
                    <w:rPr>
                      <w:rFonts w:hint="eastAsia" w:ascii="宋体" w:hAnsi="宋体" w:cs="宋体"/>
                      <w:b w:val="0"/>
                      <w:bCs/>
                      <w:color w:val="auto"/>
                    </w:rPr>
                    <w:fldChar w:fldCharType="end"/>
                  </w:r>
                  <w:r>
                    <w:rPr>
                      <w:rFonts w:hint="eastAsia" w:cs="宋体"/>
                      <w:b w:val="0"/>
                      <w:bCs/>
                      <w:color w:val="auto"/>
                    </w:rPr>
                    <w:t>深入推进农用地土壤污染防治和安全利用；</w:t>
                  </w:r>
                </w:p>
                <w:p w14:paraId="0864DE7D">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b w:val="0"/>
                      <w:bCs/>
                      <w:color w:val="auto"/>
                    </w:rPr>
                  </w:pPr>
                  <w:r>
                    <w:rPr>
                      <w:b w:val="0"/>
                      <w:bCs/>
                      <w:color w:val="auto"/>
                    </w:rPr>
                    <w:fldChar w:fldCharType="begin"/>
                  </w:r>
                  <w:r>
                    <w:rPr>
                      <w:b w:val="0"/>
                      <w:bCs/>
                      <w:color w:val="auto"/>
                    </w:rPr>
                    <w:instrText xml:space="preserve"> = 3 \* GB3 \* MERGEFORMAT </w:instrText>
                  </w:r>
                  <w:r>
                    <w:rPr>
                      <w:b w:val="0"/>
                      <w:bCs/>
                      <w:color w:val="auto"/>
                    </w:rPr>
                    <w:fldChar w:fldCharType="separate"/>
                  </w:r>
                  <w:r>
                    <w:rPr>
                      <w:rFonts w:hint="eastAsia" w:ascii="宋体" w:hAnsi="宋体" w:cs="宋体"/>
                      <w:b w:val="0"/>
                      <w:bCs/>
                      <w:color w:val="auto"/>
                    </w:rPr>
                    <w:t>③</w:t>
                  </w:r>
                  <w:r>
                    <w:rPr>
                      <w:rFonts w:hint="eastAsia" w:ascii="宋体" w:hAnsi="宋体" w:cs="宋体"/>
                      <w:b w:val="0"/>
                      <w:bCs/>
                      <w:color w:val="auto"/>
                    </w:rPr>
                    <w:fldChar w:fldCharType="end"/>
                  </w:r>
                  <w:r>
                    <w:rPr>
                      <w:rFonts w:hint="eastAsia" w:cs="宋体"/>
                      <w:b w:val="0"/>
                      <w:bCs/>
                      <w:color w:val="auto"/>
                    </w:rPr>
                    <w:t>有效管控建设用地土壤污染风险；</w:t>
                  </w:r>
                </w:p>
                <w:p w14:paraId="44C224C0">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b w:val="0"/>
                      <w:bCs/>
                      <w:color w:val="auto"/>
                    </w:rPr>
                  </w:pPr>
                  <w:r>
                    <w:rPr>
                      <w:b w:val="0"/>
                      <w:bCs/>
                      <w:color w:val="auto"/>
                    </w:rPr>
                    <w:fldChar w:fldCharType="begin"/>
                  </w:r>
                  <w:r>
                    <w:rPr>
                      <w:b w:val="0"/>
                      <w:bCs/>
                      <w:color w:val="auto"/>
                    </w:rPr>
                    <w:instrText xml:space="preserve"> = 4 \* GB3 \* MERGEFORMAT </w:instrText>
                  </w:r>
                  <w:r>
                    <w:rPr>
                      <w:b w:val="0"/>
                      <w:bCs/>
                      <w:color w:val="auto"/>
                    </w:rPr>
                    <w:fldChar w:fldCharType="separate"/>
                  </w:r>
                  <w:r>
                    <w:rPr>
                      <w:rFonts w:hint="eastAsia" w:ascii="宋体" w:hAnsi="宋体" w:cs="宋体"/>
                      <w:b w:val="0"/>
                      <w:bCs/>
                      <w:color w:val="auto"/>
                    </w:rPr>
                    <w:t>④</w:t>
                  </w:r>
                  <w:r>
                    <w:rPr>
                      <w:rFonts w:hint="eastAsia" w:ascii="宋体" w:hAnsi="宋体" w:cs="宋体"/>
                      <w:b w:val="0"/>
                      <w:bCs/>
                      <w:color w:val="auto"/>
                    </w:rPr>
                    <w:fldChar w:fldCharType="end"/>
                  </w:r>
                  <w:r>
                    <w:rPr>
                      <w:rFonts w:hint="eastAsia" w:cs="宋体"/>
                      <w:b w:val="0"/>
                      <w:bCs/>
                      <w:color w:val="auto"/>
                    </w:rPr>
                    <w:t>稳步推进</w:t>
                  </w:r>
                  <w:r>
                    <w:rPr>
                      <w:rFonts w:hint="eastAsia" w:cs="宋体"/>
                      <w:b w:val="0"/>
                      <w:bCs/>
                      <w:color w:val="auto"/>
                      <w:lang w:eastAsia="zh-CN"/>
                    </w:rPr>
                    <w:t>“</w:t>
                  </w:r>
                  <w:r>
                    <w:rPr>
                      <w:rFonts w:hint="eastAsia" w:cs="宋体"/>
                      <w:b w:val="0"/>
                      <w:bCs/>
                      <w:color w:val="auto"/>
                    </w:rPr>
                    <w:t>无废城市</w:t>
                  </w:r>
                  <w:r>
                    <w:rPr>
                      <w:rFonts w:hint="eastAsia" w:cs="宋体"/>
                      <w:b w:val="0"/>
                      <w:bCs/>
                      <w:color w:val="auto"/>
                      <w:lang w:eastAsia="zh-CN"/>
                    </w:rPr>
                    <w:t>”</w:t>
                  </w:r>
                  <w:r>
                    <w:rPr>
                      <w:rFonts w:hint="eastAsia" w:cs="宋体"/>
                      <w:b w:val="0"/>
                      <w:bCs/>
                      <w:color w:val="auto"/>
                    </w:rPr>
                    <w:t>建设；</w:t>
                  </w:r>
                </w:p>
                <w:p w14:paraId="5FC9466C">
                  <w:pPr>
                    <w:pStyle w:val="35"/>
                    <w:keepNext w:val="0"/>
                    <w:keepLines w:val="0"/>
                    <w:pageBreakBefore w:val="0"/>
                    <w:widowControl/>
                    <w:kinsoku/>
                    <w:wordWrap/>
                    <w:overflowPunct/>
                    <w:topLinePunct w:val="0"/>
                    <w:autoSpaceDE/>
                    <w:autoSpaceDN/>
                    <w:bidi w:val="0"/>
                    <w:adjustRightInd/>
                    <w:snapToGrid/>
                    <w:spacing w:before="0" w:after="0" w:afterLines="0" w:line="240" w:lineRule="auto"/>
                    <w:ind w:right="0"/>
                    <w:jc w:val="left"/>
                    <w:textAlignment w:val="auto"/>
                    <w:rPr>
                      <w:b w:val="0"/>
                      <w:bCs/>
                      <w:color w:val="auto"/>
                    </w:rPr>
                  </w:pPr>
                  <w:r>
                    <w:rPr>
                      <w:b w:val="0"/>
                      <w:bCs/>
                      <w:color w:val="auto"/>
                    </w:rPr>
                    <w:fldChar w:fldCharType="begin"/>
                  </w:r>
                  <w:r>
                    <w:rPr>
                      <w:b w:val="0"/>
                      <w:bCs/>
                      <w:color w:val="auto"/>
                    </w:rPr>
                    <w:instrText xml:space="preserve"> = 5 \* GB3 \* MERGEFORMAT </w:instrText>
                  </w:r>
                  <w:r>
                    <w:rPr>
                      <w:b w:val="0"/>
                      <w:bCs/>
                      <w:color w:val="auto"/>
                    </w:rPr>
                    <w:fldChar w:fldCharType="separate"/>
                  </w:r>
                  <w:r>
                    <w:rPr>
                      <w:rFonts w:hint="eastAsia" w:ascii="宋体" w:hAnsi="宋体" w:cs="宋体"/>
                      <w:b w:val="0"/>
                      <w:bCs/>
                      <w:color w:val="auto"/>
                    </w:rPr>
                    <w:t>⑤</w:t>
                  </w:r>
                  <w:r>
                    <w:rPr>
                      <w:rFonts w:hint="eastAsia" w:ascii="宋体" w:hAnsi="宋体" w:cs="宋体"/>
                      <w:b w:val="0"/>
                      <w:bCs/>
                      <w:color w:val="auto"/>
                    </w:rPr>
                    <w:fldChar w:fldCharType="end"/>
                  </w:r>
                  <w:r>
                    <w:rPr>
                      <w:rFonts w:hint="eastAsia" w:cs="宋体"/>
                      <w:b w:val="0"/>
                      <w:bCs/>
                      <w:color w:val="auto"/>
                    </w:rPr>
                    <w:t>加强新污染物治理；</w:t>
                  </w:r>
                </w:p>
                <w:p w14:paraId="32B9B4A8">
                  <w:pPr>
                    <w:pStyle w:val="4"/>
                    <w:keepLines w:val="0"/>
                    <w:pageBreakBefore w:val="0"/>
                    <w:kinsoku/>
                    <w:wordWrap/>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kern w:val="44"/>
                      <w:sz w:val="21"/>
                      <w:szCs w:val="24"/>
                      <w:lang w:val="en-US" w:eastAsia="zh-CN" w:bidi="ar-SA"/>
                    </w:rPr>
                  </w:pPr>
                  <w:r>
                    <w:rPr>
                      <w:b w:val="0"/>
                      <w:bCs/>
                      <w:color w:val="auto"/>
                    </w:rPr>
                    <w:fldChar w:fldCharType="begin"/>
                  </w:r>
                  <w:r>
                    <w:rPr>
                      <w:b w:val="0"/>
                      <w:bCs/>
                      <w:color w:val="auto"/>
                    </w:rPr>
                    <w:instrText xml:space="preserve"> = 6 \* GB3 \* MERGEFORMAT </w:instrText>
                  </w:r>
                  <w:r>
                    <w:rPr>
                      <w:b w:val="0"/>
                      <w:bCs/>
                      <w:color w:val="auto"/>
                    </w:rPr>
                    <w:fldChar w:fldCharType="separate"/>
                  </w:r>
                  <w:r>
                    <w:rPr>
                      <w:rFonts w:hint="eastAsia" w:ascii="宋体" w:hAnsi="宋体" w:cs="宋体"/>
                      <w:b w:val="0"/>
                      <w:bCs/>
                      <w:color w:val="auto"/>
                    </w:rPr>
                    <w:t>⑥</w:t>
                  </w:r>
                  <w:r>
                    <w:rPr>
                      <w:rFonts w:hint="eastAsia" w:ascii="宋体" w:hAnsi="宋体" w:cs="宋体"/>
                      <w:b w:val="0"/>
                      <w:bCs/>
                      <w:color w:val="auto"/>
                    </w:rPr>
                    <w:fldChar w:fldCharType="end"/>
                  </w:r>
                  <w:r>
                    <w:rPr>
                      <w:rFonts w:hint="eastAsia" w:cs="宋体"/>
                      <w:b w:val="0"/>
                      <w:bCs/>
                      <w:color w:val="auto"/>
                    </w:rPr>
                    <w:t>强化地下水污染协同防治</w:t>
                  </w:r>
                </w:p>
              </w:tc>
              <w:tc>
                <w:tcPr>
                  <w:tcW w:w="2935" w:type="dxa"/>
                  <w:shd w:val="clear" w:color="auto" w:fill="auto"/>
                  <w:vAlign w:val="center"/>
                </w:tcPr>
                <w:p w14:paraId="66F04028">
                  <w:pPr>
                    <w:pStyle w:val="35"/>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eastAsia" w:ascii="Times New Roman" w:hAnsi="Times New Roman" w:eastAsia="宋体" w:cs="Times New Roman"/>
                      <w:color w:val="auto"/>
                      <w:kern w:val="2"/>
                      <w:sz w:val="21"/>
                      <w:szCs w:val="20"/>
                      <w:lang w:val="en-US" w:eastAsia="zh-CN" w:bidi="ar-SA"/>
                    </w:rPr>
                  </w:pPr>
                  <w:r>
                    <w:rPr>
                      <w:rFonts w:hint="eastAsia"/>
                      <w:color w:val="auto"/>
                      <w:lang w:val="en-US" w:eastAsia="zh-CN"/>
                    </w:rPr>
                    <w:t>气化间、地埋式储罐区、事故池（有容积不低于240m</w:t>
                  </w:r>
                  <w:r>
                    <w:rPr>
                      <w:rFonts w:hint="eastAsia"/>
                      <w:color w:val="auto"/>
                      <w:vertAlign w:val="superscript"/>
                      <w:lang w:val="en-US" w:eastAsia="zh-CN"/>
                    </w:rPr>
                    <w:t>3</w:t>
                  </w:r>
                  <w:r>
                    <w:rPr>
                      <w:rFonts w:hint="eastAsia"/>
                      <w:color w:val="auto"/>
                      <w:lang w:val="en-US" w:eastAsia="zh-CN"/>
                    </w:rPr>
                    <w:t>）、节能站机房</w:t>
                  </w:r>
                  <w:r>
                    <w:rPr>
                      <w:color w:val="auto"/>
                    </w:rPr>
                    <w:t>等设重点防渗；</w:t>
                  </w:r>
                  <w:r>
                    <w:rPr>
                      <w:rFonts w:hint="eastAsia"/>
                      <w:color w:val="auto"/>
                      <w:lang w:val="en-US" w:eastAsia="zh-CN"/>
                    </w:rPr>
                    <w:t>办公楼简单</w:t>
                  </w:r>
                  <w:r>
                    <w:rPr>
                      <w:color w:val="auto"/>
                    </w:rPr>
                    <w:t>防渗</w:t>
                  </w:r>
                </w:p>
              </w:tc>
              <w:tc>
                <w:tcPr>
                  <w:tcW w:w="545" w:type="dxa"/>
                  <w:shd w:val="clear" w:color="auto" w:fill="auto"/>
                  <w:vAlign w:val="center"/>
                </w:tcPr>
                <w:p w14:paraId="7C85DB41">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符合</w:t>
                  </w:r>
                </w:p>
              </w:tc>
            </w:tr>
            <w:tr w14:paraId="4DD7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vMerge w:val="restart"/>
                  <w:vAlign w:val="center"/>
                </w:tcPr>
                <w:p w14:paraId="4AD3406F">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eastAsia="宋体"/>
                      <w:b/>
                      <w:bCs/>
                      <w:color w:val="auto"/>
                      <w:lang w:val="en-US" w:eastAsia="zh-CN"/>
                    </w:rPr>
                  </w:pPr>
                  <w:r>
                    <w:rPr>
                      <w:rFonts w:hint="eastAsia"/>
                      <w:b w:val="0"/>
                      <w:bCs w:val="0"/>
                      <w:color w:val="auto"/>
                      <w:lang w:val="en-US" w:eastAsia="zh-CN"/>
                    </w:rPr>
                    <w:t>2</w:t>
                  </w:r>
                </w:p>
              </w:tc>
              <w:tc>
                <w:tcPr>
                  <w:tcW w:w="757" w:type="dxa"/>
                  <w:vMerge w:val="restart"/>
                  <w:vAlign w:val="center"/>
                </w:tcPr>
                <w:p w14:paraId="476BE892">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rPr>
                  </w:pPr>
                  <w:r>
                    <w:rPr>
                      <w:color w:val="auto"/>
                    </w:rPr>
                    <w:t>《安徽省2021年应对气候变化和大气污染防治重点工作任务》（皖大气办〔2021〕3号）</w:t>
                  </w:r>
                </w:p>
              </w:tc>
              <w:tc>
                <w:tcPr>
                  <w:tcW w:w="3422" w:type="dxa"/>
                  <w:shd w:val="clear" w:color="auto" w:fill="auto"/>
                  <w:vAlign w:val="center"/>
                </w:tcPr>
                <w:p w14:paraId="697A580E">
                  <w:pPr>
                    <w:pStyle w:val="4"/>
                    <w:ind w:firstLine="0" w:firstLineChars="0"/>
                    <w:outlineLvl w:val="0"/>
                    <w:rPr>
                      <w:b w:val="0"/>
                      <w:bCs/>
                      <w:color w:val="auto"/>
                    </w:rPr>
                  </w:pPr>
                  <w:r>
                    <w:rPr>
                      <w:rFonts w:hint="eastAsia"/>
                      <w:color w:val="auto"/>
                    </w:rPr>
                    <w:t>9.开展锅炉炉窑深度治理。进一步摸排清理现有燃煤小热电和燃煤锅炉，确保区域内35蒸吨/小时以下燃煤锅炉清零。加快推进30 万千瓦及以上热电联产机组供热半径30公里范围内燃煤锅炉和低效燃煤小热电关停整合，积极推进陶瓷、玻璃、铸造等行业清洁燃料替代工程;清理整治无法稳定达标排放的工业炉窑锅炉，取缔不达标燃料类煤气发生炉；4月底前，全面摸排生物质锅炉并建立台账，年底前完成建成区生物质锅炉超低排放改造，淘汰不能稳定达标（特排标准）的生物质锅炉和非生物质专用锅炉。</w:t>
                  </w:r>
                </w:p>
              </w:tc>
              <w:tc>
                <w:tcPr>
                  <w:tcW w:w="2935" w:type="dxa"/>
                  <w:shd w:val="clear" w:color="auto" w:fill="auto"/>
                  <w:vAlign w:val="center"/>
                </w:tcPr>
                <w:p w14:paraId="3C409266">
                  <w:pPr>
                    <w:pStyle w:val="4"/>
                    <w:ind w:firstLine="0" w:firstLineChars="0"/>
                    <w:jc w:val="left"/>
                    <w:outlineLvl w:val="0"/>
                    <w:rPr>
                      <w:color w:val="auto"/>
                    </w:rPr>
                  </w:pPr>
                  <w:r>
                    <w:rPr>
                      <w:rFonts w:hint="eastAsia"/>
                      <w:color w:val="auto"/>
                    </w:rPr>
                    <w:t>本项目使用</w:t>
                  </w:r>
                  <w:r>
                    <w:rPr>
                      <w:rFonts w:hint="eastAsia"/>
                      <w:color w:val="auto"/>
                      <w:lang w:val="en-US" w:eastAsia="zh-CN"/>
                    </w:rPr>
                    <w:t>清洁能源戊烷气体</w:t>
                  </w:r>
                  <w:r>
                    <w:rPr>
                      <w:rFonts w:hint="eastAsia"/>
                      <w:color w:val="auto"/>
                    </w:rPr>
                    <w:t>燃料</w:t>
                  </w:r>
                  <w:r>
                    <w:rPr>
                      <w:rFonts w:hint="eastAsia"/>
                      <w:color w:val="auto"/>
                      <w:lang w:val="en-US" w:eastAsia="zh-CN"/>
                    </w:rPr>
                    <w:t>为</w:t>
                  </w:r>
                  <w:r>
                    <w:rPr>
                      <w:rFonts w:hint="eastAsia"/>
                      <w:color w:val="auto"/>
                    </w:rPr>
                    <w:t>锅炉提供热能，</w:t>
                  </w:r>
                  <w:r>
                    <w:rPr>
                      <w:rFonts w:hint="eastAsia"/>
                      <w:color w:val="auto"/>
                      <w:lang w:val="en-US" w:eastAsia="zh-CN"/>
                    </w:rPr>
                    <w:t>经设备自带的低氮燃烧器燃烧后通过18m高</w:t>
                  </w:r>
                  <w:r>
                    <w:rPr>
                      <w:rFonts w:hint="default"/>
                      <w:color w:val="auto"/>
                      <w:lang w:val="en-US" w:eastAsia="zh-CN"/>
                    </w:rPr>
                    <w:t>DA001排气筒排放</w:t>
                  </w:r>
                  <w:r>
                    <w:rPr>
                      <w:rFonts w:hint="eastAsia"/>
                      <w:color w:val="auto"/>
                      <w:lang w:eastAsia="zh-CN"/>
                    </w:rPr>
                    <w:t>，</w:t>
                  </w:r>
                  <w:r>
                    <w:rPr>
                      <w:rFonts w:hint="eastAsia"/>
                      <w:color w:val="auto"/>
                      <w:lang w:val="en-US" w:eastAsia="zh-CN"/>
                    </w:rPr>
                    <w:t>废气能达标排放</w:t>
                  </w:r>
                </w:p>
              </w:tc>
              <w:tc>
                <w:tcPr>
                  <w:tcW w:w="545" w:type="dxa"/>
                  <w:shd w:val="clear" w:color="auto" w:fill="auto"/>
                  <w:vAlign w:val="center"/>
                </w:tcPr>
                <w:p w14:paraId="5CD3FD27">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符合</w:t>
                  </w:r>
                </w:p>
              </w:tc>
            </w:tr>
            <w:tr w14:paraId="7EAB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vMerge w:val="continue"/>
                  <w:vAlign w:val="center"/>
                </w:tcPr>
                <w:p w14:paraId="4B45EE5E">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lang w:val="en-US" w:eastAsia="zh-CN"/>
                    </w:rPr>
                  </w:pPr>
                </w:p>
              </w:tc>
              <w:tc>
                <w:tcPr>
                  <w:tcW w:w="757" w:type="dxa"/>
                  <w:vMerge w:val="continue"/>
                  <w:vAlign w:val="center"/>
                </w:tcPr>
                <w:p w14:paraId="4838E6C0">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val="0"/>
                      <w:bCs w:val="0"/>
                      <w:color w:val="auto"/>
                    </w:rPr>
                  </w:pPr>
                </w:p>
              </w:tc>
              <w:tc>
                <w:tcPr>
                  <w:tcW w:w="3422" w:type="dxa"/>
                  <w:shd w:val="clear" w:color="auto" w:fill="auto"/>
                  <w:vAlign w:val="center"/>
                </w:tcPr>
                <w:p w14:paraId="0ED0AE47">
                  <w:pPr>
                    <w:pStyle w:val="4"/>
                    <w:ind w:firstLine="0" w:firstLineChars="0"/>
                    <w:outlineLvl w:val="0"/>
                    <w:rPr>
                      <w:b w:val="0"/>
                      <w:bCs/>
                      <w:color w:val="auto"/>
                    </w:rPr>
                  </w:pPr>
                  <w:r>
                    <w:rPr>
                      <w:rFonts w:hint="eastAsia"/>
                      <w:color w:val="auto"/>
                    </w:rPr>
                    <w:t>进一步加强区域大气污染防治协作，深入推进长三角地区秋冬季大气污染综合治理，不断完善苏皖鲁豫大气污染联防联控机制，积极参与区域重污染天气联合应对工作，充分发挥区域大气污染防治联防联控作用。积极参与长三角生态环境涉气标准一体化建设。配合做好重大活动空气质量保障工作。</w:t>
                  </w:r>
                </w:p>
              </w:tc>
              <w:tc>
                <w:tcPr>
                  <w:tcW w:w="2935" w:type="dxa"/>
                  <w:vMerge w:val="restart"/>
                  <w:shd w:val="clear" w:color="auto" w:fill="auto"/>
                  <w:vAlign w:val="center"/>
                </w:tcPr>
                <w:p w14:paraId="61647BEC">
                  <w:pPr>
                    <w:pStyle w:val="4"/>
                    <w:ind w:firstLine="0" w:firstLineChars="0"/>
                    <w:outlineLvl w:val="0"/>
                    <w:rPr>
                      <w:color w:val="auto"/>
                    </w:rPr>
                  </w:pPr>
                  <w:r>
                    <w:rPr>
                      <w:rFonts w:hint="eastAsia" w:cs="宋体"/>
                      <w:color w:val="auto"/>
                    </w:rPr>
                    <w:t>本项目污染物采取了相应的污染治理措施后，均可达标排放。项目新增大气污染物，按照污染物排放总量控制的要求严格执行；项目正式投入运营前应向取得环境风险应急预案备案表，并严格执行重污染天气应急预案中减排措施。</w:t>
                  </w:r>
                </w:p>
              </w:tc>
              <w:tc>
                <w:tcPr>
                  <w:tcW w:w="545" w:type="dxa"/>
                  <w:shd w:val="clear" w:color="auto" w:fill="auto"/>
                  <w:vAlign w:val="center"/>
                </w:tcPr>
                <w:p w14:paraId="6C22FE78">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符合</w:t>
                  </w:r>
                </w:p>
              </w:tc>
            </w:tr>
            <w:tr w14:paraId="3301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vMerge w:val="continue"/>
                  <w:vAlign w:val="center"/>
                </w:tcPr>
                <w:p w14:paraId="6E00CEFD">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lang w:val="en-US" w:eastAsia="zh-CN"/>
                    </w:rPr>
                  </w:pPr>
                </w:p>
              </w:tc>
              <w:tc>
                <w:tcPr>
                  <w:tcW w:w="757" w:type="dxa"/>
                  <w:vMerge w:val="continue"/>
                  <w:vAlign w:val="center"/>
                </w:tcPr>
                <w:p w14:paraId="39083FE4">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val="0"/>
                      <w:bCs w:val="0"/>
                      <w:color w:val="auto"/>
                    </w:rPr>
                  </w:pPr>
                </w:p>
              </w:tc>
              <w:tc>
                <w:tcPr>
                  <w:tcW w:w="3422" w:type="dxa"/>
                  <w:shd w:val="clear" w:color="auto" w:fill="auto"/>
                  <w:vAlign w:val="center"/>
                </w:tcPr>
                <w:p w14:paraId="2C98159B">
                  <w:pPr>
                    <w:pStyle w:val="4"/>
                    <w:ind w:firstLine="0" w:firstLineChars="0"/>
                    <w:outlineLvl w:val="0"/>
                    <w:rPr>
                      <w:b w:val="0"/>
                      <w:bCs/>
                      <w:color w:val="auto"/>
                    </w:rPr>
                  </w:pPr>
                  <w:r>
                    <w:rPr>
                      <w:rFonts w:hint="eastAsia"/>
                      <w:color w:val="auto"/>
                    </w:rPr>
                    <w:t>加强重污染天气预警。推进省级环境空气质量预测预报体系建设扩容提质。探索将夏季臭氧污染纳入重污染天气监测预警，综合考虑臭氧污染程度，制定应急管控措施。完善预警分级标准体系，区分不同区域不同季节应急响应标准。根据重污染天气预警信息，实施应急联动，协作开展人工增雨改善空气质量作业。</w:t>
                  </w:r>
                </w:p>
              </w:tc>
              <w:tc>
                <w:tcPr>
                  <w:tcW w:w="2935" w:type="dxa"/>
                  <w:vMerge w:val="continue"/>
                  <w:shd w:val="clear" w:color="auto" w:fill="auto"/>
                  <w:vAlign w:val="center"/>
                </w:tcPr>
                <w:p w14:paraId="275924C9">
                  <w:pPr>
                    <w:pStyle w:val="35"/>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color w:val="auto"/>
                    </w:rPr>
                  </w:pPr>
                </w:p>
              </w:tc>
              <w:tc>
                <w:tcPr>
                  <w:tcW w:w="545" w:type="dxa"/>
                  <w:shd w:val="clear" w:color="auto" w:fill="auto"/>
                  <w:vAlign w:val="center"/>
                </w:tcPr>
                <w:p w14:paraId="4B8BBBA4">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符合</w:t>
                  </w:r>
                </w:p>
              </w:tc>
            </w:tr>
            <w:tr w14:paraId="4D91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vMerge w:val="continue"/>
                  <w:vAlign w:val="center"/>
                </w:tcPr>
                <w:p w14:paraId="597AEE1E">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lang w:val="en-US" w:eastAsia="zh-CN"/>
                    </w:rPr>
                  </w:pPr>
                </w:p>
              </w:tc>
              <w:tc>
                <w:tcPr>
                  <w:tcW w:w="757" w:type="dxa"/>
                  <w:vMerge w:val="continue"/>
                  <w:vAlign w:val="center"/>
                </w:tcPr>
                <w:p w14:paraId="5F36B9C0">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val="0"/>
                      <w:bCs w:val="0"/>
                      <w:color w:val="auto"/>
                    </w:rPr>
                  </w:pPr>
                </w:p>
              </w:tc>
              <w:tc>
                <w:tcPr>
                  <w:tcW w:w="3422" w:type="dxa"/>
                  <w:shd w:val="clear" w:color="auto" w:fill="auto"/>
                  <w:vAlign w:val="center"/>
                </w:tcPr>
                <w:p w14:paraId="5AB55C30">
                  <w:pPr>
                    <w:pStyle w:val="4"/>
                    <w:ind w:firstLine="0" w:firstLineChars="0"/>
                    <w:outlineLvl w:val="0"/>
                    <w:rPr>
                      <w:b w:val="0"/>
                      <w:bCs/>
                      <w:color w:val="auto"/>
                    </w:rPr>
                  </w:pPr>
                  <w:r>
                    <w:rPr>
                      <w:rFonts w:hint="eastAsia"/>
                      <w:color w:val="auto"/>
                    </w:rPr>
                    <w:t>持续优化绩效分级应急减排工作。各地应严格按照《重污染天气重点行业绩效分级及减排措施》及其补充说明的相关要求，持续推进重点行业绩效分级工作，并针对地方特色行业，结合实际污染排放水平自行制定绩效分级标准，实施差异化减排措施。在此基础上，进一步完善应急减排清单，梳理保障民生、保障城市正常运转或涉及国家战略性产业等保障类企业名单，细化除小微涉气企业外的非保障类企业管控措施。做到减排清单涉气企业覆盖全、保障类企业名单真实有效、非保障类企业管控措施可落地、可核查。落实《关于进一步做好水泥常态化错峰生产的通知》要求，做好水泥行业错峰生产工作。</w:t>
                  </w:r>
                </w:p>
              </w:tc>
              <w:tc>
                <w:tcPr>
                  <w:tcW w:w="2935" w:type="dxa"/>
                  <w:shd w:val="clear" w:color="auto" w:fill="auto"/>
                  <w:vAlign w:val="center"/>
                </w:tcPr>
                <w:p w14:paraId="102F6556">
                  <w:pPr>
                    <w:pStyle w:val="35"/>
                    <w:spacing w:after="0" w:line="240" w:lineRule="auto"/>
                    <w:ind w:right="0" w:rightChars="0" w:firstLine="0" w:firstLineChars="0"/>
                    <w:rPr>
                      <w:color w:val="auto"/>
                    </w:rPr>
                  </w:pPr>
                  <w:r>
                    <w:rPr>
                      <w:rFonts w:cs="宋体"/>
                      <w:color w:val="auto"/>
                    </w:rPr>
                    <w:t>本项目</w:t>
                  </w:r>
                  <w:r>
                    <w:rPr>
                      <w:rFonts w:hint="eastAsia" w:cs="宋体"/>
                      <w:color w:val="auto"/>
                    </w:rPr>
                    <w:t>各类污染物采取了相应的污染治理措施后，均可达标排放。本项目正式投入运营前应取得环境风险应急预案备案表，并严格执行重污染天气应急预案中减排措施。</w:t>
                  </w:r>
                </w:p>
              </w:tc>
              <w:tc>
                <w:tcPr>
                  <w:tcW w:w="545" w:type="dxa"/>
                  <w:shd w:val="clear" w:color="auto" w:fill="auto"/>
                  <w:vAlign w:val="center"/>
                </w:tcPr>
                <w:p w14:paraId="6E62559C">
                  <w:pPr>
                    <w:pStyle w:val="4"/>
                    <w:keepNext/>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符合</w:t>
                  </w:r>
                </w:p>
              </w:tc>
            </w:tr>
            <w:tr w14:paraId="2059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vMerge w:val="continue"/>
                  <w:vAlign w:val="center"/>
                </w:tcPr>
                <w:p w14:paraId="62F38C44">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rPr>
                  </w:pPr>
                </w:p>
              </w:tc>
              <w:tc>
                <w:tcPr>
                  <w:tcW w:w="757" w:type="dxa"/>
                  <w:vMerge w:val="continue"/>
                  <w:vAlign w:val="center"/>
                </w:tcPr>
                <w:p w14:paraId="5DD66BC6">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default"/>
                      <w:b w:val="0"/>
                      <w:bCs w:val="0"/>
                      <w:color w:val="auto"/>
                      <w:lang w:val="en-US" w:eastAsia="zh-CN"/>
                    </w:rPr>
                  </w:pPr>
                </w:p>
              </w:tc>
              <w:tc>
                <w:tcPr>
                  <w:tcW w:w="3422" w:type="dxa"/>
                  <w:vAlign w:val="center"/>
                </w:tcPr>
                <w:p w14:paraId="5940F24A">
                  <w:pPr>
                    <w:pStyle w:val="4"/>
                    <w:widowControl w:val="0"/>
                    <w:wordWrap/>
                    <w:adjustRightInd/>
                    <w:snapToGrid/>
                    <w:spacing w:before="0" w:beforeAutospacing="0" w:after="0" w:afterAutospacing="0"/>
                    <w:ind w:left="0" w:leftChars="0" w:right="0" w:rightChars="0" w:firstLine="0" w:firstLineChars="0"/>
                    <w:jc w:val="center"/>
                    <w:textAlignment w:val="auto"/>
                    <w:rPr>
                      <w:rFonts w:hint="eastAsia"/>
                      <w:b/>
                      <w:bCs/>
                      <w:color w:val="auto"/>
                    </w:rPr>
                  </w:pPr>
                  <w:r>
                    <w:rPr>
                      <w:rFonts w:hint="default" w:ascii="Times New Roman" w:hAnsi="Times New Roman" w:cs="Times New Roman"/>
                      <w:color w:val="auto"/>
                      <w:kern w:val="0"/>
                      <w:sz w:val="21"/>
                      <w:szCs w:val="21"/>
                      <w:lang w:eastAsia="zh-CN"/>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实施“高污染、高耗能”项目部门联审，源头管控低水平项目上马。制定实施安徽省加强生态环境分区管控方案。严格落实产能置换要求，不以任何名义、任何方式核准、备案产能严重过剩行业新增产能项目，被置换产能及其配套设施关停后，新建项目方可投产。</w:t>
                  </w:r>
                </w:p>
              </w:tc>
              <w:tc>
                <w:tcPr>
                  <w:tcW w:w="2935" w:type="dxa"/>
                  <w:vAlign w:val="center"/>
                </w:tcPr>
                <w:p w14:paraId="7523F03D">
                  <w:pPr>
                    <w:pStyle w:val="4"/>
                    <w:keepNext/>
                    <w:keepLines w:val="0"/>
                    <w:pageBreakBefore w:val="0"/>
                    <w:widowControl w:val="0"/>
                    <w:kinsoku/>
                    <w:wordWrap/>
                    <w:overflowPunct w:val="0"/>
                    <w:topLinePunct w:val="0"/>
                    <w:autoSpaceDE/>
                    <w:autoSpaceDN/>
                    <w:bidi w:val="0"/>
                    <w:adjustRightInd/>
                    <w:snapToGrid/>
                    <w:ind w:firstLineChars="0"/>
                    <w:jc w:val="left"/>
                    <w:textAlignment w:val="auto"/>
                    <w:rPr>
                      <w:rFonts w:hint="eastAsia" w:eastAsia="宋体"/>
                      <w:b/>
                      <w:bCs/>
                      <w:color w:val="auto"/>
                      <w:lang w:eastAsia="zh-CN"/>
                    </w:rPr>
                  </w:pPr>
                  <w:r>
                    <w:rPr>
                      <w:rFonts w:hint="eastAsia"/>
                      <w:color w:val="auto"/>
                      <w:lang w:val="en-US" w:eastAsia="zh-CN"/>
                    </w:rPr>
                    <w:t>本项目管网项目属于</w:t>
                  </w:r>
                  <w:r>
                    <w:rPr>
                      <w:rFonts w:hint="eastAsia"/>
                      <w:color w:val="auto"/>
                    </w:rPr>
                    <w:t>《产业结构调整指导目录》（</w:t>
                  </w:r>
                  <w:r>
                    <w:rPr>
                      <w:rFonts w:hint="eastAsia"/>
                      <w:color w:val="auto"/>
                      <w:lang w:val="en-US" w:eastAsia="zh-CN"/>
                    </w:rPr>
                    <w:t>2024年本</w:t>
                  </w:r>
                  <w:r>
                    <w:rPr>
                      <w:rFonts w:hint="eastAsia"/>
                      <w:color w:val="auto"/>
                    </w:rPr>
                    <w:t>）</w:t>
                  </w:r>
                  <w:r>
                    <w:rPr>
                      <w:color w:val="auto"/>
                    </w:rPr>
                    <w:t>中</w:t>
                  </w:r>
                  <w:r>
                    <w:rPr>
                      <w:rFonts w:hint="eastAsia"/>
                      <w:color w:val="auto"/>
                      <w:lang w:val="en-US" w:eastAsia="zh-CN"/>
                    </w:rPr>
                    <w:t>“二十二、城镇基础设施，城镇集中供热建设和改造工程”，不属于高耗能、高排放、低水平项目，根据产业结构调整目录，是鼓励类；且</w:t>
                  </w:r>
                  <w:r>
                    <w:rPr>
                      <w:rFonts w:hint="eastAsia" w:cs="宋体"/>
                      <w:color w:val="auto"/>
                      <w:kern w:val="0"/>
                    </w:rPr>
                    <w:t>已于</w:t>
                  </w:r>
                  <w:r>
                    <w:rPr>
                      <w:color w:val="auto"/>
                      <w:kern w:val="0"/>
                    </w:rPr>
                    <w:t>202</w:t>
                  </w:r>
                  <w:r>
                    <w:rPr>
                      <w:rFonts w:hint="eastAsia"/>
                      <w:color w:val="auto"/>
                      <w:kern w:val="0"/>
                      <w:lang w:val="en-US" w:eastAsia="zh-CN"/>
                    </w:rPr>
                    <w:t>3</w:t>
                  </w:r>
                  <w:r>
                    <w:rPr>
                      <w:rFonts w:hint="eastAsia" w:cs="宋体"/>
                      <w:color w:val="auto"/>
                      <w:kern w:val="0"/>
                    </w:rPr>
                    <w:t>年</w:t>
                  </w:r>
                  <w:r>
                    <w:rPr>
                      <w:rFonts w:hint="eastAsia"/>
                      <w:color w:val="auto"/>
                      <w:kern w:val="0"/>
                      <w:lang w:val="en-US" w:eastAsia="zh-CN"/>
                    </w:rPr>
                    <w:t>3</w:t>
                  </w:r>
                  <w:r>
                    <w:rPr>
                      <w:rFonts w:hint="eastAsia" w:cs="宋体"/>
                      <w:color w:val="auto"/>
                      <w:kern w:val="0"/>
                    </w:rPr>
                    <w:t>月</w:t>
                  </w:r>
                  <w:r>
                    <w:rPr>
                      <w:rFonts w:hint="eastAsia"/>
                      <w:color w:val="auto"/>
                      <w:kern w:val="0"/>
                      <w:lang w:val="en-US" w:eastAsia="zh-CN"/>
                    </w:rPr>
                    <w:t>6</w:t>
                  </w:r>
                  <w:r>
                    <w:rPr>
                      <w:rFonts w:hint="eastAsia" w:cs="宋体"/>
                      <w:color w:val="auto"/>
                      <w:kern w:val="0"/>
                    </w:rPr>
                    <w:t>日取得</w:t>
                  </w:r>
                  <w:r>
                    <w:rPr>
                      <w:rFonts w:hint="eastAsia" w:cs="宋体"/>
                      <w:color w:val="auto"/>
                      <w:kern w:val="0"/>
                      <w:lang w:val="en-US" w:eastAsia="zh-CN"/>
                    </w:rPr>
                    <w:t>淮北市烈山区发展和改革委员会下发的备案表（项目代码：2303-340604-04-01-344349）</w:t>
                  </w:r>
                  <w:r>
                    <w:rPr>
                      <w:rFonts w:hint="eastAsia"/>
                      <w:color w:val="auto"/>
                    </w:rPr>
                    <w:t>。因此，本项目建设符合国家及地方产业政策</w:t>
                  </w:r>
                  <w:r>
                    <w:rPr>
                      <w:rFonts w:hint="eastAsia"/>
                      <w:color w:val="auto"/>
                      <w:lang w:eastAsia="zh-CN"/>
                    </w:rPr>
                    <w:t>，</w:t>
                  </w:r>
                  <w:r>
                    <w:rPr>
                      <w:rFonts w:hint="eastAsia"/>
                      <w:b w:val="0"/>
                      <w:bCs w:val="0"/>
                      <w:color w:val="auto"/>
                      <w:lang w:val="en-US" w:eastAsia="zh-CN"/>
                    </w:rPr>
                    <w:t>且环评要求企业使用新能源运输车辆运输</w:t>
                  </w:r>
                </w:p>
              </w:tc>
              <w:tc>
                <w:tcPr>
                  <w:tcW w:w="545" w:type="dxa"/>
                  <w:vAlign w:val="center"/>
                </w:tcPr>
                <w:p w14:paraId="51DB3FAE">
                  <w:pPr>
                    <w:pStyle w:val="4"/>
                    <w:keepNext/>
                    <w:keepLines w:val="0"/>
                    <w:pageBreakBefore w:val="0"/>
                    <w:widowControl w:val="0"/>
                    <w:kinsoku/>
                    <w:wordWrap/>
                    <w:overflowPunct w:val="0"/>
                    <w:topLinePunct w:val="0"/>
                    <w:autoSpaceDE/>
                    <w:autoSpaceDN/>
                    <w:bidi w:val="0"/>
                    <w:adjustRightInd/>
                    <w:snapToGrid/>
                    <w:ind w:firstLineChars="0"/>
                    <w:jc w:val="center"/>
                    <w:textAlignment w:val="auto"/>
                    <w:rPr>
                      <w:rFonts w:hint="eastAsia"/>
                      <w:b/>
                      <w:bCs/>
                      <w:color w:val="auto"/>
                    </w:rPr>
                  </w:pPr>
                  <w:r>
                    <w:rPr>
                      <w:rFonts w:hint="eastAsia"/>
                      <w:color w:val="auto"/>
                      <w:lang w:val="en-US" w:eastAsia="zh-CN"/>
                    </w:rPr>
                    <w:t>符合</w:t>
                  </w:r>
                </w:p>
              </w:tc>
            </w:tr>
          </w:tbl>
          <w:p w14:paraId="61A2CD81">
            <w:pPr>
              <w:rPr>
                <w:rFonts w:hint="eastAsia"/>
                <w:color w:val="auto"/>
              </w:rPr>
            </w:pPr>
          </w:p>
          <w:p w14:paraId="6FA1A621">
            <w:pPr>
              <w:ind w:left="0" w:leftChars="0" w:firstLine="0" w:firstLineChars="0"/>
              <w:rPr>
                <w:rFonts w:hint="eastAsia" w:ascii="宋体" w:hAnsi="宋体" w:eastAsia="宋体" w:cs="宋体"/>
                <w:color w:val="auto"/>
                <w:kern w:val="0"/>
                <w:szCs w:val="21"/>
                <w:lang w:val="en-US" w:eastAsia="zh-CN"/>
              </w:rPr>
            </w:pPr>
          </w:p>
        </w:tc>
      </w:tr>
    </w:tbl>
    <w:p w14:paraId="15889A33">
      <w:pPr>
        <w:pStyle w:val="2"/>
        <w:ind w:firstLine="482"/>
        <w:rPr>
          <w:color w:val="auto"/>
        </w:rPr>
        <w:sectPr>
          <w:pgSz w:w="11906" w:h="16838"/>
          <w:pgMar w:top="1701" w:right="1531" w:bottom="1701" w:left="1531" w:header="851" w:footer="1077" w:gutter="0"/>
          <w:pgNumType w:fmt="decimal"/>
          <w:cols w:space="720" w:num="1"/>
          <w:docGrid w:linePitch="312" w:charSpace="0"/>
        </w:sectPr>
      </w:pPr>
    </w:p>
    <w:p w14:paraId="70C84D72">
      <w:pPr>
        <w:pStyle w:val="24"/>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6"/>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474"/>
      </w:tblGrid>
      <w:tr w14:paraId="67CA1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510" w:type="dxa"/>
            <w:vAlign w:val="center"/>
          </w:tcPr>
          <w:p w14:paraId="15EDB8E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Times New Roman" w:hAnsi="Times New Roman"/>
                <w:b/>
                <w:bCs/>
                <w:szCs w:val="24"/>
              </w:rPr>
              <w:t>建设内容</w:t>
            </w:r>
          </w:p>
          <w:p w14:paraId="2CCBA369">
            <w:pPr>
              <w:ind w:firstLine="0" w:firstLineChars="0"/>
              <w:jc w:val="center"/>
              <w:rPr>
                <w:rFonts w:cs="宋体"/>
                <w:color w:val="auto"/>
                <w:szCs w:val="21"/>
              </w:rPr>
            </w:pPr>
          </w:p>
        </w:tc>
        <w:tc>
          <w:tcPr>
            <w:tcW w:w="8474" w:type="dxa"/>
          </w:tcPr>
          <w:p w14:paraId="26044D2E">
            <w:pPr>
              <w:ind w:firstLine="0" w:firstLineChars="0"/>
              <w:rPr>
                <w:b/>
                <w:bCs/>
                <w:color w:val="auto"/>
              </w:rPr>
            </w:pPr>
            <w:r>
              <w:rPr>
                <w:rFonts w:hint="eastAsia"/>
                <w:b/>
                <w:bCs/>
                <w:color w:val="auto"/>
              </w:rPr>
              <w:t>1、</w:t>
            </w:r>
            <w:r>
              <w:rPr>
                <w:b/>
                <w:bCs/>
                <w:color w:val="auto"/>
              </w:rPr>
              <w:t>项目基本情况</w:t>
            </w:r>
          </w:p>
          <w:p w14:paraId="3D643FE2">
            <w:pPr>
              <w:ind w:firstLine="480"/>
              <w:rPr>
                <w:color w:val="auto"/>
              </w:rPr>
            </w:pPr>
            <w:r>
              <w:rPr>
                <w:color w:val="auto"/>
              </w:rPr>
              <w:t>项目名称：</w:t>
            </w:r>
            <w:r>
              <w:rPr>
                <w:rFonts w:hint="eastAsia"/>
                <w:sz w:val="24"/>
                <w:lang w:val="en-US" w:eastAsia="zh-CN"/>
              </w:rPr>
              <w:t>十源能源站项目</w:t>
            </w:r>
          </w:p>
          <w:p w14:paraId="73EF488E">
            <w:pPr>
              <w:ind w:firstLine="480"/>
              <w:rPr>
                <w:color w:val="auto"/>
              </w:rPr>
            </w:pPr>
            <w:r>
              <w:rPr>
                <w:color w:val="auto"/>
              </w:rPr>
              <w:t>建设单位：</w:t>
            </w:r>
            <w:r>
              <w:rPr>
                <w:rFonts w:hint="eastAsia"/>
                <w:color w:val="000000"/>
                <w:kern w:val="0"/>
                <w:sz w:val="24"/>
                <w:lang w:val="en-US" w:eastAsia="zh-CN"/>
              </w:rPr>
              <w:t>安徽十源能源技术有限公司</w:t>
            </w:r>
          </w:p>
          <w:p w14:paraId="1BB94359">
            <w:pPr>
              <w:ind w:firstLine="480"/>
              <w:rPr>
                <w:rFonts w:hint="eastAsia" w:eastAsia="宋体"/>
                <w:color w:val="auto"/>
                <w:lang w:eastAsia="zh-CN"/>
              </w:rPr>
            </w:pPr>
            <w:r>
              <w:rPr>
                <w:color w:val="auto"/>
              </w:rPr>
              <w:t>项目性质：</w:t>
            </w:r>
            <w:r>
              <w:rPr>
                <w:rFonts w:hint="eastAsia"/>
                <w:color w:val="auto"/>
                <w:lang w:val="en-US" w:eastAsia="zh-CN"/>
              </w:rPr>
              <w:t>新</w:t>
            </w:r>
            <w:r>
              <w:rPr>
                <w:color w:val="auto"/>
              </w:rPr>
              <w:t>建</w:t>
            </w:r>
          </w:p>
          <w:p w14:paraId="410B9564">
            <w:pPr>
              <w:ind w:firstLine="480"/>
              <w:rPr>
                <w:color w:val="auto"/>
              </w:rPr>
            </w:pPr>
            <w:r>
              <w:rPr>
                <w:color w:val="auto"/>
              </w:rPr>
              <w:t>项目总投资：</w:t>
            </w:r>
            <w:r>
              <w:rPr>
                <w:rFonts w:hint="eastAsia"/>
                <w:color w:val="auto"/>
                <w:lang w:val="en-US" w:eastAsia="zh-CN"/>
              </w:rPr>
              <w:t>16000</w:t>
            </w:r>
            <w:r>
              <w:rPr>
                <w:color w:val="auto"/>
              </w:rPr>
              <w:t>万元</w:t>
            </w:r>
          </w:p>
          <w:p w14:paraId="3B16FFE1">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建设周期：202</w:t>
            </w:r>
            <w:r>
              <w:rPr>
                <w:rFonts w:hint="eastAsia" w:ascii="Times New Roman" w:hAnsi="Times New Roman" w:cs="Times New Roman"/>
                <w:color w:val="auto"/>
                <w:kern w:val="0"/>
                <w:sz w:val="24"/>
                <w:lang w:val="en-US" w:eastAsia="zh-CN"/>
              </w:rPr>
              <w:t>5</w:t>
            </w:r>
            <w:r>
              <w:rPr>
                <w:rFonts w:hint="default" w:ascii="Times New Roman" w:hAnsi="Times New Roman" w:cs="Times New Roman"/>
                <w:color w:val="auto"/>
                <w:kern w:val="0"/>
                <w:sz w:val="24"/>
                <w:lang w:val="en-US" w:eastAsia="zh-CN"/>
              </w:rPr>
              <w:t>年</w:t>
            </w:r>
            <w:r>
              <w:rPr>
                <w:rFonts w:hint="eastAsia" w:cs="Times New Roman"/>
                <w:color w:val="auto"/>
                <w:kern w:val="0"/>
                <w:sz w:val="24"/>
                <w:lang w:val="en-US" w:eastAsia="zh-CN"/>
              </w:rPr>
              <w:t>6</w:t>
            </w:r>
            <w:r>
              <w:rPr>
                <w:rFonts w:hint="default" w:ascii="Times New Roman" w:hAnsi="Times New Roman" w:cs="Times New Roman"/>
                <w:color w:val="auto"/>
                <w:kern w:val="0"/>
                <w:sz w:val="24"/>
                <w:lang w:val="en-US" w:eastAsia="zh-CN"/>
              </w:rPr>
              <w:t>月~202</w:t>
            </w:r>
            <w:r>
              <w:rPr>
                <w:rFonts w:hint="eastAsia" w:cs="Times New Roman"/>
                <w:color w:val="auto"/>
                <w:kern w:val="0"/>
                <w:sz w:val="24"/>
                <w:lang w:val="en-US" w:eastAsia="zh-CN"/>
              </w:rPr>
              <w:t>7</w:t>
            </w:r>
            <w:r>
              <w:rPr>
                <w:rFonts w:hint="default" w:ascii="Times New Roman" w:hAnsi="Times New Roman" w:cs="Times New Roman"/>
                <w:color w:val="auto"/>
                <w:kern w:val="0"/>
                <w:sz w:val="24"/>
                <w:lang w:val="en-US" w:eastAsia="zh-CN"/>
              </w:rPr>
              <w:t>年</w:t>
            </w:r>
            <w:r>
              <w:rPr>
                <w:rFonts w:hint="eastAsia" w:cs="Times New Roman"/>
                <w:color w:val="auto"/>
                <w:kern w:val="0"/>
                <w:sz w:val="24"/>
                <w:lang w:val="en-US" w:eastAsia="zh-CN"/>
              </w:rPr>
              <w:t>5</w:t>
            </w:r>
            <w:r>
              <w:rPr>
                <w:rFonts w:hint="default" w:ascii="Times New Roman" w:hAnsi="Times New Roman" w:cs="Times New Roman"/>
                <w:color w:val="auto"/>
                <w:kern w:val="0"/>
                <w:sz w:val="24"/>
                <w:lang w:val="en-US" w:eastAsia="zh-CN"/>
              </w:rPr>
              <w:t>月，施工工期共</w:t>
            </w:r>
            <w:r>
              <w:rPr>
                <w:rFonts w:hint="eastAsia" w:cs="Times New Roman"/>
                <w:color w:val="auto"/>
                <w:kern w:val="0"/>
                <w:sz w:val="24"/>
                <w:lang w:val="en-US" w:eastAsia="zh-CN"/>
              </w:rPr>
              <w:t>24</w:t>
            </w:r>
            <w:r>
              <w:rPr>
                <w:rFonts w:hint="default" w:ascii="Times New Roman" w:hAnsi="Times New Roman" w:cs="Times New Roman"/>
                <w:color w:val="auto"/>
                <w:kern w:val="0"/>
                <w:sz w:val="24"/>
                <w:lang w:val="en-US" w:eastAsia="zh-CN"/>
              </w:rPr>
              <w:t>个月</w:t>
            </w:r>
          </w:p>
          <w:p w14:paraId="2DA864D8">
            <w:pPr>
              <w:pStyle w:val="14"/>
              <w:rPr>
                <w:color w:val="auto"/>
              </w:rPr>
            </w:pPr>
            <w:r>
              <w:rPr>
                <w:color w:val="auto"/>
              </w:rPr>
              <w:t>周边环境现状：</w:t>
            </w:r>
            <w:r>
              <w:rPr>
                <w:rFonts w:hint="eastAsia"/>
                <w:color w:val="auto"/>
                <w:lang w:val="en-US" w:eastAsia="zh-CN"/>
              </w:rPr>
              <w:t>项目位于安徽省淮北市烈山区，能源站</w:t>
            </w:r>
            <w:r>
              <w:rPr>
                <w:rFonts w:hint="eastAsia"/>
                <w:lang w:val="en-US" w:eastAsia="zh-CN"/>
              </w:rPr>
              <w:t>地块</w:t>
            </w:r>
            <w:r>
              <w:rPr>
                <w:rFonts w:hint="eastAsia"/>
                <w:color w:val="auto"/>
              </w:rPr>
              <w:t>位于</w:t>
            </w:r>
            <w:r>
              <w:rPr>
                <w:rFonts w:hint="eastAsia"/>
                <w:sz w:val="24"/>
                <w:lang w:val="en-US" w:eastAsia="zh-CN"/>
              </w:rPr>
              <w:t>烈山区沱河路与梧桐路交叉口西南角，</w:t>
            </w:r>
            <w:r>
              <w:rPr>
                <w:rFonts w:hint="eastAsia"/>
                <w:color w:val="auto"/>
                <w:lang w:val="en-US" w:eastAsia="zh-CN"/>
              </w:rPr>
              <w:t>北侧</w:t>
            </w:r>
            <w:r>
              <w:rPr>
                <w:rFonts w:hint="eastAsia"/>
                <w:color w:val="auto"/>
              </w:rPr>
              <w:t>为</w:t>
            </w:r>
            <w:r>
              <w:rPr>
                <w:rFonts w:hint="eastAsia"/>
                <w:color w:val="auto"/>
                <w:lang w:val="en-US" w:eastAsia="zh-CN"/>
              </w:rPr>
              <w:t>国家电网服务大厅</w:t>
            </w:r>
            <w:r>
              <w:rPr>
                <w:rFonts w:hint="eastAsia"/>
                <w:color w:val="auto"/>
              </w:rPr>
              <w:t>，</w:t>
            </w:r>
            <w:r>
              <w:rPr>
                <w:rFonts w:hint="eastAsia"/>
                <w:color w:val="auto"/>
                <w:lang w:val="en-US" w:eastAsia="zh-CN"/>
              </w:rPr>
              <w:t>东侧为空地，南侧淮北市汽车客运站，西侧为栗园路，隔路为新北花园及港利华师城</w:t>
            </w:r>
            <w:r>
              <w:rPr>
                <w:color w:val="auto"/>
              </w:rPr>
              <w:t>。</w:t>
            </w:r>
          </w:p>
          <w:p w14:paraId="2F2492AF">
            <w:pPr>
              <w:autoSpaceDE w:val="0"/>
              <w:autoSpaceDN w:val="0"/>
              <w:ind w:firstLine="480"/>
              <w:rPr>
                <w:rFonts w:hint="default" w:eastAsia="宋体"/>
                <w:color w:val="auto"/>
                <w:lang w:val="en-US" w:eastAsia="zh-CN"/>
              </w:rPr>
            </w:pPr>
            <w:r>
              <w:rPr>
                <w:rFonts w:hint="eastAsia"/>
                <w:color w:val="auto"/>
                <w:lang w:val="en-US" w:eastAsia="zh-CN"/>
              </w:rPr>
              <w:t>管网铺设项目位于</w:t>
            </w:r>
            <w:r>
              <w:rPr>
                <w:rFonts w:hint="default" w:cs="Times New Roman"/>
                <w:color w:val="auto"/>
                <w:sz w:val="24"/>
                <w:lang w:val="en-US" w:eastAsia="zh-CN"/>
              </w:rPr>
              <w:t>管道由</w:t>
            </w:r>
            <w:r>
              <w:rPr>
                <w:rFonts w:hint="eastAsia" w:cs="Times New Roman"/>
                <w:color w:val="auto"/>
                <w:sz w:val="24"/>
                <w:lang w:val="en-US" w:eastAsia="zh-CN"/>
              </w:rPr>
              <w:t>栗园路向西敷设至雷河路途经新北路</w:t>
            </w:r>
            <w:r>
              <w:rPr>
                <w:rFonts w:hint="default" w:cs="Times New Roman"/>
                <w:color w:val="auto"/>
                <w:sz w:val="24"/>
                <w:lang w:val="en-US" w:eastAsia="zh-CN"/>
              </w:rPr>
              <w:t>，</w:t>
            </w:r>
            <w:r>
              <w:rPr>
                <w:rFonts w:hint="eastAsia" w:cs="Times New Roman"/>
                <w:color w:val="auto"/>
                <w:sz w:val="24"/>
                <w:lang w:val="en-US" w:eastAsia="zh-CN"/>
              </w:rPr>
              <w:t>延至望湖路西段，</w:t>
            </w:r>
            <w:r>
              <w:rPr>
                <w:rFonts w:hint="default" w:cs="Times New Roman"/>
                <w:color w:val="auto"/>
                <w:sz w:val="24"/>
                <w:lang w:val="en-US" w:eastAsia="zh-CN"/>
              </w:rPr>
              <w:t>采用地埋管道敷设</w:t>
            </w:r>
            <w:r>
              <w:rPr>
                <w:rFonts w:hint="eastAsia" w:cs="Times New Roman"/>
                <w:color w:val="auto"/>
                <w:sz w:val="24"/>
                <w:lang w:val="en-US" w:eastAsia="zh-CN"/>
              </w:rPr>
              <w:t>。</w:t>
            </w:r>
            <w:r>
              <w:rPr>
                <w:rFonts w:hint="eastAsia"/>
                <w:lang w:val="en-US" w:eastAsia="zh-CN"/>
              </w:rPr>
              <w:t>管网为周边港利华师城、淮北市烈山区望湖路学校、新北花园等小区及学校配套供冷/供热。</w:t>
            </w:r>
          </w:p>
          <w:p w14:paraId="52A39333">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b/>
                <w:bCs/>
                <w:color w:val="auto"/>
                <w:lang w:val="en-US" w:eastAsia="zh-CN"/>
              </w:rPr>
            </w:pPr>
            <w:r>
              <w:rPr>
                <w:rFonts w:hint="eastAsia"/>
                <w:b/>
                <w:bCs/>
                <w:color w:val="auto"/>
                <w:lang w:val="en-US" w:eastAsia="zh-CN"/>
              </w:rPr>
              <w:t>2、项目背景及由来</w:t>
            </w:r>
          </w:p>
          <w:p w14:paraId="21F10319">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color w:val="auto"/>
                <w:kern w:val="0"/>
                <w:sz w:val="24"/>
                <w:lang w:eastAsia="zh-CN"/>
              </w:rPr>
            </w:pPr>
            <w:r>
              <w:rPr>
                <w:rFonts w:hint="default" w:ascii="Times New Roman" w:hAnsi="Times New Roman" w:eastAsia="宋体" w:cs="Times New Roman"/>
                <w:color w:val="auto"/>
                <w:kern w:val="0"/>
                <w:sz w:val="24"/>
                <w:szCs w:val="24"/>
                <w:lang w:val="en-US" w:eastAsia="zh-CN" w:bidi="ar"/>
              </w:rPr>
              <w:t>集中供热是城市重要的基础设施，也是节约能源、改善环境质量的重要措施，具有良好的社会效益、环境效益和经济效益，符合国家节能减排的政策要求，是国家产业政策重点支持发展的行业。</w:t>
            </w:r>
          </w:p>
          <w:p w14:paraId="2F9EA16A">
            <w:pPr>
              <w:keepNext w:val="0"/>
              <w:keepLines w:val="0"/>
              <w:pageBreakBefore w:val="0"/>
              <w:widowControl w:val="0"/>
              <w:kinsoku/>
              <w:wordWrap/>
              <w:overflowPunct/>
              <w:topLinePunct w:val="0"/>
              <w:autoSpaceDE/>
              <w:autoSpaceDN/>
              <w:bidi w:val="0"/>
              <w:adjustRightInd/>
              <w:snapToGrid/>
              <w:ind w:left="0"/>
              <w:jc w:val="left"/>
              <w:textAlignment w:val="auto"/>
              <w:rPr>
                <w:color w:val="auto"/>
              </w:rPr>
            </w:pPr>
            <w:r>
              <w:rPr>
                <w:color w:val="auto"/>
              </w:rPr>
              <w:t>集中供热是世界上发达国家和发展中国家都提倡、鼓励的，是城市重要的基础设施，也是节约能源改善环境的重要措施，集中供热普及率是现代化城市的重要标志</w:t>
            </w:r>
            <w:r>
              <w:rPr>
                <w:rFonts w:hint="eastAsia"/>
                <w:color w:val="auto"/>
                <w:lang w:eastAsia="zh-CN"/>
              </w:rPr>
              <w:t>，</w:t>
            </w:r>
            <w:r>
              <w:rPr>
                <w:color w:val="auto"/>
              </w:rPr>
              <w:t>它标志着一座城市的文明化程度。建设现代化的大城市，建设生态型的新市区，必须要创造良好的硬件环境，其中包括城市基础设施的建设和城市大气环境质量等。集中供热是改善城市环境、改善城市大气质量、提高城市现代化水平的重要措施，具有良好的社会效益、环境效益和较好的经济效益，符合国家节能减排的政策要求，是国家产业政策重点支持发展的行业。</w:t>
            </w:r>
          </w:p>
          <w:p w14:paraId="4A181B9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lang w:val="en-US" w:eastAsia="zh-CN"/>
              </w:rPr>
            </w:pPr>
            <w:r>
              <w:rPr>
                <w:rFonts w:hint="eastAsia"/>
                <w:bCs/>
                <w:color w:val="auto"/>
                <w:sz w:val="24"/>
                <w:szCs w:val="24"/>
              </w:rPr>
              <w:t>随着淮北市经济建设的进一步发展，城市建设规模的扩大，采暖热负荷发展速度加快，但现有的城市集中供热热源及管网的建设，滞后于城市建设与发展的需要。为满足日益增长的热负荷需求，平衡各热电厂供热能力，避免各自为政、重复建设、供热缺口逐渐增大的现状继续蔓延与恶化，迫切需要从全局出发统筹规划。</w:t>
            </w:r>
          </w:p>
          <w:p w14:paraId="4371FDD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44B118F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1810805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6A3D0E4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5A881F7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7C8E524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1AA5521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2C4767C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1970DE5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52F8B18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4022D79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0D97851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62E981B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232DCB0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51584A0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740F5C0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73CB33C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5442343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57C168B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6D1F032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245CA9E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6C11367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00FF"/>
                <w:lang w:val="en-US" w:eastAsia="zh-CN"/>
              </w:rPr>
            </w:pPr>
          </w:p>
          <w:p w14:paraId="0F2A74C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color w:val="0000FF"/>
                <w:lang w:val="en-US" w:eastAsia="zh-CN"/>
              </w:rPr>
            </w:pPr>
          </w:p>
          <w:p w14:paraId="1DDC16B5">
            <w:pPr>
              <w:ind w:firstLine="0" w:firstLineChars="0"/>
              <w:rPr>
                <w:rFonts w:hint="default" w:eastAsia="宋体"/>
                <w:color w:val="auto"/>
                <w:lang w:val="en-US" w:eastAsia="zh-CN"/>
              </w:rPr>
            </w:pPr>
          </w:p>
        </w:tc>
      </w:tr>
    </w:tbl>
    <w:p w14:paraId="2E49F4F5">
      <w:pPr>
        <w:pStyle w:val="24"/>
        <w:spacing w:before="0" w:beforeAutospacing="0" w:after="0" w:afterAutospacing="0"/>
        <w:ind w:firstLine="0" w:firstLineChars="0"/>
        <w:jc w:val="center"/>
        <w:outlineLvl w:val="0"/>
        <w:rPr>
          <w:rFonts w:ascii="黑体" w:hAnsi="黑体" w:eastAsia="黑体"/>
          <w:snapToGrid w:val="0"/>
          <w:color w:val="auto"/>
          <w:sz w:val="30"/>
          <w:szCs w:val="30"/>
        </w:rPr>
        <w:sectPr>
          <w:headerReference r:id="rId7" w:type="default"/>
          <w:footerReference r:id="rId8" w:type="default"/>
          <w:pgSz w:w="11907" w:h="16840"/>
          <w:pgMar w:top="1701" w:right="1531" w:bottom="2127" w:left="1531" w:header="851" w:footer="851" w:gutter="0"/>
          <w:pgNumType w:fmt="decimal"/>
          <w:cols w:space="720" w:num="1"/>
          <w:docGrid w:linePitch="312" w:charSpace="0"/>
        </w:sectPr>
      </w:pPr>
    </w:p>
    <w:tbl>
      <w:tblPr>
        <w:tblStyle w:val="26"/>
        <w:tblW w:w="132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2798"/>
      </w:tblGrid>
      <w:tr w14:paraId="6DBB6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Align w:val="center"/>
          </w:tcPr>
          <w:p w14:paraId="413F68DA">
            <w:pPr>
              <w:spacing w:line="360" w:lineRule="auto"/>
              <w:ind w:firstLine="0" w:firstLineChars="0"/>
              <w:jc w:val="center"/>
              <w:rPr>
                <w:rFonts w:hint="default" w:ascii="宋体" w:hAnsi="宋体" w:cs="宋体"/>
                <w:color w:val="auto"/>
                <w:kern w:val="0"/>
                <w:szCs w:val="21"/>
                <w:lang w:val="en-US"/>
              </w:rPr>
            </w:pPr>
            <w:r>
              <w:rPr>
                <w:rFonts w:hint="eastAsia"/>
                <w:b/>
                <w:bCs/>
                <w:lang w:val="en-US" w:eastAsia="zh-CN"/>
              </w:rPr>
              <w:t>建设内容</w:t>
            </w:r>
          </w:p>
        </w:tc>
        <w:tc>
          <w:tcPr>
            <w:tcW w:w="12798" w:type="dxa"/>
            <w:vAlign w:val="center"/>
          </w:tcPr>
          <w:p w14:paraId="65F0F588">
            <w:pPr>
              <w:autoSpaceDE w:val="0"/>
              <w:autoSpaceDN w:val="0"/>
              <w:ind w:firstLine="0" w:firstLineChars="0"/>
              <w:rPr>
                <w:rFonts w:hint="default" w:eastAsia="宋体"/>
                <w:b/>
                <w:bCs/>
                <w:color w:val="auto"/>
                <w:lang w:val="en-US" w:eastAsia="zh-CN"/>
              </w:rPr>
            </w:pPr>
            <w:r>
              <w:rPr>
                <w:rFonts w:hint="eastAsia"/>
                <w:b/>
                <w:bCs/>
                <w:color w:val="auto"/>
                <w:lang w:val="en-US" w:eastAsia="zh-CN"/>
              </w:rPr>
              <w:t>3</w:t>
            </w:r>
            <w:r>
              <w:rPr>
                <w:rFonts w:hint="eastAsia"/>
                <w:b/>
                <w:bCs/>
                <w:color w:val="auto"/>
              </w:rPr>
              <w:t>、</w:t>
            </w:r>
            <w:r>
              <w:rPr>
                <w:rFonts w:hint="eastAsia"/>
                <w:b/>
                <w:bCs/>
                <w:color w:val="auto"/>
                <w:lang w:val="en-US" w:eastAsia="zh-CN"/>
              </w:rPr>
              <w:t>建设内容</w:t>
            </w:r>
          </w:p>
          <w:p w14:paraId="60AFCB67">
            <w:pPr>
              <w:pStyle w:val="14"/>
              <w:rPr>
                <w:rFonts w:hint="default" w:eastAsia="宋体"/>
                <w:b/>
                <w:bCs/>
                <w:sz w:val="24"/>
                <w:szCs w:val="24"/>
                <w:lang w:val="en-US" w:eastAsia="zh-CN"/>
              </w:rPr>
            </w:pPr>
            <w:r>
              <w:rPr>
                <w:rFonts w:hint="eastAsia"/>
                <w:b/>
                <w:bCs/>
                <w:sz w:val="24"/>
                <w:szCs w:val="24"/>
                <w:lang w:val="en-US" w:eastAsia="zh-CN"/>
              </w:rPr>
              <w:t>能源站</w:t>
            </w:r>
            <w:r>
              <w:rPr>
                <w:rFonts w:hint="eastAsia"/>
                <w:b/>
                <w:bCs/>
                <w:lang w:val="en-US" w:eastAsia="zh-CN"/>
              </w:rPr>
              <w:t>项目</w:t>
            </w:r>
            <w:r>
              <w:rPr>
                <w:rFonts w:hint="eastAsia"/>
                <w:b/>
                <w:bCs/>
                <w:sz w:val="24"/>
                <w:szCs w:val="24"/>
                <w:lang w:val="en-US" w:eastAsia="zh-CN"/>
              </w:rPr>
              <w:t>：</w:t>
            </w:r>
          </w:p>
          <w:p w14:paraId="61141CCA">
            <w:pPr>
              <w:ind w:firstLine="480"/>
              <w:rPr>
                <w:rFonts w:hint="eastAsia"/>
                <w:bCs/>
                <w:sz w:val="24"/>
                <w:szCs w:val="24"/>
                <w:lang w:val="en-US" w:eastAsia="zh-CN"/>
              </w:rPr>
            </w:pPr>
            <w:r>
              <w:rPr>
                <w:rFonts w:hint="eastAsia"/>
                <w:sz w:val="24"/>
                <w:szCs w:val="24"/>
              </w:rPr>
              <w:t>本项目</w:t>
            </w:r>
            <w:r>
              <w:rPr>
                <w:rFonts w:hint="eastAsia"/>
                <w:sz w:val="24"/>
                <w:szCs w:val="24"/>
                <w:lang w:val="en-US" w:eastAsia="zh-CN"/>
              </w:rPr>
              <w:t>占地</w:t>
            </w:r>
            <w:r>
              <w:rPr>
                <w:rFonts w:hint="eastAsia"/>
                <w:sz w:val="24"/>
                <w:szCs w:val="24"/>
              </w:rPr>
              <w:t>面积6042.45平方米（9.06亩），总建筑面积3053.74平方米</w:t>
            </w:r>
            <w:r>
              <w:rPr>
                <w:rFonts w:hint="eastAsia"/>
                <w:sz w:val="24"/>
                <w:szCs w:val="24"/>
                <w:lang w:eastAsia="zh-CN"/>
              </w:rPr>
              <w:t>，</w:t>
            </w:r>
            <w:r>
              <w:rPr>
                <w:rFonts w:hint="eastAsia"/>
                <w:sz w:val="24"/>
                <w:szCs w:val="24"/>
                <w:lang w:val="en-US" w:eastAsia="zh-CN"/>
              </w:rPr>
              <w:t>主要建设节能站机房</w:t>
            </w:r>
            <w:r>
              <w:rPr>
                <w:rFonts w:hint="eastAsia"/>
                <w:bCs/>
                <w:sz w:val="24"/>
                <w:szCs w:val="24"/>
              </w:rPr>
              <w:t>、办公楼、气化间</w:t>
            </w:r>
            <w:r>
              <w:rPr>
                <w:rFonts w:hint="eastAsia"/>
                <w:bCs/>
                <w:sz w:val="24"/>
                <w:szCs w:val="24"/>
                <w:lang w:eastAsia="zh-CN"/>
              </w:rPr>
              <w:t>，</w:t>
            </w:r>
            <w:r>
              <w:rPr>
                <w:rFonts w:hint="eastAsia"/>
                <w:bCs/>
                <w:sz w:val="24"/>
                <w:szCs w:val="24"/>
                <w:lang w:val="en-US" w:eastAsia="zh-CN"/>
              </w:rPr>
              <w:t>配套建设</w:t>
            </w:r>
            <w:r>
              <w:rPr>
                <w:rFonts w:hint="eastAsia"/>
                <w:bCs/>
                <w:sz w:val="24"/>
                <w:szCs w:val="24"/>
              </w:rPr>
              <w:t>给排水、供配电、道路、绿化</w:t>
            </w:r>
            <w:r>
              <w:rPr>
                <w:rFonts w:hint="eastAsia"/>
                <w:bCs/>
                <w:sz w:val="24"/>
                <w:szCs w:val="24"/>
                <w:lang w:eastAsia="zh-CN"/>
              </w:rPr>
              <w:t>、</w:t>
            </w:r>
            <w:r>
              <w:rPr>
                <w:rFonts w:hint="eastAsia"/>
                <w:sz w:val="24"/>
                <w:szCs w:val="24"/>
              </w:rPr>
              <w:t>土建工程、管网及配套件采购及管道安装工程</w:t>
            </w:r>
            <w:r>
              <w:rPr>
                <w:rFonts w:hint="eastAsia"/>
                <w:bCs/>
                <w:sz w:val="24"/>
                <w:szCs w:val="24"/>
              </w:rPr>
              <w:t>等。</w:t>
            </w:r>
            <w:r>
              <w:rPr>
                <w:rFonts w:hint="eastAsia"/>
                <w:bCs/>
                <w:sz w:val="24"/>
                <w:szCs w:val="24"/>
                <w:lang w:val="en-US" w:eastAsia="zh-CN"/>
              </w:rPr>
              <w:t>拟购置空气源热泵、水源热泵机组、燃气锅炉房等配套设备。</w:t>
            </w:r>
          </w:p>
          <w:p w14:paraId="69270DF5">
            <w:pPr>
              <w:spacing w:line="240" w:lineRule="auto"/>
              <w:ind w:firstLine="0" w:firstLineChars="0"/>
              <w:jc w:val="center"/>
              <w:rPr>
                <w:color w:val="auto"/>
              </w:rPr>
            </w:pPr>
            <w:r>
              <w:rPr>
                <w:rFonts w:hAnsi="宋体"/>
                <w:b/>
                <w:bCs/>
                <w:color w:val="auto"/>
                <w:szCs w:val="21"/>
              </w:rPr>
              <w:t>表</w:t>
            </w:r>
            <w:r>
              <w:rPr>
                <w:rFonts w:hint="eastAsia"/>
                <w:b/>
                <w:bCs/>
                <w:color w:val="auto"/>
                <w:szCs w:val="21"/>
              </w:rPr>
              <w:t>2-</w:t>
            </w:r>
            <w:r>
              <w:rPr>
                <w:rFonts w:hint="eastAsia"/>
                <w:b/>
                <w:bCs/>
                <w:color w:val="auto"/>
                <w:szCs w:val="21"/>
                <w:lang w:val="en-US" w:eastAsia="zh-CN"/>
              </w:rPr>
              <w:t>4</w:t>
            </w:r>
            <w:r>
              <w:rPr>
                <w:rFonts w:hint="eastAsia"/>
                <w:b/>
                <w:bCs/>
                <w:color w:val="auto"/>
                <w:szCs w:val="21"/>
              </w:rPr>
              <w:t xml:space="preserve"> </w:t>
            </w:r>
            <w:r>
              <w:rPr>
                <w:b/>
                <w:bCs/>
                <w:color w:val="auto"/>
                <w:szCs w:val="21"/>
              </w:rPr>
              <w:t xml:space="preserve"> </w:t>
            </w:r>
            <w:r>
              <w:rPr>
                <w:rFonts w:hint="eastAsia"/>
                <w:b/>
                <w:bCs/>
                <w:color w:val="auto"/>
                <w:szCs w:val="21"/>
              </w:rPr>
              <w:t xml:space="preserve"> 能源站项目组成一览表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902"/>
              <w:gridCol w:w="1468"/>
              <w:gridCol w:w="8366"/>
              <w:gridCol w:w="1062"/>
            </w:tblGrid>
            <w:tr w14:paraId="47DA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center"/>
                </w:tcPr>
                <w:p w14:paraId="137F5BDF">
                  <w:pPr>
                    <w:pStyle w:val="4"/>
                    <w:outlineLvl w:val="0"/>
                    <w:rPr>
                      <w:b/>
                      <w:bCs/>
                      <w:color w:val="auto"/>
                    </w:rPr>
                  </w:pPr>
                  <w:r>
                    <w:rPr>
                      <w:b/>
                      <w:bCs/>
                      <w:color w:val="auto"/>
                    </w:rPr>
                    <w:t>类别</w:t>
                  </w:r>
                </w:p>
              </w:tc>
              <w:tc>
                <w:tcPr>
                  <w:tcW w:w="2404" w:type="dxa"/>
                  <w:gridSpan w:val="2"/>
                  <w:vAlign w:val="center"/>
                </w:tcPr>
                <w:p w14:paraId="1BFF552D">
                  <w:pPr>
                    <w:pStyle w:val="4"/>
                    <w:outlineLvl w:val="0"/>
                    <w:rPr>
                      <w:b/>
                      <w:bCs/>
                      <w:color w:val="auto"/>
                    </w:rPr>
                  </w:pPr>
                  <w:r>
                    <w:rPr>
                      <w:b/>
                      <w:bCs/>
                      <w:color w:val="auto"/>
                    </w:rPr>
                    <w:t>单项工程名称</w:t>
                  </w:r>
                </w:p>
              </w:tc>
              <w:tc>
                <w:tcPr>
                  <w:tcW w:w="8483" w:type="dxa"/>
                  <w:vAlign w:val="center"/>
                </w:tcPr>
                <w:p w14:paraId="57A262DC">
                  <w:pPr>
                    <w:pStyle w:val="4"/>
                    <w:outlineLvl w:val="0"/>
                    <w:rPr>
                      <w:b/>
                      <w:bCs/>
                      <w:color w:val="auto"/>
                    </w:rPr>
                  </w:pPr>
                  <w:r>
                    <w:rPr>
                      <w:rFonts w:hint="eastAsia"/>
                      <w:b/>
                      <w:bCs/>
                      <w:color w:val="auto"/>
                      <w:szCs w:val="21"/>
                    </w:rPr>
                    <w:t>能源站</w:t>
                  </w:r>
                  <w:r>
                    <w:rPr>
                      <w:rFonts w:hint="eastAsia"/>
                      <w:b/>
                      <w:bCs/>
                      <w:color w:val="auto"/>
                    </w:rPr>
                    <w:t>项目工程规模</w:t>
                  </w:r>
                </w:p>
              </w:tc>
              <w:tc>
                <w:tcPr>
                  <w:tcW w:w="1077" w:type="dxa"/>
                  <w:vAlign w:val="center"/>
                </w:tcPr>
                <w:p w14:paraId="06A6B93A">
                  <w:pPr>
                    <w:pStyle w:val="4"/>
                    <w:outlineLvl w:val="0"/>
                    <w:rPr>
                      <w:b/>
                      <w:bCs/>
                      <w:color w:val="auto"/>
                    </w:rPr>
                  </w:pPr>
                  <w:r>
                    <w:rPr>
                      <w:rFonts w:hint="eastAsia"/>
                      <w:b/>
                      <w:bCs/>
                      <w:color w:val="auto"/>
                    </w:rPr>
                    <w:t>备注</w:t>
                  </w:r>
                </w:p>
              </w:tc>
            </w:tr>
            <w:tr w14:paraId="4AF5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center"/>
                </w:tcPr>
                <w:p w14:paraId="7FAF9961">
                  <w:pPr>
                    <w:pStyle w:val="4"/>
                    <w:outlineLvl w:val="0"/>
                    <w:rPr>
                      <w:b/>
                      <w:bCs/>
                      <w:color w:val="auto"/>
                    </w:rPr>
                  </w:pPr>
                  <w:r>
                    <w:rPr>
                      <w:color w:val="auto"/>
                    </w:rPr>
                    <w:t>主体工程</w:t>
                  </w:r>
                </w:p>
              </w:tc>
              <w:tc>
                <w:tcPr>
                  <w:tcW w:w="2404" w:type="dxa"/>
                  <w:gridSpan w:val="2"/>
                  <w:vAlign w:val="center"/>
                </w:tcPr>
                <w:p w14:paraId="1D4F85B9">
                  <w:pPr>
                    <w:pStyle w:val="4"/>
                    <w:ind w:firstLine="0" w:firstLineChars="0"/>
                    <w:outlineLvl w:val="0"/>
                    <w:rPr>
                      <w:rFonts w:hint="default" w:ascii="Times New Roman" w:hAnsi="Times New Roman" w:eastAsia="宋体" w:cs="Times New Roman"/>
                      <w:color w:val="auto"/>
                      <w:kern w:val="44"/>
                      <w:sz w:val="21"/>
                      <w:szCs w:val="24"/>
                      <w:lang w:val="en-US" w:eastAsia="zh-CN" w:bidi="ar-SA"/>
                    </w:rPr>
                  </w:pPr>
                  <w:r>
                    <w:rPr>
                      <w:rFonts w:hint="default" w:ascii="Times New Roman" w:hAnsi="Times New Roman" w:eastAsia="宋体" w:cs="Times New Roman"/>
                      <w:color w:val="auto"/>
                      <w:kern w:val="44"/>
                      <w:sz w:val="21"/>
                      <w:szCs w:val="24"/>
                      <w:lang w:val="en-US" w:eastAsia="zh-CN" w:bidi="ar-SA"/>
                    </w:rPr>
                    <w:t>节能站机房</w:t>
                  </w:r>
                </w:p>
              </w:tc>
              <w:tc>
                <w:tcPr>
                  <w:tcW w:w="8483" w:type="dxa"/>
                  <w:vAlign w:val="center"/>
                </w:tcPr>
                <w:p w14:paraId="7F442EF0">
                  <w:pPr>
                    <w:pStyle w:val="4"/>
                    <w:bidi w:val="0"/>
                    <w:jc w:val="left"/>
                    <w:rPr>
                      <w:rFonts w:hint="default" w:eastAsiaTheme="minorEastAsia"/>
                      <w:color w:val="auto"/>
                      <w:szCs w:val="21"/>
                      <w:lang w:val="en-US" w:eastAsia="zh-CN"/>
                    </w:rPr>
                  </w:pPr>
                  <w:r>
                    <w:rPr>
                      <w:rFonts w:hint="eastAsia"/>
                      <w:color w:val="auto"/>
                      <w:lang w:val="en-US" w:eastAsia="zh-CN"/>
                    </w:rPr>
                    <w:t>H=6m、位于厂区北侧，建筑面积为1964.24m</w:t>
                  </w:r>
                  <w:r>
                    <w:rPr>
                      <w:rFonts w:hint="eastAsia"/>
                      <w:color w:val="auto"/>
                      <w:vertAlign w:val="superscript"/>
                      <w:lang w:val="en-US" w:eastAsia="zh-CN"/>
                    </w:rPr>
                    <w:t>2</w:t>
                  </w:r>
                  <w:r>
                    <w:rPr>
                      <w:rFonts w:hint="eastAsia"/>
                      <w:color w:val="auto"/>
                      <w:lang w:val="en-US" w:eastAsia="zh-CN"/>
                    </w:rPr>
                    <w:t>，框架结构，主要设置真空热水锅炉、低温级空气源热泵、冷却系统等配套设备，设置4t/h、10t/h、20t/h、30t/h的真空热水锅炉各一台，共计64t/h作为备用锅炉使用，</w:t>
                  </w:r>
                  <w:r>
                    <w:rPr>
                      <w:rFonts w:hint="default" w:ascii="Times New Roman" w:hAnsi="Times New Roman" w:cs="Times New Roman"/>
                      <w:color w:val="auto"/>
                      <w:lang w:val="en-US" w:eastAsia="zh-CN"/>
                    </w:rPr>
                    <w:t>锅炉仅在极寒天气下（零下10℃）</w:t>
                  </w:r>
                  <w:r>
                    <w:rPr>
                      <w:rFonts w:hint="eastAsia"/>
                      <w:color w:val="auto"/>
                      <w:lang w:val="en-US" w:eastAsia="zh-CN"/>
                    </w:rPr>
                    <w:t>备用，根据淮北市近30年气候特征，全年极寒天气最多为10天</w:t>
                  </w:r>
                </w:p>
              </w:tc>
              <w:tc>
                <w:tcPr>
                  <w:tcW w:w="1077" w:type="dxa"/>
                  <w:vAlign w:val="center"/>
                </w:tcPr>
                <w:p w14:paraId="25F2BFC1">
                  <w:pPr>
                    <w:pStyle w:val="4"/>
                    <w:jc w:val="center"/>
                    <w:outlineLvl w:val="0"/>
                    <w:rPr>
                      <w:rFonts w:hint="default" w:eastAsia="宋体"/>
                      <w:color w:val="auto"/>
                      <w:lang w:val="en-US" w:eastAsia="zh-CN"/>
                    </w:rPr>
                  </w:pPr>
                  <w:r>
                    <w:rPr>
                      <w:rFonts w:hint="eastAsia"/>
                      <w:color w:val="auto"/>
                      <w:lang w:val="en-US" w:eastAsia="zh-CN"/>
                    </w:rPr>
                    <w:t>新建</w:t>
                  </w:r>
                </w:p>
              </w:tc>
            </w:tr>
            <w:tr w14:paraId="6EE7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58FB6C15">
                  <w:pPr>
                    <w:pStyle w:val="4"/>
                    <w:outlineLvl w:val="0"/>
                    <w:rPr>
                      <w:color w:val="auto"/>
                    </w:rPr>
                  </w:pPr>
                  <w:r>
                    <w:rPr>
                      <w:rFonts w:hint="eastAsia"/>
                      <w:color w:val="auto"/>
                    </w:rPr>
                    <w:t>辅助</w:t>
                  </w:r>
                </w:p>
                <w:p w14:paraId="50FED897">
                  <w:pPr>
                    <w:pStyle w:val="4"/>
                    <w:outlineLvl w:val="0"/>
                    <w:rPr>
                      <w:color w:val="auto"/>
                    </w:rPr>
                  </w:pPr>
                  <w:r>
                    <w:rPr>
                      <w:rFonts w:hint="eastAsia"/>
                      <w:color w:val="auto"/>
                    </w:rPr>
                    <w:t>工程</w:t>
                  </w:r>
                </w:p>
              </w:tc>
              <w:tc>
                <w:tcPr>
                  <w:tcW w:w="2404" w:type="dxa"/>
                  <w:gridSpan w:val="2"/>
                  <w:vAlign w:val="center"/>
                </w:tcPr>
                <w:p w14:paraId="7E429B46">
                  <w:pPr>
                    <w:pStyle w:val="4"/>
                    <w:outlineLvl w:val="0"/>
                    <w:rPr>
                      <w:color w:val="auto"/>
                    </w:rPr>
                  </w:pPr>
                  <w:r>
                    <w:rPr>
                      <w:rFonts w:hint="eastAsia"/>
                      <w:color w:val="auto"/>
                    </w:rPr>
                    <w:t>办公楼</w:t>
                  </w:r>
                </w:p>
              </w:tc>
              <w:tc>
                <w:tcPr>
                  <w:tcW w:w="8483" w:type="dxa"/>
                  <w:vAlign w:val="center"/>
                </w:tcPr>
                <w:p w14:paraId="5A303FB3">
                  <w:pPr>
                    <w:pStyle w:val="4"/>
                    <w:jc w:val="left"/>
                    <w:outlineLvl w:val="0"/>
                    <w:rPr>
                      <w:rFonts w:hint="default" w:eastAsia="宋体"/>
                      <w:color w:val="auto"/>
                      <w:lang w:val="en-US" w:eastAsia="zh-CN"/>
                    </w:rPr>
                  </w:pPr>
                  <w:r>
                    <w:rPr>
                      <w:rFonts w:hint="eastAsia" w:eastAsiaTheme="minorEastAsia"/>
                      <w:color w:val="auto"/>
                      <w:szCs w:val="21"/>
                      <w:lang w:val="en-US" w:eastAsia="zh-CN"/>
                    </w:rPr>
                    <w:t>1F、</w:t>
                  </w:r>
                  <w:r>
                    <w:rPr>
                      <w:rFonts w:hint="eastAsia"/>
                      <w:color w:val="auto"/>
                      <w:lang w:val="en-US" w:eastAsia="zh-CN"/>
                    </w:rPr>
                    <w:t>位于厂区东侧，建筑面积为1025.66</w:t>
                  </w:r>
                  <w:r>
                    <w:rPr>
                      <w:rFonts w:hint="eastAsia" w:eastAsiaTheme="minorEastAsia"/>
                      <w:color w:val="auto"/>
                      <w:szCs w:val="21"/>
                      <w:lang w:val="en-US" w:eastAsia="zh-CN"/>
                    </w:rPr>
                    <w:t>m</w:t>
                  </w:r>
                  <w:r>
                    <w:rPr>
                      <w:rFonts w:hint="eastAsia" w:eastAsiaTheme="minorEastAsia"/>
                      <w:color w:val="auto"/>
                      <w:szCs w:val="21"/>
                      <w:vertAlign w:val="superscript"/>
                      <w:lang w:val="en-US" w:eastAsia="zh-CN"/>
                    </w:rPr>
                    <w:t>2</w:t>
                  </w:r>
                  <w:r>
                    <w:rPr>
                      <w:rFonts w:hint="eastAsia" w:eastAsiaTheme="minorEastAsia"/>
                      <w:color w:val="auto"/>
                      <w:szCs w:val="21"/>
                      <w:vertAlign w:val="baseline"/>
                      <w:lang w:val="en-US" w:eastAsia="zh-CN"/>
                    </w:rPr>
                    <w:t>，框架结构，主要用于职工办公及休息</w:t>
                  </w:r>
                </w:p>
              </w:tc>
              <w:tc>
                <w:tcPr>
                  <w:tcW w:w="1077" w:type="dxa"/>
                  <w:vAlign w:val="center"/>
                </w:tcPr>
                <w:p w14:paraId="146F53F8">
                  <w:pPr>
                    <w:pStyle w:val="4"/>
                    <w:outlineLvl w:val="0"/>
                    <w:rPr>
                      <w:color w:val="auto"/>
                    </w:rPr>
                  </w:pPr>
                  <w:r>
                    <w:rPr>
                      <w:rFonts w:hint="eastAsia"/>
                      <w:color w:val="auto"/>
                      <w:lang w:val="en-US" w:eastAsia="zh-CN"/>
                    </w:rPr>
                    <w:t>新建</w:t>
                  </w:r>
                </w:p>
              </w:tc>
            </w:tr>
            <w:tr w14:paraId="07AC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5886B9E">
                  <w:pPr>
                    <w:pStyle w:val="4"/>
                    <w:outlineLvl w:val="0"/>
                    <w:rPr>
                      <w:rFonts w:hint="eastAsia"/>
                      <w:color w:val="auto"/>
                    </w:rPr>
                  </w:pPr>
                </w:p>
              </w:tc>
              <w:tc>
                <w:tcPr>
                  <w:tcW w:w="2404" w:type="dxa"/>
                  <w:gridSpan w:val="2"/>
                  <w:vAlign w:val="center"/>
                </w:tcPr>
                <w:p w14:paraId="0B02A536">
                  <w:pPr>
                    <w:pStyle w:val="4"/>
                    <w:outlineLvl w:val="0"/>
                    <w:rPr>
                      <w:rFonts w:hint="default" w:eastAsia="宋体"/>
                      <w:color w:val="auto"/>
                      <w:lang w:val="en-US" w:eastAsia="zh-CN"/>
                    </w:rPr>
                  </w:pPr>
                  <w:r>
                    <w:rPr>
                      <w:rFonts w:hint="eastAsia"/>
                      <w:color w:val="auto"/>
                      <w:lang w:val="en-US" w:eastAsia="zh-CN"/>
                    </w:rPr>
                    <w:t>气化间</w:t>
                  </w:r>
                </w:p>
              </w:tc>
              <w:tc>
                <w:tcPr>
                  <w:tcW w:w="8483" w:type="dxa"/>
                  <w:vAlign w:val="center"/>
                </w:tcPr>
                <w:p w14:paraId="73802ABD">
                  <w:pPr>
                    <w:pStyle w:val="4"/>
                    <w:jc w:val="left"/>
                    <w:outlineLvl w:val="0"/>
                    <w:rPr>
                      <w:rFonts w:hint="default"/>
                      <w:color w:val="auto"/>
                      <w:lang w:val="en-US" w:eastAsia="zh-CN"/>
                    </w:rPr>
                  </w:pPr>
                  <w:r>
                    <w:rPr>
                      <w:rFonts w:hint="eastAsia"/>
                      <w:color w:val="auto"/>
                      <w:lang w:val="en-US" w:eastAsia="zh-CN"/>
                    </w:rPr>
                    <w:t>1F、位于</w:t>
                  </w:r>
                  <w:r>
                    <w:rPr>
                      <w:rFonts w:hint="default" w:ascii="Times New Roman" w:hAnsi="Times New Roman" w:eastAsia="宋体" w:cs="Times New Roman"/>
                      <w:color w:val="auto"/>
                      <w:kern w:val="44"/>
                      <w:sz w:val="21"/>
                      <w:szCs w:val="24"/>
                      <w:lang w:val="en-US" w:eastAsia="zh-CN" w:bidi="ar-SA"/>
                    </w:rPr>
                    <w:t>节能站机房</w:t>
                  </w:r>
                  <w:r>
                    <w:rPr>
                      <w:rFonts w:hint="eastAsia"/>
                      <w:color w:val="auto"/>
                      <w:lang w:val="en-US" w:eastAsia="zh-CN"/>
                    </w:rPr>
                    <w:t>南侧，建筑面积为63.84</w:t>
                  </w:r>
                  <w:r>
                    <w:rPr>
                      <w:rFonts w:hint="eastAsia" w:eastAsiaTheme="minorEastAsia"/>
                      <w:color w:val="auto"/>
                      <w:szCs w:val="21"/>
                      <w:lang w:val="en-US" w:eastAsia="zh-CN"/>
                    </w:rPr>
                    <w:t>m</w:t>
                  </w:r>
                  <w:r>
                    <w:rPr>
                      <w:rFonts w:hint="eastAsia" w:eastAsiaTheme="minorEastAsia"/>
                      <w:color w:val="auto"/>
                      <w:szCs w:val="21"/>
                      <w:vertAlign w:val="superscript"/>
                      <w:lang w:val="en-US" w:eastAsia="zh-CN"/>
                    </w:rPr>
                    <w:t>2</w:t>
                  </w:r>
                  <w:r>
                    <w:rPr>
                      <w:rFonts w:hint="eastAsia" w:eastAsiaTheme="minorEastAsia"/>
                      <w:color w:val="auto"/>
                      <w:szCs w:val="21"/>
                      <w:vertAlign w:val="baseline"/>
                      <w:lang w:val="en-US" w:eastAsia="zh-CN"/>
                    </w:rPr>
                    <w:t>，框架结构，主要设置气化机组，将液态戊烷转化为气态戊烷，以便作为燃料使用</w:t>
                  </w:r>
                </w:p>
              </w:tc>
              <w:tc>
                <w:tcPr>
                  <w:tcW w:w="1077" w:type="dxa"/>
                  <w:vAlign w:val="center"/>
                </w:tcPr>
                <w:p w14:paraId="55510D63">
                  <w:pPr>
                    <w:pStyle w:val="4"/>
                    <w:jc w:val="center"/>
                    <w:outlineLvl w:val="0"/>
                    <w:rPr>
                      <w:rFonts w:hint="eastAsia"/>
                      <w:color w:val="auto"/>
                    </w:rPr>
                  </w:pPr>
                  <w:r>
                    <w:rPr>
                      <w:rFonts w:hint="eastAsia"/>
                      <w:color w:val="auto"/>
                      <w:lang w:val="en-US" w:eastAsia="zh-CN"/>
                    </w:rPr>
                    <w:t>新建</w:t>
                  </w:r>
                </w:p>
              </w:tc>
            </w:tr>
            <w:tr w14:paraId="5D6B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center"/>
                </w:tcPr>
                <w:p w14:paraId="39A64641">
                  <w:pPr>
                    <w:pStyle w:val="4"/>
                    <w:outlineLvl w:val="0"/>
                    <w:rPr>
                      <w:color w:val="auto"/>
                    </w:rPr>
                  </w:pPr>
                  <w:r>
                    <w:rPr>
                      <w:rFonts w:hint="eastAsia"/>
                      <w:color w:val="auto"/>
                    </w:rPr>
                    <w:t>储运</w:t>
                  </w:r>
                </w:p>
                <w:p w14:paraId="25DC5702">
                  <w:pPr>
                    <w:pStyle w:val="4"/>
                    <w:outlineLvl w:val="0"/>
                    <w:rPr>
                      <w:color w:val="auto"/>
                    </w:rPr>
                  </w:pPr>
                  <w:r>
                    <w:rPr>
                      <w:rFonts w:hint="eastAsia"/>
                      <w:color w:val="auto"/>
                    </w:rPr>
                    <w:t>工程</w:t>
                  </w:r>
                </w:p>
              </w:tc>
              <w:tc>
                <w:tcPr>
                  <w:tcW w:w="2404" w:type="dxa"/>
                  <w:gridSpan w:val="2"/>
                  <w:vAlign w:val="center"/>
                </w:tcPr>
                <w:p w14:paraId="4C41A162">
                  <w:pPr>
                    <w:pStyle w:val="4"/>
                    <w:outlineLvl w:val="0"/>
                    <w:rPr>
                      <w:color w:val="auto"/>
                    </w:rPr>
                  </w:pPr>
                  <w:r>
                    <w:rPr>
                      <w:rFonts w:hint="eastAsia"/>
                      <w:color w:val="auto"/>
                      <w:lang w:val="en-US" w:eastAsia="zh-CN"/>
                    </w:rPr>
                    <w:t>储罐区</w:t>
                  </w:r>
                </w:p>
              </w:tc>
              <w:tc>
                <w:tcPr>
                  <w:tcW w:w="8483" w:type="dxa"/>
                  <w:vAlign w:val="center"/>
                </w:tcPr>
                <w:p w14:paraId="1C251F8F">
                  <w:pPr>
                    <w:pStyle w:val="4"/>
                    <w:jc w:val="left"/>
                    <w:outlineLvl w:val="0"/>
                    <w:rPr>
                      <w:rFonts w:hint="default" w:eastAsia="宋体"/>
                      <w:color w:val="auto"/>
                      <w:lang w:val="en-US" w:eastAsia="zh-CN"/>
                    </w:rPr>
                  </w:pPr>
                  <w:r>
                    <w:rPr>
                      <w:rFonts w:hint="eastAsia"/>
                      <w:color w:val="auto"/>
                      <w:lang w:val="en-US" w:eastAsia="zh-CN"/>
                    </w:rPr>
                    <w:t>地埋式</w:t>
                  </w:r>
                  <w:r>
                    <w:rPr>
                      <w:rFonts w:hint="eastAsia"/>
                      <w:lang w:val="en-US" w:eastAsia="zh-CN"/>
                    </w:rPr>
                    <w:t>储罐</w:t>
                  </w:r>
                  <w:r>
                    <w:rPr>
                      <w:rFonts w:hint="eastAsia"/>
                      <w:color w:val="auto"/>
                      <w:lang w:val="en-US" w:eastAsia="zh-CN"/>
                    </w:rPr>
                    <w:t>区，位于厂区入口西南侧，</w:t>
                  </w:r>
                  <w:r>
                    <w:rPr>
                      <w:rFonts w:hint="eastAsia"/>
                      <w:lang w:val="en-US" w:eastAsia="zh-CN"/>
                    </w:rPr>
                    <w:t>双层卧罐</w:t>
                  </w:r>
                  <w:r>
                    <w:rPr>
                      <w:rFonts w:hint="eastAsia"/>
                      <w:color w:val="auto"/>
                      <w:lang w:val="en-US" w:eastAsia="zh-CN"/>
                    </w:rPr>
                    <w:t>有效容积为72</w:t>
                  </w:r>
                  <w:r>
                    <w:rPr>
                      <w:rFonts w:hint="eastAsia" w:eastAsiaTheme="minorEastAsia"/>
                      <w:color w:val="auto"/>
                      <w:szCs w:val="21"/>
                      <w:lang w:val="en-US" w:eastAsia="zh-CN"/>
                    </w:rPr>
                    <w:t>m</w:t>
                  </w:r>
                  <w:r>
                    <w:rPr>
                      <w:rFonts w:hint="eastAsia" w:eastAsiaTheme="minorEastAsia"/>
                      <w:color w:val="auto"/>
                      <w:szCs w:val="21"/>
                      <w:vertAlign w:val="superscript"/>
                      <w:lang w:val="en-US" w:eastAsia="zh-CN"/>
                    </w:rPr>
                    <w:t>3</w:t>
                  </w:r>
                  <w:r>
                    <w:rPr>
                      <w:rFonts w:hint="eastAsia" w:eastAsiaTheme="minorEastAsia"/>
                      <w:color w:val="auto"/>
                      <w:szCs w:val="21"/>
                      <w:vertAlign w:val="baseline"/>
                      <w:lang w:val="en-US" w:eastAsia="zh-CN"/>
                    </w:rPr>
                    <w:t>，主要用于存放燃料</w:t>
                  </w:r>
                </w:p>
              </w:tc>
              <w:tc>
                <w:tcPr>
                  <w:tcW w:w="1077" w:type="dxa"/>
                  <w:vAlign w:val="center"/>
                </w:tcPr>
                <w:p w14:paraId="6B8A3A50">
                  <w:pPr>
                    <w:pStyle w:val="4"/>
                    <w:jc w:val="center"/>
                    <w:outlineLvl w:val="0"/>
                    <w:rPr>
                      <w:color w:val="auto"/>
                    </w:rPr>
                  </w:pPr>
                  <w:r>
                    <w:rPr>
                      <w:rFonts w:hint="eastAsia"/>
                      <w:color w:val="auto"/>
                      <w:lang w:val="en-US" w:eastAsia="zh-CN"/>
                    </w:rPr>
                    <w:t>新建</w:t>
                  </w:r>
                </w:p>
              </w:tc>
            </w:tr>
            <w:tr w14:paraId="503C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4D0D8986">
                  <w:pPr>
                    <w:pStyle w:val="4"/>
                    <w:outlineLvl w:val="0"/>
                    <w:rPr>
                      <w:color w:val="auto"/>
                    </w:rPr>
                  </w:pPr>
                  <w:r>
                    <w:rPr>
                      <w:rFonts w:hint="eastAsia"/>
                      <w:color w:val="auto"/>
                    </w:rPr>
                    <w:t>公用工程</w:t>
                  </w:r>
                </w:p>
              </w:tc>
              <w:tc>
                <w:tcPr>
                  <w:tcW w:w="2404" w:type="dxa"/>
                  <w:gridSpan w:val="2"/>
                  <w:vAlign w:val="center"/>
                </w:tcPr>
                <w:p w14:paraId="3868AEFC">
                  <w:pPr>
                    <w:widowControl/>
                    <w:adjustRightInd w:val="0"/>
                    <w:snapToGrid w:val="0"/>
                    <w:spacing w:line="240" w:lineRule="auto"/>
                    <w:ind w:firstLine="0" w:firstLineChars="0"/>
                    <w:jc w:val="center"/>
                    <w:rPr>
                      <w:rFonts w:eastAsiaTheme="minorEastAsia"/>
                      <w:color w:val="auto"/>
                      <w:sz w:val="21"/>
                      <w:szCs w:val="21"/>
                    </w:rPr>
                  </w:pPr>
                  <w:r>
                    <w:rPr>
                      <w:rFonts w:hint="eastAsia" w:eastAsiaTheme="minorEastAsia"/>
                      <w:color w:val="auto"/>
                      <w:sz w:val="21"/>
                      <w:szCs w:val="21"/>
                    </w:rPr>
                    <w:t>给水</w:t>
                  </w:r>
                </w:p>
              </w:tc>
              <w:tc>
                <w:tcPr>
                  <w:tcW w:w="8483" w:type="dxa"/>
                  <w:vAlign w:val="center"/>
                </w:tcPr>
                <w:p w14:paraId="71BC55C2">
                  <w:pPr>
                    <w:pStyle w:val="4"/>
                    <w:spacing w:line="240" w:lineRule="auto"/>
                    <w:jc w:val="left"/>
                    <w:outlineLvl w:val="0"/>
                    <w:rPr>
                      <w:rFonts w:eastAsiaTheme="minorEastAsia"/>
                      <w:color w:val="auto"/>
                      <w:szCs w:val="21"/>
                    </w:rPr>
                  </w:pPr>
                  <w:r>
                    <w:rPr>
                      <w:rFonts w:hint="eastAsia" w:eastAsiaTheme="minorEastAsia"/>
                      <w:color w:val="auto"/>
                      <w:szCs w:val="21"/>
                      <w:lang w:val="en-US" w:eastAsia="zh-CN"/>
                    </w:rPr>
                    <w:t>市政供水管网供给</w:t>
                  </w:r>
                  <w:r>
                    <w:rPr>
                      <w:rFonts w:hint="eastAsia" w:eastAsiaTheme="minorEastAsia"/>
                      <w:color w:val="auto"/>
                      <w:szCs w:val="21"/>
                    </w:rPr>
                    <w:t>，本项目</w:t>
                  </w:r>
                  <w:r>
                    <w:rPr>
                      <w:rFonts w:hint="eastAsia"/>
                      <w:color w:val="auto"/>
                    </w:rPr>
                    <w:t>水量为</w:t>
                  </w:r>
                  <w:r>
                    <w:rPr>
                      <w:rFonts w:hint="eastAsia"/>
                      <w:color w:val="auto"/>
                      <w:lang w:val="en-US" w:eastAsia="zh-CN"/>
                    </w:rPr>
                    <w:t>2063.87</w:t>
                  </w:r>
                  <w:r>
                    <w:rPr>
                      <w:rFonts w:hint="eastAsia"/>
                      <w:color w:val="auto"/>
                    </w:rPr>
                    <w:t>m</w:t>
                  </w:r>
                  <w:r>
                    <w:rPr>
                      <w:rFonts w:hint="eastAsia"/>
                      <w:color w:val="auto"/>
                      <w:vertAlign w:val="superscript"/>
                    </w:rPr>
                    <w:t>3</w:t>
                  </w:r>
                  <w:r>
                    <w:rPr>
                      <w:rFonts w:hint="eastAsia"/>
                      <w:color w:val="auto"/>
                    </w:rPr>
                    <w:t>/a</w:t>
                  </w:r>
                </w:p>
              </w:tc>
              <w:tc>
                <w:tcPr>
                  <w:tcW w:w="1077" w:type="dxa"/>
                  <w:vAlign w:val="center"/>
                </w:tcPr>
                <w:p w14:paraId="28B08C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eastAsiaTheme="minorEastAsia"/>
                      <w:color w:val="auto"/>
                      <w:sz w:val="21"/>
                      <w:szCs w:val="21"/>
                    </w:rPr>
                  </w:pPr>
                  <w:r>
                    <w:rPr>
                      <w:rFonts w:hint="eastAsia"/>
                      <w:color w:val="auto"/>
                      <w:sz w:val="21"/>
                      <w:szCs w:val="21"/>
                      <w:lang w:val="en-US" w:eastAsia="zh-CN"/>
                    </w:rPr>
                    <w:t>新建</w:t>
                  </w:r>
                </w:p>
              </w:tc>
            </w:tr>
            <w:tr w14:paraId="3AA1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1E034E26">
                  <w:pPr>
                    <w:pStyle w:val="4"/>
                    <w:outlineLvl w:val="0"/>
                    <w:rPr>
                      <w:color w:val="auto"/>
                    </w:rPr>
                  </w:pPr>
                </w:p>
              </w:tc>
              <w:tc>
                <w:tcPr>
                  <w:tcW w:w="2404" w:type="dxa"/>
                  <w:gridSpan w:val="2"/>
                  <w:vAlign w:val="center"/>
                </w:tcPr>
                <w:p w14:paraId="0A040D71">
                  <w:pPr>
                    <w:widowControl/>
                    <w:adjustRightInd w:val="0"/>
                    <w:snapToGrid w:val="0"/>
                    <w:spacing w:line="240" w:lineRule="auto"/>
                    <w:ind w:firstLine="0" w:firstLineChars="0"/>
                    <w:jc w:val="center"/>
                    <w:rPr>
                      <w:color w:val="auto"/>
                    </w:rPr>
                  </w:pPr>
                  <w:r>
                    <w:rPr>
                      <w:rFonts w:eastAsiaTheme="minorEastAsia"/>
                      <w:color w:val="auto"/>
                      <w:sz w:val="21"/>
                      <w:szCs w:val="21"/>
                    </w:rPr>
                    <w:t>供电</w:t>
                  </w:r>
                </w:p>
              </w:tc>
              <w:tc>
                <w:tcPr>
                  <w:tcW w:w="8483" w:type="dxa"/>
                  <w:vAlign w:val="center"/>
                </w:tcPr>
                <w:p w14:paraId="68A5A632">
                  <w:pPr>
                    <w:pStyle w:val="4"/>
                    <w:spacing w:line="240" w:lineRule="auto"/>
                    <w:jc w:val="left"/>
                    <w:outlineLvl w:val="0"/>
                    <w:rPr>
                      <w:rFonts w:eastAsiaTheme="minorEastAsia"/>
                      <w:color w:val="auto"/>
                      <w:szCs w:val="21"/>
                    </w:rPr>
                  </w:pPr>
                  <w:r>
                    <w:rPr>
                      <w:rFonts w:hint="eastAsia" w:eastAsiaTheme="minorEastAsia"/>
                      <w:color w:val="auto"/>
                      <w:szCs w:val="21"/>
                      <w:lang w:val="en-US" w:eastAsia="zh-CN"/>
                    </w:rPr>
                    <w:t>市政供电管网供给</w:t>
                  </w:r>
                  <w:r>
                    <w:rPr>
                      <w:rFonts w:hint="eastAsia" w:eastAsiaTheme="minorEastAsia"/>
                      <w:color w:val="auto"/>
                      <w:szCs w:val="21"/>
                    </w:rPr>
                    <w:t>，</w:t>
                  </w:r>
                  <w:r>
                    <w:rPr>
                      <w:rFonts w:hint="eastAsia"/>
                      <w:color w:val="auto"/>
                    </w:rPr>
                    <w:t>本项目</w:t>
                  </w:r>
                  <w:r>
                    <w:rPr>
                      <w:color w:val="auto"/>
                    </w:rPr>
                    <w:t>用电量</w:t>
                  </w:r>
                  <w:r>
                    <w:rPr>
                      <w:rFonts w:hint="eastAsia"/>
                      <w:color w:val="auto"/>
                      <w:lang w:val="en-US" w:eastAsia="zh-CN"/>
                    </w:rPr>
                    <w:t>3050</w:t>
                  </w:r>
                  <w:r>
                    <w:rPr>
                      <w:color w:val="auto"/>
                    </w:rPr>
                    <w:t>万kWh/a</w:t>
                  </w:r>
                </w:p>
              </w:tc>
              <w:tc>
                <w:tcPr>
                  <w:tcW w:w="1077" w:type="dxa"/>
                  <w:vAlign w:val="center"/>
                </w:tcPr>
                <w:p w14:paraId="43B340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color w:val="auto"/>
                      <w:sz w:val="21"/>
                      <w:szCs w:val="21"/>
                    </w:rPr>
                  </w:pPr>
                  <w:r>
                    <w:rPr>
                      <w:rFonts w:hint="eastAsia"/>
                      <w:color w:val="auto"/>
                      <w:sz w:val="21"/>
                      <w:szCs w:val="21"/>
                      <w:lang w:val="en-US" w:eastAsia="zh-CN"/>
                    </w:rPr>
                    <w:t>新建</w:t>
                  </w:r>
                </w:p>
              </w:tc>
            </w:tr>
            <w:tr w14:paraId="39B5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5C774794">
                  <w:pPr>
                    <w:pStyle w:val="4"/>
                    <w:outlineLvl w:val="0"/>
                    <w:rPr>
                      <w:color w:val="auto"/>
                    </w:rPr>
                  </w:pPr>
                </w:p>
              </w:tc>
              <w:tc>
                <w:tcPr>
                  <w:tcW w:w="2404" w:type="dxa"/>
                  <w:gridSpan w:val="2"/>
                  <w:vAlign w:val="center"/>
                </w:tcPr>
                <w:p w14:paraId="10B7AFC6">
                  <w:pPr>
                    <w:widowControl/>
                    <w:adjustRightInd w:val="0"/>
                    <w:snapToGrid w:val="0"/>
                    <w:spacing w:line="240" w:lineRule="auto"/>
                    <w:ind w:firstLine="0" w:firstLineChars="0"/>
                    <w:jc w:val="center"/>
                    <w:rPr>
                      <w:rFonts w:eastAsiaTheme="minorEastAsia"/>
                      <w:color w:val="auto"/>
                      <w:sz w:val="21"/>
                      <w:szCs w:val="21"/>
                    </w:rPr>
                  </w:pPr>
                  <w:r>
                    <w:rPr>
                      <w:rFonts w:hint="eastAsia" w:eastAsiaTheme="minorEastAsia"/>
                      <w:color w:val="auto"/>
                      <w:sz w:val="21"/>
                      <w:szCs w:val="21"/>
                    </w:rPr>
                    <w:t>排水</w:t>
                  </w:r>
                </w:p>
              </w:tc>
              <w:tc>
                <w:tcPr>
                  <w:tcW w:w="8483" w:type="dxa"/>
                  <w:vAlign w:val="center"/>
                </w:tcPr>
                <w:p w14:paraId="219ADC80">
                  <w:pPr>
                    <w:pStyle w:val="4"/>
                    <w:spacing w:line="240" w:lineRule="auto"/>
                    <w:jc w:val="left"/>
                    <w:outlineLvl w:val="0"/>
                    <w:rPr>
                      <w:rFonts w:eastAsiaTheme="minorEastAsia"/>
                      <w:color w:val="auto"/>
                      <w:szCs w:val="21"/>
                    </w:rPr>
                  </w:pPr>
                  <w:r>
                    <w:rPr>
                      <w:rFonts w:hint="eastAsia" w:cs="宋体"/>
                      <w:color w:val="auto"/>
                      <w:lang w:val="en-US" w:eastAsia="zh-CN"/>
                    </w:rPr>
                    <w:t>厂区实行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p>
              </w:tc>
              <w:tc>
                <w:tcPr>
                  <w:tcW w:w="1077" w:type="dxa"/>
                  <w:vAlign w:val="center"/>
                </w:tcPr>
                <w:p w14:paraId="209FDF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default" w:eastAsiaTheme="minorEastAsia"/>
                      <w:color w:val="auto"/>
                      <w:sz w:val="21"/>
                      <w:szCs w:val="21"/>
                      <w:lang w:val="en-US" w:eastAsia="zh-CN"/>
                    </w:rPr>
                  </w:pPr>
                  <w:r>
                    <w:rPr>
                      <w:rFonts w:hint="eastAsia"/>
                      <w:color w:val="auto"/>
                      <w:sz w:val="21"/>
                      <w:szCs w:val="21"/>
                      <w:lang w:val="en-US" w:eastAsia="zh-CN"/>
                    </w:rPr>
                    <w:t>新建</w:t>
                  </w:r>
                </w:p>
              </w:tc>
            </w:tr>
            <w:tr w14:paraId="34BA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4931B8D8">
                  <w:pPr>
                    <w:pStyle w:val="4"/>
                    <w:outlineLvl w:val="0"/>
                    <w:rPr>
                      <w:color w:val="auto"/>
                    </w:rPr>
                  </w:pPr>
                  <w:r>
                    <w:rPr>
                      <w:rFonts w:hint="eastAsia"/>
                      <w:color w:val="auto"/>
                    </w:rPr>
                    <w:t>环保</w:t>
                  </w:r>
                </w:p>
                <w:p w14:paraId="0694902E">
                  <w:pPr>
                    <w:pStyle w:val="4"/>
                    <w:outlineLvl w:val="0"/>
                    <w:rPr>
                      <w:color w:val="auto"/>
                    </w:rPr>
                  </w:pPr>
                  <w:r>
                    <w:rPr>
                      <w:rFonts w:hint="eastAsia"/>
                      <w:color w:val="auto"/>
                    </w:rPr>
                    <w:t>工程</w:t>
                  </w:r>
                </w:p>
              </w:tc>
              <w:tc>
                <w:tcPr>
                  <w:tcW w:w="915" w:type="dxa"/>
                  <w:vMerge w:val="restart"/>
                  <w:vAlign w:val="center"/>
                </w:tcPr>
                <w:p w14:paraId="7503EFA9">
                  <w:pPr>
                    <w:pStyle w:val="4"/>
                    <w:outlineLvl w:val="0"/>
                    <w:rPr>
                      <w:rFonts w:hint="default"/>
                      <w:color w:val="auto"/>
                      <w:lang w:val="en-US" w:eastAsia="zh-CN"/>
                    </w:rPr>
                  </w:pPr>
                  <w:r>
                    <w:rPr>
                      <w:rFonts w:hint="eastAsia"/>
                      <w:color w:val="auto"/>
                    </w:rPr>
                    <w:t>废气治理</w:t>
                  </w:r>
                </w:p>
              </w:tc>
              <w:tc>
                <w:tcPr>
                  <w:tcW w:w="1489" w:type="dxa"/>
                  <w:vAlign w:val="center"/>
                </w:tcPr>
                <w:p w14:paraId="4578659A">
                  <w:pPr>
                    <w:pStyle w:val="4"/>
                    <w:outlineLvl w:val="0"/>
                    <w:rPr>
                      <w:rFonts w:hint="eastAsia"/>
                      <w:color w:val="auto"/>
                    </w:rPr>
                  </w:pPr>
                  <w:r>
                    <w:rPr>
                      <w:rFonts w:hint="default" w:eastAsia="宋体"/>
                      <w:color w:val="auto"/>
                      <w:lang w:val="en-US" w:eastAsia="zh-CN"/>
                    </w:rPr>
                    <w:t>锅炉燃烧废气</w:t>
                  </w:r>
                </w:p>
              </w:tc>
              <w:tc>
                <w:tcPr>
                  <w:tcW w:w="8483" w:type="dxa"/>
                  <w:vAlign w:val="center"/>
                </w:tcPr>
                <w:p w14:paraId="22CEA224">
                  <w:pPr>
                    <w:pStyle w:val="4"/>
                    <w:jc w:val="left"/>
                    <w:outlineLvl w:val="0"/>
                    <w:rPr>
                      <w:rFonts w:hint="default" w:eastAsia="宋体"/>
                      <w:color w:val="auto"/>
                      <w:lang w:val="en-US" w:eastAsia="zh-CN"/>
                    </w:rPr>
                  </w:pPr>
                  <w:r>
                    <w:rPr>
                      <w:rFonts w:hint="eastAsia"/>
                      <w:color w:val="auto"/>
                      <w:lang w:val="en-US" w:eastAsia="zh-CN"/>
                    </w:rPr>
                    <w:t>经设备自带的低氮燃烧器燃烧后通过</w:t>
                  </w:r>
                  <w:r>
                    <w:rPr>
                      <w:rFonts w:hint="eastAsia"/>
                      <w:lang w:val="en-US" w:eastAsia="zh-CN"/>
                    </w:rPr>
                    <w:t>18m高</w:t>
                  </w:r>
                  <w:r>
                    <w:rPr>
                      <w:rFonts w:hint="default"/>
                      <w:lang w:val="en-US" w:eastAsia="zh-CN"/>
                    </w:rPr>
                    <w:t>DA001排气筒排放</w:t>
                  </w:r>
                </w:p>
              </w:tc>
              <w:tc>
                <w:tcPr>
                  <w:tcW w:w="1077" w:type="dxa"/>
                  <w:vAlign w:val="center"/>
                </w:tcPr>
                <w:p w14:paraId="500438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color w:val="auto"/>
                      <w:sz w:val="21"/>
                      <w:szCs w:val="21"/>
                    </w:rPr>
                  </w:pPr>
                  <w:r>
                    <w:rPr>
                      <w:rFonts w:hint="eastAsia"/>
                      <w:color w:val="auto"/>
                      <w:sz w:val="21"/>
                      <w:szCs w:val="21"/>
                      <w:lang w:val="en-US" w:eastAsia="zh-CN"/>
                    </w:rPr>
                    <w:t>新建</w:t>
                  </w:r>
                </w:p>
              </w:tc>
            </w:tr>
            <w:tr w14:paraId="0F41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24B7B7C6">
                  <w:pPr>
                    <w:pStyle w:val="4"/>
                    <w:outlineLvl w:val="0"/>
                    <w:rPr>
                      <w:rFonts w:hint="eastAsia"/>
                      <w:color w:val="auto"/>
                    </w:rPr>
                  </w:pPr>
                </w:p>
              </w:tc>
              <w:tc>
                <w:tcPr>
                  <w:tcW w:w="915" w:type="dxa"/>
                  <w:vMerge w:val="continue"/>
                  <w:vAlign w:val="center"/>
                </w:tcPr>
                <w:p w14:paraId="3087AA3A">
                  <w:pPr>
                    <w:pStyle w:val="4"/>
                    <w:outlineLvl w:val="0"/>
                    <w:rPr>
                      <w:rFonts w:hint="eastAsia"/>
                      <w:color w:val="auto"/>
                    </w:rPr>
                  </w:pPr>
                </w:p>
              </w:tc>
              <w:tc>
                <w:tcPr>
                  <w:tcW w:w="1489" w:type="dxa"/>
                  <w:vAlign w:val="center"/>
                </w:tcPr>
                <w:p w14:paraId="192CA454">
                  <w:pPr>
                    <w:pStyle w:val="4"/>
                    <w:outlineLvl w:val="0"/>
                    <w:rPr>
                      <w:rFonts w:hint="default" w:eastAsia="宋体"/>
                      <w:color w:val="auto"/>
                      <w:lang w:val="en-US" w:eastAsia="zh-CN"/>
                    </w:rPr>
                  </w:pPr>
                  <w:r>
                    <w:rPr>
                      <w:rFonts w:hint="eastAsia" w:eastAsia="宋体"/>
                      <w:color w:val="auto"/>
                      <w:lang w:val="en-US" w:eastAsia="zh-CN"/>
                    </w:rPr>
                    <w:t>储罐呼吸废气</w:t>
                  </w:r>
                </w:p>
              </w:tc>
              <w:tc>
                <w:tcPr>
                  <w:tcW w:w="8483" w:type="dxa"/>
                  <w:vAlign w:val="center"/>
                </w:tcPr>
                <w:p w14:paraId="4CBAF65E">
                  <w:pPr>
                    <w:pStyle w:val="4"/>
                    <w:jc w:val="left"/>
                    <w:outlineLvl w:val="0"/>
                    <w:rPr>
                      <w:rFonts w:hint="default" w:eastAsia="宋体"/>
                      <w:color w:val="auto"/>
                      <w:lang w:val="en-US" w:eastAsia="zh-CN"/>
                    </w:rPr>
                  </w:pPr>
                  <w:r>
                    <w:rPr>
                      <w:rFonts w:hint="eastAsia" w:ascii="宋体" w:hAnsi="宋体" w:cs="宋体"/>
                      <w:color w:val="auto"/>
                      <w:kern w:val="0"/>
                      <w:lang w:bidi="ar"/>
                    </w:rPr>
                    <w:t>大呼吸废气</w:t>
                  </w:r>
                  <w:r>
                    <w:rPr>
                      <w:rFonts w:hint="eastAsia"/>
                      <w:lang w:val="en-US" w:eastAsia="zh-CN"/>
                    </w:rPr>
                    <w:t>采取装卸料时使用平衡管，减少无组织废气排放；小呼吸废气采取储罐密闭，设置呼吸阀无组织排放</w:t>
                  </w:r>
                </w:p>
              </w:tc>
              <w:tc>
                <w:tcPr>
                  <w:tcW w:w="1077" w:type="dxa"/>
                  <w:vAlign w:val="center"/>
                </w:tcPr>
                <w:p w14:paraId="0386DE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color w:val="auto"/>
                      <w:sz w:val="21"/>
                      <w:szCs w:val="21"/>
                      <w:lang w:val="en-US" w:eastAsia="zh-CN"/>
                    </w:rPr>
                  </w:pPr>
                  <w:r>
                    <w:rPr>
                      <w:rFonts w:hint="eastAsia"/>
                      <w:color w:val="auto"/>
                      <w:sz w:val="21"/>
                      <w:szCs w:val="21"/>
                      <w:lang w:val="en-US" w:eastAsia="zh-CN"/>
                    </w:rPr>
                    <w:t>新建</w:t>
                  </w:r>
                </w:p>
              </w:tc>
            </w:tr>
            <w:tr w14:paraId="7B8F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FA97201">
                  <w:pPr>
                    <w:pStyle w:val="4"/>
                    <w:outlineLvl w:val="0"/>
                    <w:rPr>
                      <w:color w:val="auto"/>
                    </w:rPr>
                  </w:pPr>
                </w:p>
              </w:tc>
              <w:tc>
                <w:tcPr>
                  <w:tcW w:w="2404" w:type="dxa"/>
                  <w:gridSpan w:val="2"/>
                  <w:vAlign w:val="center"/>
                </w:tcPr>
                <w:p w14:paraId="0A1E88E9">
                  <w:pPr>
                    <w:pStyle w:val="4"/>
                    <w:outlineLvl w:val="0"/>
                    <w:rPr>
                      <w:color w:val="auto"/>
                    </w:rPr>
                  </w:pPr>
                  <w:r>
                    <w:rPr>
                      <w:rFonts w:hint="eastAsia"/>
                      <w:color w:val="auto"/>
                    </w:rPr>
                    <w:t>废水治理</w:t>
                  </w:r>
                </w:p>
              </w:tc>
              <w:tc>
                <w:tcPr>
                  <w:tcW w:w="8483" w:type="dxa"/>
                  <w:vAlign w:val="center"/>
                </w:tcPr>
                <w:p w14:paraId="1040014A">
                  <w:pPr>
                    <w:pStyle w:val="4"/>
                    <w:jc w:val="left"/>
                    <w:outlineLvl w:val="0"/>
                    <w:rPr>
                      <w:rFonts w:eastAsiaTheme="minorEastAsia"/>
                      <w:color w:val="auto"/>
                      <w:szCs w:val="21"/>
                    </w:rPr>
                  </w:pPr>
                  <w:r>
                    <w:rPr>
                      <w:rFonts w:hint="eastAsia" w:cs="宋体"/>
                      <w:color w:val="auto"/>
                      <w:lang w:val="en-US" w:eastAsia="zh-CN"/>
                    </w:rPr>
                    <w:t>厂区实行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p>
              </w:tc>
              <w:tc>
                <w:tcPr>
                  <w:tcW w:w="1077" w:type="dxa"/>
                  <w:vAlign w:val="center"/>
                </w:tcPr>
                <w:p w14:paraId="653279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color w:val="auto"/>
                      <w:sz w:val="21"/>
                      <w:szCs w:val="21"/>
                    </w:rPr>
                  </w:pPr>
                  <w:r>
                    <w:rPr>
                      <w:rFonts w:hint="eastAsia"/>
                      <w:color w:val="auto"/>
                      <w:sz w:val="21"/>
                      <w:szCs w:val="21"/>
                      <w:lang w:val="en-US" w:eastAsia="zh-CN"/>
                    </w:rPr>
                    <w:t>新建</w:t>
                  </w:r>
                </w:p>
              </w:tc>
            </w:tr>
            <w:tr w14:paraId="47AC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3F314545">
                  <w:pPr>
                    <w:pStyle w:val="4"/>
                    <w:outlineLvl w:val="0"/>
                    <w:rPr>
                      <w:color w:val="auto"/>
                    </w:rPr>
                  </w:pPr>
                </w:p>
              </w:tc>
              <w:tc>
                <w:tcPr>
                  <w:tcW w:w="2404" w:type="dxa"/>
                  <w:gridSpan w:val="2"/>
                  <w:vAlign w:val="center"/>
                </w:tcPr>
                <w:p w14:paraId="69A9663A">
                  <w:pPr>
                    <w:pStyle w:val="4"/>
                    <w:outlineLvl w:val="0"/>
                    <w:rPr>
                      <w:color w:val="auto"/>
                    </w:rPr>
                  </w:pPr>
                  <w:r>
                    <w:rPr>
                      <w:rFonts w:hint="eastAsia"/>
                      <w:color w:val="auto"/>
                    </w:rPr>
                    <w:t>噪声治理</w:t>
                  </w:r>
                </w:p>
              </w:tc>
              <w:tc>
                <w:tcPr>
                  <w:tcW w:w="8483" w:type="dxa"/>
                  <w:vAlign w:val="center"/>
                </w:tcPr>
                <w:p w14:paraId="3A37D1EC">
                  <w:pPr>
                    <w:pStyle w:val="4"/>
                    <w:jc w:val="left"/>
                    <w:outlineLvl w:val="0"/>
                    <w:rPr>
                      <w:rFonts w:eastAsiaTheme="minorEastAsia"/>
                      <w:color w:val="auto"/>
                      <w:szCs w:val="21"/>
                    </w:rPr>
                  </w:pPr>
                  <w:r>
                    <w:rPr>
                      <w:rFonts w:hint="eastAsia" w:cs="宋体"/>
                      <w:color w:val="auto"/>
                    </w:rPr>
                    <w:t>优选低噪设备，合理布局、基础减振，隔声、距离衰减</w:t>
                  </w:r>
                </w:p>
              </w:tc>
              <w:tc>
                <w:tcPr>
                  <w:tcW w:w="1077" w:type="dxa"/>
                  <w:vAlign w:val="center"/>
                </w:tcPr>
                <w:p w14:paraId="091915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color w:val="auto"/>
                      <w:sz w:val="21"/>
                      <w:szCs w:val="21"/>
                    </w:rPr>
                  </w:pPr>
                  <w:r>
                    <w:rPr>
                      <w:rFonts w:hint="eastAsia"/>
                      <w:color w:val="auto"/>
                      <w:sz w:val="21"/>
                      <w:szCs w:val="21"/>
                      <w:lang w:val="en-US" w:eastAsia="zh-CN"/>
                    </w:rPr>
                    <w:t>新建</w:t>
                  </w:r>
                </w:p>
              </w:tc>
            </w:tr>
            <w:tr w14:paraId="4480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20A8957C">
                  <w:pPr>
                    <w:pStyle w:val="4"/>
                    <w:outlineLvl w:val="0"/>
                    <w:rPr>
                      <w:color w:val="auto"/>
                    </w:rPr>
                  </w:pPr>
                </w:p>
              </w:tc>
              <w:tc>
                <w:tcPr>
                  <w:tcW w:w="2404" w:type="dxa"/>
                  <w:gridSpan w:val="2"/>
                  <w:vAlign w:val="center"/>
                </w:tcPr>
                <w:p w14:paraId="2BA43936">
                  <w:pPr>
                    <w:pStyle w:val="4"/>
                    <w:outlineLvl w:val="0"/>
                    <w:rPr>
                      <w:color w:val="auto"/>
                    </w:rPr>
                  </w:pPr>
                  <w:r>
                    <w:rPr>
                      <w:rFonts w:hint="eastAsia"/>
                      <w:color w:val="auto"/>
                    </w:rPr>
                    <w:t>固废治理</w:t>
                  </w:r>
                </w:p>
              </w:tc>
              <w:tc>
                <w:tcPr>
                  <w:tcW w:w="8483" w:type="dxa"/>
                  <w:vAlign w:val="center"/>
                </w:tcPr>
                <w:p w14:paraId="0D82033B">
                  <w:pPr>
                    <w:pStyle w:val="4"/>
                    <w:jc w:val="left"/>
                    <w:outlineLvl w:val="0"/>
                    <w:rPr>
                      <w:rFonts w:hint="eastAsia" w:eastAsia="宋体"/>
                      <w:color w:val="auto"/>
                      <w:lang w:val="en-US" w:eastAsia="zh-CN"/>
                    </w:rPr>
                  </w:pPr>
                  <w:r>
                    <w:rPr>
                      <w:rFonts w:hint="default" w:ascii="Times New Roman" w:hAnsi="Times New Roman" w:cs="Times New Roman"/>
                      <w:color w:val="auto"/>
                    </w:rPr>
                    <w:t>生活垃圾经收集后由环卫部门统一清运处理；</w:t>
                  </w:r>
                  <w:r>
                    <w:rPr>
                      <w:rFonts w:hint="eastAsia" w:cs="Times New Roman"/>
                      <w:color w:val="auto"/>
                      <w:lang w:val="en-US" w:eastAsia="zh-CN"/>
                    </w:rPr>
                    <w:t>软水制备装置产生的废树脂、滤芯定期</w:t>
                  </w:r>
                  <w:r>
                    <w:rPr>
                      <w:rFonts w:hint="eastAsia"/>
                      <w:lang w:val="en-US" w:eastAsia="zh-CN"/>
                    </w:rPr>
                    <w:t>更换后交由厂家处置</w:t>
                  </w:r>
                </w:p>
              </w:tc>
              <w:tc>
                <w:tcPr>
                  <w:tcW w:w="1077" w:type="dxa"/>
                  <w:vAlign w:val="center"/>
                </w:tcPr>
                <w:p w14:paraId="6B25C0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color w:val="auto"/>
                      <w:sz w:val="21"/>
                      <w:szCs w:val="21"/>
                    </w:rPr>
                  </w:pPr>
                  <w:r>
                    <w:rPr>
                      <w:rFonts w:hint="eastAsia"/>
                      <w:color w:val="auto"/>
                      <w:sz w:val="21"/>
                      <w:szCs w:val="21"/>
                      <w:lang w:val="en-US" w:eastAsia="zh-CN"/>
                    </w:rPr>
                    <w:t>新建</w:t>
                  </w:r>
                </w:p>
              </w:tc>
            </w:tr>
            <w:tr w14:paraId="4A5D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1BB179BA">
                  <w:pPr>
                    <w:pStyle w:val="4"/>
                    <w:outlineLvl w:val="0"/>
                    <w:rPr>
                      <w:color w:val="auto"/>
                    </w:rPr>
                  </w:pPr>
                </w:p>
              </w:tc>
              <w:tc>
                <w:tcPr>
                  <w:tcW w:w="2404" w:type="dxa"/>
                  <w:gridSpan w:val="2"/>
                  <w:vAlign w:val="center"/>
                </w:tcPr>
                <w:p w14:paraId="2A958A5B">
                  <w:pPr>
                    <w:pStyle w:val="4"/>
                    <w:outlineLvl w:val="0"/>
                    <w:rPr>
                      <w:color w:val="auto"/>
                    </w:rPr>
                  </w:pPr>
                  <w:r>
                    <w:rPr>
                      <w:rFonts w:hint="eastAsia"/>
                      <w:color w:val="auto"/>
                    </w:rPr>
                    <w:t>地下水、土壤防渗</w:t>
                  </w:r>
                </w:p>
              </w:tc>
              <w:tc>
                <w:tcPr>
                  <w:tcW w:w="8483" w:type="dxa"/>
                  <w:vAlign w:val="center"/>
                </w:tcPr>
                <w:p w14:paraId="1A6E9CFB">
                  <w:pPr>
                    <w:pStyle w:val="4"/>
                    <w:jc w:val="left"/>
                    <w:outlineLvl w:val="0"/>
                    <w:rPr>
                      <w:color w:val="auto"/>
                    </w:rPr>
                  </w:pPr>
                  <w:r>
                    <w:rPr>
                      <w:rFonts w:hint="eastAsia"/>
                      <w:color w:val="auto"/>
                      <w:lang w:val="en-US" w:eastAsia="zh-CN"/>
                    </w:rPr>
                    <w:t>气化间、地埋式储罐区、事故池（有容积不低于240m</w:t>
                  </w:r>
                  <w:r>
                    <w:rPr>
                      <w:rFonts w:hint="eastAsia"/>
                      <w:color w:val="auto"/>
                      <w:vertAlign w:val="superscript"/>
                      <w:lang w:val="en-US" w:eastAsia="zh-CN"/>
                    </w:rPr>
                    <w:t>3</w:t>
                  </w:r>
                  <w:r>
                    <w:rPr>
                      <w:rFonts w:hint="eastAsia"/>
                      <w:color w:val="auto"/>
                      <w:lang w:val="en-US" w:eastAsia="zh-CN"/>
                    </w:rPr>
                    <w:t>）、</w:t>
                  </w:r>
                  <w:r>
                    <w:rPr>
                      <w:rFonts w:hint="default" w:ascii="Times New Roman" w:hAnsi="Times New Roman" w:eastAsia="宋体" w:cs="Times New Roman"/>
                      <w:color w:val="auto"/>
                      <w:kern w:val="44"/>
                      <w:sz w:val="21"/>
                      <w:szCs w:val="24"/>
                      <w:lang w:val="en-US" w:eastAsia="zh-CN" w:bidi="ar-SA"/>
                    </w:rPr>
                    <w:t>节能站机房</w:t>
                  </w:r>
                  <w:r>
                    <w:rPr>
                      <w:color w:val="auto"/>
                    </w:rPr>
                    <w:t>等设重点防渗；</w:t>
                  </w:r>
                  <w:r>
                    <w:rPr>
                      <w:rFonts w:hint="eastAsia"/>
                      <w:color w:val="auto"/>
                      <w:lang w:val="en-US" w:eastAsia="zh-CN"/>
                    </w:rPr>
                    <w:t>办公楼等其他区域简单</w:t>
                  </w:r>
                  <w:r>
                    <w:rPr>
                      <w:color w:val="auto"/>
                    </w:rPr>
                    <w:t>防渗；</w:t>
                  </w:r>
                </w:p>
              </w:tc>
              <w:tc>
                <w:tcPr>
                  <w:tcW w:w="1077" w:type="dxa"/>
                  <w:vAlign w:val="center"/>
                </w:tcPr>
                <w:p w14:paraId="097E1E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default" w:eastAsia="宋体"/>
                      <w:color w:val="auto"/>
                      <w:sz w:val="21"/>
                      <w:szCs w:val="21"/>
                      <w:lang w:val="en-US" w:eastAsia="zh-CN"/>
                    </w:rPr>
                  </w:pPr>
                  <w:r>
                    <w:rPr>
                      <w:rFonts w:hint="eastAsia"/>
                      <w:color w:val="auto"/>
                      <w:sz w:val="21"/>
                      <w:szCs w:val="21"/>
                      <w:lang w:val="en-US" w:eastAsia="zh-CN"/>
                    </w:rPr>
                    <w:t>新建</w:t>
                  </w:r>
                </w:p>
              </w:tc>
            </w:tr>
            <w:tr w14:paraId="5622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49E81075">
                  <w:pPr>
                    <w:pStyle w:val="4"/>
                    <w:outlineLvl w:val="0"/>
                    <w:rPr>
                      <w:color w:val="auto"/>
                    </w:rPr>
                  </w:pPr>
                </w:p>
              </w:tc>
              <w:tc>
                <w:tcPr>
                  <w:tcW w:w="2404" w:type="dxa"/>
                  <w:gridSpan w:val="2"/>
                  <w:vAlign w:val="center"/>
                </w:tcPr>
                <w:p w14:paraId="036E3A0B">
                  <w:pPr>
                    <w:pStyle w:val="4"/>
                    <w:outlineLvl w:val="0"/>
                    <w:rPr>
                      <w:color w:val="auto"/>
                    </w:rPr>
                  </w:pPr>
                  <w:r>
                    <w:rPr>
                      <w:rFonts w:hint="eastAsia"/>
                      <w:color w:val="auto"/>
                    </w:rPr>
                    <w:t>风险</w:t>
                  </w:r>
                </w:p>
              </w:tc>
              <w:tc>
                <w:tcPr>
                  <w:tcW w:w="8483" w:type="dxa"/>
                  <w:vAlign w:val="center"/>
                </w:tcPr>
                <w:p w14:paraId="1B401092">
                  <w:pPr>
                    <w:pStyle w:val="4"/>
                    <w:jc w:val="left"/>
                    <w:outlineLvl w:val="0"/>
                    <w:rPr>
                      <w:color w:val="auto"/>
                    </w:rPr>
                  </w:pPr>
                  <w:r>
                    <w:rPr>
                      <w:rFonts w:hint="eastAsia"/>
                      <w:color w:val="auto"/>
                    </w:rPr>
                    <w:t>应急预案、消防器材</w:t>
                  </w:r>
                </w:p>
              </w:tc>
              <w:tc>
                <w:tcPr>
                  <w:tcW w:w="1077" w:type="dxa"/>
                  <w:vAlign w:val="center"/>
                </w:tcPr>
                <w:p w14:paraId="37420C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color w:val="auto"/>
                      <w:sz w:val="21"/>
                      <w:szCs w:val="21"/>
                    </w:rPr>
                  </w:pPr>
                  <w:r>
                    <w:rPr>
                      <w:rFonts w:hint="eastAsia"/>
                      <w:color w:val="auto"/>
                      <w:sz w:val="21"/>
                      <w:szCs w:val="21"/>
                      <w:lang w:val="en-US" w:eastAsia="zh-CN"/>
                    </w:rPr>
                    <w:t>新建</w:t>
                  </w:r>
                </w:p>
              </w:tc>
            </w:tr>
            <w:tr w14:paraId="17FE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4D1758C1">
                  <w:pPr>
                    <w:pStyle w:val="4"/>
                    <w:outlineLvl w:val="0"/>
                    <w:rPr>
                      <w:color w:val="auto"/>
                    </w:rPr>
                  </w:pPr>
                </w:p>
              </w:tc>
              <w:tc>
                <w:tcPr>
                  <w:tcW w:w="2404" w:type="dxa"/>
                  <w:gridSpan w:val="2"/>
                  <w:vAlign w:val="center"/>
                </w:tcPr>
                <w:p w14:paraId="3539A84F">
                  <w:pPr>
                    <w:pStyle w:val="4"/>
                    <w:outlineLvl w:val="0"/>
                    <w:rPr>
                      <w:color w:val="auto"/>
                    </w:rPr>
                  </w:pPr>
                  <w:r>
                    <w:rPr>
                      <w:rFonts w:hint="eastAsia"/>
                      <w:color w:val="auto"/>
                    </w:rPr>
                    <w:t>绿化</w:t>
                  </w:r>
                </w:p>
              </w:tc>
              <w:tc>
                <w:tcPr>
                  <w:tcW w:w="8483" w:type="dxa"/>
                  <w:vAlign w:val="center"/>
                </w:tcPr>
                <w:p w14:paraId="309CA648">
                  <w:pPr>
                    <w:pStyle w:val="4"/>
                    <w:jc w:val="left"/>
                    <w:outlineLvl w:val="0"/>
                    <w:rPr>
                      <w:rFonts w:hint="default" w:eastAsia="宋体"/>
                      <w:color w:val="auto"/>
                      <w:lang w:val="en-US" w:eastAsia="zh-CN"/>
                    </w:rPr>
                  </w:pPr>
                  <w:r>
                    <w:rPr>
                      <w:rFonts w:hint="eastAsia"/>
                      <w:color w:val="auto"/>
                      <w:lang w:val="en-US" w:eastAsia="zh-CN"/>
                    </w:rPr>
                    <w:t>加强厂区绿化</w:t>
                  </w:r>
                </w:p>
              </w:tc>
              <w:tc>
                <w:tcPr>
                  <w:tcW w:w="1077" w:type="dxa"/>
                  <w:vAlign w:val="center"/>
                </w:tcPr>
                <w:p w14:paraId="11399E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color w:val="auto"/>
                      <w:sz w:val="21"/>
                      <w:szCs w:val="21"/>
                    </w:rPr>
                  </w:pPr>
                  <w:r>
                    <w:rPr>
                      <w:rFonts w:hint="eastAsia"/>
                      <w:color w:val="auto"/>
                      <w:sz w:val="21"/>
                      <w:szCs w:val="21"/>
                      <w:lang w:val="en-US" w:eastAsia="zh-CN"/>
                    </w:rPr>
                    <w:t>新建</w:t>
                  </w:r>
                </w:p>
              </w:tc>
            </w:tr>
          </w:tbl>
          <w:p w14:paraId="4820A478">
            <w:pPr>
              <w:ind w:firstLine="480"/>
              <w:rPr>
                <w:rFonts w:hint="eastAsia"/>
                <w:b/>
                <w:bCs w:val="0"/>
                <w:color w:val="auto"/>
                <w:sz w:val="24"/>
                <w:szCs w:val="24"/>
                <w:lang w:val="en-US" w:eastAsia="zh-CN"/>
              </w:rPr>
            </w:pPr>
            <w:r>
              <w:rPr>
                <w:rFonts w:hint="eastAsia"/>
                <w:b/>
                <w:bCs w:val="0"/>
                <w:color w:val="auto"/>
                <w:sz w:val="24"/>
                <w:szCs w:val="24"/>
                <w:lang w:val="en-US" w:eastAsia="zh-CN"/>
              </w:rPr>
              <w:t>管网</w:t>
            </w:r>
            <w:r>
              <w:rPr>
                <w:rFonts w:hint="eastAsia"/>
                <w:b/>
                <w:bCs/>
                <w:color w:val="auto"/>
                <w:lang w:val="en-US" w:eastAsia="zh-CN"/>
              </w:rPr>
              <w:t>项目</w:t>
            </w:r>
            <w:r>
              <w:rPr>
                <w:rFonts w:hint="eastAsia"/>
                <w:b/>
                <w:bCs/>
                <w:color w:val="auto"/>
                <w:sz w:val="24"/>
                <w:szCs w:val="24"/>
                <w:lang w:val="en-US" w:eastAsia="zh-CN"/>
              </w:rPr>
              <w:t>：</w:t>
            </w:r>
          </w:p>
          <w:p w14:paraId="27F6CBD3">
            <w:pPr>
              <w:ind w:firstLine="480"/>
              <w:rPr>
                <w:rFonts w:hint="default"/>
                <w:bCs/>
                <w:color w:val="auto"/>
                <w:sz w:val="24"/>
                <w:szCs w:val="24"/>
                <w:lang w:val="en-US" w:eastAsia="zh-CN"/>
              </w:rPr>
            </w:pPr>
            <w:r>
              <w:rPr>
                <w:rFonts w:hint="default" w:cs="Times New Roman"/>
                <w:color w:val="auto"/>
                <w:sz w:val="24"/>
                <w:lang w:val="en-US" w:eastAsia="zh-CN"/>
              </w:rPr>
              <w:t>管道由</w:t>
            </w:r>
            <w:r>
              <w:rPr>
                <w:rFonts w:hint="eastAsia" w:cs="Times New Roman"/>
                <w:color w:val="auto"/>
                <w:sz w:val="24"/>
                <w:lang w:val="en-US" w:eastAsia="zh-CN"/>
              </w:rPr>
              <w:t>栗园路向西敷设至雷河路途经新北路</w:t>
            </w:r>
            <w:r>
              <w:rPr>
                <w:rFonts w:hint="default" w:cs="Times New Roman"/>
                <w:color w:val="auto"/>
                <w:sz w:val="24"/>
                <w:lang w:val="en-US" w:eastAsia="zh-CN"/>
              </w:rPr>
              <w:t>，</w:t>
            </w:r>
            <w:r>
              <w:rPr>
                <w:rFonts w:hint="eastAsia" w:cs="Times New Roman"/>
                <w:color w:val="auto"/>
                <w:sz w:val="24"/>
                <w:lang w:val="en-US" w:eastAsia="zh-CN"/>
              </w:rPr>
              <w:t>延至望湖路西段</w:t>
            </w:r>
            <w:r>
              <w:rPr>
                <w:rFonts w:hint="default" w:cs="Times New Roman"/>
                <w:color w:val="auto"/>
                <w:sz w:val="24"/>
                <w:lang w:val="en-US" w:eastAsia="zh-CN"/>
              </w:rPr>
              <w:t>，采用地埋管道敷设。</w:t>
            </w:r>
            <w:r>
              <w:rPr>
                <w:rFonts w:hint="eastAsia" w:cs="Times New Roman"/>
                <w:color w:val="auto"/>
                <w:sz w:val="24"/>
                <w:lang w:val="en-US" w:eastAsia="zh-CN"/>
              </w:rPr>
              <w:t>本项目</w:t>
            </w:r>
            <w:r>
              <w:rPr>
                <w:rFonts w:hint="default" w:cs="Times New Roman"/>
                <w:color w:val="auto"/>
                <w:sz w:val="24"/>
                <w:lang w:val="en-US" w:eastAsia="zh-CN"/>
              </w:rPr>
              <w:t>主要建设内容包括土建混凝土支架、地埋钢套钢管道等</w:t>
            </w:r>
            <w:r>
              <w:rPr>
                <w:rFonts w:hint="eastAsia" w:cs="Times New Roman"/>
                <w:color w:val="auto"/>
                <w:sz w:val="24"/>
                <w:lang w:val="en-US" w:eastAsia="zh-CN"/>
              </w:rPr>
              <w:t>，</w:t>
            </w:r>
            <w:r>
              <w:rPr>
                <w:rFonts w:hint="eastAsia"/>
                <w:color w:val="auto"/>
                <w:sz w:val="24"/>
                <w:szCs w:val="24"/>
              </w:rPr>
              <w:t>新建供热主干网</w:t>
            </w:r>
            <w:r>
              <w:rPr>
                <w:rFonts w:hint="eastAsia"/>
                <w:color w:val="auto"/>
                <w:sz w:val="24"/>
                <w:szCs w:val="24"/>
                <w:lang w:val="en-US" w:eastAsia="zh-CN"/>
              </w:rPr>
              <w:t>1200</w:t>
            </w:r>
            <w:r>
              <w:rPr>
                <w:rFonts w:hint="eastAsia"/>
                <w:color w:val="auto"/>
                <w:sz w:val="24"/>
                <w:szCs w:val="24"/>
              </w:rPr>
              <w:t>米，入户分支冷热管道8000米。</w:t>
            </w:r>
          </w:p>
          <w:p w14:paraId="69B5AE4C">
            <w:pPr>
              <w:ind w:firstLine="480"/>
              <w:rPr>
                <w:rFonts w:hint="eastAsia" w:eastAsia="宋体"/>
                <w:color w:val="0000FF"/>
                <w:lang w:eastAsia="zh-CN"/>
              </w:rPr>
            </w:pPr>
            <w:r>
              <w:rPr>
                <w:rFonts w:hint="default" w:ascii="Times New Roman" w:hAnsi="Times New Roman" w:cs="Times New Roman"/>
                <w:color w:val="auto"/>
                <w:sz w:val="24"/>
                <w:szCs w:val="24"/>
              </w:rPr>
              <w:t>项目建成后，</w:t>
            </w:r>
            <w:r>
              <w:rPr>
                <w:rFonts w:hint="eastAsia" w:ascii="宋体" w:hAnsi="宋体" w:cs="宋体"/>
                <w:color w:val="auto"/>
                <w:szCs w:val="21"/>
                <w:lang w:val="en-US" w:eastAsia="zh-CN"/>
              </w:rPr>
              <w:t>主要为港利华师城、周边小区及服务机构配套</w:t>
            </w:r>
            <w:r>
              <w:rPr>
                <w:rFonts w:hint="default" w:ascii="Times New Roman" w:hAnsi="Times New Roman" w:cs="Times New Roman"/>
                <w:color w:val="auto"/>
                <w:szCs w:val="21"/>
                <w:lang w:val="en-US" w:eastAsia="zh-CN"/>
              </w:rPr>
              <w:t>（供热范围详见附件6）</w:t>
            </w:r>
            <w:r>
              <w:rPr>
                <w:rFonts w:hint="eastAsia" w:ascii="宋体" w:hAnsi="宋体" w:cs="宋体"/>
                <w:color w:val="auto"/>
                <w:szCs w:val="21"/>
                <w:lang w:val="en-US" w:eastAsia="zh-CN"/>
              </w:rPr>
              <w:t>，供热</w:t>
            </w:r>
            <w:r>
              <w:rPr>
                <w:rFonts w:hint="default" w:ascii="Times New Roman" w:hAnsi="Times New Roman" w:cs="Times New Roman"/>
                <w:color w:val="auto"/>
                <w:sz w:val="24"/>
                <w:szCs w:val="24"/>
              </w:rPr>
              <w:t>覆盖约</w:t>
            </w:r>
            <w:r>
              <w:rPr>
                <w:rFonts w:hint="eastAsia" w:cs="Times New Roman"/>
                <w:color w:val="auto"/>
                <w:sz w:val="24"/>
                <w:szCs w:val="24"/>
                <w:lang w:val="en-US" w:eastAsia="zh-CN"/>
              </w:rPr>
              <w:t>241.2</w:t>
            </w:r>
            <w:r>
              <w:rPr>
                <w:rFonts w:hint="default" w:ascii="Times New Roman" w:hAnsi="Times New Roman" w:cs="Times New Roman"/>
                <w:color w:val="auto"/>
                <w:sz w:val="24"/>
                <w:szCs w:val="24"/>
              </w:rPr>
              <w:t>万</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rPr>
              <w:t>的建筑供暖</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冷</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需求，满足12万以上人的供暖</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冷</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需求。</w:t>
            </w:r>
          </w:p>
          <w:p w14:paraId="20C93C9C">
            <w:pPr>
              <w:keepNext w:val="0"/>
              <w:keepLines w:val="0"/>
              <w:pageBreakBefore w:val="0"/>
              <w:kinsoku/>
              <w:overflowPunct/>
              <w:autoSpaceDE w:val="0"/>
              <w:autoSpaceDN w:val="0"/>
              <w:bidi w:val="0"/>
              <w:adjustRightInd/>
              <w:snapToGrid/>
              <w:spacing w:line="240" w:lineRule="auto"/>
              <w:ind w:left="0"/>
              <w:jc w:val="center"/>
              <w:rPr>
                <w:rFonts w:hint="default" w:ascii="Times New Roman" w:hAnsi="Times New Roman" w:eastAsia="宋体" w:cs="Times New Roman"/>
                <w:b/>
                <w:bCs/>
                <w:color w:val="auto"/>
                <w:sz w:val="24"/>
                <w:szCs w:val="32"/>
              </w:rPr>
            </w:pPr>
            <w:r>
              <w:rPr>
                <w:rFonts w:hint="default" w:ascii="Times New Roman" w:hAnsi="Times New Roman" w:eastAsia="宋体" w:cs="Times New Roman"/>
                <w:b/>
                <w:color w:val="auto"/>
                <w:sz w:val="24"/>
                <w:szCs w:val="32"/>
              </w:rPr>
              <w:t>表</w:t>
            </w:r>
            <w:r>
              <w:rPr>
                <w:rFonts w:hint="eastAsia" w:cs="Times New Roman"/>
                <w:b/>
                <w:color w:val="auto"/>
                <w:sz w:val="24"/>
                <w:szCs w:val="32"/>
                <w:lang w:val="en-US" w:eastAsia="zh-CN"/>
              </w:rPr>
              <w:t>2</w:t>
            </w:r>
            <w:r>
              <w:rPr>
                <w:rFonts w:hint="default" w:ascii="Times New Roman" w:hAnsi="Times New Roman" w:eastAsia="宋体" w:cs="Times New Roman"/>
                <w:b/>
                <w:color w:val="auto"/>
                <w:sz w:val="24"/>
                <w:szCs w:val="32"/>
              </w:rPr>
              <w:t>-</w:t>
            </w:r>
            <w:r>
              <w:rPr>
                <w:rFonts w:hint="eastAsia" w:cs="Times New Roman"/>
                <w:b/>
                <w:color w:val="auto"/>
                <w:sz w:val="24"/>
                <w:szCs w:val="32"/>
                <w:lang w:val="en-US" w:eastAsia="zh-CN"/>
              </w:rPr>
              <w:t>5</w:t>
            </w:r>
            <w:r>
              <w:rPr>
                <w:rFonts w:hint="default" w:ascii="Times New Roman" w:hAnsi="Times New Roman" w:eastAsia="宋体" w:cs="Times New Roman"/>
                <w:b/>
                <w:color w:val="auto"/>
                <w:sz w:val="24"/>
                <w:szCs w:val="32"/>
              </w:rPr>
              <w:t xml:space="preserve">  </w:t>
            </w:r>
            <w:r>
              <w:rPr>
                <w:rFonts w:hint="eastAsia" w:cs="Times New Roman"/>
                <w:b/>
                <w:color w:val="auto"/>
                <w:sz w:val="24"/>
                <w:szCs w:val="32"/>
                <w:lang w:val="en-US" w:eastAsia="zh-CN"/>
              </w:rPr>
              <w:t>管网</w:t>
            </w:r>
            <w:r>
              <w:rPr>
                <w:rFonts w:hint="default" w:ascii="Times New Roman" w:hAnsi="Times New Roman" w:eastAsia="宋体" w:cs="Times New Roman"/>
                <w:b/>
                <w:color w:val="auto"/>
                <w:sz w:val="24"/>
                <w:szCs w:val="32"/>
              </w:rPr>
              <w:t>建设组成一览表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42"/>
              <w:gridCol w:w="1724"/>
              <w:gridCol w:w="8457"/>
              <w:gridCol w:w="1001"/>
            </w:tblGrid>
            <w:tr w14:paraId="6611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09" w:type="dxa"/>
                  <w:gridSpan w:val="3"/>
                  <w:tcBorders>
                    <w:tl2br w:val="nil"/>
                    <w:tr2bl w:val="nil"/>
                  </w:tcBorders>
                  <w:noWrap w:val="0"/>
                  <w:vAlign w:val="center"/>
                </w:tcPr>
                <w:p w14:paraId="6856444A">
                  <w:pPr>
                    <w:pStyle w:val="36"/>
                    <w:keepNext w:val="0"/>
                    <w:keepLines w:val="0"/>
                    <w:pageBreakBefore w:val="0"/>
                    <w:kinsoku/>
                    <w:overflowPunct/>
                    <w:bidi w:val="0"/>
                    <w:adjustRightInd/>
                    <w:snapToGrid/>
                    <w:ind w:left="0"/>
                    <w:rPr>
                      <w:rFonts w:hint="default"/>
                      <w:b/>
                      <w:bCs/>
                      <w:color w:val="auto"/>
                      <w:sz w:val="21"/>
                      <w:szCs w:val="21"/>
                    </w:rPr>
                  </w:pPr>
                  <w:r>
                    <w:rPr>
                      <w:rFonts w:hint="default"/>
                      <w:b/>
                      <w:bCs/>
                      <w:color w:val="auto"/>
                      <w:sz w:val="21"/>
                      <w:szCs w:val="21"/>
                    </w:rPr>
                    <w:t>工程名称</w:t>
                  </w:r>
                </w:p>
              </w:tc>
              <w:tc>
                <w:tcPr>
                  <w:tcW w:w="8457" w:type="dxa"/>
                  <w:tcBorders>
                    <w:tl2br w:val="nil"/>
                    <w:tr2bl w:val="nil"/>
                  </w:tcBorders>
                  <w:noWrap w:val="0"/>
                  <w:vAlign w:val="center"/>
                </w:tcPr>
                <w:p w14:paraId="33BB0E92">
                  <w:pPr>
                    <w:pStyle w:val="36"/>
                    <w:keepNext w:val="0"/>
                    <w:keepLines w:val="0"/>
                    <w:pageBreakBefore w:val="0"/>
                    <w:kinsoku/>
                    <w:overflowPunct/>
                    <w:bidi w:val="0"/>
                    <w:adjustRightInd/>
                    <w:snapToGrid/>
                    <w:ind w:left="0"/>
                    <w:rPr>
                      <w:rFonts w:hint="default"/>
                      <w:b/>
                      <w:bCs/>
                      <w:color w:val="auto"/>
                      <w:sz w:val="21"/>
                      <w:szCs w:val="21"/>
                    </w:rPr>
                  </w:pPr>
                  <w:r>
                    <w:rPr>
                      <w:rFonts w:hint="default"/>
                      <w:b/>
                      <w:bCs/>
                      <w:color w:val="auto"/>
                      <w:sz w:val="21"/>
                      <w:szCs w:val="21"/>
                      <w:lang w:val="en-US" w:eastAsia="zh-CN"/>
                    </w:rPr>
                    <w:t>管网</w:t>
                  </w:r>
                  <w:r>
                    <w:rPr>
                      <w:rFonts w:hint="default"/>
                      <w:b/>
                      <w:bCs/>
                      <w:color w:val="auto"/>
                      <w:sz w:val="21"/>
                      <w:szCs w:val="21"/>
                    </w:rPr>
                    <w:t>建设内容及规模</w:t>
                  </w:r>
                </w:p>
              </w:tc>
              <w:tc>
                <w:tcPr>
                  <w:tcW w:w="1001" w:type="dxa"/>
                  <w:tcBorders>
                    <w:tl2br w:val="nil"/>
                    <w:tr2bl w:val="nil"/>
                  </w:tcBorders>
                  <w:noWrap w:val="0"/>
                  <w:vAlign w:val="center"/>
                </w:tcPr>
                <w:p w14:paraId="5D4F2EDD">
                  <w:pPr>
                    <w:pStyle w:val="36"/>
                    <w:keepNext w:val="0"/>
                    <w:keepLines w:val="0"/>
                    <w:pageBreakBefore w:val="0"/>
                    <w:kinsoku/>
                    <w:overflowPunct/>
                    <w:bidi w:val="0"/>
                    <w:adjustRightInd/>
                    <w:snapToGrid/>
                    <w:ind w:left="0"/>
                    <w:rPr>
                      <w:rFonts w:hint="default"/>
                      <w:b/>
                      <w:bCs/>
                      <w:color w:val="auto"/>
                      <w:sz w:val="21"/>
                      <w:szCs w:val="21"/>
                      <w:lang w:val="en-US" w:eastAsia="zh-CN"/>
                    </w:rPr>
                  </w:pPr>
                  <w:r>
                    <w:rPr>
                      <w:rFonts w:hint="default"/>
                      <w:b/>
                      <w:bCs/>
                      <w:color w:val="auto"/>
                      <w:sz w:val="21"/>
                      <w:szCs w:val="21"/>
                      <w:lang w:val="en-US" w:eastAsia="zh-CN"/>
                    </w:rPr>
                    <w:t>备注</w:t>
                  </w:r>
                </w:p>
              </w:tc>
            </w:tr>
            <w:tr w14:paraId="5910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restart"/>
                  <w:tcBorders>
                    <w:tl2br w:val="nil"/>
                    <w:tr2bl w:val="nil"/>
                  </w:tcBorders>
                  <w:noWrap w:val="0"/>
                  <w:vAlign w:val="center"/>
                </w:tcPr>
                <w:p w14:paraId="6D246B7D">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主体工程</w:t>
                  </w:r>
                </w:p>
              </w:tc>
              <w:tc>
                <w:tcPr>
                  <w:tcW w:w="642" w:type="dxa"/>
                  <w:vMerge w:val="restart"/>
                  <w:tcBorders>
                    <w:tl2br w:val="nil"/>
                    <w:tr2bl w:val="nil"/>
                  </w:tcBorders>
                  <w:noWrap w:val="0"/>
                  <w:vAlign w:val="center"/>
                </w:tcPr>
                <w:p w14:paraId="5135611C">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管网工程</w:t>
                  </w:r>
                </w:p>
              </w:tc>
              <w:tc>
                <w:tcPr>
                  <w:tcW w:w="1724" w:type="dxa"/>
                  <w:tcBorders>
                    <w:tl2br w:val="nil"/>
                    <w:tr2bl w:val="nil"/>
                  </w:tcBorders>
                  <w:noWrap w:val="0"/>
                  <w:vAlign w:val="center"/>
                </w:tcPr>
                <w:p w14:paraId="5242497A">
                  <w:pPr>
                    <w:pStyle w:val="36"/>
                    <w:keepNext w:val="0"/>
                    <w:keepLines w:val="0"/>
                    <w:pageBreakBefore w:val="0"/>
                    <w:kinsoku/>
                    <w:overflowPunct/>
                    <w:bidi w:val="0"/>
                    <w:adjustRightInd/>
                    <w:snapToGrid/>
                    <w:ind w:left="0"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管道敷设</w:t>
                  </w:r>
                </w:p>
              </w:tc>
              <w:tc>
                <w:tcPr>
                  <w:tcW w:w="8457" w:type="dxa"/>
                  <w:tcBorders>
                    <w:tl2br w:val="nil"/>
                    <w:tr2bl w:val="nil"/>
                  </w:tcBorders>
                  <w:noWrap w:val="0"/>
                  <w:vAlign w:val="center"/>
                </w:tcPr>
                <w:p w14:paraId="3D568548">
                  <w:pPr>
                    <w:pStyle w:val="36"/>
                    <w:keepNext w:val="0"/>
                    <w:keepLines w:val="0"/>
                    <w:pageBreakBefore w:val="0"/>
                    <w:widowControl/>
                    <w:kinsoku/>
                    <w:wordWrap w:val="0"/>
                    <w:overflowPunct/>
                    <w:topLinePunct/>
                    <w:autoSpaceDE/>
                    <w:autoSpaceDN/>
                    <w:bidi w:val="0"/>
                    <w:adjustRightInd/>
                    <w:snapToGrid/>
                    <w:ind w:left="0"/>
                    <w:jc w:val="left"/>
                    <w:textAlignment w:val="auto"/>
                    <w:rPr>
                      <w:rFonts w:hint="eastAsia" w:eastAsia="宋体"/>
                      <w:color w:val="auto"/>
                      <w:sz w:val="21"/>
                      <w:szCs w:val="21"/>
                      <w:lang w:val="en-US" w:eastAsia="zh-CN"/>
                    </w:rPr>
                  </w:pPr>
                  <w:r>
                    <w:rPr>
                      <w:rFonts w:hint="eastAsia"/>
                      <w:color w:val="auto"/>
                      <w:sz w:val="21"/>
                      <w:szCs w:val="21"/>
                      <w:lang w:val="en-US" w:eastAsia="zh-CN"/>
                    </w:rPr>
                    <w:t>主管道</w:t>
                  </w:r>
                  <w:r>
                    <w:rPr>
                      <w:rFonts w:hint="eastAsia"/>
                      <w:lang w:eastAsia="zh-CN"/>
                    </w:rPr>
                    <w:t>：</w:t>
                  </w:r>
                </w:p>
                <w:p w14:paraId="3EB22C9A">
                  <w:pPr>
                    <w:pStyle w:val="14"/>
                    <w:keepNext w:val="0"/>
                    <w:keepLines w:val="0"/>
                    <w:pageBreakBefore w:val="0"/>
                    <w:kinsoku/>
                    <w:overflowPunct/>
                    <w:autoSpaceDE/>
                    <w:autoSpaceDN/>
                    <w:bidi w:val="0"/>
                    <w:adjustRightInd/>
                    <w:snapToGrid/>
                    <w:spacing w:line="240" w:lineRule="auto"/>
                    <w:ind w:firstLine="0" w:firstLineChars="0"/>
                    <w:textAlignment w:val="auto"/>
                    <w:rPr>
                      <w:rFonts w:hint="eastAsia"/>
                      <w:color w:val="auto"/>
                      <w:sz w:val="21"/>
                      <w:szCs w:val="21"/>
                      <w:lang w:val="en-US" w:eastAsia="zh-CN"/>
                    </w:rPr>
                  </w:pPr>
                  <w:r>
                    <w:rPr>
                      <w:rFonts w:hint="eastAsia"/>
                      <w:color w:val="auto"/>
                      <w:sz w:val="21"/>
                      <w:szCs w:val="21"/>
                      <w:lang w:val="en-US" w:eastAsia="zh-CN"/>
                    </w:rPr>
                    <w:t>新北路段：沿能源站厂区地埋过栗园路后，沿新北路南侧自东向西敷设至雷河路西侧，新北路直埋过雷河路，铺设长度为350m；</w:t>
                  </w:r>
                </w:p>
                <w:p w14:paraId="14B49479">
                  <w:pPr>
                    <w:pStyle w:val="36"/>
                    <w:keepNext w:val="0"/>
                    <w:keepLines w:val="0"/>
                    <w:pageBreakBefore w:val="0"/>
                    <w:widowControl/>
                    <w:kinsoku/>
                    <w:wordWrap w:val="0"/>
                    <w:overflowPunct/>
                    <w:topLinePunct/>
                    <w:autoSpaceDE/>
                    <w:autoSpaceDN/>
                    <w:bidi w:val="0"/>
                    <w:adjustRightInd/>
                    <w:snapToGrid/>
                    <w:spacing w:line="240" w:lineRule="auto"/>
                    <w:ind w:left="0" w:firstLine="0" w:firstLineChars="0"/>
                    <w:jc w:val="left"/>
                    <w:textAlignment w:val="auto"/>
                    <w:rPr>
                      <w:rFonts w:hint="eastAsia"/>
                      <w:color w:val="auto"/>
                      <w:sz w:val="21"/>
                      <w:szCs w:val="21"/>
                      <w:lang w:val="en-US" w:eastAsia="zh-CN"/>
                    </w:rPr>
                  </w:pPr>
                  <w:r>
                    <w:rPr>
                      <w:rFonts w:hint="eastAsia"/>
                      <w:color w:val="auto"/>
                      <w:sz w:val="21"/>
                      <w:szCs w:val="21"/>
                      <w:lang w:val="en-US" w:eastAsia="zh-CN"/>
                    </w:rPr>
                    <w:t>雷河中部路段：沿新北路地埋过雷河路西侧铺设至卧牛山路交叉口，敷设长度为850m；</w:t>
                  </w:r>
                </w:p>
                <w:p w14:paraId="2F5B6587">
                  <w:pPr>
                    <w:pStyle w:val="36"/>
                    <w:keepNext w:val="0"/>
                    <w:keepLines w:val="0"/>
                    <w:pageBreakBefore w:val="0"/>
                    <w:widowControl/>
                    <w:kinsoku/>
                    <w:wordWrap w:val="0"/>
                    <w:overflowPunct/>
                    <w:topLinePunct/>
                    <w:autoSpaceDE/>
                    <w:autoSpaceDN/>
                    <w:bidi w:val="0"/>
                    <w:adjustRightInd/>
                    <w:snapToGrid/>
                    <w:spacing w:line="240" w:lineRule="auto"/>
                    <w:ind w:left="0"/>
                    <w:jc w:val="left"/>
                    <w:textAlignment w:val="auto"/>
                    <w:rPr>
                      <w:rFonts w:hint="eastAsia" w:eastAsia="宋体"/>
                      <w:lang w:val="en-US" w:eastAsia="zh-CN"/>
                    </w:rPr>
                  </w:pPr>
                  <w:r>
                    <w:rPr>
                      <w:rFonts w:hint="eastAsia"/>
                      <w:lang w:val="en-US" w:eastAsia="zh-CN"/>
                    </w:rPr>
                    <w:t>支管道</w:t>
                  </w:r>
                  <w:r>
                    <w:rPr>
                      <w:rFonts w:hint="eastAsia"/>
                      <w:lang w:eastAsia="zh-CN"/>
                    </w:rPr>
                    <w:t>：</w:t>
                  </w:r>
                </w:p>
                <w:p w14:paraId="11B953D9">
                  <w:pPr>
                    <w:pStyle w:val="36"/>
                    <w:keepNext w:val="0"/>
                    <w:keepLines w:val="0"/>
                    <w:pageBreakBefore w:val="0"/>
                    <w:widowControl/>
                    <w:kinsoku/>
                    <w:wordWrap w:val="0"/>
                    <w:overflowPunct/>
                    <w:topLinePunct/>
                    <w:autoSpaceDE/>
                    <w:autoSpaceDN/>
                    <w:bidi w:val="0"/>
                    <w:adjustRightInd/>
                    <w:snapToGrid/>
                    <w:ind w:left="0"/>
                    <w:jc w:val="left"/>
                    <w:textAlignment w:val="auto"/>
                    <w:rPr>
                      <w:rFonts w:hint="default"/>
                      <w:color w:val="auto"/>
                      <w:sz w:val="21"/>
                      <w:szCs w:val="21"/>
                      <w:lang w:val="en-US" w:eastAsia="zh-CN"/>
                    </w:rPr>
                  </w:pPr>
                  <w:r>
                    <w:rPr>
                      <w:rFonts w:hint="eastAsia"/>
                      <w:color w:val="auto"/>
                      <w:sz w:val="21"/>
                      <w:szCs w:val="21"/>
                      <w:lang w:val="en-US" w:eastAsia="zh-CN"/>
                    </w:rPr>
                    <w:t>雷河路北侧路段：沿新北路地埋过雷河路西侧自南向北敷设300m；</w:t>
                  </w:r>
                </w:p>
                <w:p w14:paraId="4909CED8">
                  <w:pPr>
                    <w:pStyle w:val="36"/>
                    <w:keepNext w:val="0"/>
                    <w:keepLines w:val="0"/>
                    <w:pageBreakBefore w:val="0"/>
                    <w:widowControl/>
                    <w:kinsoku/>
                    <w:wordWrap w:val="0"/>
                    <w:overflowPunct/>
                    <w:topLinePunct/>
                    <w:autoSpaceDE/>
                    <w:autoSpaceDN/>
                    <w:bidi w:val="0"/>
                    <w:adjustRightInd/>
                    <w:snapToGrid/>
                    <w:ind w:left="0"/>
                    <w:jc w:val="left"/>
                    <w:textAlignment w:val="auto"/>
                    <w:rPr>
                      <w:rFonts w:hint="default"/>
                      <w:color w:val="auto"/>
                      <w:sz w:val="21"/>
                      <w:szCs w:val="21"/>
                      <w:lang w:val="en-US" w:eastAsia="zh-CN"/>
                    </w:rPr>
                  </w:pPr>
                  <w:r>
                    <w:rPr>
                      <w:rFonts w:hint="eastAsia"/>
                      <w:color w:val="auto"/>
                      <w:sz w:val="21"/>
                      <w:szCs w:val="21"/>
                      <w:lang w:val="en-US" w:eastAsia="zh-CN"/>
                    </w:rPr>
                    <w:t>栗园路段：沿能源站出口地埋过栗园路后，沿栗园路西侧自北向南敷设200m；</w:t>
                  </w:r>
                </w:p>
                <w:p w14:paraId="28903626">
                  <w:pPr>
                    <w:pStyle w:val="36"/>
                    <w:keepNext w:val="0"/>
                    <w:keepLines w:val="0"/>
                    <w:pageBreakBefore w:val="0"/>
                    <w:widowControl/>
                    <w:kinsoku/>
                    <w:wordWrap w:val="0"/>
                    <w:overflowPunct/>
                    <w:topLinePunct/>
                    <w:autoSpaceDE/>
                    <w:autoSpaceDN/>
                    <w:bidi w:val="0"/>
                    <w:adjustRightInd/>
                    <w:snapToGrid/>
                    <w:ind w:left="0"/>
                    <w:jc w:val="left"/>
                    <w:textAlignment w:val="auto"/>
                    <w:rPr>
                      <w:rFonts w:hint="default"/>
                      <w:color w:val="auto"/>
                      <w:sz w:val="21"/>
                      <w:szCs w:val="21"/>
                      <w:lang w:val="en-US" w:eastAsia="zh-CN"/>
                    </w:rPr>
                  </w:pPr>
                  <w:r>
                    <w:rPr>
                      <w:rFonts w:hint="eastAsia"/>
                      <w:color w:val="auto"/>
                      <w:sz w:val="21"/>
                      <w:szCs w:val="21"/>
                      <w:lang w:val="en-US" w:eastAsia="zh-CN"/>
                    </w:rPr>
                    <w:t>望湖路段：沿雷河路西侧地埋过望湖路后，沿望湖路西侧自东向西至敷设500m；</w:t>
                  </w:r>
                </w:p>
                <w:p w14:paraId="3D793EB3">
                  <w:pPr>
                    <w:pStyle w:val="36"/>
                    <w:keepNext w:val="0"/>
                    <w:keepLines w:val="0"/>
                    <w:pageBreakBefore w:val="0"/>
                    <w:widowControl/>
                    <w:kinsoku/>
                    <w:wordWrap w:val="0"/>
                    <w:overflowPunct/>
                    <w:topLinePunct/>
                    <w:autoSpaceDE/>
                    <w:autoSpaceDN/>
                    <w:bidi w:val="0"/>
                    <w:adjustRightInd/>
                    <w:snapToGrid/>
                    <w:ind w:left="0"/>
                    <w:jc w:val="left"/>
                    <w:textAlignment w:val="auto"/>
                    <w:rPr>
                      <w:rFonts w:hint="default"/>
                      <w:color w:val="auto"/>
                      <w:sz w:val="21"/>
                      <w:szCs w:val="21"/>
                      <w:lang w:val="en-US" w:eastAsia="zh-CN"/>
                    </w:rPr>
                  </w:pPr>
                  <w:r>
                    <w:rPr>
                      <w:rFonts w:hint="eastAsia"/>
                      <w:color w:val="auto"/>
                      <w:sz w:val="21"/>
                      <w:szCs w:val="21"/>
                      <w:lang w:val="en-US" w:eastAsia="zh-CN"/>
                    </w:rPr>
                    <w:t>雷河路南侧路段：沿卧牛山交叉口，沿雷河路西侧自北向南敷设1000m；</w:t>
                  </w:r>
                </w:p>
                <w:p w14:paraId="1EE92A6F">
                  <w:pPr>
                    <w:pStyle w:val="36"/>
                    <w:keepNext w:val="0"/>
                    <w:keepLines w:val="0"/>
                    <w:pageBreakBefore w:val="0"/>
                    <w:widowControl/>
                    <w:kinsoku/>
                    <w:wordWrap w:val="0"/>
                    <w:overflowPunct/>
                    <w:topLinePunct/>
                    <w:autoSpaceDE/>
                    <w:autoSpaceDN/>
                    <w:bidi w:val="0"/>
                    <w:adjustRightInd/>
                    <w:snapToGrid/>
                    <w:ind w:left="0"/>
                    <w:jc w:val="left"/>
                    <w:textAlignment w:val="auto"/>
                    <w:rPr>
                      <w:rFonts w:hint="default"/>
                      <w:color w:val="auto"/>
                      <w:sz w:val="21"/>
                      <w:szCs w:val="21"/>
                      <w:lang w:val="en-US" w:eastAsia="zh-CN"/>
                    </w:rPr>
                  </w:pPr>
                  <w:r>
                    <w:rPr>
                      <w:rFonts w:hint="eastAsia"/>
                      <w:color w:val="auto"/>
                      <w:sz w:val="21"/>
                      <w:szCs w:val="21"/>
                      <w:lang w:val="en-US" w:eastAsia="zh-CN"/>
                    </w:rPr>
                    <w:t>主管道总长度为1200m；入户冷热管道6000米，分支管道2000m，合计8000m</w:t>
                  </w:r>
                </w:p>
              </w:tc>
              <w:tc>
                <w:tcPr>
                  <w:tcW w:w="1001" w:type="dxa"/>
                  <w:tcBorders>
                    <w:tl2br w:val="nil"/>
                    <w:tr2bl w:val="nil"/>
                  </w:tcBorders>
                  <w:noWrap w:val="0"/>
                  <w:vAlign w:val="center"/>
                </w:tcPr>
                <w:p w14:paraId="03A45238">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新建</w:t>
                  </w:r>
                </w:p>
              </w:tc>
            </w:tr>
            <w:tr w14:paraId="5FFD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2EDF4543">
                  <w:pPr>
                    <w:pStyle w:val="36"/>
                    <w:keepNext w:val="0"/>
                    <w:keepLines w:val="0"/>
                    <w:pageBreakBefore w:val="0"/>
                    <w:kinsoku/>
                    <w:overflowPunct/>
                    <w:bidi w:val="0"/>
                    <w:adjustRightInd/>
                    <w:snapToGrid/>
                    <w:ind w:left="0"/>
                    <w:rPr>
                      <w:rFonts w:hint="default"/>
                      <w:color w:val="auto"/>
                      <w:sz w:val="21"/>
                      <w:szCs w:val="21"/>
                      <w:lang w:val="en-US" w:eastAsia="zh-CN"/>
                    </w:rPr>
                  </w:pPr>
                </w:p>
              </w:tc>
              <w:tc>
                <w:tcPr>
                  <w:tcW w:w="642" w:type="dxa"/>
                  <w:vMerge w:val="continue"/>
                  <w:tcBorders>
                    <w:tl2br w:val="nil"/>
                    <w:tr2bl w:val="nil"/>
                  </w:tcBorders>
                  <w:noWrap w:val="0"/>
                  <w:vAlign w:val="center"/>
                </w:tcPr>
                <w:p w14:paraId="7019B40F">
                  <w:pPr>
                    <w:pStyle w:val="36"/>
                    <w:keepNext w:val="0"/>
                    <w:keepLines w:val="0"/>
                    <w:pageBreakBefore w:val="0"/>
                    <w:kinsoku/>
                    <w:overflowPunct/>
                    <w:bidi w:val="0"/>
                    <w:adjustRightInd/>
                    <w:snapToGrid/>
                    <w:ind w:left="0"/>
                    <w:rPr>
                      <w:rFonts w:hint="default"/>
                      <w:color w:val="auto"/>
                      <w:sz w:val="21"/>
                      <w:szCs w:val="21"/>
                      <w:lang w:val="en-US" w:eastAsia="zh-CN"/>
                    </w:rPr>
                  </w:pPr>
                </w:p>
              </w:tc>
              <w:tc>
                <w:tcPr>
                  <w:tcW w:w="1724" w:type="dxa"/>
                  <w:tcBorders>
                    <w:tl2br w:val="nil"/>
                    <w:tr2bl w:val="nil"/>
                  </w:tcBorders>
                  <w:noWrap w:val="0"/>
                  <w:vAlign w:val="center"/>
                </w:tcPr>
                <w:p w14:paraId="6D0E2D60">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规格</w:t>
                  </w:r>
                </w:p>
              </w:tc>
              <w:tc>
                <w:tcPr>
                  <w:tcW w:w="8457" w:type="dxa"/>
                  <w:tcBorders>
                    <w:tl2br w:val="nil"/>
                    <w:tr2bl w:val="nil"/>
                  </w:tcBorders>
                  <w:noWrap w:val="0"/>
                  <w:vAlign w:val="center"/>
                </w:tcPr>
                <w:p w14:paraId="4303F825">
                  <w:pPr>
                    <w:pStyle w:val="36"/>
                    <w:keepNext w:val="0"/>
                    <w:keepLines w:val="0"/>
                    <w:pageBreakBefore w:val="0"/>
                    <w:widowControl/>
                    <w:kinsoku/>
                    <w:wordWrap w:val="0"/>
                    <w:overflowPunct/>
                    <w:topLinePunct/>
                    <w:autoSpaceDE/>
                    <w:autoSpaceDN/>
                    <w:bidi w:val="0"/>
                    <w:adjustRightInd/>
                    <w:snapToGrid/>
                    <w:ind w:left="0" w:firstLine="0" w:firstLineChars="0"/>
                    <w:jc w:val="left"/>
                    <w:textAlignment w:val="auto"/>
                    <w:rPr>
                      <w:rFonts w:hint="eastAsia"/>
                      <w:color w:val="auto"/>
                      <w:sz w:val="21"/>
                      <w:szCs w:val="21"/>
                      <w:lang w:val="en-US" w:eastAsia="zh-CN"/>
                    </w:rPr>
                  </w:pPr>
                  <w:r>
                    <w:rPr>
                      <w:rFonts w:hint="eastAsia"/>
                      <w:color w:val="auto"/>
                      <w:sz w:val="21"/>
                      <w:szCs w:val="21"/>
                      <w:lang w:val="en-US" w:eastAsia="zh-CN"/>
                    </w:rPr>
                    <w:t>主管道总长度为1200m；入户冷热管道6000米，分支管道2000m，合计8000m，均为地埋式敷设；</w:t>
                  </w:r>
                </w:p>
                <w:p w14:paraId="480AE1B9">
                  <w:pPr>
                    <w:pStyle w:val="36"/>
                    <w:keepNext w:val="0"/>
                    <w:keepLines w:val="0"/>
                    <w:pageBreakBefore w:val="0"/>
                    <w:widowControl/>
                    <w:kinsoku/>
                    <w:wordWrap w:val="0"/>
                    <w:overflowPunct/>
                    <w:topLinePunct/>
                    <w:autoSpaceDE/>
                    <w:autoSpaceDN/>
                    <w:bidi w:val="0"/>
                    <w:adjustRightInd/>
                    <w:snapToGrid/>
                    <w:ind w:left="0" w:firstLine="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主管道采用DN500、DN450、DN400；入户分支采用DN350、DN300、DN250；材料为</w:t>
                  </w:r>
                  <w:r>
                    <w:rPr>
                      <w:rFonts w:hint="default"/>
                      <w:color w:val="auto"/>
                      <w:sz w:val="21"/>
                      <w:szCs w:val="21"/>
                      <w:lang w:val="en-US" w:eastAsia="zh-CN"/>
                    </w:rPr>
                    <w:t>无缝钢管</w:t>
                  </w:r>
                  <w:r>
                    <w:rPr>
                      <w:rFonts w:hint="eastAsia"/>
                      <w:color w:val="auto"/>
                      <w:sz w:val="21"/>
                      <w:szCs w:val="21"/>
                      <w:lang w:val="en-US" w:eastAsia="zh-CN"/>
                    </w:rPr>
                    <w:t>、</w:t>
                  </w:r>
                  <w:r>
                    <w:rPr>
                      <w:rFonts w:hint="default"/>
                      <w:color w:val="auto"/>
                      <w:sz w:val="21"/>
                      <w:szCs w:val="21"/>
                      <w:lang w:val="en-US" w:eastAsia="zh-CN"/>
                    </w:rPr>
                    <w:t>材质钢20</w:t>
                  </w:r>
                  <w:r>
                    <w:rPr>
                      <w:rFonts w:hint="eastAsia"/>
                      <w:color w:val="auto"/>
                      <w:sz w:val="21"/>
                      <w:szCs w:val="21"/>
                      <w:lang w:val="en-US" w:eastAsia="zh-CN"/>
                    </w:rPr>
                    <w:t>、钢Q235B，外部</w:t>
                  </w:r>
                  <w:r>
                    <w:rPr>
                      <w:rFonts w:hint="eastAsia"/>
                      <w:color w:val="auto"/>
                      <w:lang w:val="en-US" w:eastAsia="zh-CN"/>
                    </w:rPr>
                    <w:t>采用预制高密度聚乙烯聚氨酯保温管（高温型）</w:t>
                  </w:r>
                </w:p>
              </w:tc>
              <w:tc>
                <w:tcPr>
                  <w:tcW w:w="1001" w:type="dxa"/>
                  <w:vMerge w:val="restart"/>
                  <w:tcBorders>
                    <w:tl2br w:val="nil"/>
                    <w:tr2bl w:val="nil"/>
                  </w:tcBorders>
                  <w:noWrap w:val="0"/>
                  <w:vAlign w:val="center"/>
                </w:tcPr>
                <w:p w14:paraId="15EA62A7">
                  <w:pPr>
                    <w:pStyle w:val="36"/>
                    <w:keepNext w:val="0"/>
                    <w:keepLines w:val="0"/>
                    <w:pageBreakBefore w:val="0"/>
                    <w:kinsoku/>
                    <w:overflowPunct/>
                    <w:bidi w:val="0"/>
                    <w:adjustRightInd/>
                    <w:snapToGrid/>
                    <w:ind w:left="0"/>
                    <w:rPr>
                      <w:rFonts w:hint="default"/>
                      <w:color w:val="auto"/>
                      <w:sz w:val="21"/>
                      <w:szCs w:val="21"/>
                      <w:lang w:val="en-US" w:eastAsia="zh-CN"/>
                    </w:rPr>
                  </w:pPr>
                  <w:r>
                    <w:rPr>
                      <w:rFonts w:hint="default"/>
                      <w:color w:val="auto"/>
                      <w:sz w:val="21"/>
                      <w:szCs w:val="21"/>
                      <w:lang w:val="en-US" w:eastAsia="zh-CN"/>
                    </w:rPr>
                    <w:t>新建</w:t>
                  </w:r>
                </w:p>
              </w:tc>
            </w:tr>
            <w:tr w14:paraId="2068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20AB6E58">
                  <w:pPr>
                    <w:pStyle w:val="36"/>
                    <w:keepNext w:val="0"/>
                    <w:keepLines w:val="0"/>
                    <w:pageBreakBefore w:val="0"/>
                    <w:kinsoku/>
                    <w:overflowPunct/>
                    <w:bidi w:val="0"/>
                    <w:adjustRightInd/>
                    <w:snapToGrid/>
                    <w:ind w:left="0"/>
                    <w:rPr>
                      <w:rFonts w:hint="default"/>
                      <w:color w:val="auto"/>
                      <w:sz w:val="21"/>
                      <w:szCs w:val="21"/>
                      <w:lang w:val="en-US" w:eastAsia="zh-CN"/>
                    </w:rPr>
                  </w:pPr>
                </w:p>
              </w:tc>
              <w:tc>
                <w:tcPr>
                  <w:tcW w:w="642" w:type="dxa"/>
                  <w:vMerge w:val="continue"/>
                  <w:tcBorders>
                    <w:tl2br w:val="nil"/>
                    <w:tr2bl w:val="nil"/>
                  </w:tcBorders>
                  <w:noWrap w:val="0"/>
                  <w:vAlign w:val="center"/>
                </w:tcPr>
                <w:p w14:paraId="23A72E1B">
                  <w:pPr>
                    <w:pStyle w:val="36"/>
                    <w:keepNext w:val="0"/>
                    <w:keepLines w:val="0"/>
                    <w:pageBreakBefore w:val="0"/>
                    <w:kinsoku/>
                    <w:overflowPunct/>
                    <w:bidi w:val="0"/>
                    <w:adjustRightInd/>
                    <w:snapToGrid/>
                    <w:ind w:left="0"/>
                    <w:rPr>
                      <w:rFonts w:hint="default"/>
                      <w:color w:val="auto"/>
                      <w:sz w:val="21"/>
                      <w:szCs w:val="21"/>
                      <w:lang w:val="en-US" w:eastAsia="zh-CN"/>
                    </w:rPr>
                  </w:pPr>
                </w:p>
              </w:tc>
              <w:tc>
                <w:tcPr>
                  <w:tcW w:w="1724" w:type="dxa"/>
                  <w:tcBorders>
                    <w:tl2br w:val="nil"/>
                    <w:tr2bl w:val="nil"/>
                  </w:tcBorders>
                  <w:noWrap w:val="0"/>
                  <w:vAlign w:val="center"/>
                </w:tcPr>
                <w:p w14:paraId="29963CBA">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敷设方式</w:t>
                  </w:r>
                </w:p>
              </w:tc>
              <w:tc>
                <w:tcPr>
                  <w:tcW w:w="8457" w:type="dxa"/>
                  <w:tcBorders>
                    <w:tl2br w:val="nil"/>
                    <w:tr2bl w:val="nil"/>
                  </w:tcBorders>
                  <w:noWrap w:val="0"/>
                  <w:vAlign w:val="center"/>
                </w:tcPr>
                <w:p w14:paraId="2216E8E1">
                  <w:pPr>
                    <w:pStyle w:val="36"/>
                    <w:keepNext w:val="0"/>
                    <w:keepLines w:val="0"/>
                    <w:pageBreakBefore w:val="0"/>
                    <w:kinsoku/>
                    <w:overflowPunct/>
                    <w:bidi w:val="0"/>
                    <w:adjustRightInd/>
                    <w:snapToGrid/>
                    <w:ind w:left="0" w:firstLine="0" w:firstLineChars="0"/>
                    <w:jc w:val="left"/>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沿途管道采用地埋管道敷设</w:t>
                  </w:r>
                  <w:r>
                    <w:rPr>
                      <w:rFonts w:hint="eastAsia"/>
                      <w:color w:val="auto"/>
                      <w:sz w:val="21"/>
                      <w:szCs w:val="21"/>
                      <w:lang w:val="en-US" w:eastAsia="zh-CN"/>
                    </w:rPr>
                    <w:t>，过道路采用顶管的施工方式</w:t>
                  </w:r>
                </w:p>
              </w:tc>
              <w:tc>
                <w:tcPr>
                  <w:tcW w:w="1001" w:type="dxa"/>
                  <w:vMerge w:val="continue"/>
                  <w:tcBorders>
                    <w:tl2br w:val="nil"/>
                    <w:tr2bl w:val="nil"/>
                  </w:tcBorders>
                  <w:noWrap w:val="0"/>
                  <w:vAlign w:val="center"/>
                </w:tcPr>
                <w:p w14:paraId="3CC094A3">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p>
              </w:tc>
            </w:tr>
            <w:tr w14:paraId="21C4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631F74D1">
                  <w:pPr>
                    <w:pStyle w:val="36"/>
                    <w:keepNext w:val="0"/>
                    <w:keepLines w:val="0"/>
                    <w:pageBreakBefore w:val="0"/>
                    <w:kinsoku/>
                    <w:overflowPunct/>
                    <w:bidi w:val="0"/>
                    <w:adjustRightInd/>
                    <w:snapToGrid/>
                    <w:ind w:left="0"/>
                    <w:rPr>
                      <w:rFonts w:hint="default"/>
                      <w:color w:val="auto"/>
                      <w:sz w:val="21"/>
                      <w:szCs w:val="21"/>
                      <w:lang w:val="en-US" w:eastAsia="zh-CN"/>
                    </w:rPr>
                  </w:pPr>
                </w:p>
              </w:tc>
              <w:tc>
                <w:tcPr>
                  <w:tcW w:w="642" w:type="dxa"/>
                  <w:vMerge w:val="continue"/>
                  <w:tcBorders>
                    <w:tl2br w:val="nil"/>
                    <w:tr2bl w:val="nil"/>
                  </w:tcBorders>
                  <w:noWrap w:val="0"/>
                  <w:vAlign w:val="center"/>
                </w:tcPr>
                <w:p w14:paraId="48FF1FED">
                  <w:pPr>
                    <w:pStyle w:val="36"/>
                    <w:keepNext w:val="0"/>
                    <w:keepLines w:val="0"/>
                    <w:pageBreakBefore w:val="0"/>
                    <w:kinsoku/>
                    <w:overflowPunct/>
                    <w:bidi w:val="0"/>
                    <w:adjustRightInd/>
                    <w:snapToGrid/>
                    <w:ind w:left="0"/>
                    <w:rPr>
                      <w:rFonts w:hint="default"/>
                      <w:color w:val="auto"/>
                      <w:sz w:val="21"/>
                      <w:szCs w:val="21"/>
                      <w:lang w:val="en-US" w:eastAsia="zh-CN"/>
                    </w:rPr>
                  </w:pPr>
                </w:p>
              </w:tc>
              <w:tc>
                <w:tcPr>
                  <w:tcW w:w="1724" w:type="dxa"/>
                  <w:tcBorders>
                    <w:tl2br w:val="nil"/>
                    <w:tr2bl w:val="nil"/>
                  </w:tcBorders>
                  <w:noWrap w:val="0"/>
                  <w:vAlign w:val="center"/>
                </w:tcPr>
                <w:p w14:paraId="0E1B2A58">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供热</w:t>
                  </w:r>
                  <w:r>
                    <w:rPr>
                      <w:rFonts w:hint="eastAsia"/>
                      <w:color w:val="auto"/>
                      <w:sz w:val="21"/>
                      <w:szCs w:val="21"/>
                      <w:lang w:val="en-US" w:eastAsia="zh-CN"/>
                    </w:rPr>
                    <w:t>/冷</w:t>
                  </w:r>
                  <w:r>
                    <w:rPr>
                      <w:rFonts w:hint="default"/>
                      <w:color w:val="auto"/>
                      <w:sz w:val="21"/>
                      <w:szCs w:val="21"/>
                      <w:lang w:val="en-US" w:eastAsia="zh-CN"/>
                    </w:rPr>
                    <w:t>介质</w:t>
                  </w:r>
                </w:p>
              </w:tc>
              <w:tc>
                <w:tcPr>
                  <w:tcW w:w="8457" w:type="dxa"/>
                  <w:tcBorders>
                    <w:tl2br w:val="nil"/>
                    <w:tr2bl w:val="nil"/>
                  </w:tcBorders>
                  <w:noWrap w:val="0"/>
                  <w:vAlign w:val="center"/>
                </w:tcPr>
                <w:p w14:paraId="3EA78E6B">
                  <w:pPr>
                    <w:pStyle w:val="36"/>
                    <w:keepNext w:val="0"/>
                    <w:keepLines w:val="0"/>
                    <w:pageBreakBefore w:val="0"/>
                    <w:kinsoku/>
                    <w:overflowPunct/>
                    <w:bidi w:val="0"/>
                    <w:adjustRightInd/>
                    <w:snapToGrid/>
                    <w:ind w:left="0" w:firstLine="0" w:firstLineChars="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管道</w:t>
                  </w:r>
                  <w:r>
                    <w:rPr>
                      <w:rFonts w:hint="eastAsia" w:cs="Times New Roman"/>
                      <w:color w:val="auto"/>
                      <w:kern w:val="2"/>
                      <w:sz w:val="21"/>
                      <w:szCs w:val="21"/>
                      <w:lang w:val="en-US" w:eastAsia="zh-CN" w:bidi="ar-SA"/>
                    </w:rPr>
                    <w:t>：设计压力为1.6MPa，设计温度95</w:t>
                  </w:r>
                  <w:r>
                    <w:rPr>
                      <w:rFonts w:hint="default" w:ascii="Times New Roman" w:hAnsi="Times New Roman" w:cs="Times New Roman"/>
                      <w:color w:val="auto"/>
                      <w:kern w:val="2"/>
                      <w:sz w:val="21"/>
                      <w:szCs w:val="21"/>
                      <w:lang w:val="en-US" w:eastAsia="zh-CN" w:bidi="ar-SA"/>
                    </w:rPr>
                    <w:t>℃</w:t>
                  </w:r>
                  <w:r>
                    <w:rPr>
                      <w:rFonts w:hint="eastAsia" w:ascii="Times New Roman" w:hAnsi="Times New Roman" w:eastAsia="宋体" w:cs="Times New Roman"/>
                      <w:color w:val="auto"/>
                      <w:sz w:val="21"/>
                      <w:szCs w:val="21"/>
                      <w:lang w:val="en-US" w:eastAsia="zh-CN"/>
                    </w:rPr>
                    <w:t>，供热介质参数确定为</w:t>
                  </w:r>
                  <w:r>
                    <w:rPr>
                      <w:rFonts w:hint="default" w:ascii="Times New Roman" w:hAnsi="Times New Roman" w:eastAsia="宋体" w:cs="Times New Roman"/>
                      <w:color w:val="auto"/>
                      <w:sz w:val="21"/>
                      <w:szCs w:val="21"/>
                      <w:lang w:val="en-US" w:eastAsia="zh-CN"/>
                    </w:rPr>
                    <w:t>95/40℃热水，温差为55℃</w:t>
                  </w:r>
                  <w:r>
                    <w:rPr>
                      <w:rFonts w:hint="eastAsia" w:cs="Times New Roman"/>
                      <w:color w:val="auto"/>
                      <w:sz w:val="21"/>
                      <w:szCs w:val="21"/>
                      <w:lang w:val="en-US" w:eastAsia="zh-CN"/>
                    </w:rPr>
                    <w:t>，</w:t>
                  </w:r>
                  <w:r>
                    <w:rPr>
                      <w:rFonts w:hint="default" w:ascii="Times New Roman" w:hAnsi="Times New Roman" w:cs="Times New Roman"/>
                      <w:lang w:val="en-US" w:eastAsia="zh-CN"/>
                    </w:rPr>
                    <w:t>制冷名义工况：环境温度35℃出水温度7℃</w:t>
                  </w:r>
                </w:p>
              </w:tc>
              <w:tc>
                <w:tcPr>
                  <w:tcW w:w="1001" w:type="dxa"/>
                  <w:tcBorders>
                    <w:tl2br w:val="nil"/>
                    <w:tr2bl w:val="nil"/>
                  </w:tcBorders>
                  <w:noWrap w:val="0"/>
                  <w:vAlign w:val="center"/>
                </w:tcPr>
                <w:p w14:paraId="3AACF617">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新建</w:t>
                  </w:r>
                </w:p>
              </w:tc>
            </w:tr>
            <w:tr w14:paraId="6733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4E90A05F">
                  <w:pPr>
                    <w:pStyle w:val="36"/>
                    <w:keepNext w:val="0"/>
                    <w:keepLines w:val="0"/>
                    <w:pageBreakBefore w:val="0"/>
                    <w:kinsoku/>
                    <w:overflowPunct/>
                    <w:bidi w:val="0"/>
                    <w:adjustRightInd/>
                    <w:snapToGrid/>
                    <w:ind w:left="0"/>
                    <w:rPr>
                      <w:rFonts w:hint="default"/>
                      <w:color w:val="auto"/>
                      <w:sz w:val="21"/>
                      <w:szCs w:val="21"/>
                      <w:lang w:val="en-US" w:eastAsia="zh-CN"/>
                    </w:rPr>
                  </w:pPr>
                  <w:r>
                    <w:rPr>
                      <w:rFonts w:hint="default"/>
                      <w:color w:val="auto"/>
                      <w:sz w:val="21"/>
                      <w:szCs w:val="21"/>
                      <w:lang w:val="en-US" w:eastAsia="zh-CN"/>
                    </w:rPr>
                    <w:t>储运工程</w:t>
                  </w:r>
                </w:p>
              </w:tc>
              <w:tc>
                <w:tcPr>
                  <w:tcW w:w="2366" w:type="dxa"/>
                  <w:gridSpan w:val="2"/>
                  <w:tcBorders>
                    <w:tl2br w:val="nil"/>
                    <w:tr2bl w:val="nil"/>
                  </w:tcBorders>
                  <w:noWrap w:val="0"/>
                  <w:vAlign w:val="center"/>
                </w:tcPr>
                <w:p w14:paraId="3079098D">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临时堆土场</w:t>
                  </w:r>
                </w:p>
              </w:tc>
              <w:tc>
                <w:tcPr>
                  <w:tcW w:w="8457" w:type="dxa"/>
                  <w:tcBorders>
                    <w:tl2br w:val="nil"/>
                    <w:tr2bl w:val="nil"/>
                  </w:tcBorders>
                  <w:noWrap w:val="0"/>
                  <w:vAlign w:val="center"/>
                </w:tcPr>
                <w:p w14:paraId="3B1E784F">
                  <w:pPr>
                    <w:pStyle w:val="36"/>
                    <w:keepNext w:val="0"/>
                    <w:keepLines w:val="0"/>
                    <w:pageBreakBefore w:val="0"/>
                    <w:kinsoku/>
                    <w:overflowPunct/>
                    <w:bidi w:val="0"/>
                    <w:adjustRightInd/>
                    <w:snapToGrid/>
                    <w:ind w:left="0" w:firstLine="0" w:firstLineChars="0"/>
                    <w:jc w:val="lef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厂区不设置临时堆土场，项目分段施工，挖土就近堆放，表层土单独堆放，单段施工结束后，按照表层土回填表层土，下层土回填下层土的方式恢复原有土地功能</w:t>
                  </w:r>
                </w:p>
              </w:tc>
              <w:tc>
                <w:tcPr>
                  <w:tcW w:w="1001" w:type="dxa"/>
                  <w:tcBorders>
                    <w:tl2br w:val="nil"/>
                    <w:tr2bl w:val="nil"/>
                  </w:tcBorders>
                  <w:noWrap w:val="0"/>
                  <w:vAlign w:val="center"/>
                </w:tcPr>
                <w:p w14:paraId="2B4799A6">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w:t>
                  </w:r>
                </w:p>
              </w:tc>
            </w:tr>
            <w:tr w14:paraId="5362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restart"/>
                  <w:tcBorders>
                    <w:tl2br w:val="nil"/>
                    <w:tr2bl w:val="nil"/>
                  </w:tcBorders>
                  <w:noWrap w:val="0"/>
                  <w:vAlign w:val="center"/>
                </w:tcPr>
                <w:p w14:paraId="6DBC4A18">
                  <w:pPr>
                    <w:pStyle w:val="36"/>
                    <w:keepNext w:val="0"/>
                    <w:keepLines w:val="0"/>
                    <w:pageBreakBefore w:val="0"/>
                    <w:kinsoku/>
                    <w:overflowPunct/>
                    <w:bidi w:val="0"/>
                    <w:adjustRightInd/>
                    <w:snapToGrid/>
                    <w:ind w:left="0"/>
                    <w:rPr>
                      <w:rFonts w:hint="eastAsia" w:eastAsia="宋体"/>
                      <w:color w:val="auto"/>
                      <w:sz w:val="21"/>
                      <w:szCs w:val="21"/>
                      <w:lang w:val="en-US" w:eastAsia="zh-CN"/>
                    </w:rPr>
                  </w:pPr>
                  <w:r>
                    <w:rPr>
                      <w:rFonts w:hint="eastAsia"/>
                      <w:color w:val="auto"/>
                      <w:sz w:val="21"/>
                      <w:szCs w:val="21"/>
                      <w:lang w:val="en-US" w:eastAsia="zh-CN"/>
                    </w:rPr>
                    <w:t>辅助工程</w:t>
                  </w:r>
                </w:p>
              </w:tc>
              <w:tc>
                <w:tcPr>
                  <w:tcW w:w="2366" w:type="dxa"/>
                  <w:gridSpan w:val="2"/>
                  <w:tcBorders>
                    <w:tl2br w:val="nil"/>
                    <w:tr2bl w:val="nil"/>
                  </w:tcBorders>
                  <w:noWrap w:val="0"/>
                  <w:vAlign w:val="center"/>
                </w:tcPr>
                <w:p w14:paraId="478175FB">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施工营地</w:t>
                  </w:r>
                </w:p>
              </w:tc>
              <w:tc>
                <w:tcPr>
                  <w:tcW w:w="8457" w:type="dxa"/>
                  <w:tcBorders>
                    <w:tl2br w:val="nil"/>
                    <w:tr2bl w:val="nil"/>
                  </w:tcBorders>
                  <w:noWrap w:val="0"/>
                  <w:vAlign w:val="center"/>
                </w:tcPr>
                <w:p w14:paraId="291023EE">
                  <w:pPr>
                    <w:pStyle w:val="36"/>
                    <w:keepNext w:val="0"/>
                    <w:keepLines w:val="0"/>
                    <w:pageBreakBefore w:val="0"/>
                    <w:kinsoku/>
                    <w:overflowPunct/>
                    <w:bidi w:val="0"/>
                    <w:adjustRightInd/>
                    <w:snapToGrid/>
                    <w:ind w:left="0" w:firstLine="0" w:firstLineChars="0"/>
                    <w:jc w:val="left"/>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租赁民房</w:t>
                  </w:r>
                </w:p>
              </w:tc>
              <w:tc>
                <w:tcPr>
                  <w:tcW w:w="1001" w:type="dxa"/>
                  <w:tcBorders>
                    <w:tl2br w:val="nil"/>
                    <w:tr2bl w:val="nil"/>
                  </w:tcBorders>
                  <w:noWrap w:val="0"/>
                  <w:vAlign w:val="center"/>
                </w:tcPr>
                <w:p w14:paraId="323B7AED">
                  <w:pPr>
                    <w:pStyle w:val="36"/>
                    <w:keepNext w:val="0"/>
                    <w:keepLines w:val="0"/>
                    <w:pageBreakBefore w:val="0"/>
                    <w:kinsoku/>
                    <w:overflowPunct/>
                    <w:bidi w:val="0"/>
                    <w:adjustRightInd/>
                    <w:snapToGrid/>
                    <w:ind w:left="0"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新建</w:t>
                  </w:r>
                </w:p>
              </w:tc>
            </w:tr>
            <w:tr w14:paraId="7C2A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25954A69">
                  <w:pPr>
                    <w:pStyle w:val="36"/>
                    <w:keepNext w:val="0"/>
                    <w:keepLines w:val="0"/>
                    <w:pageBreakBefore w:val="0"/>
                    <w:kinsoku/>
                    <w:overflowPunct/>
                    <w:bidi w:val="0"/>
                    <w:adjustRightInd/>
                    <w:snapToGrid/>
                    <w:ind w:left="0"/>
                    <w:rPr>
                      <w:rFonts w:hint="default"/>
                      <w:color w:val="auto"/>
                      <w:sz w:val="21"/>
                      <w:szCs w:val="21"/>
                    </w:rPr>
                  </w:pPr>
                </w:p>
              </w:tc>
              <w:tc>
                <w:tcPr>
                  <w:tcW w:w="2366" w:type="dxa"/>
                  <w:gridSpan w:val="2"/>
                  <w:tcBorders>
                    <w:tl2br w:val="nil"/>
                    <w:tr2bl w:val="nil"/>
                  </w:tcBorders>
                  <w:noWrap w:val="0"/>
                  <w:vAlign w:val="center"/>
                </w:tcPr>
                <w:p w14:paraId="2D08C798">
                  <w:pPr>
                    <w:pStyle w:val="36"/>
                    <w:keepNext w:val="0"/>
                    <w:keepLines w:val="0"/>
                    <w:pageBreakBefore w:val="0"/>
                    <w:kinsoku/>
                    <w:overflowPunct/>
                    <w:bidi w:val="0"/>
                    <w:adjustRightInd/>
                    <w:snapToGrid/>
                    <w:ind w:left="0"/>
                    <w:rPr>
                      <w:rFonts w:hint="default"/>
                      <w:color w:val="auto"/>
                      <w:sz w:val="21"/>
                      <w:szCs w:val="21"/>
                      <w:lang w:val="en-US" w:eastAsia="zh-CN"/>
                    </w:rPr>
                  </w:pPr>
                  <w:r>
                    <w:rPr>
                      <w:rFonts w:hint="default"/>
                      <w:color w:val="auto"/>
                      <w:sz w:val="21"/>
                      <w:szCs w:val="21"/>
                      <w:lang w:val="en-US" w:eastAsia="zh-CN"/>
                    </w:rPr>
                    <w:t>管道试压</w:t>
                  </w:r>
                  <w:r>
                    <w:rPr>
                      <w:rFonts w:hint="eastAsia"/>
                      <w:color w:val="auto"/>
                      <w:sz w:val="21"/>
                      <w:szCs w:val="21"/>
                      <w:lang w:val="en-US" w:eastAsia="zh-CN"/>
                    </w:rPr>
                    <w:t>水</w:t>
                  </w:r>
                </w:p>
              </w:tc>
              <w:tc>
                <w:tcPr>
                  <w:tcW w:w="8457" w:type="dxa"/>
                  <w:tcBorders>
                    <w:tl2br w:val="nil"/>
                    <w:tr2bl w:val="nil"/>
                  </w:tcBorders>
                  <w:noWrap w:val="0"/>
                  <w:vAlign w:val="center"/>
                </w:tcPr>
                <w:p w14:paraId="3151DCC1">
                  <w:pPr>
                    <w:pStyle w:val="36"/>
                    <w:keepNext w:val="0"/>
                    <w:keepLines w:val="0"/>
                    <w:pageBreakBefore w:val="0"/>
                    <w:kinsoku/>
                    <w:overflowPunct/>
                    <w:bidi w:val="0"/>
                    <w:adjustRightInd/>
                    <w:snapToGrid/>
                    <w:ind w:left="0"/>
                    <w:jc w:val="left"/>
                    <w:rPr>
                      <w:rFonts w:hint="default"/>
                      <w:color w:val="auto"/>
                      <w:sz w:val="21"/>
                      <w:szCs w:val="21"/>
                      <w:lang w:val="en-US" w:eastAsia="zh-CN"/>
                    </w:rPr>
                  </w:pPr>
                  <w:r>
                    <w:rPr>
                      <w:rFonts w:hint="eastAsia"/>
                      <w:color w:val="auto"/>
                      <w:sz w:val="21"/>
                      <w:szCs w:val="21"/>
                      <w:lang w:val="en-US" w:eastAsia="zh-CN"/>
                    </w:rPr>
                    <w:t>管道</w:t>
                  </w:r>
                  <w:r>
                    <w:rPr>
                      <w:rFonts w:hint="default"/>
                      <w:color w:val="auto"/>
                      <w:sz w:val="21"/>
                      <w:szCs w:val="21"/>
                      <w:lang w:val="en-US" w:eastAsia="zh-CN"/>
                    </w:rPr>
                    <w:t>试压</w:t>
                  </w:r>
                  <w:r>
                    <w:rPr>
                      <w:rFonts w:hint="eastAsia"/>
                      <w:color w:val="auto"/>
                      <w:sz w:val="21"/>
                      <w:szCs w:val="21"/>
                      <w:lang w:val="en-US" w:eastAsia="zh-CN"/>
                    </w:rPr>
                    <w:t>清洗</w:t>
                  </w:r>
                  <w:r>
                    <w:rPr>
                      <w:rFonts w:hint="default"/>
                      <w:color w:val="auto"/>
                      <w:sz w:val="21"/>
                      <w:szCs w:val="21"/>
                      <w:lang w:val="en-US" w:eastAsia="zh-CN"/>
                    </w:rPr>
                    <w:t>水</w:t>
                  </w:r>
                  <w:r>
                    <w:rPr>
                      <w:rFonts w:hint="eastAsia"/>
                      <w:color w:val="auto"/>
                      <w:sz w:val="21"/>
                      <w:szCs w:val="21"/>
                      <w:lang w:val="en-US" w:eastAsia="zh-CN"/>
                    </w:rPr>
                    <w:t>来自市政管网供给</w:t>
                  </w:r>
                  <w:r>
                    <w:rPr>
                      <w:rFonts w:hint="default"/>
                      <w:color w:val="auto"/>
                      <w:sz w:val="21"/>
                      <w:szCs w:val="21"/>
                      <w:lang w:val="en-US" w:eastAsia="zh-CN"/>
                    </w:rPr>
                    <w:t>，</w:t>
                  </w:r>
                  <w:r>
                    <w:rPr>
                      <w:rFonts w:hint="eastAsia"/>
                      <w:color w:val="auto"/>
                      <w:sz w:val="21"/>
                      <w:szCs w:val="21"/>
                      <w:lang w:val="en-US" w:eastAsia="zh-CN"/>
                    </w:rPr>
                    <w:t>管道试压废水</w:t>
                  </w:r>
                  <w:r>
                    <w:rPr>
                      <w:rFonts w:hint="eastAsia"/>
                      <w:color w:val="auto"/>
                      <w:lang w:val="en-US" w:eastAsia="zh-CN"/>
                    </w:rPr>
                    <w:t>接管网进入淮北蓝海水处理有限公司进一步处理，部分作为平山电厂冷却循环水，剩余部分排入萧濉新河</w:t>
                  </w:r>
                </w:p>
              </w:tc>
              <w:tc>
                <w:tcPr>
                  <w:tcW w:w="1001" w:type="dxa"/>
                  <w:tcBorders>
                    <w:tl2br w:val="nil"/>
                    <w:tr2bl w:val="nil"/>
                  </w:tcBorders>
                  <w:noWrap w:val="0"/>
                  <w:vAlign w:val="center"/>
                </w:tcPr>
                <w:p w14:paraId="5F4E1033">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lang w:val="en-US" w:eastAsia="zh-CN"/>
                    </w:rPr>
                    <w:t>新建</w:t>
                  </w:r>
                </w:p>
              </w:tc>
            </w:tr>
            <w:tr w14:paraId="7286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6E1CA7A0">
                  <w:pPr>
                    <w:pStyle w:val="36"/>
                    <w:keepNext w:val="0"/>
                    <w:keepLines w:val="0"/>
                    <w:pageBreakBefore w:val="0"/>
                    <w:kinsoku/>
                    <w:overflowPunct/>
                    <w:bidi w:val="0"/>
                    <w:adjustRightInd/>
                    <w:snapToGrid/>
                    <w:ind w:left="0"/>
                    <w:rPr>
                      <w:rFonts w:hint="default"/>
                      <w:color w:val="auto"/>
                      <w:sz w:val="21"/>
                      <w:szCs w:val="21"/>
                    </w:rPr>
                  </w:pPr>
                </w:p>
              </w:tc>
              <w:tc>
                <w:tcPr>
                  <w:tcW w:w="2366" w:type="dxa"/>
                  <w:gridSpan w:val="2"/>
                  <w:tcBorders>
                    <w:tl2br w:val="nil"/>
                    <w:tr2bl w:val="nil"/>
                  </w:tcBorders>
                  <w:noWrap w:val="0"/>
                  <w:vAlign w:val="center"/>
                </w:tcPr>
                <w:p w14:paraId="4516A0A4">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lang w:val="en-US" w:eastAsia="zh-CN"/>
                    </w:rPr>
                    <w:t>地面修复</w:t>
                  </w:r>
                </w:p>
              </w:tc>
              <w:tc>
                <w:tcPr>
                  <w:tcW w:w="8457" w:type="dxa"/>
                  <w:tcBorders>
                    <w:tl2br w:val="nil"/>
                    <w:tr2bl w:val="nil"/>
                  </w:tcBorders>
                  <w:noWrap w:val="0"/>
                  <w:vAlign w:val="center"/>
                </w:tcPr>
                <w:p w14:paraId="0966CE3D">
                  <w:pPr>
                    <w:pStyle w:val="36"/>
                    <w:keepNext w:val="0"/>
                    <w:keepLines w:val="0"/>
                    <w:pageBreakBefore w:val="0"/>
                    <w:kinsoku/>
                    <w:overflowPunct/>
                    <w:bidi w:val="0"/>
                    <w:adjustRightInd/>
                    <w:snapToGrid/>
                    <w:ind w:left="0"/>
                    <w:jc w:val="left"/>
                    <w:rPr>
                      <w:rFonts w:hint="default"/>
                      <w:color w:val="auto"/>
                      <w:sz w:val="21"/>
                      <w:szCs w:val="21"/>
                    </w:rPr>
                  </w:pPr>
                  <w:r>
                    <w:rPr>
                      <w:rFonts w:hint="default"/>
                      <w:color w:val="auto"/>
                      <w:sz w:val="21"/>
                      <w:szCs w:val="21"/>
                      <w:lang w:val="en-US" w:eastAsia="zh-CN"/>
                    </w:rPr>
                    <w:t>管道敷设后土方回填，绿化带进行恢复</w:t>
                  </w:r>
                </w:p>
              </w:tc>
              <w:tc>
                <w:tcPr>
                  <w:tcW w:w="1001" w:type="dxa"/>
                  <w:tcBorders>
                    <w:tl2br w:val="nil"/>
                    <w:tr2bl w:val="nil"/>
                  </w:tcBorders>
                  <w:noWrap w:val="0"/>
                  <w:vAlign w:val="center"/>
                </w:tcPr>
                <w:p w14:paraId="373DBB39">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lang w:val="en-US" w:eastAsia="zh-CN"/>
                    </w:rPr>
                    <w:t>新建</w:t>
                  </w:r>
                </w:p>
              </w:tc>
            </w:tr>
            <w:tr w14:paraId="29B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3050B06F">
                  <w:pPr>
                    <w:pStyle w:val="36"/>
                    <w:keepNext w:val="0"/>
                    <w:keepLines w:val="0"/>
                    <w:pageBreakBefore w:val="0"/>
                    <w:kinsoku/>
                    <w:overflowPunct/>
                    <w:bidi w:val="0"/>
                    <w:adjustRightInd/>
                    <w:snapToGrid/>
                    <w:ind w:left="0"/>
                    <w:rPr>
                      <w:rFonts w:hint="default"/>
                      <w:color w:val="auto"/>
                      <w:sz w:val="21"/>
                      <w:szCs w:val="21"/>
                    </w:rPr>
                  </w:pPr>
                </w:p>
              </w:tc>
              <w:tc>
                <w:tcPr>
                  <w:tcW w:w="2366" w:type="dxa"/>
                  <w:gridSpan w:val="2"/>
                  <w:tcBorders>
                    <w:tl2br w:val="nil"/>
                    <w:tr2bl w:val="nil"/>
                  </w:tcBorders>
                  <w:noWrap w:val="0"/>
                  <w:vAlign w:val="center"/>
                </w:tcPr>
                <w:p w14:paraId="3108CA8A">
                  <w:pPr>
                    <w:pStyle w:val="36"/>
                    <w:keepNext w:val="0"/>
                    <w:keepLines w:val="0"/>
                    <w:pageBreakBefore w:val="0"/>
                    <w:kinsoku/>
                    <w:overflowPunct/>
                    <w:bidi w:val="0"/>
                    <w:adjustRightInd/>
                    <w:snapToGrid/>
                    <w:ind w:lef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施工道路</w:t>
                  </w:r>
                </w:p>
              </w:tc>
              <w:tc>
                <w:tcPr>
                  <w:tcW w:w="8457" w:type="dxa"/>
                  <w:tcBorders>
                    <w:tl2br w:val="nil"/>
                    <w:tr2bl w:val="nil"/>
                  </w:tcBorders>
                  <w:noWrap w:val="0"/>
                  <w:vAlign w:val="center"/>
                </w:tcPr>
                <w:p w14:paraId="671F45ED">
                  <w:pPr>
                    <w:pStyle w:val="36"/>
                    <w:keepNext w:val="0"/>
                    <w:keepLines w:val="0"/>
                    <w:pageBreakBefore w:val="0"/>
                    <w:kinsoku/>
                    <w:overflowPunct/>
                    <w:bidi w:val="0"/>
                    <w:adjustRightInd/>
                    <w:snapToGrid/>
                    <w:ind w:left="0"/>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本工程施工道路依托现有道路，不新增施工道路</w:t>
                  </w:r>
                </w:p>
              </w:tc>
              <w:tc>
                <w:tcPr>
                  <w:tcW w:w="1001" w:type="dxa"/>
                  <w:tcBorders>
                    <w:tl2br w:val="nil"/>
                    <w:tr2bl w:val="nil"/>
                  </w:tcBorders>
                  <w:noWrap w:val="0"/>
                  <w:vAlign w:val="center"/>
                </w:tcPr>
                <w:p w14:paraId="591CA90E">
                  <w:pPr>
                    <w:pStyle w:val="36"/>
                    <w:keepNext w:val="0"/>
                    <w:keepLines w:val="0"/>
                    <w:pageBreakBefore w:val="0"/>
                    <w:kinsoku/>
                    <w:overflowPunct/>
                    <w:bidi w:val="0"/>
                    <w:adjustRightInd/>
                    <w:snapToGrid/>
                    <w:ind w:lef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依托现有</w:t>
                  </w:r>
                </w:p>
              </w:tc>
            </w:tr>
            <w:tr w14:paraId="26FF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restart"/>
                  <w:tcBorders>
                    <w:tl2br w:val="nil"/>
                    <w:tr2bl w:val="nil"/>
                  </w:tcBorders>
                  <w:noWrap w:val="0"/>
                  <w:vAlign w:val="center"/>
                </w:tcPr>
                <w:p w14:paraId="4C9AB3C0">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rPr>
                    <w:t>公用工程</w:t>
                  </w:r>
                </w:p>
              </w:tc>
              <w:tc>
                <w:tcPr>
                  <w:tcW w:w="2366" w:type="dxa"/>
                  <w:gridSpan w:val="2"/>
                  <w:tcBorders>
                    <w:tl2br w:val="nil"/>
                    <w:tr2bl w:val="nil"/>
                  </w:tcBorders>
                  <w:noWrap w:val="0"/>
                  <w:vAlign w:val="center"/>
                </w:tcPr>
                <w:p w14:paraId="5F06A4A6">
                  <w:pPr>
                    <w:pStyle w:val="36"/>
                    <w:keepNext w:val="0"/>
                    <w:keepLines w:val="0"/>
                    <w:pageBreakBefore w:val="0"/>
                    <w:kinsoku/>
                    <w:overflowPunct/>
                    <w:bidi w:val="0"/>
                    <w:adjustRightInd/>
                    <w:snapToGrid/>
                    <w:ind w:left="0"/>
                    <w:rPr>
                      <w:rFonts w:hint="default"/>
                      <w:color w:val="auto"/>
                      <w:sz w:val="21"/>
                      <w:szCs w:val="21"/>
                      <w:lang w:val="en-US" w:eastAsia="zh-CN"/>
                    </w:rPr>
                  </w:pPr>
                  <w:r>
                    <w:rPr>
                      <w:rFonts w:hint="default"/>
                      <w:color w:val="auto"/>
                      <w:sz w:val="21"/>
                      <w:szCs w:val="21"/>
                      <w:lang w:val="en-US" w:eastAsia="zh-CN"/>
                    </w:rPr>
                    <w:t>供电</w:t>
                  </w:r>
                </w:p>
              </w:tc>
              <w:tc>
                <w:tcPr>
                  <w:tcW w:w="8457" w:type="dxa"/>
                  <w:tcBorders>
                    <w:tl2br w:val="nil"/>
                    <w:tr2bl w:val="nil"/>
                  </w:tcBorders>
                  <w:noWrap w:val="0"/>
                  <w:vAlign w:val="center"/>
                </w:tcPr>
                <w:p w14:paraId="0FBD0B65">
                  <w:pPr>
                    <w:pStyle w:val="36"/>
                    <w:keepNext w:val="0"/>
                    <w:keepLines w:val="0"/>
                    <w:pageBreakBefore w:val="0"/>
                    <w:kinsoku/>
                    <w:overflowPunct/>
                    <w:bidi w:val="0"/>
                    <w:adjustRightInd/>
                    <w:snapToGrid/>
                    <w:ind w:left="0"/>
                    <w:jc w:val="left"/>
                    <w:rPr>
                      <w:rFonts w:hint="default"/>
                      <w:color w:val="auto"/>
                      <w:sz w:val="21"/>
                      <w:szCs w:val="21"/>
                      <w:lang w:val="en-US" w:eastAsia="zh-CN"/>
                    </w:rPr>
                  </w:pPr>
                  <w:r>
                    <w:rPr>
                      <w:rFonts w:hint="default"/>
                      <w:color w:val="auto"/>
                      <w:sz w:val="21"/>
                      <w:szCs w:val="21"/>
                      <w:lang w:val="en-US" w:eastAsia="zh-CN"/>
                    </w:rPr>
                    <w:t>施工用电主要有照明、管道焊接用电等；</w:t>
                  </w:r>
                </w:p>
              </w:tc>
              <w:tc>
                <w:tcPr>
                  <w:tcW w:w="1001" w:type="dxa"/>
                  <w:vMerge w:val="restart"/>
                  <w:tcBorders>
                    <w:tl2br w:val="nil"/>
                    <w:tr2bl w:val="nil"/>
                  </w:tcBorders>
                  <w:noWrap w:val="0"/>
                  <w:vAlign w:val="center"/>
                </w:tcPr>
                <w:p w14:paraId="3FB088E8">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新建</w:t>
                  </w:r>
                </w:p>
              </w:tc>
            </w:tr>
            <w:tr w14:paraId="338B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56EABA3F">
                  <w:pPr>
                    <w:pStyle w:val="36"/>
                    <w:keepNext w:val="0"/>
                    <w:keepLines w:val="0"/>
                    <w:pageBreakBefore w:val="0"/>
                    <w:kinsoku/>
                    <w:overflowPunct/>
                    <w:bidi w:val="0"/>
                    <w:adjustRightInd/>
                    <w:snapToGrid/>
                    <w:ind w:left="0"/>
                    <w:rPr>
                      <w:rFonts w:hint="default"/>
                      <w:color w:val="auto"/>
                      <w:sz w:val="21"/>
                      <w:szCs w:val="21"/>
                    </w:rPr>
                  </w:pPr>
                </w:p>
              </w:tc>
              <w:tc>
                <w:tcPr>
                  <w:tcW w:w="2366" w:type="dxa"/>
                  <w:gridSpan w:val="2"/>
                  <w:tcBorders>
                    <w:tl2br w:val="nil"/>
                    <w:tr2bl w:val="nil"/>
                  </w:tcBorders>
                  <w:noWrap w:val="0"/>
                  <w:vAlign w:val="center"/>
                </w:tcPr>
                <w:p w14:paraId="53F9ECFC">
                  <w:pPr>
                    <w:pStyle w:val="36"/>
                    <w:keepNext w:val="0"/>
                    <w:keepLines w:val="0"/>
                    <w:pageBreakBefore w:val="0"/>
                    <w:kinsoku/>
                    <w:overflowPunct/>
                    <w:bidi w:val="0"/>
                    <w:adjustRightInd/>
                    <w:snapToGrid/>
                    <w:ind w:left="0"/>
                    <w:rPr>
                      <w:rFonts w:hint="default"/>
                      <w:color w:val="auto"/>
                      <w:sz w:val="21"/>
                      <w:szCs w:val="21"/>
                      <w:lang w:val="en-US"/>
                    </w:rPr>
                  </w:pPr>
                  <w:r>
                    <w:rPr>
                      <w:rFonts w:hint="default"/>
                      <w:color w:val="auto"/>
                      <w:sz w:val="21"/>
                      <w:szCs w:val="21"/>
                      <w:lang w:val="en-US" w:eastAsia="zh-CN"/>
                    </w:rPr>
                    <w:t>供水</w:t>
                  </w:r>
                </w:p>
              </w:tc>
              <w:tc>
                <w:tcPr>
                  <w:tcW w:w="8457" w:type="dxa"/>
                  <w:tcBorders>
                    <w:tl2br w:val="nil"/>
                    <w:tr2bl w:val="nil"/>
                  </w:tcBorders>
                  <w:noWrap w:val="0"/>
                  <w:vAlign w:val="center"/>
                </w:tcPr>
                <w:p w14:paraId="7A83A719">
                  <w:pPr>
                    <w:pStyle w:val="36"/>
                    <w:keepNext w:val="0"/>
                    <w:keepLines w:val="0"/>
                    <w:pageBreakBefore w:val="0"/>
                    <w:kinsoku/>
                    <w:overflowPunct/>
                    <w:bidi w:val="0"/>
                    <w:adjustRightInd/>
                    <w:snapToGrid/>
                    <w:ind w:left="0"/>
                    <w:jc w:val="left"/>
                    <w:rPr>
                      <w:rFonts w:hint="default"/>
                      <w:color w:val="auto"/>
                      <w:sz w:val="21"/>
                      <w:szCs w:val="21"/>
                      <w:lang w:val="en-US"/>
                    </w:rPr>
                  </w:pPr>
                  <w:r>
                    <w:rPr>
                      <w:rFonts w:hint="eastAsia"/>
                      <w:color w:val="auto"/>
                      <w:sz w:val="21"/>
                      <w:szCs w:val="21"/>
                      <w:lang w:val="en-US" w:eastAsia="zh-CN"/>
                    </w:rPr>
                    <w:t>施工用水来自附近自来水管网</w:t>
                  </w:r>
                  <w:r>
                    <w:rPr>
                      <w:rFonts w:hint="default"/>
                      <w:color w:val="auto"/>
                      <w:sz w:val="21"/>
                      <w:szCs w:val="21"/>
                      <w:lang w:val="en-US" w:eastAsia="zh-CN"/>
                    </w:rPr>
                    <w:t>，</w:t>
                  </w:r>
                  <w:r>
                    <w:rPr>
                      <w:rFonts w:hint="eastAsia"/>
                      <w:color w:val="auto"/>
                      <w:sz w:val="21"/>
                      <w:szCs w:val="21"/>
                      <w:lang w:val="en-US" w:eastAsia="zh-CN"/>
                    </w:rPr>
                    <w:t>用水量1139</w:t>
                  </w:r>
                  <w:r>
                    <w:rPr>
                      <w:rFonts w:hint="default"/>
                      <w:color w:val="auto"/>
                      <w:sz w:val="21"/>
                      <w:szCs w:val="21"/>
                      <w:lang w:val="en-US" w:eastAsia="zh-CN"/>
                    </w:rPr>
                    <w:t>m</w:t>
                  </w:r>
                  <w:r>
                    <w:rPr>
                      <w:rFonts w:hint="default"/>
                      <w:color w:val="auto"/>
                      <w:sz w:val="21"/>
                      <w:szCs w:val="21"/>
                      <w:vertAlign w:val="superscript"/>
                      <w:lang w:val="en-US" w:eastAsia="zh-CN"/>
                    </w:rPr>
                    <w:t>3</w:t>
                  </w:r>
                </w:p>
              </w:tc>
              <w:tc>
                <w:tcPr>
                  <w:tcW w:w="1001" w:type="dxa"/>
                  <w:vMerge w:val="continue"/>
                  <w:tcBorders>
                    <w:tl2br w:val="nil"/>
                    <w:tr2bl w:val="nil"/>
                  </w:tcBorders>
                  <w:noWrap w:val="0"/>
                  <w:vAlign w:val="center"/>
                </w:tcPr>
                <w:p w14:paraId="6F0963D6">
                  <w:pPr>
                    <w:pStyle w:val="36"/>
                    <w:keepNext w:val="0"/>
                    <w:keepLines w:val="0"/>
                    <w:pageBreakBefore w:val="0"/>
                    <w:kinsoku/>
                    <w:overflowPunct/>
                    <w:bidi w:val="0"/>
                    <w:adjustRightInd/>
                    <w:snapToGrid/>
                    <w:ind w:left="0"/>
                    <w:rPr>
                      <w:rFonts w:hint="default"/>
                      <w:color w:val="auto"/>
                      <w:sz w:val="21"/>
                      <w:szCs w:val="21"/>
                    </w:rPr>
                  </w:pPr>
                </w:p>
              </w:tc>
            </w:tr>
            <w:tr w14:paraId="2068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23976003">
                  <w:pPr>
                    <w:pStyle w:val="36"/>
                    <w:keepNext w:val="0"/>
                    <w:keepLines w:val="0"/>
                    <w:pageBreakBefore w:val="0"/>
                    <w:kinsoku/>
                    <w:overflowPunct/>
                    <w:bidi w:val="0"/>
                    <w:adjustRightInd/>
                    <w:snapToGrid/>
                    <w:ind w:left="0"/>
                    <w:rPr>
                      <w:rFonts w:hint="default"/>
                      <w:color w:val="auto"/>
                      <w:sz w:val="21"/>
                      <w:szCs w:val="21"/>
                    </w:rPr>
                  </w:pPr>
                </w:p>
              </w:tc>
              <w:tc>
                <w:tcPr>
                  <w:tcW w:w="2366" w:type="dxa"/>
                  <w:gridSpan w:val="2"/>
                  <w:tcBorders>
                    <w:tl2br w:val="nil"/>
                    <w:tr2bl w:val="nil"/>
                  </w:tcBorders>
                  <w:noWrap w:val="0"/>
                  <w:vAlign w:val="center"/>
                </w:tcPr>
                <w:p w14:paraId="6DD14B37">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lang w:val="en-US" w:eastAsia="zh-CN"/>
                    </w:rPr>
                    <w:t>排水</w:t>
                  </w:r>
                </w:p>
              </w:tc>
              <w:tc>
                <w:tcPr>
                  <w:tcW w:w="8457" w:type="dxa"/>
                  <w:tcBorders>
                    <w:tl2br w:val="nil"/>
                    <w:tr2bl w:val="nil"/>
                  </w:tcBorders>
                  <w:noWrap w:val="0"/>
                  <w:vAlign w:val="center"/>
                </w:tcPr>
                <w:p w14:paraId="783ADB66">
                  <w:pPr>
                    <w:pStyle w:val="36"/>
                    <w:keepNext w:val="0"/>
                    <w:keepLines w:val="0"/>
                    <w:pageBreakBefore w:val="0"/>
                    <w:widowControl/>
                    <w:kinsoku/>
                    <w:wordWrap w:val="0"/>
                    <w:overflowPunct/>
                    <w:topLinePunct/>
                    <w:autoSpaceDE/>
                    <w:autoSpaceDN/>
                    <w:bidi w:val="0"/>
                    <w:adjustRightInd/>
                    <w:snapToGrid/>
                    <w:ind w:left="0"/>
                    <w:jc w:val="left"/>
                    <w:textAlignment w:val="auto"/>
                    <w:rPr>
                      <w:rFonts w:hint="default"/>
                      <w:color w:val="auto"/>
                      <w:sz w:val="21"/>
                      <w:szCs w:val="21"/>
                      <w:lang w:val="en-US" w:eastAsia="zh-CN"/>
                    </w:rPr>
                  </w:pPr>
                  <w:r>
                    <w:rPr>
                      <w:rFonts w:hint="eastAsia"/>
                      <w:color w:val="auto"/>
                      <w:sz w:val="21"/>
                      <w:szCs w:val="21"/>
                      <w:lang w:val="en-US" w:eastAsia="zh-CN"/>
                    </w:rPr>
                    <w:t>生活污水依托附近公厕的化粪池处理，管道试压水经临时</w:t>
                  </w:r>
                  <w:r>
                    <w:rPr>
                      <w:rFonts w:hint="default"/>
                      <w:color w:val="auto"/>
                      <w:sz w:val="21"/>
                      <w:szCs w:val="21"/>
                      <w:lang w:val="en-US" w:eastAsia="zh-CN"/>
                    </w:rPr>
                    <w:t>沉淀池处理</w:t>
                  </w:r>
                  <w:r>
                    <w:rPr>
                      <w:rFonts w:hint="eastAsia"/>
                      <w:color w:val="auto"/>
                      <w:sz w:val="21"/>
                      <w:szCs w:val="21"/>
                      <w:lang w:val="en-US" w:eastAsia="zh-CN"/>
                    </w:rPr>
                    <w:t>后</w:t>
                  </w:r>
                  <w:r>
                    <w:rPr>
                      <w:rFonts w:hint="eastAsia"/>
                      <w:color w:val="auto"/>
                      <w:lang w:val="en-US" w:eastAsia="zh-CN"/>
                    </w:rPr>
                    <w:t>接管网进入淮北蓝海水处理有限公司进一步处理，部分作为平山电厂冷却循环水，剩余部分排入萧濉新河</w:t>
                  </w:r>
                  <w:r>
                    <w:rPr>
                      <w:rFonts w:hint="eastAsia"/>
                      <w:color w:val="auto"/>
                      <w:sz w:val="21"/>
                      <w:szCs w:val="21"/>
                      <w:lang w:val="en-US" w:eastAsia="zh-CN"/>
                    </w:rPr>
                    <w:t>。施工期生产废水经临时沉淀池沉淀后，循环使用，不外排</w:t>
                  </w:r>
                </w:p>
              </w:tc>
              <w:tc>
                <w:tcPr>
                  <w:tcW w:w="1001" w:type="dxa"/>
                  <w:tcBorders>
                    <w:tl2br w:val="nil"/>
                    <w:tr2bl w:val="nil"/>
                  </w:tcBorders>
                  <w:noWrap w:val="0"/>
                  <w:vAlign w:val="center"/>
                </w:tcPr>
                <w:p w14:paraId="1C388823">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新建</w:t>
                  </w:r>
                </w:p>
              </w:tc>
            </w:tr>
            <w:tr w14:paraId="77EC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restart"/>
                  <w:tcBorders>
                    <w:tl2br w:val="nil"/>
                    <w:tr2bl w:val="nil"/>
                  </w:tcBorders>
                  <w:noWrap w:val="0"/>
                  <w:vAlign w:val="center"/>
                </w:tcPr>
                <w:p w14:paraId="2637666E">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rPr>
                    <w:t>环保工程</w:t>
                  </w:r>
                </w:p>
              </w:tc>
              <w:tc>
                <w:tcPr>
                  <w:tcW w:w="642" w:type="dxa"/>
                  <w:vMerge w:val="restart"/>
                  <w:tcBorders>
                    <w:tl2br w:val="nil"/>
                    <w:tr2bl w:val="nil"/>
                  </w:tcBorders>
                  <w:noWrap w:val="0"/>
                  <w:vAlign w:val="center"/>
                </w:tcPr>
                <w:p w14:paraId="7D8DBEA3">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rPr>
                    <w:t>废气</w:t>
                  </w:r>
                </w:p>
              </w:tc>
              <w:tc>
                <w:tcPr>
                  <w:tcW w:w="1724" w:type="dxa"/>
                  <w:tcBorders>
                    <w:tl2br w:val="nil"/>
                    <w:tr2bl w:val="nil"/>
                  </w:tcBorders>
                  <w:noWrap w:val="0"/>
                  <w:vAlign w:val="center"/>
                </w:tcPr>
                <w:p w14:paraId="05247467">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lang w:val="en-US" w:eastAsia="zh-CN"/>
                    </w:rPr>
                    <w:t>施工</w:t>
                  </w:r>
                  <w:r>
                    <w:rPr>
                      <w:rFonts w:hint="eastAsia"/>
                      <w:color w:val="auto"/>
                      <w:sz w:val="21"/>
                      <w:szCs w:val="21"/>
                      <w:lang w:val="en-US" w:eastAsia="zh-CN"/>
                    </w:rPr>
                    <w:t>、</w:t>
                  </w:r>
                  <w:r>
                    <w:rPr>
                      <w:rFonts w:hint="default"/>
                      <w:color w:val="auto"/>
                      <w:sz w:val="21"/>
                      <w:szCs w:val="21"/>
                      <w:lang w:val="en-US" w:eastAsia="zh-CN"/>
                    </w:rPr>
                    <w:t>运输扬尘</w:t>
                  </w:r>
                </w:p>
              </w:tc>
              <w:tc>
                <w:tcPr>
                  <w:tcW w:w="8457" w:type="dxa"/>
                  <w:tcBorders>
                    <w:tl2br w:val="nil"/>
                    <w:tr2bl w:val="nil"/>
                  </w:tcBorders>
                  <w:noWrap w:val="0"/>
                  <w:vAlign w:val="center"/>
                </w:tcPr>
                <w:p w14:paraId="214848E4">
                  <w:pPr>
                    <w:pStyle w:val="36"/>
                    <w:keepNext w:val="0"/>
                    <w:keepLines w:val="0"/>
                    <w:pageBreakBefore w:val="0"/>
                    <w:kinsoku/>
                    <w:overflowPunct/>
                    <w:bidi w:val="0"/>
                    <w:adjustRightInd/>
                    <w:snapToGrid/>
                    <w:ind w:left="0"/>
                    <w:jc w:val="left"/>
                    <w:rPr>
                      <w:rFonts w:hint="default"/>
                      <w:color w:val="auto"/>
                      <w:sz w:val="21"/>
                      <w:szCs w:val="21"/>
                      <w:lang w:val="en-US"/>
                    </w:rPr>
                  </w:pPr>
                  <w:r>
                    <w:rPr>
                      <w:rFonts w:hint="default"/>
                      <w:color w:val="auto"/>
                      <w:sz w:val="21"/>
                      <w:szCs w:val="21"/>
                      <w:lang w:val="en-US" w:eastAsia="zh-CN"/>
                    </w:rPr>
                    <w:t>在施工现场周边安装密目网封闭式围档、定时洒水、运输车辆限速限载、运输车辆及临时堆</w:t>
                  </w:r>
                  <w:r>
                    <w:rPr>
                      <w:rFonts w:hint="eastAsia"/>
                      <w:color w:val="auto"/>
                      <w:sz w:val="21"/>
                      <w:szCs w:val="21"/>
                      <w:lang w:val="en-US" w:eastAsia="zh-CN"/>
                    </w:rPr>
                    <w:t>土区</w:t>
                  </w:r>
                  <w:r>
                    <w:rPr>
                      <w:rFonts w:hint="default"/>
                      <w:color w:val="auto"/>
                      <w:sz w:val="21"/>
                      <w:szCs w:val="21"/>
                      <w:lang w:val="en-US" w:eastAsia="zh-CN"/>
                    </w:rPr>
                    <w:t>采取篷布遮挡、清理渣土运输车轮胎及车身等措施</w:t>
                  </w:r>
                </w:p>
              </w:tc>
              <w:tc>
                <w:tcPr>
                  <w:tcW w:w="1001" w:type="dxa"/>
                  <w:vMerge w:val="restart"/>
                  <w:tcBorders>
                    <w:tl2br w:val="nil"/>
                    <w:tr2bl w:val="nil"/>
                  </w:tcBorders>
                  <w:noWrap w:val="0"/>
                  <w:vAlign w:val="center"/>
                </w:tcPr>
                <w:p w14:paraId="7FEEC7CB">
                  <w:pPr>
                    <w:pStyle w:val="36"/>
                    <w:keepNext w:val="0"/>
                    <w:keepLines w:val="0"/>
                    <w:pageBreakBefore w:val="0"/>
                    <w:kinsoku/>
                    <w:overflowPunct/>
                    <w:bidi w:val="0"/>
                    <w:adjustRightInd/>
                    <w:snapToGrid/>
                    <w:ind w:left="0"/>
                    <w:rPr>
                      <w:rFonts w:hint="eastAsia"/>
                      <w:color w:val="auto"/>
                      <w:sz w:val="21"/>
                      <w:szCs w:val="21"/>
                      <w:lang w:val="en-US" w:eastAsia="zh-CN"/>
                    </w:rPr>
                  </w:pPr>
                  <w:r>
                    <w:rPr>
                      <w:rFonts w:hint="eastAsia"/>
                      <w:color w:val="auto"/>
                      <w:sz w:val="21"/>
                      <w:szCs w:val="21"/>
                      <w:lang w:val="en-US" w:eastAsia="zh-CN"/>
                    </w:rPr>
                    <w:t>新建</w:t>
                  </w:r>
                </w:p>
              </w:tc>
            </w:tr>
            <w:tr w14:paraId="65CC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21921E62">
                  <w:pPr>
                    <w:pStyle w:val="36"/>
                    <w:keepNext w:val="0"/>
                    <w:keepLines w:val="0"/>
                    <w:pageBreakBefore w:val="0"/>
                    <w:kinsoku/>
                    <w:overflowPunct/>
                    <w:bidi w:val="0"/>
                    <w:adjustRightInd/>
                    <w:snapToGrid/>
                    <w:ind w:left="0"/>
                    <w:rPr>
                      <w:color w:val="auto"/>
                      <w:sz w:val="21"/>
                      <w:szCs w:val="21"/>
                    </w:rPr>
                  </w:pPr>
                </w:p>
              </w:tc>
              <w:tc>
                <w:tcPr>
                  <w:tcW w:w="642" w:type="dxa"/>
                  <w:vMerge w:val="continue"/>
                  <w:tcBorders>
                    <w:tl2br w:val="nil"/>
                    <w:tr2bl w:val="nil"/>
                  </w:tcBorders>
                  <w:noWrap w:val="0"/>
                  <w:vAlign w:val="center"/>
                </w:tcPr>
                <w:p w14:paraId="3A8E7E44">
                  <w:pPr>
                    <w:pStyle w:val="36"/>
                    <w:keepNext w:val="0"/>
                    <w:keepLines w:val="0"/>
                    <w:pageBreakBefore w:val="0"/>
                    <w:kinsoku/>
                    <w:overflowPunct/>
                    <w:bidi w:val="0"/>
                    <w:adjustRightInd/>
                    <w:snapToGrid/>
                    <w:ind w:left="0"/>
                    <w:rPr>
                      <w:color w:val="auto"/>
                      <w:sz w:val="21"/>
                      <w:szCs w:val="21"/>
                    </w:rPr>
                  </w:pPr>
                </w:p>
              </w:tc>
              <w:tc>
                <w:tcPr>
                  <w:tcW w:w="1724" w:type="dxa"/>
                  <w:tcBorders>
                    <w:tl2br w:val="nil"/>
                    <w:tr2bl w:val="nil"/>
                  </w:tcBorders>
                  <w:noWrap w:val="0"/>
                  <w:vAlign w:val="center"/>
                </w:tcPr>
                <w:p w14:paraId="4612E738">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lang w:val="en-US" w:eastAsia="zh-CN"/>
                    </w:rPr>
                    <w:t>施工机械和运输车辆废气</w:t>
                  </w:r>
                </w:p>
              </w:tc>
              <w:tc>
                <w:tcPr>
                  <w:tcW w:w="8457" w:type="dxa"/>
                  <w:tcBorders>
                    <w:tl2br w:val="nil"/>
                    <w:tr2bl w:val="nil"/>
                  </w:tcBorders>
                  <w:noWrap w:val="0"/>
                  <w:vAlign w:val="center"/>
                </w:tcPr>
                <w:p w14:paraId="3D15C1F9">
                  <w:pPr>
                    <w:pStyle w:val="36"/>
                    <w:keepNext w:val="0"/>
                    <w:keepLines w:val="0"/>
                    <w:pageBreakBefore w:val="0"/>
                    <w:kinsoku/>
                    <w:overflowPunct/>
                    <w:bidi w:val="0"/>
                    <w:adjustRightInd/>
                    <w:snapToGrid/>
                    <w:ind w:left="0"/>
                    <w:jc w:val="left"/>
                    <w:rPr>
                      <w:rFonts w:hint="default"/>
                      <w:color w:val="auto"/>
                      <w:sz w:val="21"/>
                      <w:szCs w:val="21"/>
                    </w:rPr>
                  </w:pPr>
                  <w:r>
                    <w:rPr>
                      <w:rFonts w:hint="default"/>
                      <w:color w:val="auto"/>
                      <w:sz w:val="21"/>
                      <w:szCs w:val="21"/>
                      <w:lang w:val="en-US" w:eastAsia="zh-CN"/>
                    </w:rPr>
                    <w:t>加强设备维修保养工作、对故障设备和运输车辆及时维修处理、运输路线绕开敏感点集中区等措施</w:t>
                  </w:r>
                </w:p>
              </w:tc>
              <w:tc>
                <w:tcPr>
                  <w:tcW w:w="1001" w:type="dxa"/>
                  <w:vMerge w:val="continue"/>
                  <w:tcBorders>
                    <w:tl2br w:val="nil"/>
                    <w:tr2bl w:val="nil"/>
                  </w:tcBorders>
                  <w:noWrap w:val="0"/>
                  <w:vAlign w:val="center"/>
                </w:tcPr>
                <w:p w14:paraId="2FE1ABFA">
                  <w:pPr>
                    <w:pStyle w:val="36"/>
                    <w:keepNext w:val="0"/>
                    <w:keepLines w:val="0"/>
                    <w:pageBreakBefore w:val="0"/>
                    <w:kinsoku/>
                    <w:overflowPunct/>
                    <w:bidi w:val="0"/>
                    <w:adjustRightInd/>
                    <w:snapToGrid/>
                    <w:ind w:left="0"/>
                    <w:rPr>
                      <w:rFonts w:hint="default"/>
                      <w:color w:val="auto"/>
                      <w:sz w:val="21"/>
                      <w:szCs w:val="21"/>
                    </w:rPr>
                  </w:pPr>
                </w:p>
              </w:tc>
            </w:tr>
            <w:tr w14:paraId="65A9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065F427B">
                  <w:pPr>
                    <w:pStyle w:val="36"/>
                    <w:keepNext w:val="0"/>
                    <w:keepLines w:val="0"/>
                    <w:pageBreakBefore w:val="0"/>
                    <w:kinsoku/>
                    <w:overflowPunct/>
                    <w:bidi w:val="0"/>
                    <w:adjustRightInd/>
                    <w:snapToGrid/>
                    <w:ind w:left="0"/>
                    <w:rPr>
                      <w:color w:val="auto"/>
                      <w:sz w:val="21"/>
                      <w:szCs w:val="21"/>
                    </w:rPr>
                  </w:pPr>
                </w:p>
              </w:tc>
              <w:tc>
                <w:tcPr>
                  <w:tcW w:w="642" w:type="dxa"/>
                  <w:vMerge w:val="continue"/>
                  <w:tcBorders>
                    <w:tl2br w:val="nil"/>
                    <w:tr2bl w:val="nil"/>
                  </w:tcBorders>
                  <w:noWrap w:val="0"/>
                  <w:vAlign w:val="center"/>
                </w:tcPr>
                <w:p w14:paraId="23C5AE0D">
                  <w:pPr>
                    <w:pStyle w:val="36"/>
                    <w:keepNext w:val="0"/>
                    <w:keepLines w:val="0"/>
                    <w:pageBreakBefore w:val="0"/>
                    <w:kinsoku/>
                    <w:overflowPunct/>
                    <w:bidi w:val="0"/>
                    <w:adjustRightInd/>
                    <w:snapToGrid/>
                    <w:ind w:left="0"/>
                    <w:rPr>
                      <w:color w:val="auto"/>
                      <w:sz w:val="21"/>
                      <w:szCs w:val="21"/>
                    </w:rPr>
                  </w:pPr>
                </w:p>
              </w:tc>
              <w:tc>
                <w:tcPr>
                  <w:tcW w:w="1724" w:type="dxa"/>
                  <w:tcBorders>
                    <w:tl2br w:val="nil"/>
                    <w:tr2bl w:val="nil"/>
                  </w:tcBorders>
                  <w:noWrap w:val="0"/>
                  <w:vAlign w:val="center"/>
                </w:tcPr>
                <w:p w14:paraId="2592C188">
                  <w:pPr>
                    <w:pStyle w:val="36"/>
                    <w:keepNext w:val="0"/>
                    <w:keepLines w:val="0"/>
                    <w:pageBreakBefore w:val="0"/>
                    <w:kinsoku/>
                    <w:overflowPunct/>
                    <w:bidi w:val="0"/>
                    <w:adjustRightInd/>
                    <w:snapToGrid/>
                    <w:ind w:left="0"/>
                    <w:rPr>
                      <w:rFonts w:hint="default"/>
                      <w:color w:val="auto"/>
                      <w:sz w:val="21"/>
                      <w:szCs w:val="21"/>
                      <w:lang w:val="en-US" w:eastAsia="zh-CN"/>
                    </w:rPr>
                  </w:pPr>
                  <w:r>
                    <w:rPr>
                      <w:rFonts w:hint="default"/>
                      <w:color w:val="auto"/>
                      <w:sz w:val="21"/>
                      <w:szCs w:val="21"/>
                      <w:lang w:val="en-US" w:eastAsia="zh-CN"/>
                    </w:rPr>
                    <w:t>焊接烟尘</w:t>
                  </w:r>
                </w:p>
              </w:tc>
              <w:tc>
                <w:tcPr>
                  <w:tcW w:w="8457" w:type="dxa"/>
                  <w:tcBorders>
                    <w:tl2br w:val="nil"/>
                    <w:tr2bl w:val="nil"/>
                  </w:tcBorders>
                  <w:noWrap w:val="0"/>
                  <w:vAlign w:val="center"/>
                </w:tcPr>
                <w:p w14:paraId="6288D0D8">
                  <w:pPr>
                    <w:pStyle w:val="36"/>
                    <w:keepNext w:val="0"/>
                    <w:keepLines w:val="0"/>
                    <w:pageBreakBefore w:val="0"/>
                    <w:kinsoku/>
                    <w:overflowPunct/>
                    <w:bidi w:val="0"/>
                    <w:adjustRightInd/>
                    <w:snapToGrid/>
                    <w:ind w:left="0"/>
                    <w:jc w:val="left"/>
                    <w:rPr>
                      <w:rFonts w:hint="default"/>
                      <w:color w:val="auto"/>
                      <w:sz w:val="21"/>
                      <w:szCs w:val="21"/>
                      <w:lang w:val="en-US" w:eastAsia="zh-CN"/>
                    </w:rPr>
                  </w:pPr>
                  <w:r>
                    <w:rPr>
                      <w:rFonts w:hint="default"/>
                      <w:color w:val="auto"/>
                      <w:sz w:val="21"/>
                      <w:szCs w:val="21"/>
                      <w:lang w:val="en-US" w:eastAsia="zh-CN"/>
                    </w:rPr>
                    <w:t>焊接烟尘产生量小、产生点分散，采取在施工期内尽快完成，以减小对周边环境的影响时间</w:t>
                  </w:r>
                </w:p>
              </w:tc>
              <w:tc>
                <w:tcPr>
                  <w:tcW w:w="1001" w:type="dxa"/>
                  <w:vMerge w:val="continue"/>
                  <w:tcBorders>
                    <w:tl2br w:val="nil"/>
                    <w:tr2bl w:val="nil"/>
                  </w:tcBorders>
                  <w:noWrap w:val="0"/>
                  <w:vAlign w:val="center"/>
                </w:tcPr>
                <w:p w14:paraId="4474624B">
                  <w:pPr>
                    <w:pStyle w:val="36"/>
                    <w:keepNext w:val="0"/>
                    <w:keepLines w:val="0"/>
                    <w:pageBreakBefore w:val="0"/>
                    <w:kinsoku/>
                    <w:overflowPunct/>
                    <w:bidi w:val="0"/>
                    <w:adjustRightInd/>
                    <w:snapToGrid/>
                    <w:ind w:left="0"/>
                    <w:rPr>
                      <w:rFonts w:hint="default"/>
                      <w:color w:val="auto"/>
                      <w:sz w:val="21"/>
                      <w:szCs w:val="21"/>
                    </w:rPr>
                  </w:pPr>
                </w:p>
              </w:tc>
            </w:tr>
            <w:tr w14:paraId="09C5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610EDF04">
                  <w:pPr>
                    <w:pStyle w:val="36"/>
                    <w:keepNext w:val="0"/>
                    <w:keepLines w:val="0"/>
                    <w:pageBreakBefore w:val="0"/>
                    <w:kinsoku/>
                    <w:overflowPunct/>
                    <w:bidi w:val="0"/>
                    <w:adjustRightInd/>
                    <w:snapToGrid/>
                    <w:ind w:left="0"/>
                    <w:rPr>
                      <w:rFonts w:hint="default"/>
                      <w:color w:val="auto"/>
                      <w:sz w:val="21"/>
                      <w:szCs w:val="21"/>
                    </w:rPr>
                  </w:pPr>
                </w:p>
              </w:tc>
              <w:tc>
                <w:tcPr>
                  <w:tcW w:w="642" w:type="dxa"/>
                  <w:vMerge w:val="restart"/>
                  <w:tcBorders>
                    <w:tl2br w:val="nil"/>
                    <w:tr2bl w:val="nil"/>
                  </w:tcBorders>
                  <w:noWrap w:val="0"/>
                  <w:vAlign w:val="center"/>
                </w:tcPr>
                <w:p w14:paraId="726BA4D3">
                  <w:pPr>
                    <w:pStyle w:val="36"/>
                    <w:keepNext w:val="0"/>
                    <w:keepLines w:val="0"/>
                    <w:pageBreakBefore w:val="0"/>
                    <w:kinsoku/>
                    <w:overflowPunct/>
                    <w:bidi w:val="0"/>
                    <w:adjustRightInd/>
                    <w:snapToGrid/>
                    <w:ind w:left="0"/>
                    <w:rPr>
                      <w:rFonts w:hint="default"/>
                      <w:color w:val="auto"/>
                      <w:sz w:val="21"/>
                      <w:szCs w:val="21"/>
                    </w:rPr>
                  </w:pPr>
                  <w:r>
                    <w:rPr>
                      <w:rFonts w:hint="default"/>
                      <w:color w:val="auto"/>
                      <w:sz w:val="21"/>
                      <w:szCs w:val="21"/>
                    </w:rPr>
                    <w:t>废水</w:t>
                  </w:r>
                </w:p>
              </w:tc>
              <w:tc>
                <w:tcPr>
                  <w:tcW w:w="1724" w:type="dxa"/>
                  <w:tcBorders>
                    <w:tl2br w:val="nil"/>
                    <w:tr2bl w:val="nil"/>
                  </w:tcBorders>
                  <w:noWrap w:val="0"/>
                  <w:vAlign w:val="center"/>
                </w:tcPr>
                <w:p w14:paraId="73B486BD">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施工期生产废水</w:t>
                  </w:r>
                </w:p>
              </w:tc>
              <w:tc>
                <w:tcPr>
                  <w:tcW w:w="8457" w:type="dxa"/>
                  <w:tcBorders>
                    <w:tl2br w:val="nil"/>
                    <w:tr2bl w:val="nil"/>
                  </w:tcBorders>
                  <w:noWrap w:val="0"/>
                  <w:vAlign w:val="center"/>
                </w:tcPr>
                <w:p w14:paraId="1CF49201">
                  <w:pPr>
                    <w:pStyle w:val="36"/>
                    <w:keepNext w:val="0"/>
                    <w:keepLines w:val="0"/>
                    <w:pageBreakBefore w:val="0"/>
                    <w:kinsoku/>
                    <w:overflowPunct/>
                    <w:bidi w:val="0"/>
                    <w:adjustRightInd/>
                    <w:snapToGrid/>
                    <w:ind w:left="0"/>
                    <w:jc w:val="left"/>
                    <w:rPr>
                      <w:rFonts w:hint="eastAsia"/>
                      <w:color w:val="auto"/>
                      <w:sz w:val="21"/>
                      <w:szCs w:val="21"/>
                      <w:lang w:val="en-US" w:eastAsia="zh-CN"/>
                    </w:rPr>
                  </w:pPr>
                  <w:r>
                    <w:rPr>
                      <w:rFonts w:hint="eastAsia"/>
                      <w:color w:val="auto"/>
                      <w:sz w:val="21"/>
                      <w:szCs w:val="21"/>
                      <w:lang w:val="en-US" w:eastAsia="zh-CN"/>
                    </w:rPr>
                    <w:t>施工期生产废水经临时沉淀池沉淀后，循环使用，不外排</w:t>
                  </w:r>
                </w:p>
              </w:tc>
              <w:tc>
                <w:tcPr>
                  <w:tcW w:w="1001" w:type="dxa"/>
                  <w:tcBorders>
                    <w:tl2br w:val="nil"/>
                    <w:tr2bl w:val="nil"/>
                  </w:tcBorders>
                  <w:noWrap w:val="0"/>
                  <w:vAlign w:val="center"/>
                </w:tcPr>
                <w:p w14:paraId="5D39578D">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新建</w:t>
                  </w:r>
                </w:p>
              </w:tc>
            </w:tr>
            <w:tr w14:paraId="276A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39DA31B1">
                  <w:pPr>
                    <w:pStyle w:val="36"/>
                    <w:keepNext w:val="0"/>
                    <w:keepLines w:val="0"/>
                    <w:pageBreakBefore w:val="0"/>
                    <w:kinsoku/>
                    <w:overflowPunct/>
                    <w:bidi w:val="0"/>
                    <w:adjustRightInd/>
                    <w:snapToGrid/>
                    <w:ind w:left="0"/>
                    <w:rPr>
                      <w:rFonts w:hint="default"/>
                      <w:color w:val="auto"/>
                      <w:sz w:val="21"/>
                      <w:szCs w:val="21"/>
                    </w:rPr>
                  </w:pPr>
                </w:p>
              </w:tc>
              <w:tc>
                <w:tcPr>
                  <w:tcW w:w="642" w:type="dxa"/>
                  <w:vMerge w:val="continue"/>
                  <w:tcBorders>
                    <w:tl2br w:val="nil"/>
                    <w:tr2bl w:val="nil"/>
                  </w:tcBorders>
                  <w:noWrap w:val="0"/>
                  <w:vAlign w:val="center"/>
                </w:tcPr>
                <w:p w14:paraId="7B13D2B4">
                  <w:pPr>
                    <w:pStyle w:val="36"/>
                    <w:keepNext w:val="0"/>
                    <w:keepLines w:val="0"/>
                    <w:pageBreakBefore w:val="0"/>
                    <w:kinsoku/>
                    <w:overflowPunct/>
                    <w:bidi w:val="0"/>
                    <w:adjustRightInd/>
                    <w:snapToGrid/>
                    <w:ind w:left="0"/>
                    <w:rPr>
                      <w:rFonts w:hint="default"/>
                      <w:color w:val="auto"/>
                      <w:sz w:val="21"/>
                      <w:szCs w:val="21"/>
                    </w:rPr>
                  </w:pPr>
                </w:p>
              </w:tc>
              <w:tc>
                <w:tcPr>
                  <w:tcW w:w="1724" w:type="dxa"/>
                  <w:tcBorders>
                    <w:tl2br w:val="nil"/>
                    <w:tr2bl w:val="nil"/>
                  </w:tcBorders>
                  <w:noWrap w:val="0"/>
                  <w:vAlign w:val="center"/>
                </w:tcPr>
                <w:p w14:paraId="79A5DBCE">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管道</w:t>
                  </w:r>
                  <w:r>
                    <w:rPr>
                      <w:rFonts w:hint="default"/>
                      <w:color w:val="auto"/>
                      <w:sz w:val="21"/>
                      <w:szCs w:val="21"/>
                      <w:lang w:val="en-US" w:eastAsia="zh-CN"/>
                    </w:rPr>
                    <w:t>试压水</w:t>
                  </w:r>
                </w:p>
              </w:tc>
              <w:tc>
                <w:tcPr>
                  <w:tcW w:w="8457" w:type="dxa"/>
                  <w:tcBorders>
                    <w:tl2br w:val="nil"/>
                    <w:tr2bl w:val="nil"/>
                  </w:tcBorders>
                  <w:noWrap w:val="0"/>
                  <w:vAlign w:val="center"/>
                </w:tcPr>
                <w:p w14:paraId="552A28ED">
                  <w:pPr>
                    <w:pStyle w:val="36"/>
                    <w:keepNext w:val="0"/>
                    <w:keepLines w:val="0"/>
                    <w:pageBreakBefore w:val="0"/>
                    <w:kinsoku/>
                    <w:overflowPunct/>
                    <w:bidi w:val="0"/>
                    <w:adjustRightInd/>
                    <w:snapToGrid/>
                    <w:ind w:left="0"/>
                    <w:jc w:val="left"/>
                    <w:rPr>
                      <w:rFonts w:hint="default"/>
                      <w:color w:val="auto"/>
                      <w:sz w:val="21"/>
                      <w:szCs w:val="21"/>
                      <w:lang w:val="en-US" w:eastAsia="zh-CN"/>
                    </w:rPr>
                  </w:pPr>
                  <w:r>
                    <w:rPr>
                      <w:rFonts w:hint="eastAsia"/>
                      <w:color w:val="auto"/>
                      <w:sz w:val="21"/>
                      <w:szCs w:val="21"/>
                      <w:lang w:val="en-US" w:eastAsia="zh-CN"/>
                    </w:rPr>
                    <w:t>管道试压水经临时</w:t>
                  </w:r>
                  <w:r>
                    <w:rPr>
                      <w:rFonts w:hint="default"/>
                      <w:color w:val="auto"/>
                      <w:sz w:val="21"/>
                      <w:szCs w:val="21"/>
                      <w:lang w:val="en-US" w:eastAsia="zh-CN"/>
                    </w:rPr>
                    <w:t>沉淀池处理</w:t>
                  </w:r>
                  <w:r>
                    <w:rPr>
                      <w:rFonts w:hint="eastAsia"/>
                      <w:color w:val="auto"/>
                      <w:sz w:val="21"/>
                      <w:szCs w:val="21"/>
                      <w:lang w:val="en-US" w:eastAsia="zh-CN"/>
                    </w:rPr>
                    <w:t>检验合格后</w:t>
                  </w:r>
                  <w:r>
                    <w:rPr>
                      <w:rFonts w:hint="eastAsia"/>
                      <w:color w:val="auto"/>
                      <w:lang w:val="en-US" w:eastAsia="zh-CN"/>
                    </w:rPr>
                    <w:t>接管网进入淮北蓝海水处理有限公司进一步处理，部分作为平山电厂冷却循环水，剩余部分排入萧濉新河</w:t>
                  </w:r>
                </w:p>
              </w:tc>
              <w:tc>
                <w:tcPr>
                  <w:tcW w:w="1001" w:type="dxa"/>
                  <w:tcBorders>
                    <w:tl2br w:val="nil"/>
                    <w:tr2bl w:val="nil"/>
                  </w:tcBorders>
                  <w:noWrap w:val="0"/>
                  <w:vAlign w:val="center"/>
                </w:tcPr>
                <w:p w14:paraId="15BFC368">
                  <w:pPr>
                    <w:pStyle w:val="36"/>
                    <w:keepNext w:val="0"/>
                    <w:keepLines w:val="0"/>
                    <w:pageBreakBefore w:val="0"/>
                    <w:kinsoku/>
                    <w:overflowPunct/>
                    <w:bidi w:val="0"/>
                    <w:adjustRightInd/>
                    <w:snapToGrid/>
                    <w:ind w:left="0"/>
                    <w:rPr>
                      <w:rFonts w:hint="eastAsia"/>
                      <w:color w:val="auto"/>
                      <w:sz w:val="21"/>
                      <w:szCs w:val="21"/>
                      <w:lang w:val="en-US" w:eastAsia="zh-CN"/>
                    </w:rPr>
                  </w:pPr>
                  <w:r>
                    <w:rPr>
                      <w:rFonts w:hint="eastAsia"/>
                      <w:color w:val="auto"/>
                      <w:sz w:val="21"/>
                      <w:szCs w:val="21"/>
                      <w:lang w:val="en-US" w:eastAsia="zh-CN"/>
                    </w:rPr>
                    <w:t>新建</w:t>
                  </w:r>
                </w:p>
              </w:tc>
            </w:tr>
            <w:tr w14:paraId="59DC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732F765D">
                  <w:pPr>
                    <w:pStyle w:val="36"/>
                    <w:keepNext w:val="0"/>
                    <w:keepLines w:val="0"/>
                    <w:pageBreakBefore w:val="0"/>
                    <w:kinsoku/>
                    <w:overflowPunct/>
                    <w:bidi w:val="0"/>
                    <w:adjustRightInd/>
                    <w:snapToGrid/>
                    <w:ind w:left="0"/>
                    <w:rPr>
                      <w:rFonts w:hint="default"/>
                      <w:color w:val="auto"/>
                      <w:sz w:val="21"/>
                      <w:szCs w:val="21"/>
                    </w:rPr>
                  </w:pPr>
                </w:p>
              </w:tc>
              <w:tc>
                <w:tcPr>
                  <w:tcW w:w="642" w:type="dxa"/>
                  <w:vMerge w:val="continue"/>
                  <w:tcBorders>
                    <w:tl2br w:val="nil"/>
                    <w:tr2bl w:val="nil"/>
                  </w:tcBorders>
                  <w:noWrap w:val="0"/>
                  <w:vAlign w:val="center"/>
                </w:tcPr>
                <w:p w14:paraId="7316EDB3">
                  <w:pPr>
                    <w:pStyle w:val="36"/>
                    <w:keepNext w:val="0"/>
                    <w:keepLines w:val="0"/>
                    <w:pageBreakBefore w:val="0"/>
                    <w:kinsoku/>
                    <w:overflowPunct/>
                    <w:bidi w:val="0"/>
                    <w:adjustRightInd/>
                    <w:snapToGrid/>
                    <w:ind w:left="0"/>
                    <w:rPr>
                      <w:rFonts w:hint="default"/>
                      <w:color w:val="auto"/>
                      <w:sz w:val="21"/>
                      <w:szCs w:val="21"/>
                    </w:rPr>
                  </w:pPr>
                </w:p>
              </w:tc>
              <w:tc>
                <w:tcPr>
                  <w:tcW w:w="1724" w:type="dxa"/>
                  <w:tcBorders>
                    <w:tl2br w:val="nil"/>
                    <w:tr2bl w:val="nil"/>
                  </w:tcBorders>
                  <w:noWrap w:val="0"/>
                  <w:vAlign w:val="center"/>
                </w:tcPr>
                <w:p w14:paraId="5414B6AE">
                  <w:pPr>
                    <w:pStyle w:val="36"/>
                    <w:keepNext w:val="0"/>
                    <w:keepLines w:val="0"/>
                    <w:pageBreakBefore w:val="0"/>
                    <w:kinsoku/>
                    <w:overflowPunct/>
                    <w:bidi w:val="0"/>
                    <w:adjustRightInd/>
                    <w:snapToGrid/>
                    <w:ind w:left="0"/>
                    <w:rPr>
                      <w:rFonts w:hint="default"/>
                      <w:color w:val="auto"/>
                      <w:sz w:val="21"/>
                      <w:szCs w:val="21"/>
                      <w:lang w:val="en-US" w:eastAsia="zh-CN"/>
                    </w:rPr>
                  </w:pPr>
                  <w:r>
                    <w:rPr>
                      <w:rFonts w:hint="default"/>
                      <w:color w:val="auto"/>
                      <w:sz w:val="21"/>
                      <w:szCs w:val="21"/>
                      <w:lang w:val="en-US" w:eastAsia="zh-CN"/>
                    </w:rPr>
                    <w:t>生活污水</w:t>
                  </w:r>
                </w:p>
              </w:tc>
              <w:tc>
                <w:tcPr>
                  <w:tcW w:w="8457" w:type="dxa"/>
                  <w:tcBorders>
                    <w:tl2br w:val="nil"/>
                    <w:tr2bl w:val="nil"/>
                  </w:tcBorders>
                  <w:noWrap w:val="0"/>
                  <w:vAlign w:val="center"/>
                </w:tcPr>
                <w:p w14:paraId="1E51598C">
                  <w:pPr>
                    <w:pStyle w:val="36"/>
                    <w:keepNext w:val="0"/>
                    <w:keepLines w:val="0"/>
                    <w:pageBreakBefore w:val="0"/>
                    <w:kinsoku/>
                    <w:overflowPunct/>
                    <w:bidi w:val="0"/>
                    <w:adjustRightInd/>
                    <w:snapToGrid/>
                    <w:ind w:left="0"/>
                    <w:jc w:val="left"/>
                    <w:rPr>
                      <w:rFonts w:hint="default"/>
                      <w:color w:val="auto"/>
                      <w:sz w:val="21"/>
                      <w:szCs w:val="21"/>
                      <w:lang w:val="en-US" w:eastAsia="zh-CN"/>
                    </w:rPr>
                  </w:pPr>
                  <w:r>
                    <w:rPr>
                      <w:rFonts w:hint="eastAsia"/>
                      <w:color w:val="auto"/>
                      <w:sz w:val="21"/>
                      <w:szCs w:val="21"/>
                      <w:lang w:val="en-US" w:eastAsia="zh-CN"/>
                    </w:rPr>
                    <w:t>生活污水依托附近公厕的化粪池处理后</w:t>
                  </w:r>
                  <w:r>
                    <w:rPr>
                      <w:rFonts w:hint="eastAsia"/>
                      <w:color w:val="auto"/>
                      <w:lang w:val="en-US" w:eastAsia="zh-CN"/>
                    </w:rPr>
                    <w:t>接管网进入淮北蓝海水处理有限公司进一步处理，部分作为平山电厂冷却循环水，剩余部分排入萧濉新河</w:t>
                  </w:r>
                  <w:r>
                    <w:rPr>
                      <w:rFonts w:hint="eastAsia"/>
                      <w:color w:val="auto"/>
                      <w:sz w:val="21"/>
                      <w:szCs w:val="21"/>
                      <w:lang w:val="en-US" w:eastAsia="zh-CN"/>
                    </w:rPr>
                    <w:t>。施工结束后恢复原有功能</w:t>
                  </w:r>
                </w:p>
              </w:tc>
              <w:tc>
                <w:tcPr>
                  <w:tcW w:w="1001" w:type="dxa"/>
                  <w:tcBorders>
                    <w:tl2br w:val="nil"/>
                    <w:tr2bl w:val="nil"/>
                  </w:tcBorders>
                  <w:noWrap w:val="0"/>
                  <w:vAlign w:val="center"/>
                </w:tcPr>
                <w:p w14:paraId="7195F98F">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新建</w:t>
                  </w:r>
                </w:p>
              </w:tc>
            </w:tr>
            <w:tr w14:paraId="60F9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2FAE01A6">
                  <w:pPr>
                    <w:pStyle w:val="36"/>
                    <w:keepNext w:val="0"/>
                    <w:keepLines w:val="0"/>
                    <w:pageBreakBefore w:val="0"/>
                    <w:kinsoku/>
                    <w:overflowPunct/>
                    <w:bidi w:val="0"/>
                    <w:adjustRightInd/>
                    <w:snapToGrid/>
                    <w:ind w:left="0"/>
                    <w:rPr>
                      <w:rFonts w:hint="default"/>
                      <w:color w:val="auto"/>
                      <w:sz w:val="21"/>
                      <w:szCs w:val="21"/>
                    </w:rPr>
                  </w:pPr>
                </w:p>
              </w:tc>
              <w:tc>
                <w:tcPr>
                  <w:tcW w:w="2366" w:type="dxa"/>
                  <w:gridSpan w:val="2"/>
                  <w:tcBorders>
                    <w:tl2br w:val="nil"/>
                    <w:tr2bl w:val="nil"/>
                  </w:tcBorders>
                  <w:noWrap w:val="0"/>
                  <w:vAlign w:val="center"/>
                </w:tcPr>
                <w:p w14:paraId="41A0338E">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噪声</w:t>
                  </w:r>
                </w:p>
              </w:tc>
              <w:tc>
                <w:tcPr>
                  <w:tcW w:w="8457" w:type="dxa"/>
                  <w:tcBorders>
                    <w:tl2br w:val="nil"/>
                    <w:tr2bl w:val="nil"/>
                  </w:tcBorders>
                  <w:noWrap w:val="0"/>
                  <w:vAlign w:val="center"/>
                </w:tcPr>
                <w:p w14:paraId="442E4C43">
                  <w:pPr>
                    <w:pStyle w:val="36"/>
                    <w:keepNext w:val="0"/>
                    <w:keepLines w:val="0"/>
                    <w:pageBreakBefore w:val="0"/>
                    <w:kinsoku/>
                    <w:overflowPunct/>
                    <w:bidi w:val="0"/>
                    <w:adjustRightInd/>
                    <w:snapToGrid/>
                    <w:ind w:left="0"/>
                    <w:jc w:val="left"/>
                    <w:rPr>
                      <w:rFonts w:hint="default"/>
                      <w:color w:val="auto"/>
                      <w:sz w:val="21"/>
                      <w:szCs w:val="21"/>
                      <w:lang w:val="en-US" w:eastAsia="zh-CN"/>
                    </w:rPr>
                  </w:pPr>
                  <w:r>
                    <w:rPr>
                      <w:rFonts w:hint="eastAsia"/>
                      <w:color w:val="auto"/>
                      <w:sz w:val="21"/>
                      <w:szCs w:val="21"/>
                      <w:lang w:val="en-US" w:eastAsia="zh-CN"/>
                    </w:rPr>
                    <w:t>在施工场地边界设围墙、禁止夜间进行高噪声施工作业、高噪声设备尽量靠远离居民点一侧布置、加强对施工机械和设备维护保养等</w:t>
                  </w:r>
                </w:p>
              </w:tc>
              <w:tc>
                <w:tcPr>
                  <w:tcW w:w="1001" w:type="dxa"/>
                  <w:tcBorders>
                    <w:tl2br w:val="nil"/>
                    <w:tr2bl w:val="nil"/>
                  </w:tcBorders>
                  <w:noWrap w:val="0"/>
                  <w:vAlign w:val="center"/>
                </w:tcPr>
                <w:p w14:paraId="0B625FC2">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新建</w:t>
                  </w:r>
                </w:p>
              </w:tc>
            </w:tr>
            <w:tr w14:paraId="6253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772CCF43">
                  <w:pPr>
                    <w:pStyle w:val="36"/>
                    <w:keepNext w:val="0"/>
                    <w:keepLines w:val="0"/>
                    <w:pageBreakBefore w:val="0"/>
                    <w:kinsoku/>
                    <w:overflowPunct/>
                    <w:bidi w:val="0"/>
                    <w:adjustRightInd/>
                    <w:snapToGrid/>
                    <w:ind w:left="0"/>
                    <w:rPr>
                      <w:rFonts w:hint="default"/>
                      <w:color w:val="auto"/>
                      <w:sz w:val="21"/>
                      <w:szCs w:val="21"/>
                    </w:rPr>
                  </w:pPr>
                </w:p>
              </w:tc>
              <w:tc>
                <w:tcPr>
                  <w:tcW w:w="642" w:type="dxa"/>
                  <w:vMerge w:val="restart"/>
                  <w:tcBorders>
                    <w:tl2br w:val="nil"/>
                    <w:tr2bl w:val="nil"/>
                  </w:tcBorders>
                  <w:noWrap w:val="0"/>
                  <w:vAlign w:val="center"/>
                </w:tcPr>
                <w:p w14:paraId="4E073DA4">
                  <w:pPr>
                    <w:pStyle w:val="36"/>
                    <w:keepNext w:val="0"/>
                    <w:keepLines w:val="0"/>
                    <w:pageBreakBefore w:val="0"/>
                    <w:kinsoku/>
                    <w:overflowPunct/>
                    <w:bidi w:val="0"/>
                    <w:adjustRightInd/>
                    <w:snapToGrid/>
                    <w:ind w:left="0"/>
                    <w:rPr>
                      <w:rFonts w:hint="default"/>
                      <w:color w:val="auto"/>
                      <w:sz w:val="21"/>
                      <w:szCs w:val="21"/>
                      <w:lang w:val="en-US" w:eastAsia="zh-CN"/>
                    </w:rPr>
                  </w:pPr>
                  <w:r>
                    <w:rPr>
                      <w:rFonts w:hint="default"/>
                      <w:color w:val="auto"/>
                      <w:sz w:val="21"/>
                      <w:szCs w:val="21"/>
                      <w:lang w:val="en-US" w:eastAsia="zh-CN"/>
                    </w:rPr>
                    <w:t>固废</w:t>
                  </w:r>
                </w:p>
              </w:tc>
              <w:tc>
                <w:tcPr>
                  <w:tcW w:w="1724" w:type="dxa"/>
                  <w:tcBorders>
                    <w:tl2br w:val="nil"/>
                    <w:tr2bl w:val="nil"/>
                  </w:tcBorders>
                  <w:noWrap w:val="0"/>
                  <w:vAlign w:val="center"/>
                </w:tcPr>
                <w:p w14:paraId="79EA17EA">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建筑垃圾</w:t>
                  </w:r>
                </w:p>
              </w:tc>
              <w:tc>
                <w:tcPr>
                  <w:tcW w:w="8457" w:type="dxa"/>
                  <w:tcBorders>
                    <w:tl2br w:val="nil"/>
                    <w:tr2bl w:val="nil"/>
                  </w:tcBorders>
                  <w:noWrap w:val="0"/>
                  <w:vAlign w:val="center"/>
                </w:tcPr>
                <w:p w14:paraId="6E6623A9">
                  <w:pPr>
                    <w:pStyle w:val="36"/>
                    <w:keepNext w:val="0"/>
                    <w:keepLines w:val="0"/>
                    <w:pageBreakBefore w:val="0"/>
                    <w:kinsoku/>
                    <w:overflowPunct/>
                    <w:bidi w:val="0"/>
                    <w:adjustRightInd/>
                    <w:snapToGrid/>
                    <w:ind w:left="0"/>
                    <w:jc w:val="left"/>
                    <w:rPr>
                      <w:rFonts w:hint="default"/>
                      <w:color w:val="auto"/>
                      <w:sz w:val="21"/>
                      <w:szCs w:val="21"/>
                      <w:lang w:val="en-US" w:eastAsia="zh-CN"/>
                    </w:rPr>
                  </w:pPr>
                  <w:r>
                    <w:rPr>
                      <w:rFonts w:hint="default"/>
                      <w:color w:val="auto"/>
                      <w:sz w:val="21"/>
                      <w:szCs w:val="21"/>
                      <w:lang w:val="en-US" w:eastAsia="zh-CN"/>
                    </w:rPr>
                    <w:t>建筑垃圾能利用的部分合理利用，不能利用的部分运至相关部门</w:t>
                  </w:r>
                  <w:r>
                    <w:rPr>
                      <w:rFonts w:hint="eastAsia"/>
                      <w:color w:val="auto"/>
                      <w:sz w:val="21"/>
                      <w:szCs w:val="21"/>
                      <w:lang w:val="en-US" w:eastAsia="zh-CN"/>
                    </w:rPr>
                    <w:t>指定地点</w:t>
                  </w:r>
                </w:p>
              </w:tc>
              <w:tc>
                <w:tcPr>
                  <w:tcW w:w="1001" w:type="dxa"/>
                  <w:vMerge w:val="restart"/>
                  <w:tcBorders>
                    <w:tl2br w:val="nil"/>
                    <w:tr2bl w:val="nil"/>
                  </w:tcBorders>
                  <w:noWrap w:val="0"/>
                  <w:vAlign w:val="center"/>
                </w:tcPr>
                <w:p w14:paraId="66523639">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新建</w:t>
                  </w:r>
                </w:p>
              </w:tc>
            </w:tr>
            <w:tr w14:paraId="4A58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43CF6D5A">
                  <w:pPr>
                    <w:pStyle w:val="36"/>
                    <w:keepNext w:val="0"/>
                    <w:keepLines w:val="0"/>
                    <w:pageBreakBefore w:val="0"/>
                    <w:kinsoku/>
                    <w:overflowPunct/>
                    <w:bidi w:val="0"/>
                    <w:adjustRightInd/>
                    <w:snapToGrid/>
                    <w:ind w:left="0"/>
                    <w:rPr>
                      <w:rFonts w:hint="default"/>
                      <w:color w:val="auto"/>
                      <w:sz w:val="21"/>
                      <w:szCs w:val="21"/>
                    </w:rPr>
                  </w:pPr>
                </w:p>
              </w:tc>
              <w:tc>
                <w:tcPr>
                  <w:tcW w:w="642" w:type="dxa"/>
                  <w:vMerge w:val="continue"/>
                  <w:tcBorders>
                    <w:tl2br w:val="nil"/>
                    <w:tr2bl w:val="nil"/>
                  </w:tcBorders>
                  <w:noWrap w:val="0"/>
                  <w:vAlign w:val="center"/>
                </w:tcPr>
                <w:p w14:paraId="3A4F4FC1">
                  <w:pPr>
                    <w:pStyle w:val="36"/>
                    <w:keepNext w:val="0"/>
                    <w:keepLines w:val="0"/>
                    <w:pageBreakBefore w:val="0"/>
                    <w:kinsoku/>
                    <w:overflowPunct/>
                    <w:bidi w:val="0"/>
                    <w:adjustRightInd/>
                    <w:snapToGrid/>
                    <w:ind w:left="0"/>
                    <w:rPr>
                      <w:rFonts w:hint="default"/>
                      <w:color w:val="auto"/>
                      <w:sz w:val="21"/>
                      <w:szCs w:val="21"/>
                      <w:lang w:val="en-US" w:eastAsia="zh-CN"/>
                    </w:rPr>
                  </w:pPr>
                </w:p>
              </w:tc>
              <w:tc>
                <w:tcPr>
                  <w:tcW w:w="1724" w:type="dxa"/>
                  <w:tcBorders>
                    <w:tl2br w:val="nil"/>
                    <w:tr2bl w:val="nil"/>
                  </w:tcBorders>
                  <w:noWrap w:val="0"/>
                  <w:vAlign w:val="center"/>
                </w:tcPr>
                <w:p w14:paraId="058EF751">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临时弃土</w:t>
                  </w:r>
                </w:p>
              </w:tc>
              <w:tc>
                <w:tcPr>
                  <w:tcW w:w="8457" w:type="dxa"/>
                  <w:tcBorders>
                    <w:tl2br w:val="nil"/>
                    <w:tr2bl w:val="nil"/>
                  </w:tcBorders>
                  <w:noWrap w:val="0"/>
                  <w:vAlign w:val="center"/>
                </w:tcPr>
                <w:p w14:paraId="5D03E5FA">
                  <w:pPr>
                    <w:pStyle w:val="36"/>
                    <w:keepNext w:val="0"/>
                    <w:keepLines w:val="0"/>
                    <w:pageBreakBefore w:val="0"/>
                    <w:kinsoku/>
                    <w:overflowPunct/>
                    <w:bidi w:val="0"/>
                    <w:adjustRightInd/>
                    <w:snapToGrid/>
                    <w:ind w:left="0"/>
                    <w:jc w:val="left"/>
                    <w:rPr>
                      <w:rFonts w:hint="eastAsia"/>
                      <w:color w:val="auto"/>
                      <w:sz w:val="21"/>
                      <w:szCs w:val="21"/>
                      <w:lang w:val="en-US" w:eastAsia="zh-CN"/>
                    </w:rPr>
                  </w:pPr>
                  <w:r>
                    <w:rPr>
                      <w:rFonts w:hint="eastAsia"/>
                      <w:color w:val="auto"/>
                      <w:sz w:val="21"/>
                      <w:szCs w:val="21"/>
                      <w:lang w:val="en-US" w:eastAsia="zh-CN"/>
                    </w:rPr>
                    <w:t>用于沿途地面平整</w:t>
                  </w:r>
                </w:p>
              </w:tc>
              <w:tc>
                <w:tcPr>
                  <w:tcW w:w="1001" w:type="dxa"/>
                  <w:vMerge w:val="continue"/>
                  <w:tcBorders>
                    <w:tl2br w:val="nil"/>
                    <w:tr2bl w:val="nil"/>
                  </w:tcBorders>
                  <w:noWrap w:val="0"/>
                  <w:vAlign w:val="center"/>
                </w:tcPr>
                <w:p w14:paraId="0A2D90C1">
                  <w:pPr>
                    <w:pStyle w:val="36"/>
                    <w:keepNext w:val="0"/>
                    <w:keepLines w:val="0"/>
                    <w:pageBreakBefore w:val="0"/>
                    <w:kinsoku/>
                    <w:overflowPunct/>
                    <w:bidi w:val="0"/>
                    <w:adjustRightInd/>
                    <w:snapToGrid/>
                    <w:ind w:left="0"/>
                    <w:rPr>
                      <w:rFonts w:hint="eastAsia"/>
                      <w:color w:val="auto"/>
                      <w:sz w:val="21"/>
                      <w:szCs w:val="21"/>
                      <w:lang w:val="en-US" w:eastAsia="zh-CN"/>
                    </w:rPr>
                  </w:pPr>
                </w:p>
              </w:tc>
            </w:tr>
            <w:tr w14:paraId="7FE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4256FF31">
                  <w:pPr>
                    <w:pStyle w:val="36"/>
                    <w:keepNext w:val="0"/>
                    <w:keepLines w:val="0"/>
                    <w:pageBreakBefore w:val="0"/>
                    <w:kinsoku/>
                    <w:overflowPunct/>
                    <w:bidi w:val="0"/>
                    <w:adjustRightInd/>
                    <w:snapToGrid/>
                    <w:ind w:left="0"/>
                    <w:rPr>
                      <w:rFonts w:hint="default"/>
                      <w:color w:val="auto"/>
                      <w:sz w:val="21"/>
                      <w:szCs w:val="21"/>
                    </w:rPr>
                  </w:pPr>
                </w:p>
              </w:tc>
              <w:tc>
                <w:tcPr>
                  <w:tcW w:w="642" w:type="dxa"/>
                  <w:vMerge w:val="continue"/>
                  <w:tcBorders>
                    <w:tl2br w:val="nil"/>
                    <w:tr2bl w:val="nil"/>
                  </w:tcBorders>
                  <w:noWrap w:val="0"/>
                  <w:vAlign w:val="center"/>
                </w:tcPr>
                <w:p w14:paraId="6CFBF71A">
                  <w:pPr>
                    <w:pStyle w:val="36"/>
                    <w:keepNext w:val="0"/>
                    <w:keepLines w:val="0"/>
                    <w:pageBreakBefore w:val="0"/>
                    <w:kinsoku/>
                    <w:overflowPunct/>
                    <w:bidi w:val="0"/>
                    <w:adjustRightInd/>
                    <w:snapToGrid/>
                    <w:ind w:left="0"/>
                    <w:rPr>
                      <w:rFonts w:hint="default"/>
                      <w:color w:val="auto"/>
                      <w:sz w:val="21"/>
                      <w:szCs w:val="21"/>
                      <w:lang w:val="en-US" w:eastAsia="zh-CN"/>
                    </w:rPr>
                  </w:pPr>
                </w:p>
              </w:tc>
              <w:tc>
                <w:tcPr>
                  <w:tcW w:w="1724" w:type="dxa"/>
                  <w:tcBorders>
                    <w:tl2br w:val="nil"/>
                    <w:tr2bl w:val="nil"/>
                  </w:tcBorders>
                  <w:noWrap w:val="0"/>
                  <w:vAlign w:val="center"/>
                </w:tcPr>
                <w:p w14:paraId="5C7BD886">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沉淀池沉渣</w:t>
                  </w:r>
                </w:p>
              </w:tc>
              <w:tc>
                <w:tcPr>
                  <w:tcW w:w="8457" w:type="dxa"/>
                  <w:tcBorders>
                    <w:tl2br w:val="nil"/>
                    <w:tr2bl w:val="nil"/>
                  </w:tcBorders>
                  <w:noWrap w:val="0"/>
                  <w:vAlign w:val="center"/>
                </w:tcPr>
                <w:p w14:paraId="62F0704E">
                  <w:pPr>
                    <w:pStyle w:val="36"/>
                    <w:keepNext w:val="0"/>
                    <w:keepLines w:val="0"/>
                    <w:pageBreakBefore w:val="0"/>
                    <w:kinsoku/>
                    <w:overflowPunct/>
                    <w:bidi w:val="0"/>
                    <w:adjustRightInd/>
                    <w:snapToGrid/>
                    <w:ind w:left="0"/>
                    <w:jc w:val="left"/>
                    <w:rPr>
                      <w:rFonts w:hint="eastAsia"/>
                      <w:color w:val="auto"/>
                      <w:sz w:val="21"/>
                      <w:szCs w:val="21"/>
                      <w:lang w:val="en-US" w:eastAsia="zh-CN"/>
                    </w:rPr>
                  </w:pPr>
                  <w:r>
                    <w:rPr>
                      <w:rFonts w:hint="eastAsia"/>
                      <w:color w:val="auto"/>
                      <w:sz w:val="21"/>
                      <w:szCs w:val="21"/>
                    </w:rPr>
                    <w:t>全部回用于临时施工段恢复时的绿化覆土</w:t>
                  </w:r>
                </w:p>
              </w:tc>
              <w:tc>
                <w:tcPr>
                  <w:tcW w:w="1001" w:type="dxa"/>
                  <w:vMerge w:val="continue"/>
                  <w:tcBorders>
                    <w:tl2br w:val="nil"/>
                    <w:tr2bl w:val="nil"/>
                  </w:tcBorders>
                  <w:noWrap w:val="0"/>
                  <w:vAlign w:val="center"/>
                </w:tcPr>
                <w:p w14:paraId="450BA5CE">
                  <w:pPr>
                    <w:pStyle w:val="36"/>
                    <w:keepNext w:val="0"/>
                    <w:keepLines w:val="0"/>
                    <w:pageBreakBefore w:val="0"/>
                    <w:kinsoku/>
                    <w:overflowPunct/>
                    <w:bidi w:val="0"/>
                    <w:adjustRightInd/>
                    <w:snapToGrid/>
                    <w:ind w:left="0"/>
                    <w:rPr>
                      <w:rFonts w:hint="default"/>
                      <w:color w:val="auto"/>
                      <w:sz w:val="21"/>
                      <w:szCs w:val="21"/>
                      <w:lang w:val="en-US" w:eastAsia="zh-CN"/>
                    </w:rPr>
                  </w:pPr>
                </w:p>
              </w:tc>
            </w:tr>
            <w:tr w14:paraId="2755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1AA3C537">
                  <w:pPr>
                    <w:pStyle w:val="36"/>
                    <w:keepNext w:val="0"/>
                    <w:keepLines w:val="0"/>
                    <w:pageBreakBefore w:val="0"/>
                    <w:kinsoku/>
                    <w:overflowPunct/>
                    <w:bidi w:val="0"/>
                    <w:adjustRightInd/>
                    <w:snapToGrid/>
                    <w:ind w:left="0"/>
                    <w:rPr>
                      <w:color w:val="auto"/>
                      <w:sz w:val="21"/>
                      <w:szCs w:val="21"/>
                    </w:rPr>
                  </w:pPr>
                </w:p>
              </w:tc>
              <w:tc>
                <w:tcPr>
                  <w:tcW w:w="642" w:type="dxa"/>
                  <w:vMerge w:val="continue"/>
                  <w:tcBorders>
                    <w:tl2br w:val="nil"/>
                    <w:tr2bl w:val="nil"/>
                  </w:tcBorders>
                  <w:noWrap w:val="0"/>
                  <w:vAlign w:val="center"/>
                </w:tcPr>
                <w:p w14:paraId="741960B9">
                  <w:pPr>
                    <w:pStyle w:val="36"/>
                    <w:keepNext w:val="0"/>
                    <w:keepLines w:val="0"/>
                    <w:pageBreakBefore w:val="0"/>
                    <w:kinsoku/>
                    <w:overflowPunct/>
                    <w:bidi w:val="0"/>
                    <w:adjustRightInd/>
                    <w:snapToGrid/>
                    <w:ind w:left="0"/>
                    <w:rPr>
                      <w:rFonts w:hint="eastAsia"/>
                      <w:color w:val="auto"/>
                      <w:sz w:val="21"/>
                      <w:szCs w:val="21"/>
                      <w:lang w:val="en-US" w:eastAsia="zh-CN"/>
                    </w:rPr>
                  </w:pPr>
                </w:p>
              </w:tc>
              <w:tc>
                <w:tcPr>
                  <w:tcW w:w="1724" w:type="dxa"/>
                  <w:tcBorders>
                    <w:tl2br w:val="nil"/>
                    <w:tr2bl w:val="nil"/>
                  </w:tcBorders>
                  <w:noWrap w:val="0"/>
                  <w:vAlign w:val="center"/>
                </w:tcPr>
                <w:p w14:paraId="6D72337F">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废焊材</w:t>
                  </w:r>
                </w:p>
              </w:tc>
              <w:tc>
                <w:tcPr>
                  <w:tcW w:w="8457" w:type="dxa"/>
                  <w:tcBorders>
                    <w:tl2br w:val="nil"/>
                    <w:tr2bl w:val="nil"/>
                  </w:tcBorders>
                  <w:noWrap w:val="0"/>
                  <w:vAlign w:val="center"/>
                </w:tcPr>
                <w:p w14:paraId="77A079A0">
                  <w:pPr>
                    <w:pStyle w:val="36"/>
                    <w:keepNext w:val="0"/>
                    <w:keepLines w:val="0"/>
                    <w:pageBreakBefore w:val="0"/>
                    <w:kinsoku/>
                    <w:overflowPunct/>
                    <w:bidi w:val="0"/>
                    <w:adjustRightInd/>
                    <w:snapToGrid/>
                    <w:ind w:left="0"/>
                    <w:jc w:val="left"/>
                    <w:rPr>
                      <w:rFonts w:hint="default"/>
                      <w:color w:val="auto"/>
                      <w:sz w:val="21"/>
                      <w:szCs w:val="21"/>
                      <w:lang w:val="en-US" w:eastAsia="zh-CN"/>
                    </w:rPr>
                  </w:pPr>
                  <w:r>
                    <w:rPr>
                      <w:rFonts w:hint="eastAsia"/>
                      <w:color w:val="auto"/>
                      <w:sz w:val="21"/>
                      <w:szCs w:val="21"/>
                      <w:lang w:val="en-US" w:eastAsia="zh-CN"/>
                    </w:rPr>
                    <w:t>废焊材收集后交由物资部门回收</w:t>
                  </w:r>
                </w:p>
              </w:tc>
              <w:tc>
                <w:tcPr>
                  <w:tcW w:w="1001" w:type="dxa"/>
                  <w:vMerge w:val="continue"/>
                  <w:tcBorders>
                    <w:tl2br w:val="nil"/>
                    <w:tr2bl w:val="nil"/>
                  </w:tcBorders>
                  <w:noWrap w:val="0"/>
                  <w:vAlign w:val="center"/>
                </w:tcPr>
                <w:p w14:paraId="382EA4BE">
                  <w:pPr>
                    <w:pStyle w:val="36"/>
                    <w:keepNext w:val="0"/>
                    <w:keepLines w:val="0"/>
                    <w:pageBreakBefore w:val="0"/>
                    <w:kinsoku/>
                    <w:overflowPunct/>
                    <w:bidi w:val="0"/>
                    <w:adjustRightInd/>
                    <w:snapToGrid/>
                    <w:ind w:left="0"/>
                    <w:rPr>
                      <w:rFonts w:hint="eastAsia"/>
                      <w:color w:val="auto"/>
                      <w:sz w:val="21"/>
                      <w:szCs w:val="21"/>
                      <w:lang w:val="en-US" w:eastAsia="zh-CN"/>
                    </w:rPr>
                  </w:pPr>
                </w:p>
              </w:tc>
            </w:tr>
            <w:tr w14:paraId="2F49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7B4BE553">
                  <w:pPr>
                    <w:pStyle w:val="36"/>
                    <w:keepNext w:val="0"/>
                    <w:keepLines w:val="0"/>
                    <w:pageBreakBefore w:val="0"/>
                    <w:kinsoku/>
                    <w:overflowPunct/>
                    <w:bidi w:val="0"/>
                    <w:adjustRightInd/>
                    <w:snapToGrid/>
                    <w:ind w:left="0"/>
                    <w:rPr>
                      <w:color w:val="auto"/>
                      <w:sz w:val="21"/>
                      <w:szCs w:val="21"/>
                    </w:rPr>
                  </w:pPr>
                </w:p>
              </w:tc>
              <w:tc>
                <w:tcPr>
                  <w:tcW w:w="642" w:type="dxa"/>
                  <w:vMerge w:val="continue"/>
                  <w:tcBorders>
                    <w:tl2br w:val="nil"/>
                    <w:tr2bl w:val="nil"/>
                  </w:tcBorders>
                  <w:noWrap w:val="0"/>
                  <w:vAlign w:val="center"/>
                </w:tcPr>
                <w:p w14:paraId="79EBA4C1">
                  <w:pPr>
                    <w:pStyle w:val="36"/>
                    <w:keepNext w:val="0"/>
                    <w:keepLines w:val="0"/>
                    <w:pageBreakBefore w:val="0"/>
                    <w:kinsoku/>
                    <w:overflowPunct/>
                    <w:bidi w:val="0"/>
                    <w:adjustRightInd/>
                    <w:snapToGrid/>
                    <w:ind w:left="0"/>
                    <w:rPr>
                      <w:rFonts w:hint="eastAsia"/>
                      <w:color w:val="auto"/>
                      <w:sz w:val="21"/>
                      <w:szCs w:val="21"/>
                      <w:lang w:val="en-US" w:eastAsia="zh-CN"/>
                    </w:rPr>
                  </w:pPr>
                </w:p>
              </w:tc>
              <w:tc>
                <w:tcPr>
                  <w:tcW w:w="1724" w:type="dxa"/>
                  <w:tcBorders>
                    <w:tl2br w:val="nil"/>
                    <w:tr2bl w:val="nil"/>
                  </w:tcBorders>
                  <w:noWrap w:val="0"/>
                  <w:vAlign w:val="center"/>
                </w:tcPr>
                <w:p w14:paraId="6226923D">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生活垃圾</w:t>
                  </w:r>
                </w:p>
              </w:tc>
              <w:tc>
                <w:tcPr>
                  <w:tcW w:w="8457" w:type="dxa"/>
                  <w:tcBorders>
                    <w:tl2br w:val="nil"/>
                    <w:tr2bl w:val="nil"/>
                  </w:tcBorders>
                  <w:noWrap w:val="0"/>
                  <w:vAlign w:val="center"/>
                </w:tcPr>
                <w:p w14:paraId="7171264B">
                  <w:pPr>
                    <w:pStyle w:val="36"/>
                    <w:keepNext w:val="0"/>
                    <w:keepLines w:val="0"/>
                    <w:pageBreakBefore w:val="0"/>
                    <w:widowControl/>
                    <w:kinsoku/>
                    <w:wordWrap w:val="0"/>
                    <w:overflowPunct/>
                    <w:topLinePunct/>
                    <w:autoSpaceDE/>
                    <w:autoSpaceDN/>
                    <w:bidi w:val="0"/>
                    <w:adjustRightInd/>
                    <w:snapToGrid/>
                    <w:ind w:left="0"/>
                    <w:jc w:val="left"/>
                    <w:textAlignment w:val="auto"/>
                    <w:rPr>
                      <w:rFonts w:hint="default"/>
                      <w:color w:val="auto"/>
                      <w:sz w:val="21"/>
                      <w:szCs w:val="21"/>
                      <w:lang w:val="en-US" w:eastAsia="zh-CN"/>
                    </w:rPr>
                  </w:pPr>
                  <w:r>
                    <w:rPr>
                      <w:rFonts w:hint="eastAsia"/>
                      <w:color w:val="auto"/>
                      <w:sz w:val="21"/>
                      <w:szCs w:val="21"/>
                      <w:lang w:val="en-US" w:eastAsia="zh-CN"/>
                    </w:rPr>
                    <w:t>施工生活垃圾由环卫部门定期清运</w:t>
                  </w:r>
                </w:p>
              </w:tc>
              <w:tc>
                <w:tcPr>
                  <w:tcW w:w="1001" w:type="dxa"/>
                  <w:vMerge w:val="continue"/>
                  <w:tcBorders>
                    <w:tl2br w:val="nil"/>
                    <w:tr2bl w:val="nil"/>
                  </w:tcBorders>
                  <w:noWrap w:val="0"/>
                  <w:vAlign w:val="center"/>
                </w:tcPr>
                <w:p w14:paraId="683CF4AA">
                  <w:pPr>
                    <w:pStyle w:val="36"/>
                    <w:keepNext w:val="0"/>
                    <w:keepLines w:val="0"/>
                    <w:pageBreakBefore w:val="0"/>
                    <w:kinsoku/>
                    <w:overflowPunct/>
                    <w:bidi w:val="0"/>
                    <w:adjustRightInd/>
                    <w:snapToGrid/>
                    <w:ind w:left="0"/>
                    <w:rPr>
                      <w:rFonts w:hint="eastAsia"/>
                      <w:color w:val="auto"/>
                      <w:sz w:val="21"/>
                      <w:szCs w:val="21"/>
                      <w:lang w:val="en-US" w:eastAsia="zh-CN"/>
                    </w:rPr>
                  </w:pPr>
                </w:p>
              </w:tc>
            </w:tr>
            <w:tr w14:paraId="2B09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tcBorders>
                    <w:tl2br w:val="nil"/>
                    <w:tr2bl w:val="nil"/>
                  </w:tcBorders>
                  <w:noWrap w:val="0"/>
                  <w:vAlign w:val="center"/>
                </w:tcPr>
                <w:p w14:paraId="028985D7">
                  <w:pPr>
                    <w:pStyle w:val="36"/>
                    <w:keepNext w:val="0"/>
                    <w:keepLines w:val="0"/>
                    <w:pageBreakBefore w:val="0"/>
                    <w:kinsoku/>
                    <w:overflowPunct/>
                    <w:bidi w:val="0"/>
                    <w:adjustRightInd/>
                    <w:snapToGrid/>
                    <w:ind w:left="0"/>
                    <w:rPr>
                      <w:rFonts w:hint="default"/>
                      <w:color w:val="auto"/>
                      <w:sz w:val="21"/>
                      <w:szCs w:val="21"/>
                    </w:rPr>
                  </w:pPr>
                </w:p>
              </w:tc>
              <w:tc>
                <w:tcPr>
                  <w:tcW w:w="2366" w:type="dxa"/>
                  <w:gridSpan w:val="2"/>
                  <w:tcBorders>
                    <w:tl2br w:val="nil"/>
                    <w:tr2bl w:val="nil"/>
                  </w:tcBorders>
                  <w:noWrap w:val="0"/>
                  <w:vAlign w:val="center"/>
                </w:tcPr>
                <w:p w14:paraId="67960C19">
                  <w:pPr>
                    <w:pStyle w:val="36"/>
                    <w:keepNext w:val="0"/>
                    <w:keepLines w:val="0"/>
                    <w:pageBreakBefore w:val="0"/>
                    <w:kinsoku/>
                    <w:overflowPunct/>
                    <w:bidi w:val="0"/>
                    <w:adjustRightInd/>
                    <w:snapToGrid/>
                    <w:ind w:left="0"/>
                    <w:rPr>
                      <w:rFonts w:hint="default"/>
                      <w:color w:val="auto"/>
                      <w:sz w:val="21"/>
                      <w:szCs w:val="21"/>
                      <w:lang w:val="en-US" w:eastAsia="zh-CN"/>
                    </w:rPr>
                  </w:pPr>
                  <w:r>
                    <w:rPr>
                      <w:rFonts w:hint="default"/>
                      <w:color w:val="auto"/>
                      <w:sz w:val="21"/>
                      <w:szCs w:val="21"/>
                      <w:lang w:val="en-US" w:eastAsia="zh-CN"/>
                    </w:rPr>
                    <w:t>生态</w:t>
                  </w:r>
                </w:p>
              </w:tc>
              <w:tc>
                <w:tcPr>
                  <w:tcW w:w="8457" w:type="dxa"/>
                  <w:tcBorders>
                    <w:tl2br w:val="nil"/>
                    <w:tr2bl w:val="nil"/>
                  </w:tcBorders>
                  <w:noWrap w:val="0"/>
                  <w:vAlign w:val="center"/>
                </w:tcPr>
                <w:p w14:paraId="6ACC1282">
                  <w:pPr>
                    <w:pStyle w:val="36"/>
                    <w:keepNext w:val="0"/>
                    <w:keepLines w:val="0"/>
                    <w:pageBreakBefore w:val="0"/>
                    <w:widowControl/>
                    <w:kinsoku/>
                    <w:wordWrap w:val="0"/>
                    <w:overflowPunct/>
                    <w:topLinePunct/>
                    <w:autoSpaceDE/>
                    <w:autoSpaceDN/>
                    <w:bidi w:val="0"/>
                    <w:adjustRightInd/>
                    <w:snapToGrid/>
                    <w:ind w:left="0"/>
                    <w:jc w:val="left"/>
                    <w:textAlignment w:val="auto"/>
                    <w:rPr>
                      <w:rFonts w:hint="default"/>
                      <w:color w:val="auto"/>
                      <w:sz w:val="21"/>
                      <w:szCs w:val="21"/>
                      <w:lang w:val="en-US" w:eastAsia="zh-CN"/>
                    </w:rPr>
                  </w:pPr>
                  <w:r>
                    <w:rPr>
                      <w:rFonts w:hint="eastAsia"/>
                      <w:color w:val="auto"/>
                      <w:sz w:val="21"/>
                      <w:szCs w:val="21"/>
                      <w:lang w:val="en-US" w:eastAsia="zh-CN"/>
                    </w:rPr>
                    <w:t>过河段应避开雨季施工，对管网施工作业带临时堆土区表面采用塑料彩条布覆盖，尽快覆土恢复植被；施工期加强管理，文明施工，分期分区进行开挖和施工；分段式开挖、逐层回填、及时恢复地表原貌，恢复植被绿化；合理设置施工围挡；施工后及时合理绿化等减轻项目对周围生态环境的影响</w:t>
                  </w:r>
                  <w:r>
                    <w:rPr>
                      <w:rFonts w:hint="eastAsia"/>
                      <w:color w:val="auto"/>
                      <w:lang w:val="en-US" w:eastAsia="zh-CN"/>
                    </w:rPr>
                    <w:t>，施工过程加强管理，设置围挡、禁止固废、废水进入河流。</w:t>
                  </w:r>
                </w:p>
              </w:tc>
              <w:tc>
                <w:tcPr>
                  <w:tcW w:w="1001" w:type="dxa"/>
                  <w:tcBorders>
                    <w:tl2br w:val="nil"/>
                    <w:tr2bl w:val="nil"/>
                  </w:tcBorders>
                  <w:noWrap w:val="0"/>
                  <w:vAlign w:val="center"/>
                </w:tcPr>
                <w:p w14:paraId="4E06CB05">
                  <w:pPr>
                    <w:pStyle w:val="36"/>
                    <w:keepNext w:val="0"/>
                    <w:keepLines w:val="0"/>
                    <w:pageBreakBefore w:val="0"/>
                    <w:kinsoku/>
                    <w:overflowPunct/>
                    <w:bidi w:val="0"/>
                    <w:adjustRightInd/>
                    <w:snapToGrid/>
                    <w:ind w:left="0"/>
                    <w:rPr>
                      <w:rFonts w:hint="default"/>
                      <w:color w:val="auto"/>
                      <w:sz w:val="21"/>
                      <w:szCs w:val="21"/>
                      <w:lang w:val="en-US" w:eastAsia="zh-CN"/>
                    </w:rPr>
                  </w:pPr>
                  <w:r>
                    <w:rPr>
                      <w:rFonts w:hint="eastAsia"/>
                      <w:color w:val="auto"/>
                      <w:sz w:val="21"/>
                      <w:szCs w:val="21"/>
                      <w:lang w:val="en-US" w:eastAsia="zh-CN"/>
                    </w:rPr>
                    <w:t>新建</w:t>
                  </w:r>
                </w:p>
              </w:tc>
            </w:tr>
          </w:tbl>
          <w:p w14:paraId="48D1CC55">
            <w:pPr>
              <w:autoSpaceDE w:val="0"/>
              <w:autoSpaceDN w:val="0"/>
              <w:spacing w:line="460" w:lineRule="exact"/>
              <w:ind w:firstLine="0" w:firstLineChars="0"/>
              <w:jc w:val="center"/>
              <w:rPr>
                <w:rFonts w:hint="eastAsia" w:ascii="宋体" w:hAnsi="宋体" w:cs="宋体"/>
                <w:color w:val="auto"/>
                <w:kern w:val="0"/>
                <w:szCs w:val="21"/>
                <w:lang w:eastAsia="zh-CN"/>
              </w:rPr>
            </w:pPr>
          </w:p>
          <w:p w14:paraId="2A746D0F">
            <w:pPr>
              <w:autoSpaceDE w:val="0"/>
              <w:autoSpaceDN w:val="0"/>
              <w:spacing w:line="460" w:lineRule="exact"/>
              <w:ind w:firstLine="0" w:firstLineChars="0"/>
              <w:jc w:val="center"/>
              <w:rPr>
                <w:rFonts w:hint="eastAsia" w:ascii="宋体" w:hAnsi="宋体" w:cs="宋体"/>
                <w:color w:val="auto"/>
                <w:kern w:val="0"/>
                <w:szCs w:val="21"/>
                <w:lang w:eastAsia="zh-CN"/>
              </w:rPr>
            </w:pPr>
          </w:p>
          <w:p w14:paraId="07156898">
            <w:pPr>
              <w:autoSpaceDE w:val="0"/>
              <w:autoSpaceDN w:val="0"/>
              <w:spacing w:line="460" w:lineRule="exact"/>
              <w:ind w:firstLine="0" w:firstLineChars="0"/>
              <w:jc w:val="center"/>
              <w:rPr>
                <w:rFonts w:hint="eastAsia" w:ascii="宋体" w:hAnsi="宋体" w:cs="宋体"/>
                <w:color w:val="auto"/>
                <w:kern w:val="0"/>
                <w:szCs w:val="21"/>
                <w:lang w:eastAsia="zh-CN"/>
              </w:rPr>
            </w:pPr>
          </w:p>
          <w:p w14:paraId="5AA661C5">
            <w:pPr>
              <w:autoSpaceDE w:val="0"/>
              <w:autoSpaceDN w:val="0"/>
              <w:spacing w:line="460" w:lineRule="exact"/>
              <w:ind w:firstLine="0" w:firstLineChars="0"/>
              <w:jc w:val="center"/>
              <w:rPr>
                <w:rFonts w:hint="eastAsia" w:ascii="宋体" w:hAnsi="宋体" w:cs="宋体"/>
                <w:color w:val="auto"/>
                <w:kern w:val="0"/>
                <w:szCs w:val="21"/>
                <w:lang w:eastAsia="zh-CN"/>
              </w:rPr>
            </w:pPr>
          </w:p>
          <w:p w14:paraId="4B680ABC">
            <w:pPr>
              <w:autoSpaceDE w:val="0"/>
              <w:autoSpaceDN w:val="0"/>
              <w:spacing w:line="460" w:lineRule="exact"/>
              <w:ind w:firstLine="0" w:firstLineChars="0"/>
              <w:jc w:val="center"/>
              <w:rPr>
                <w:rFonts w:hint="eastAsia" w:ascii="宋体" w:hAnsi="宋体" w:cs="宋体"/>
                <w:color w:val="auto"/>
                <w:kern w:val="0"/>
                <w:szCs w:val="21"/>
                <w:lang w:eastAsia="zh-CN"/>
              </w:rPr>
            </w:pPr>
          </w:p>
          <w:p w14:paraId="008EB39F">
            <w:pPr>
              <w:autoSpaceDE w:val="0"/>
              <w:autoSpaceDN w:val="0"/>
              <w:spacing w:line="460" w:lineRule="exact"/>
              <w:ind w:firstLine="0" w:firstLineChars="0"/>
              <w:jc w:val="center"/>
              <w:rPr>
                <w:rFonts w:hint="eastAsia" w:ascii="宋体" w:hAnsi="宋体" w:cs="宋体"/>
                <w:color w:val="auto"/>
                <w:kern w:val="0"/>
                <w:szCs w:val="21"/>
                <w:lang w:eastAsia="zh-CN"/>
              </w:rPr>
            </w:pPr>
          </w:p>
          <w:p w14:paraId="2EE23FA5">
            <w:pPr>
              <w:autoSpaceDE w:val="0"/>
              <w:autoSpaceDN w:val="0"/>
              <w:spacing w:line="460" w:lineRule="exact"/>
              <w:ind w:firstLine="0" w:firstLineChars="0"/>
              <w:jc w:val="center"/>
              <w:rPr>
                <w:rFonts w:hint="eastAsia" w:ascii="宋体" w:hAnsi="宋体" w:cs="宋体"/>
                <w:color w:val="auto"/>
                <w:kern w:val="0"/>
                <w:szCs w:val="21"/>
                <w:lang w:eastAsia="zh-CN"/>
              </w:rPr>
            </w:pPr>
          </w:p>
          <w:p w14:paraId="384E4641">
            <w:pPr>
              <w:autoSpaceDE w:val="0"/>
              <w:autoSpaceDN w:val="0"/>
              <w:spacing w:line="460" w:lineRule="exact"/>
              <w:ind w:firstLine="0" w:firstLineChars="0"/>
              <w:jc w:val="both"/>
              <w:rPr>
                <w:rFonts w:hint="eastAsia" w:ascii="宋体" w:hAnsi="宋体" w:eastAsia="宋体" w:cs="宋体"/>
                <w:color w:val="auto"/>
                <w:kern w:val="0"/>
                <w:szCs w:val="21"/>
                <w:lang w:eastAsia="zh-CN"/>
              </w:rPr>
            </w:pPr>
          </w:p>
        </w:tc>
      </w:tr>
    </w:tbl>
    <w:p w14:paraId="237E834E">
      <w:pPr>
        <w:pStyle w:val="24"/>
        <w:spacing w:before="0" w:beforeAutospacing="0" w:after="0" w:afterAutospacing="0"/>
        <w:ind w:firstLine="0" w:firstLineChars="0"/>
        <w:jc w:val="center"/>
        <w:outlineLvl w:val="0"/>
        <w:rPr>
          <w:rFonts w:ascii="黑体" w:hAnsi="黑体" w:eastAsia="黑体"/>
          <w:snapToGrid w:val="0"/>
          <w:color w:val="auto"/>
          <w:sz w:val="30"/>
          <w:szCs w:val="30"/>
        </w:rPr>
        <w:sectPr>
          <w:pgSz w:w="16840" w:h="11907" w:orient="landscape"/>
          <w:pgMar w:top="1531" w:right="1701" w:bottom="1531" w:left="2127" w:header="851" w:footer="851" w:gutter="0"/>
          <w:pgNumType w:fmt="decimal"/>
          <w:cols w:space="720" w:num="1"/>
          <w:docGrid w:linePitch="312" w:charSpace="0"/>
        </w:sectPr>
      </w:pP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8"/>
        <w:gridCol w:w="8573"/>
      </w:tblGrid>
      <w:tr w14:paraId="29465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062" w:hRule="atLeast"/>
          <w:jc w:val="center"/>
        </w:trPr>
        <w:tc>
          <w:tcPr>
            <w:tcW w:w="478" w:type="dxa"/>
            <w:vAlign w:val="center"/>
          </w:tcPr>
          <w:p w14:paraId="39576B29">
            <w:pPr>
              <w:spacing w:line="240" w:lineRule="auto"/>
              <w:ind w:firstLine="0" w:firstLineChars="0"/>
              <w:jc w:val="center"/>
              <w:rPr>
                <w:rFonts w:ascii="宋体" w:hAnsi="宋体" w:cs="宋体"/>
                <w:color w:val="auto"/>
                <w:kern w:val="0"/>
                <w:szCs w:val="21"/>
              </w:rPr>
            </w:pPr>
          </w:p>
        </w:tc>
        <w:tc>
          <w:tcPr>
            <w:tcW w:w="8392" w:type="dxa"/>
            <w:vAlign w:val="center"/>
          </w:tcPr>
          <w:p w14:paraId="37964213">
            <w:pPr>
              <w:ind w:firstLine="0" w:firstLineChars="0"/>
              <w:rPr>
                <w:b/>
                <w:bCs/>
                <w:color w:val="auto"/>
              </w:rPr>
            </w:pPr>
            <w:r>
              <w:rPr>
                <w:rFonts w:hint="eastAsia"/>
                <w:b/>
                <w:bCs/>
                <w:color w:val="auto"/>
              </w:rPr>
              <w:t>4</w:t>
            </w:r>
            <w:r>
              <w:rPr>
                <w:b/>
                <w:bCs/>
                <w:color w:val="auto"/>
              </w:rPr>
              <w:t>、主要设备</w:t>
            </w:r>
          </w:p>
          <w:p w14:paraId="7B9DDCB1">
            <w:pPr>
              <w:ind w:firstLine="480"/>
              <w:rPr>
                <w:color w:val="auto"/>
              </w:rPr>
            </w:pPr>
            <w:r>
              <w:rPr>
                <w:color w:val="auto"/>
              </w:rPr>
              <w:t>主要生产设备详见</w:t>
            </w:r>
            <w:r>
              <w:rPr>
                <w:rFonts w:hint="eastAsia"/>
                <w:color w:val="auto"/>
              </w:rPr>
              <w:t>下表</w:t>
            </w:r>
            <w:r>
              <w:rPr>
                <w:color w:val="auto"/>
              </w:rPr>
              <w:t>。</w:t>
            </w:r>
          </w:p>
          <w:p w14:paraId="7C720912">
            <w:pPr>
              <w:spacing w:line="240" w:lineRule="auto"/>
              <w:ind w:firstLine="0" w:firstLineChars="0"/>
              <w:jc w:val="center"/>
              <w:rPr>
                <w:b/>
                <w:bCs/>
                <w:color w:val="auto"/>
              </w:rPr>
            </w:pPr>
            <w:r>
              <w:rPr>
                <w:b/>
                <w:bCs/>
                <w:color w:val="auto"/>
              </w:rPr>
              <w:t>表2-</w:t>
            </w:r>
            <w:r>
              <w:rPr>
                <w:rFonts w:hint="eastAsia"/>
                <w:b/>
                <w:bCs/>
                <w:color w:val="auto"/>
                <w:lang w:val="en-US" w:eastAsia="zh-CN"/>
              </w:rPr>
              <w:t>6</w:t>
            </w:r>
            <w:r>
              <w:rPr>
                <w:b/>
                <w:bCs/>
                <w:color w:val="auto"/>
              </w:rPr>
              <w:t xml:space="preserve">  </w:t>
            </w:r>
            <w:r>
              <w:rPr>
                <w:rFonts w:hint="eastAsia"/>
                <w:b/>
                <w:bCs/>
                <w:color w:val="auto"/>
                <w:lang w:val="en-US" w:eastAsia="zh-CN"/>
              </w:rPr>
              <w:t>能源站</w:t>
            </w:r>
            <w:r>
              <w:rPr>
                <w:b/>
                <w:bCs/>
                <w:color w:val="auto"/>
              </w:rPr>
              <w:t>主要设备</w:t>
            </w:r>
            <w:r>
              <w:rPr>
                <w:rFonts w:hint="eastAsia"/>
                <w:color w:val="auto"/>
              </w:rPr>
              <w:t xml:space="preserve">  </w:t>
            </w:r>
            <w:r>
              <w:rPr>
                <w:rFonts w:hint="eastAsia"/>
                <w:b/>
                <w:bCs/>
                <w:color w:val="auto"/>
              </w:rPr>
              <w:t>单位：台（套）</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1"/>
              <w:gridCol w:w="1450"/>
              <w:gridCol w:w="690"/>
              <w:gridCol w:w="5536"/>
            </w:tblGrid>
            <w:tr w14:paraId="3F972F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96" w:type="pct"/>
                  <w:noWrap/>
                  <w:vAlign w:val="center"/>
                </w:tcPr>
                <w:p w14:paraId="40ED2D8D">
                  <w:pPr>
                    <w:pStyle w:val="4"/>
                    <w:bidi w:val="0"/>
                    <w:rPr>
                      <w:rFonts w:hint="default" w:ascii="Times New Roman" w:hAnsi="Times New Roman" w:cs="Times New Roman"/>
                      <w:b/>
                      <w:bCs/>
                    </w:rPr>
                  </w:pPr>
                  <w:r>
                    <w:rPr>
                      <w:rFonts w:hint="default" w:ascii="Times New Roman" w:hAnsi="Times New Roman" w:cs="Times New Roman"/>
                      <w:b/>
                      <w:bCs/>
                    </w:rPr>
                    <w:t>序号</w:t>
                  </w:r>
                </w:p>
              </w:tc>
              <w:tc>
                <w:tcPr>
                  <w:tcW w:w="869" w:type="pct"/>
                  <w:noWrap/>
                  <w:vAlign w:val="center"/>
                </w:tcPr>
                <w:p w14:paraId="268914B2">
                  <w:pPr>
                    <w:pStyle w:val="4"/>
                    <w:bidi w:val="0"/>
                    <w:rPr>
                      <w:rFonts w:hint="default" w:ascii="Times New Roman" w:hAnsi="Times New Roman" w:cs="Times New Roman"/>
                      <w:b/>
                      <w:bCs/>
                    </w:rPr>
                  </w:pPr>
                  <w:r>
                    <w:rPr>
                      <w:rFonts w:hint="default" w:ascii="Times New Roman" w:hAnsi="Times New Roman" w:cs="Times New Roman"/>
                      <w:b/>
                      <w:bCs/>
                    </w:rPr>
                    <w:t>名称</w:t>
                  </w:r>
                </w:p>
              </w:tc>
              <w:tc>
                <w:tcPr>
                  <w:tcW w:w="413" w:type="pct"/>
                  <w:noWrap w:val="0"/>
                  <w:vAlign w:val="center"/>
                </w:tcPr>
                <w:p w14:paraId="45058414">
                  <w:pPr>
                    <w:pStyle w:val="4"/>
                    <w:bidi w:val="0"/>
                    <w:rPr>
                      <w:rFonts w:hint="default" w:ascii="Times New Roman" w:hAnsi="Times New Roman" w:cs="Times New Roman"/>
                      <w:b/>
                      <w:bCs/>
                    </w:rPr>
                  </w:pPr>
                  <w:r>
                    <w:rPr>
                      <w:rFonts w:hint="default" w:ascii="Times New Roman" w:hAnsi="Times New Roman" w:cs="Times New Roman"/>
                      <w:b/>
                      <w:bCs/>
                    </w:rPr>
                    <w:t>数量</w:t>
                  </w:r>
                </w:p>
              </w:tc>
              <w:tc>
                <w:tcPr>
                  <w:tcW w:w="3320" w:type="pct"/>
                  <w:noWrap w:val="0"/>
                  <w:vAlign w:val="center"/>
                </w:tcPr>
                <w:p w14:paraId="27A89A7A">
                  <w:pPr>
                    <w:pStyle w:val="4"/>
                    <w:bidi w:val="0"/>
                    <w:rPr>
                      <w:rFonts w:hint="default" w:ascii="Times New Roman" w:hAnsi="Times New Roman" w:cs="Times New Roman"/>
                      <w:b/>
                      <w:bCs/>
                    </w:rPr>
                  </w:pPr>
                  <w:r>
                    <w:rPr>
                      <w:rFonts w:hint="default" w:ascii="Times New Roman" w:hAnsi="Times New Roman" w:cs="Times New Roman"/>
                      <w:b/>
                      <w:bCs/>
                    </w:rPr>
                    <w:t>参数</w:t>
                  </w:r>
                </w:p>
              </w:tc>
            </w:tr>
            <w:tr w14:paraId="0E4DC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noWrap w:val="0"/>
                  <w:vAlign w:val="center"/>
                </w:tcPr>
                <w:p w14:paraId="1B6160E1">
                  <w:pPr>
                    <w:pStyle w:val="4"/>
                    <w:bidi w:val="0"/>
                    <w:rPr>
                      <w:rFonts w:hint="default" w:ascii="Times New Roman" w:hAnsi="Times New Roman" w:cs="Times New Roman"/>
                    </w:rPr>
                  </w:pPr>
                  <w:r>
                    <w:rPr>
                      <w:rFonts w:hint="default" w:ascii="Times New Roman" w:hAnsi="Times New Roman" w:cs="Times New Roman"/>
                    </w:rPr>
                    <w:t>1</w:t>
                  </w:r>
                </w:p>
              </w:tc>
              <w:tc>
                <w:tcPr>
                  <w:tcW w:w="869" w:type="pct"/>
                  <w:noWrap w:val="0"/>
                  <w:vAlign w:val="center"/>
                </w:tcPr>
                <w:p w14:paraId="26F6CA43">
                  <w:pPr>
                    <w:pStyle w:val="4"/>
                    <w:bidi w:val="0"/>
                    <w:rPr>
                      <w:rFonts w:hint="default" w:ascii="Times New Roman" w:hAnsi="Times New Roman" w:cs="Times New Roman"/>
                    </w:rPr>
                  </w:pPr>
                  <w:r>
                    <w:rPr>
                      <w:rFonts w:hint="default" w:ascii="Times New Roman" w:hAnsi="Times New Roman" w:cs="Times New Roman"/>
                    </w:rPr>
                    <w:t>低温级空气源热泵</w:t>
                  </w:r>
                </w:p>
              </w:tc>
              <w:tc>
                <w:tcPr>
                  <w:tcW w:w="413" w:type="pct"/>
                  <w:noWrap w:val="0"/>
                  <w:vAlign w:val="center"/>
                </w:tcPr>
                <w:p w14:paraId="69F93817">
                  <w:pPr>
                    <w:pStyle w:val="4"/>
                    <w:bidi w:val="0"/>
                    <w:rPr>
                      <w:rFonts w:hint="default" w:ascii="Times New Roman" w:hAnsi="Times New Roman" w:cs="Times New Roman"/>
                    </w:rPr>
                  </w:pPr>
                  <w:r>
                    <w:rPr>
                      <w:rFonts w:hint="default" w:ascii="Times New Roman" w:hAnsi="Times New Roman" w:cs="Times New Roman"/>
                    </w:rPr>
                    <w:t>100</w:t>
                  </w:r>
                </w:p>
              </w:tc>
              <w:tc>
                <w:tcPr>
                  <w:tcW w:w="3320" w:type="pct"/>
                  <w:noWrap w:val="0"/>
                  <w:vAlign w:val="center"/>
                </w:tcPr>
                <w:p w14:paraId="4C3EFC76">
                  <w:pPr>
                    <w:pStyle w:val="4"/>
                    <w:bidi w:val="0"/>
                    <w:rPr>
                      <w:rFonts w:hint="default" w:ascii="Times New Roman" w:hAnsi="Times New Roman" w:cs="Times New Roman"/>
                    </w:rPr>
                  </w:pPr>
                  <w:r>
                    <w:rPr>
                      <w:rFonts w:hint="eastAsia"/>
                      <w:color w:val="auto"/>
                      <w:sz w:val="24"/>
                      <w:szCs w:val="24"/>
                      <w:lang w:val="en-US" w:eastAsia="zh-CN"/>
                    </w:rPr>
                    <w:t>*</w:t>
                  </w:r>
                </w:p>
              </w:tc>
            </w:tr>
            <w:tr w14:paraId="281D1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noWrap w:val="0"/>
                  <w:vAlign w:val="center"/>
                </w:tcPr>
                <w:p w14:paraId="5008BD46">
                  <w:pPr>
                    <w:pStyle w:val="4"/>
                    <w:bidi w:val="0"/>
                    <w:rPr>
                      <w:rFonts w:hint="default" w:ascii="Times New Roman" w:hAnsi="Times New Roman" w:cs="Times New Roman"/>
                    </w:rPr>
                  </w:pPr>
                  <w:r>
                    <w:rPr>
                      <w:rFonts w:hint="default" w:ascii="Times New Roman" w:hAnsi="Times New Roman" w:cs="Times New Roman"/>
                    </w:rPr>
                    <w:t>2</w:t>
                  </w:r>
                </w:p>
              </w:tc>
              <w:tc>
                <w:tcPr>
                  <w:tcW w:w="869" w:type="pct"/>
                  <w:noWrap w:val="0"/>
                  <w:vAlign w:val="center"/>
                </w:tcPr>
                <w:p w14:paraId="13D3808E">
                  <w:pPr>
                    <w:pStyle w:val="4"/>
                    <w:bidi w:val="0"/>
                    <w:rPr>
                      <w:rFonts w:hint="default" w:ascii="Times New Roman" w:hAnsi="Times New Roman" w:cs="Times New Roman"/>
                    </w:rPr>
                  </w:pPr>
                  <w:r>
                    <w:rPr>
                      <w:rFonts w:hint="default" w:ascii="Times New Roman" w:hAnsi="Times New Roman" w:cs="Times New Roman"/>
                    </w:rPr>
                    <w:t>高温水源热泵</w:t>
                  </w:r>
                </w:p>
              </w:tc>
              <w:tc>
                <w:tcPr>
                  <w:tcW w:w="413" w:type="pct"/>
                  <w:noWrap w:val="0"/>
                  <w:vAlign w:val="center"/>
                </w:tcPr>
                <w:p w14:paraId="02130ABA">
                  <w:pPr>
                    <w:pStyle w:val="4"/>
                    <w:bidi w:val="0"/>
                    <w:rPr>
                      <w:rFonts w:hint="default" w:ascii="Times New Roman" w:hAnsi="Times New Roman" w:cs="Times New Roman"/>
                    </w:rPr>
                  </w:pPr>
                  <w:r>
                    <w:rPr>
                      <w:rFonts w:hint="default" w:ascii="Times New Roman" w:hAnsi="Times New Roman" w:cs="Times New Roman"/>
                    </w:rPr>
                    <w:t>10</w:t>
                  </w:r>
                </w:p>
              </w:tc>
              <w:tc>
                <w:tcPr>
                  <w:tcW w:w="3320" w:type="pct"/>
                  <w:noWrap w:val="0"/>
                  <w:vAlign w:val="center"/>
                </w:tcPr>
                <w:p w14:paraId="3571AFE9">
                  <w:pPr>
                    <w:bidi w:val="0"/>
                    <w:ind w:firstLine="480" w:firstLineChars="200"/>
                    <w:jc w:val="center"/>
                    <w:rPr>
                      <w:rFonts w:hint="default" w:ascii="Times New Roman" w:hAnsi="Times New Roman" w:eastAsia="宋体" w:cs="Times New Roman"/>
                      <w:lang w:val="en-US" w:eastAsia="zh-CN"/>
                    </w:rPr>
                  </w:pPr>
                  <w:r>
                    <w:rPr>
                      <w:rFonts w:hint="eastAsia"/>
                      <w:color w:val="auto"/>
                      <w:sz w:val="24"/>
                      <w:szCs w:val="24"/>
                      <w:lang w:val="en-US" w:eastAsia="zh-CN"/>
                    </w:rPr>
                    <w:t>*</w:t>
                  </w:r>
                </w:p>
              </w:tc>
            </w:tr>
            <w:tr w14:paraId="491AB6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shd w:val="clear" w:color="auto" w:fill="auto"/>
                  <w:noWrap w:val="0"/>
                  <w:vAlign w:val="center"/>
                </w:tcPr>
                <w:p w14:paraId="0F82C83B">
                  <w:pPr>
                    <w:pStyle w:val="4"/>
                    <w:bidi w:val="0"/>
                    <w:ind w:firstLine="0" w:firstLineChars="0"/>
                    <w:rPr>
                      <w:rFonts w:hint="default" w:ascii="Times New Roman" w:hAnsi="Times New Roman" w:eastAsia="宋体" w:cs="Times New Roman"/>
                      <w:kern w:val="44"/>
                      <w:sz w:val="21"/>
                      <w:szCs w:val="24"/>
                      <w:lang w:val="en-US" w:eastAsia="zh-CN" w:bidi="ar-SA"/>
                    </w:rPr>
                  </w:pPr>
                  <w:r>
                    <w:rPr>
                      <w:rFonts w:hint="default" w:ascii="Times New Roman" w:hAnsi="Times New Roman" w:cs="Times New Roman"/>
                    </w:rPr>
                    <w:t>3</w:t>
                  </w:r>
                </w:p>
              </w:tc>
              <w:tc>
                <w:tcPr>
                  <w:tcW w:w="869" w:type="pct"/>
                  <w:noWrap w:val="0"/>
                  <w:vAlign w:val="center"/>
                </w:tcPr>
                <w:p w14:paraId="76E8764A">
                  <w:pPr>
                    <w:pStyle w:val="4"/>
                    <w:bidi w:val="0"/>
                    <w:rPr>
                      <w:rFonts w:hint="default" w:ascii="Times New Roman" w:hAnsi="Times New Roman" w:eastAsia="宋体" w:cs="Times New Roman"/>
                      <w:lang w:val="en-US" w:eastAsia="zh-CN"/>
                    </w:rPr>
                  </w:pPr>
                  <w:r>
                    <w:rPr>
                      <w:rFonts w:hint="default" w:ascii="Times New Roman" w:hAnsi="Times New Roman" w:cs="Times New Roman"/>
                      <w:lang w:val="en-US" w:eastAsia="zh-CN"/>
                    </w:rPr>
                    <w:t>真空热水锅炉</w:t>
                  </w:r>
                </w:p>
              </w:tc>
              <w:tc>
                <w:tcPr>
                  <w:tcW w:w="413" w:type="pct"/>
                  <w:noWrap w:val="0"/>
                  <w:vAlign w:val="center"/>
                </w:tcPr>
                <w:p w14:paraId="266327AD">
                  <w:pPr>
                    <w:pStyle w:val="4"/>
                    <w:bidi w:val="0"/>
                    <w:rPr>
                      <w:rFonts w:hint="default" w:ascii="Times New Roman" w:hAnsi="Times New Roman" w:eastAsia="宋体" w:cs="Times New Roman"/>
                      <w:lang w:val="en-US" w:eastAsia="zh-CN"/>
                    </w:rPr>
                  </w:pPr>
                  <w:r>
                    <w:rPr>
                      <w:rFonts w:hint="default" w:ascii="Times New Roman" w:hAnsi="Times New Roman" w:cs="Times New Roman"/>
                      <w:lang w:val="en-US" w:eastAsia="zh-CN"/>
                    </w:rPr>
                    <w:t>4</w:t>
                  </w:r>
                </w:p>
              </w:tc>
              <w:tc>
                <w:tcPr>
                  <w:tcW w:w="3320" w:type="pct"/>
                  <w:noWrap w:val="0"/>
                  <w:vAlign w:val="center"/>
                </w:tcPr>
                <w:p w14:paraId="687334E0">
                  <w:pPr>
                    <w:bidi w:val="0"/>
                    <w:ind w:firstLine="480" w:firstLineChars="200"/>
                    <w:jc w:val="center"/>
                    <w:rPr>
                      <w:rFonts w:hint="default" w:ascii="Times New Roman" w:hAnsi="Times New Roman" w:eastAsia="宋体" w:cs="Times New Roman"/>
                      <w:lang w:val="en-US" w:eastAsia="zh-CN"/>
                    </w:rPr>
                  </w:pPr>
                  <w:r>
                    <w:rPr>
                      <w:rFonts w:hint="eastAsia"/>
                      <w:color w:val="auto"/>
                      <w:sz w:val="24"/>
                      <w:szCs w:val="24"/>
                      <w:lang w:val="en-US" w:eastAsia="zh-CN"/>
                    </w:rPr>
                    <w:t>*</w:t>
                  </w:r>
                </w:p>
              </w:tc>
            </w:tr>
            <w:tr w14:paraId="2D005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shd w:val="clear" w:color="auto" w:fill="auto"/>
                  <w:noWrap w:val="0"/>
                  <w:vAlign w:val="center"/>
                </w:tcPr>
                <w:p w14:paraId="461C7ACB">
                  <w:pPr>
                    <w:pStyle w:val="4"/>
                    <w:bidi w:val="0"/>
                    <w:ind w:firstLine="0" w:firstLineChars="0"/>
                    <w:rPr>
                      <w:rFonts w:hint="default" w:ascii="Times New Roman" w:hAnsi="Times New Roman" w:eastAsia="宋体" w:cs="Times New Roman"/>
                      <w:kern w:val="44"/>
                      <w:sz w:val="21"/>
                      <w:szCs w:val="24"/>
                      <w:lang w:val="en-US" w:eastAsia="zh-CN" w:bidi="ar-SA"/>
                    </w:rPr>
                  </w:pPr>
                  <w:r>
                    <w:rPr>
                      <w:rFonts w:hint="default" w:ascii="Times New Roman" w:hAnsi="Times New Roman" w:cs="Times New Roman"/>
                    </w:rPr>
                    <w:t>4</w:t>
                  </w:r>
                </w:p>
              </w:tc>
              <w:tc>
                <w:tcPr>
                  <w:tcW w:w="869" w:type="pct"/>
                  <w:noWrap w:val="0"/>
                  <w:vAlign w:val="center"/>
                </w:tcPr>
                <w:p w14:paraId="6E7BA41B">
                  <w:pPr>
                    <w:pStyle w:val="4"/>
                    <w:bidi w:val="0"/>
                    <w:rPr>
                      <w:rFonts w:hint="default" w:ascii="Times New Roman" w:hAnsi="Times New Roman" w:eastAsia="宋体" w:cs="Times New Roman"/>
                      <w:lang w:val="en-US" w:eastAsia="zh-CN"/>
                    </w:rPr>
                  </w:pPr>
                  <w:r>
                    <w:rPr>
                      <w:rFonts w:hint="default" w:ascii="Times New Roman" w:hAnsi="Times New Roman" w:cs="Times New Roman"/>
                      <w:lang w:val="en-US" w:eastAsia="zh-CN"/>
                    </w:rPr>
                    <w:t>全自动</w:t>
                  </w:r>
                  <w:r>
                    <w:rPr>
                      <w:rFonts w:hint="eastAsia" w:cs="Times New Roman"/>
                      <w:lang w:val="en-US" w:eastAsia="zh-CN"/>
                    </w:rPr>
                    <w:t>软水处理装置</w:t>
                  </w:r>
                </w:p>
              </w:tc>
              <w:tc>
                <w:tcPr>
                  <w:tcW w:w="413" w:type="pct"/>
                  <w:noWrap w:val="0"/>
                  <w:vAlign w:val="center"/>
                </w:tcPr>
                <w:p w14:paraId="6DD67112">
                  <w:pPr>
                    <w:pStyle w:val="4"/>
                    <w:bidi w:val="0"/>
                    <w:rPr>
                      <w:rFonts w:hint="default" w:ascii="Times New Roman" w:hAnsi="Times New Roman" w:cs="Times New Roman"/>
                    </w:rPr>
                  </w:pPr>
                  <w:r>
                    <w:rPr>
                      <w:rFonts w:hint="default" w:ascii="Times New Roman" w:hAnsi="Times New Roman" w:cs="Times New Roman"/>
                    </w:rPr>
                    <w:t>3</w:t>
                  </w:r>
                </w:p>
              </w:tc>
              <w:tc>
                <w:tcPr>
                  <w:tcW w:w="3320" w:type="pct"/>
                  <w:noWrap w:val="0"/>
                  <w:vAlign w:val="center"/>
                </w:tcPr>
                <w:p w14:paraId="41BE9740">
                  <w:pPr>
                    <w:spacing w:line="240" w:lineRule="auto"/>
                    <w:ind w:firstLine="480" w:firstLineChars="200"/>
                    <w:jc w:val="center"/>
                    <w:rPr>
                      <w:rFonts w:hint="default" w:ascii="Times New Roman" w:hAnsi="Times New Roman" w:eastAsia="宋体" w:cs="Times New Roman"/>
                      <w:lang w:val="en-US" w:eastAsia="zh-CN"/>
                    </w:rPr>
                  </w:pPr>
                  <w:r>
                    <w:rPr>
                      <w:rFonts w:hint="eastAsia"/>
                      <w:color w:val="auto"/>
                      <w:sz w:val="24"/>
                      <w:szCs w:val="24"/>
                      <w:lang w:val="en-US" w:eastAsia="zh-CN"/>
                    </w:rPr>
                    <w:t>*</w:t>
                  </w:r>
                </w:p>
              </w:tc>
            </w:tr>
            <w:tr w14:paraId="00CB5E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shd w:val="clear" w:color="auto" w:fill="auto"/>
                  <w:noWrap w:val="0"/>
                  <w:vAlign w:val="center"/>
                </w:tcPr>
                <w:p w14:paraId="37ABB1B3">
                  <w:pPr>
                    <w:pStyle w:val="4"/>
                    <w:bidi w:val="0"/>
                    <w:ind w:firstLine="0" w:firstLineChars="0"/>
                    <w:rPr>
                      <w:rFonts w:hint="default" w:ascii="Times New Roman" w:hAnsi="Times New Roman" w:eastAsia="宋体" w:cs="Times New Roman"/>
                      <w:kern w:val="44"/>
                      <w:sz w:val="21"/>
                      <w:szCs w:val="24"/>
                      <w:lang w:val="en-US" w:eastAsia="zh-CN" w:bidi="ar-SA"/>
                    </w:rPr>
                  </w:pPr>
                  <w:r>
                    <w:rPr>
                      <w:rFonts w:hint="default" w:ascii="Times New Roman" w:hAnsi="Times New Roman" w:cs="Times New Roman"/>
                    </w:rPr>
                    <w:t>5</w:t>
                  </w:r>
                </w:p>
              </w:tc>
              <w:tc>
                <w:tcPr>
                  <w:tcW w:w="869" w:type="pct"/>
                  <w:noWrap w:val="0"/>
                  <w:vAlign w:val="center"/>
                </w:tcPr>
                <w:p w14:paraId="57CDD479">
                  <w:pPr>
                    <w:pStyle w:val="4"/>
                    <w:bidi w:val="0"/>
                    <w:rPr>
                      <w:rFonts w:hint="default" w:ascii="Times New Roman" w:hAnsi="Times New Roman" w:eastAsia="宋体" w:cs="Times New Roman"/>
                      <w:lang w:val="en-US" w:eastAsia="zh-CN"/>
                    </w:rPr>
                  </w:pPr>
                  <w:r>
                    <w:rPr>
                      <w:rFonts w:hint="default" w:ascii="Times New Roman" w:hAnsi="Times New Roman" w:cs="Times New Roman"/>
                      <w:lang w:val="en-US" w:eastAsia="zh-CN"/>
                    </w:rPr>
                    <w:t>补水泵</w:t>
                  </w:r>
                </w:p>
              </w:tc>
              <w:tc>
                <w:tcPr>
                  <w:tcW w:w="413" w:type="pct"/>
                  <w:noWrap w:val="0"/>
                  <w:vAlign w:val="center"/>
                </w:tcPr>
                <w:p w14:paraId="3C30C2F3">
                  <w:pPr>
                    <w:pStyle w:val="4"/>
                    <w:bidi w:val="0"/>
                    <w:rPr>
                      <w:rFonts w:hint="default" w:ascii="Times New Roman" w:hAnsi="Times New Roman" w:eastAsia="宋体" w:cs="Times New Roman"/>
                      <w:lang w:eastAsia="zh-CN"/>
                    </w:rPr>
                  </w:pPr>
                  <w:r>
                    <w:rPr>
                      <w:rFonts w:hint="default" w:ascii="Times New Roman" w:hAnsi="Times New Roman" w:cs="Times New Roman"/>
                      <w:lang w:val="en-US" w:eastAsia="zh-CN"/>
                    </w:rPr>
                    <w:t>8</w:t>
                  </w:r>
                </w:p>
              </w:tc>
              <w:tc>
                <w:tcPr>
                  <w:tcW w:w="3320" w:type="pct"/>
                  <w:noWrap w:val="0"/>
                  <w:vAlign w:val="center"/>
                </w:tcPr>
                <w:p w14:paraId="37B39034">
                  <w:pPr>
                    <w:bidi w:val="0"/>
                    <w:ind w:firstLine="480" w:firstLineChars="200"/>
                    <w:jc w:val="center"/>
                    <w:rPr>
                      <w:rFonts w:hint="default" w:ascii="Times New Roman" w:hAnsi="Times New Roman" w:eastAsia="宋体" w:cs="Times New Roman"/>
                      <w:lang w:val="en-US" w:eastAsia="zh-CN"/>
                    </w:rPr>
                  </w:pPr>
                  <w:r>
                    <w:rPr>
                      <w:rFonts w:hint="eastAsia"/>
                      <w:color w:val="auto"/>
                      <w:sz w:val="24"/>
                      <w:szCs w:val="24"/>
                      <w:lang w:val="en-US" w:eastAsia="zh-CN"/>
                    </w:rPr>
                    <w:t>*</w:t>
                  </w:r>
                </w:p>
              </w:tc>
            </w:tr>
            <w:tr w14:paraId="51643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shd w:val="clear" w:color="auto" w:fill="auto"/>
                  <w:noWrap w:val="0"/>
                  <w:vAlign w:val="center"/>
                </w:tcPr>
                <w:p w14:paraId="4BEC7306">
                  <w:pPr>
                    <w:pStyle w:val="4"/>
                    <w:bidi w:val="0"/>
                    <w:ind w:firstLine="0" w:firstLineChars="0"/>
                    <w:rPr>
                      <w:rFonts w:hint="default" w:ascii="Times New Roman" w:hAnsi="Times New Roman" w:eastAsia="宋体" w:cs="Times New Roman"/>
                      <w:kern w:val="44"/>
                      <w:sz w:val="21"/>
                      <w:szCs w:val="24"/>
                      <w:lang w:val="en-US" w:eastAsia="zh-CN" w:bidi="ar-SA"/>
                    </w:rPr>
                  </w:pPr>
                  <w:r>
                    <w:rPr>
                      <w:rFonts w:hint="default" w:ascii="Times New Roman" w:hAnsi="Times New Roman" w:cs="Times New Roman"/>
                    </w:rPr>
                    <w:t>6</w:t>
                  </w:r>
                </w:p>
              </w:tc>
              <w:tc>
                <w:tcPr>
                  <w:tcW w:w="869" w:type="pct"/>
                  <w:noWrap w:val="0"/>
                  <w:vAlign w:val="center"/>
                </w:tcPr>
                <w:p w14:paraId="1AB8A6CB">
                  <w:pPr>
                    <w:pStyle w:val="4"/>
                    <w:bidi w:val="0"/>
                    <w:rPr>
                      <w:rFonts w:hint="default" w:ascii="Times New Roman" w:hAnsi="Times New Roman" w:cs="Times New Roman"/>
                    </w:rPr>
                  </w:pPr>
                  <w:r>
                    <w:rPr>
                      <w:rFonts w:hint="default" w:ascii="Times New Roman" w:hAnsi="Times New Roman" w:cs="Times New Roman"/>
                    </w:rPr>
                    <w:t>循环水泵</w:t>
                  </w:r>
                </w:p>
              </w:tc>
              <w:tc>
                <w:tcPr>
                  <w:tcW w:w="413" w:type="pct"/>
                  <w:noWrap w:val="0"/>
                  <w:vAlign w:val="center"/>
                </w:tcPr>
                <w:p w14:paraId="4AF55EDE">
                  <w:pPr>
                    <w:pStyle w:val="4"/>
                    <w:bidi w:val="0"/>
                    <w:rPr>
                      <w:rFonts w:hint="default" w:ascii="Times New Roman" w:hAnsi="Times New Roman" w:eastAsia="宋体" w:cs="Times New Roman"/>
                      <w:lang w:eastAsia="zh-CN"/>
                    </w:rPr>
                  </w:pPr>
                  <w:r>
                    <w:rPr>
                      <w:rFonts w:hint="default" w:ascii="Times New Roman" w:hAnsi="Times New Roman" w:cs="Times New Roman"/>
                      <w:lang w:val="en-US" w:eastAsia="zh-CN"/>
                    </w:rPr>
                    <w:t>6</w:t>
                  </w:r>
                </w:p>
              </w:tc>
              <w:tc>
                <w:tcPr>
                  <w:tcW w:w="3320" w:type="pct"/>
                  <w:noWrap w:val="0"/>
                  <w:vAlign w:val="center"/>
                </w:tcPr>
                <w:p w14:paraId="5736489F">
                  <w:pPr>
                    <w:bidi w:val="0"/>
                    <w:ind w:firstLine="480" w:firstLineChars="200"/>
                    <w:jc w:val="center"/>
                    <w:rPr>
                      <w:rFonts w:hint="default" w:ascii="Times New Roman" w:hAnsi="Times New Roman" w:cs="Times New Roman"/>
                    </w:rPr>
                  </w:pPr>
                  <w:r>
                    <w:rPr>
                      <w:rFonts w:hint="eastAsia"/>
                      <w:color w:val="auto"/>
                      <w:sz w:val="24"/>
                      <w:szCs w:val="24"/>
                      <w:lang w:val="en-US" w:eastAsia="zh-CN"/>
                    </w:rPr>
                    <w:t>*</w:t>
                  </w:r>
                </w:p>
              </w:tc>
            </w:tr>
            <w:tr w14:paraId="222F82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shd w:val="clear" w:color="auto" w:fill="auto"/>
                  <w:noWrap w:val="0"/>
                  <w:vAlign w:val="center"/>
                </w:tcPr>
                <w:p w14:paraId="37E60260">
                  <w:pPr>
                    <w:pStyle w:val="4"/>
                    <w:bidi w:val="0"/>
                    <w:ind w:firstLine="0" w:firstLineChars="0"/>
                    <w:rPr>
                      <w:rFonts w:hint="default" w:ascii="Times New Roman" w:hAnsi="Times New Roman" w:eastAsia="宋体" w:cs="Times New Roman"/>
                      <w:kern w:val="44"/>
                      <w:sz w:val="21"/>
                      <w:szCs w:val="24"/>
                      <w:lang w:val="en-US" w:eastAsia="zh-CN" w:bidi="ar-SA"/>
                    </w:rPr>
                  </w:pPr>
                  <w:r>
                    <w:rPr>
                      <w:rFonts w:hint="default" w:ascii="Times New Roman" w:hAnsi="Times New Roman" w:cs="Times New Roman"/>
                    </w:rPr>
                    <w:t>7</w:t>
                  </w:r>
                </w:p>
              </w:tc>
              <w:tc>
                <w:tcPr>
                  <w:tcW w:w="869" w:type="pct"/>
                  <w:noWrap w:val="0"/>
                  <w:vAlign w:val="center"/>
                </w:tcPr>
                <w:p w14:paraId="23D05455">
                  <w:pPr>
                    <w:pStyle w:val="4"/>
                    <w:bidi w:val="0"/>
                    <w:rPr>
                      <w:rFonts w:hint="default" w:ascii="Times New Roman" w:hAnsi="Times New Roman" w:eastAsia="宋体" w:cs="Times New Roman"/>
                      <w:lang w:val="en-US" w:eastAsia="zh-CN"/>
                    </w:rPr>
                  </w:pPr>
                  <w:r>
                    <w:rPr>
                      <w:rFonts w:hint="default" w:ascii="Times New Roman" w:hAnsi="Times New Roman" w:cs="Times New Roman"/>
                      <w:lang w:val="en-US" w:eastAsia="zh-CN"/>
                    </w:rPr>
                    <w:t>冷却系统</w:t>
                  </w:r>
                </w:p>
              </w:tc>
              <w:tc>
                <w:tcPr>
                  <w:tcW w:w="413" w:type="pct"/>
                  <w:noWrap w:val="0"/>
                  <w:vAlign w:val="center"/>
                </w:tcPr>
                <w:p w14:paraId="6D692E63">
                  <w:pPr>
                    <w:pStyle w:val="4"/>
                    <w:bidi w:val="0"/>
                    <w:rPr>
                      <w:rFonts w:hint="default" w:ascii="Times New Roman" w:hAnsi="Times New Roman" w:eastAsia="宋体" w:cs="Times New Roman"/>
                      <w:lang w:eastAsia="zh-CN"/>
                    </w:rPr>
                  </w:pPr>
                  <w:r>
                    <w:rPr>
                      <w:rFonts w:hint="default" w:ascii="Times New Roman" w:hAnsi="Times New Roman" w:cs="Times New Roman"/>
                      <w:lang w:val="en-US" w:eastAsia="zh-CN"/>
                    </w:rPr>
                    <w:t>6</w:t>
                  </w:r>
                </w:p>
              </w:tc>
              <w:tc>
                <w:tcPr>
                  <w:tcW w:w="3320" w:type="pct"/>
                  <w:noWrap w:val="0"/>
                  <w:vAlign w:val="center"/>
                </w:tcPr>
                <w:p w14:paraId="572466F5">
                  <w:pPr>
                    <w:bidi w:val="0"/>
                    <w:ind w:firstLine="480" w:firstLineChars="200"/>
                    <w:jc w:val="center"/>
                    <w:rPr>
                      <w:rFonts w:hint="default" w:ascii="Times New Roman" w:hAnsi="Times New Roman" w:eastAsia="宋体" w:cs="Times New Roman"/>
                      <w:lang w:val="en-US" w:eastAsia="zh-CN"/>
                    </w:rPr>
                  </w:pPr>
                  <w:r>
                    <w:rPr>
                      <w:rFonts w:hint="eastAsia"/>
                      <w:color w:val="auto"/>
                      <w:sz w:val="24"/>
                      <w:szCs w:val="24"/>
                      <w:lang w:val="en-US" w:eastAsia="zh-CN"/>
                    </w:rPr>
                    <w:t>*</w:t>
                  </w:r>
                </w:p>
              </w:tc>
            </w:tr>
            <w:tr w14:paraId="385415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noWrap w:val="0"/>
                  <w:vAlign w:val="center"/>
                </w:tcPr>
                <w:p w14:paraId="5BDB0829">
                  <w:pPr>
                    <w:pStyle w:val="4"/>
                    <w:bidi w:val="0"/>
                    <w:rPr>
                      <w:rFonts w:hint="eastAsia" w:ascii="Times New Roman" w:hAnsi="Times New Roman" w:eastAsia="宋体" w:cs="Times New Roman"/>
                      <w:lang w:val="en-US" w:eastAsia="zh-CN"/>
                    </w:rPr>
                  </w:pPr>
                  <w:r>
                    <w:rPr>
                      <w:rFonts w:hint="eastAsia" w:cs="Times New Roman"/>
                      <w:lang w:val="en-US" w:eastAsia="zh-CN"/>
                    </w:rPr>
                    <w:t>8</w:t>
                  </w:r>
                </w:p>
              </w:tc>
              <w:tc>
                <w:tcPr>
                  <w:tcW w:w="869" w:type="pct"/>
                  <w:noWrap w:val="0"/>
                  <w:vAlign w:val="center"/>
                </w:tcPr>
                <w:p w14:paraId="0F898BCC">
                  <w:pPr>
                    <w:pStyle w:val="4"/>
                    <w:bidi w:val="0"/>
                    <w:rPr>
                      <w:rFonts w:hint="default" w:ascii="Times New Roman" w:hAnsi="Times New Roman" w:cs="Times New Roman"/>
                    </w:rPr>
                  </w:pPr>
                  <w:r>
                    <w:rPr>
                      <w:rFonts w:hint="default" w:ascii="Times New Roman" w:hAnsi="Times New Roman" w:cs="Times New Roman"/>
                    </w:rPr>
                    <w:t>气化机组</w:t>
                  </w:r>
                </w:p>
              </w:tc>
              <w:tc>
                <w:tcPr>
                  <w:tcW w:w="413" w:type="pct"/>
                  <w:noWrap w:val="0"/>
                  <w:vAlign w:val="center"/>
                </w:tcPr>
                <w:p w14:paraId="048A58BD">
                  <w:pPr>
                    <w:pStyle w:val="4"/>
                    <w:bidi w:val="0"/>
                    <w:rPr>
                      <w:rFonts w:hint="default" w:ascii="Times New Roman" w:hAnsi="Times New Roman" w:eastAsia="宋体" w:cs="Times New Roman"/>
                      <w:lang w:eastAsia="zh-CN"/>
                    </w:rPr>
                  </w:pPr>
                  <w:r>
                    <w:rPr>
                      <w:rFonts w:hint="default" w:ascii="Times New Roman" w:hAnsi="Times New Roman" w:cs="Times New Roman"/>
                      <w:lang w:val="en-US" w:eastAsia="zh-CN"/>
                    </w:rPr>
                    <w:t>5</w:t>
                  </w:r>
                </w:p>
              </w:tc>
              <w:tc>
                <w:tcPr>
                  <w:tcW w:w="3320" w:type="pct"/>
                  <w:noWrap w:val="0"/>
                  <w:vAlign w:val="center"/>
                </w:tcPr>
                <w:p w14:paraId="44C4C299">
                  <w:pPr>
                    <w:bidi w:val="0"/>
                    <w:ind w:firstLine="480" w:firstLineChars="200"/>
                    <w:jc w:val="center"/>
                    <w:rPr>
                      <w:rFonts w:hint="default" w:ascii="Times New Roman" w:hAnsi="Times New Roman" w:cs="Times New Roman"/>
                    </w:rPr>
                  </w:pPr>
                  <w:r>
                    <w:rPr>
                      <w:rFonts w:hint="eastAsia"/>
                      <w:color w:val="auto"/>
                      <w:sz w:val="24"/>
                      <w:szCs w:val="24"/>
                      <w:lang w:val="en-US" w:eastAsia="zh-CN"/>
                    </w:rPr>
                    <w:t>*</w:t>
                  </w:r>
                </w:p>
              </w:tc>
            </w:tr>
            <w:tr w14:paraId="1A6FD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6" w:type="pct"/>
                  <w:noWrap w:val="0"/>
                  <w:vAlign w:val="center"/>
                </w:tcPr>
                <w:p w14:paraId="29021092">
                  <w:pPr>
                    <w:pStyle w:val="4"/>
                    <w:bidi w:val="0"/>
                    <w:rPr>
                      <w:rFonts w:hint="default" w:cs="Times New Roman"/>
                      <w:lang w:val="en-US" w:eastAsia="zh-CN"/>
                    </w:rPr>
                  </w:pPr>
                  <w:r>
                    <w:rPr>
                      <w:rFonts w:hint="eastAsia" w:cs="Times New Roman"/>
                      <w:lang w:val="en-US" w:eastAsia="zh-CN"/>
                    </w:rPr>
                    <w:t>9</w:t>
                  </w:r>
                </w:p>
              </w:tc>
              <w:tc>
                <w:tcPr>
                  <w:tcW w:w="869" w:type="pct"/>
                  <w:noWrap w:val="0"/>
                  <w:vAlign w:val="center"/>
                </w:tcPr>
                <w:p w14:paraId="78442085">
                  <w:pPr>
                    <w:pStyle w:val="4"/>
                    <w:bidi w:val="0"/>
                    <w:rPr>
                      <w:rFonts w:hint="default" w:ascii="Times New Roman" w:hAnsi="Times New Roman" w:eastAsia="宋体" w:cs="Times New Roman"/>
                      <w:lang w:val="en-US" w:eastAsia="zh-CN"/>
                    </w:rPr>
                  </w:pPr>
                  <w:r>
                    <w:rPr>
                      <w:rFonts w:hint="eastAsia" w:cs="Times New Roman"/>
                      <w:lang w:val="en-US" w:eastAsia="zh-CN"/>
                    </w:rPr>
                    <w:t>地埋式储罐</w:t>
                  </w:r>
                </w:p>
              </w:tc>
              <w:tc>
                <w:tcPr>
                  <w:tcW w:w="413" w:type="pct"/>
                  <w:noWrap w:val="0"/>
                  <w:vAlign w:val="center"/>
                </w:tcPr>
                <w:p w14:paraId="0458D7C3">
                  <w:pPr>
                    <w:pStyle w:val="4"/>
                    <w:bidi w:val="0"/>
                    <w:rPr>
                      <w:rFonts w:hint="default" w:ascii="Times New Roman" w:hAnsi="Times New Roman" w:cs="Times New Roman"/>
                      <w:lang w:val="en-US" w:eastAsia="zh-CN"/>
                    </w:rPr>
                  </w:pPr>
                  <w:r>
                    <w:rPr>
                      <w:rFonts w:hint="eastAsia" w:cs="Times New Roman"/>
                      <w:lang w:val="en-US" w:eastAsia="zh-CN"/>
                    </w:rPr>
                    <w:t>1</w:t>
                  </w:r>
                </w:p>
              </w:tc>
              <w:tc>
                <w:tcPr>
                  <w:tcW w:w="3320" w:type="pct"/>
                  <w:noWrap w:val="0"/>
                  <w:vAlign w:val="center"/>
                </w:tcPr>
                <w:p w14:paraId="156407F8">
                  <w:pPr>
                    <w:bidi w:val="0"/>
                    <w:ind w:firstLine="480" w:firstLineChars="200"/>
                    <w:jc w:val="center"/>
                    <w:rPr>
                      <w:rFonts w:hint="default" w:ascii="Times New Roman" w:hAnsi="Times New Roman" w:eastAsia="宋体" w:cs="Times New Roman"/>
                      <w:lang w:val="en-US" w:eastAsia="zh-CN"/>
                    </w:rPr>
                  </w:pPr>
                  <w:r>
                    <w:rPr>
                      <w:rFonts w:hint="eastAsia"/>
                      <w:color w:val="auto"/>
                      <w:sz w:val="24"/>
                      <w:szCs w:val="24"/>
                      <w:lang w:val="en-US" w:eastAsia="zh-CN"/>
                    </w:rPr>
                    <w:t>*</w:t>
                  </w:r>
                </w:p>
              </w:tc>
            </w:tr>
          </w:tbl>
          <w:p w14:paraId="11517852">
            <w:pPr>
              <w:numPr>
                <w:ilvl w:val="0"/>
                <w:numId w:val="0"/>
              </w:numPr>
              <w:spacing w:line="240" w:lineRule="auto"/>
              <w:jc w:val="center"/>
              <w:rPr>
                <w:rFonts w:hint="eastAsia"/>
                <w:b/>
                <w:bCs/>
                <w:color w:val="auto"/>
                <w:lang w:val="en-US" w:eastAsia="zh-CN"/>
              </w:rPr>
            </w:pPr>
            <w:r>
              <w:rPr>
                <w:rFonts w:hint="eastAsia"/>
                <w:b/>
                <w:bCs/>
                <w:color w:val="auto"/>
                <w:lang w:val="en-US" w:eastAsia="zh-CN"/>
              </w:rPr>
              <w:t>表2-7  管网铺设主要设备</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4"/>
              <w:gridCol w:w="2218"/>
              <w:gridCol w:w="1805"/>
              <w:gridCol w:w="712"/>
              <w:gridCol w:w="912"/>
              <w:gridCol w:w="1866"/>
            </w:tblGrid>
            <w:tr w14:paraId="5316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534873DB">
                  <w:pPr>
                    <w:pStyle w:val="36"/>
                    <w:keepNext w:val="0"/>
                    <w:keepLines w:val="0"/>
                    <w:pageBreakBefore w:val="0"/>
                    <w:kinsoku/>
                    <w:overflowPunct/>
                    <w:bidi w:val="0"/>
                    <w:adjustRightInd/>
                    <w:snapToGrid/>
                    <w:ind w:left="0"/>
                    <w:jc w:val="center"/>
                    <w:rPr>
                      <w:b/>
                      <w:bCs/>
                      <w:color w:val="auto"/>
                      <w:sz w:val="21"/>
                      <w:szCs w:val="21"/>
                    </w:rPr>
                  </w:pPr>
                  <w:r>
                    <w:rPr>
                      <w:b/>
                      <w:bCs/>
                      <w:color w:val="auto"/>
                      <w:sz w:val="21"/>
                      <w:szCs w:val="21"/>
                    </w:rPr>
                    <w:t>序号</w:t>
                  </w:r>
                </w:p>
              </w:tc>
              <w:tc>
                <w:tcPr>
                  <w:tcW w:w="2218" w:type="dxa"/>
                  <w:vAlign w:val="center"/>
                </w:tcPr>
                <w:p w14:paraId="1C3FB70B">
                  <w:pPr>
                    <w:pStyle w:val="36"/>
                    <w:keepNext w:val="0"/>
                    <w:keepLines w:val="0"/>
                    <w:pageBreakBefore w:val="0"/>
                    <w:kinsoku/>
                    <w:overflowPunct/>
                    <w:bidi w:val="0"/>
                    <w:adjustRightInd/>
                    <w:snapToGrid/>
                    <w:ind w:left="0"/>
                    <w:jc w:val="center"/>
                    <w:rPr>
                      <w:b/>
                      <w:bCs/>
                      <w:color w:val="auto"/>
                      <w:sz w:val="21"/>
                      <w:szCs w:val="21"/>
                    </w:rPr>
                  </w:pPr>
                  <w:r>
                    <w:rPr>
                      <w:b/>
                      <w:bCs/>
                      <w:color w:val="auto"/>
                      <w:sz w:val="21"/>
                      <w:szCs w:val="21"/>
                    </w:rPr>
                    <w:t>设备名称</w:t>
                  </w:r>
                </w:p>
              </w:tc>
              <w:tc>
                <w:tcPr>
                  <w:tcW w:w="1805" w:type="dxa"/>
                  <w:vAlign w:val="center"/>
                </w:tcPr>
                <w:p w14:paraId="1ED658A8">
                  <w:pPr>
                    <w:pStyle w:val="36"/>
                    <w:keepNext w:val="0"/>
                    <w:keepLines w:val="0"/>
                    <w:pageBreakBefore w:val="0"/>
                    <w:kinsoku/>
                    <w:overflowPunct/>
                    <w:bidi w:val="0"/>
                    <w:adjustRightInd/>
                    <w:snapToGrid/>
                    <w:ind w:left="0"/>
                    <w:jc w:val="center"/>
                    <w:rPr>
                      <w:b/>
                      <w:bCs/>
                      <w:color w:val="auto"/>
                      <w:sz w:val="21"/>
                      <w:szCs w:val="21"/>
                    </w:rPr>
                  </w:pPr>
                  <w:r>
                    <w:rPr>
                      <w:b/>
                      <w:bCs/>
                      <w:color w:val="auto"/>
                      <w:sz w:val="21"/>
                      <w:szCs w:val="21"/>
                    </w:rPr>
                    <w:t>型号及规格</w:t>
                  </w:r>
                </w:p>
              </w:tc>
              <w:tc>
                <w:tcPr>
                  <w:tcW w:w="712" w:type="dxa"/>
                  <w:vAlign w:val="center"/>
                </w:tcPr>
                <w:p w14:paraId="3CB545A3">
                  <w:pPr>
                    <w:pStyle w:val="36"/>
                    <w:keepNext w:val="0"/>
                    <w:keepLines w:val="0"/>
                    <w:pageBreakBefore w:val="0"/>
                    <w:kinsoku/>
                    <w:overflowPunct/>
                    <w:bidi w:val="0"/>
                    <w:adjustRightInd/>
                    <w:snapToGrid/>
                    <w:ind w:left="0"/>
                    <w:jc w:val="center"/>
                    <w:rPr>
                      <w:b/>
                      <w:bCs/>
                      <w:color w:val="auto"/>
                      <w:sz w:val="21"/>
                      <w:szCs w:val="21"/>
                    </w:rPr>
                  </w:pPr>
                  <w:r>
                    <w:rPr>
                      <w:b/>
                      <w:bCs/>
                      <w:color w:val="auto"/>
                      <w:sz w:val="21"/>
                      <w:szCs w:val="21"/>
                    </w:rPr>
                    <w:t>数量</w:t>
                  </w:r>
                </w:p>
              </w:tc>
              <w:tc>
                <w:tcPr>
                  <w:tcW w:w="912" w:type="dxa"/>
                  <w:vAlign w:val="center"/>
                </w:tcPr>
                <w:p w14:paraId="0DEC0817">
                  <w:pPr>
                    <w:pStyle w:val="36"/>
                    <w:keepNext w:val="0"/>
                    <w:keepLines w:val="0"/>
                    <w:pageBreakBefore w:val="0"/>
                    <w:kinsoku/>
                    <w:overflowPunct/>
                    <w:bidi w:val="0"/>
                    <w:adjustRightInd/>
                    <w:snapToGrid/>
                    <w:ind w:left="0"/>
                    <w:jc w:val="center"/>
                    <w:rPr>
                      <w:b/>
                      <w:bCs/>
                      <w:color w:val="auto"/>
                      <w:sz w:val="21"/>
                      <w:szCs w:val="21"/>
                    </w:rPr>
                  </w:pPr>
                  <w:r>
                    <w:rPr>
                      <w:b/>
                      <w:bCs/>
                      <w:color w:val="auto"/>
                      <w:sz w:val="21"/>
                      <w:szCs w:val="21"/>
                    </w:rPr>
                    <w:t>单位</w:t>
                  </w:r>
                </w:p>
              </w:tc>
              <w:tc>
                <w:tcPr>
                  <w:tcW w:w="1866" w:type="dxa"/>
                  <w:vAlign w:val="center"/>
                </w:tcPr>
                <w:p w14:paraId="2A1BC074">
                  <w:pPr>
                    <w:pStyle w:val="36"/>
                    <w:keepNext w:val="0"/>
                    <w:keepLines w:val="0"/>
                    <w:pageBreakBefore w:val="0"/>
                    <w:kinsoku/>
                    <w:overflowPunct/>
                    <w:bidi w:val="0"/>
                    <w:adjustRightInd/>
                    <w:snapToGrid/>
                    <w:ind w:left="0"/>
                    <w:jc w:val="center"/>
                    <w:rPr>
                      <w:b/>
                      <w:bCs/>
                      <w:color w:val="auto"/>
                      <w:sz w:val="21"/>
                      <w:szCs w:val="21"/>
                    </w:rPr>
                  </w:pPr>
                  <w:r>
                    <w:rPr>
                      <w:b/>
                      <w:bCs/>
                      <w:color w:val="auto"/>
                      <w:sz w:val="21"/>
                      <w:szCs w:val="21"/>
                    </w:rPr>
                    <w:t>备注</w:t>
                  </w:r>
                </w:p>
              </w:tc>
            </w:tr>
            <w:tr w14:paraId="136A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428DE167">
                  <w:pPr>
                    <w:pStyle w:val="36"/>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1</w:t>
                  </w:r>
                </w:p>
              </w:tc>
              <w:tc>
                <w:tcPr>
                  <w:tcW w:w="2218" w:type="dxa"/>
                  <w:vAlign w:val="center"/>
                </w:tcPr>
                <w:p w14:paraId="7BBF38AE">
                  <w:pPr>
                    <w:pStyle w:val="36"/>
                    <w:keepNext w:val="0"/>
                    <w:keepLines w:val="0"/>
                    <w:pageBreakBefore w:val="0"/>
                    <w:kinsoku/>
                    <w:overflowPunct/>
                    <w:bidi w:val="0"/>
                    <w:adjustRightInd/>
                    <w:snapToGrid/>
                    <w:ind w:left="0"/>
                    <w:jc w:val="center"/>
                    <w:rPr>
                      <w:color w:val="auto"/>
                      <w:sz w:val="21"/>
                      <w:szCs w:val="21"/>
                    </w:rPr>
                  </w:pPr>
                  <w:r>
                    <w:rPr>
                      <w:color w:val="auto"/>
                      <w:sz w:val="21"/>
                      <w:szCs w:val="21"/>
                    </w:rPr>
                    <w:t>挖掘机</w:t>
                  </w:r>
                </w:p>
              </w:tc>
              <w:tc>
                <w:tcPr>
                  <w:tcW w:w="1805" w:type="dxa"/>
                  <w:vAlign w:val="center"/>
                </w:tcPr>
                <w:p w14:paraId="09820BA3">
                  <w:pPr>
                    <w:pStyle w:val="36"/>
                    <w:keepNext w:val="0"/>
                    <w:keepLines w:val="0"/>
                    <w:pageBreakBefore w:val="0"/>
                    <w:kinsoku/>
                    <w:overflowPunct/>
                    <w:bidi w:val="0"/>
                    <w:adjustRightInd/>
                    <w:snapToGrid/>
                    <w:ind w:left="0"/>
                    <w:jc w:val="center"/>
                    <w:rPr>
                      <w:color w:val="auto"/>
                      <w:sz w:val="21"/>
                      <w:szCs w:val="21"/>
                    </w:rPr>
                  </w:pPr>
                  <w:r>
                    <w:rPr>
                      <w:color w:val="auto"/>
                      <w:sz w:val="21"/>
                      <w:szCs w:val="21"/>
                    </w:rPr>
                    <w:t>PC300-5</w:t>
                  </w:r>
                </w:p>
              </w:tc>
              <w:tc>
                <w:tcPr>
                  <w:tcW w:w="712" w:type="dxa"/>
                  <w:vAlign w:val="center"/>
                </w:tcPr>
                <w:p w14:paraId="299C979A">
                  <w:pPr>
                    <w:pStyle w:val="36"/>
                    <w:keepNext w:val="0"/>
                    <w:keepLines w:val="0"/>
                    <w:pageBreakBefore w:val="0"/>
                    <w:kinsoku/>
                    <w:overflowPunct/>
                    <w:bidi w:val="0"/>
                    <w:adjustRightInd/>
                    <w:snapToGrid/>
                    <w:ind w:left="0"/>
                    <w:jc w:val="center"/>
                    <w:rPr>
                      <w:color w:val="auto"/>
                      <w:sz w:val="21"/>
                      <w:szCs w:val="21"/>
                    </w:rPr>
                  </w:pPr>
                  <w:r>
                    <w:rPr>
                      <w:color w:val="auto"/>
                      <w:sz w:val="21"/>
                      <w:szCs w:val="21"/>
                    </w:rPr>
                    <w:t>1</w:t>
                  </w:r>
                </w:p>
              </w:tc>
              <w:tc>
                <w:tcPr>
                  <w:tcW w:w="912" w:type="dxa"/>
                  <w:vAlign w:val="center"/>
                </w:tcPr>
                <w:p w14:paraId="2A06C2FE">
                  <w:pPr>
                    <w:pStyle w:val="36"/>
                    <w:keepNext w:val="0"/>
                    <w:keepLines w:val="0"/>
                    <w:pageBreakBefore w:val="0"/>
                    <w:kinsoku/>
                    <w:overflowPunct/>
                    <w:bidi w:val="0"/>
                    <w:adjustRightInd/>
                    <w:snapToGrid/>
                    <w:ind w:left="0"/>
                    <w:jc w:val="center"/>
                    <w:rPr>
                      <w:color w:val="auto"/>
                      <w:sz w:val="21"/>
                      <w:szCs w:val="21"/>
                    </w:rPr>
                  </w:pPr>
                  <w:r>
                    <w:rPr>
                      <w:color w:val="auto"/>
                      <w:sz w:val="21"/>
                      <w:szCs w:val="21"/>
                    </w:rPr>
                    <w:t>台</w:t>
                  </w:r>
                </w:p>
              </w:tc>
              <w:tc>
                <w:tcPr>
                  <w:tcW w:w="1866" w:type="dxa"/>
                  <w:vAlign w:val="center"/>
                </w:tcPr>
                <w:p w14:paraId="0AF42DE8">
                  <w:pPr>
                    <w:pStyle w:val="36"/>
                    <w:keepNext w:val="0"/>
                    <w:keepLines w:val="0"/>
                    <w:pageBreakBefore w:val="0"/>
                    <w:kinsoku/>
                    <w:overflowPunct/>
                    <w:bidi w:val="0"/>
                    <w:adjustRightInd/>
                    <w:snapToGrid/>
                    <w:ind w:left="0"/>
                    <w:jc w:val="center"/>
                    <w:rPr>
                      <w:rFonts w:hint="eastAsia" w:eastAsia="宋体"/>
                      <w:color w:val="auto"/>
                      <w:sz w:val="21"/>
                      <w:szCs w:val="21"/>
                      <w:lang w:val="en-US" w:eastAsia="zh-CN"/>
                    </w:rPr>
                  </w:pPr>
                  <w:r>
                    <w:rPr>
                      <w:rFonts w:hint="eastAsia"/>
                      <w:color w:val="auto"/>
                      <w:sz w:val="21"/>
                      <w:szCs w:val="21"/>
                      <w:lang w:val="en-US" w:eastAsia="zh-CN"/>
                    </w:rPr>
                    <w:t>/</w:t>
                  </w:r>
                </w:p>
              </w:tc>
            </w:tr>
            <w:tr w14:paraId="2438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70D3A3CE">
                  <w:pPr>
                    <w:pStyle w:val="36"/>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2</w:t>
                  </w:r>
                </w:p>
              </w:tc>
              <w:tc>
                <w:tcPr>
                  <w:tcW w:w="2218" w:type="dxa"/>
                  <w:vAlign w:val="center"/>
                </w:tcPr>
                <w:p w14:paraId="728FE4FD">
                  <w:pPr>
                    <w:pStyle w:val="36"/>
                    <w:keepNext w:val="0"/>
                    <w:keepLines w:val="0"/>
                    <w:pageBreakBefore w:val="0"/>
                    <w:kinsoku/>
                    <w:overflowPunct/>
                    <w:bidi w:val="0"/>
                    <w:adjustRightInd/>
                    <w:snapToGrid/>
                    <w:ind w:left="0"/>
                    <w:jc w:val="center"/>
                    <w:rPr>
                      <w:color w:val="auto"/>
                      <w:sz w:val="21"/>
                      <w:szCs w:val="21"/>
                    </w:rPr>
                  </w:pPr>
                  <w:r>
                    <w:rPr>
                      <w:color w:val="auto"/>
                      <w:sz w:val="21"/>
                      <w:szCs w:val="21"/>
                    </w:rPr>
                    <w:t>长臂挖掘机</w:t>
                  </w:r>
                </w:p>
              </w:tc>
              <w:tc>
                <w:tcPr>
                  <w:tcW w:w="1805" w:type="dxa"/>
                  <w:vAlign w:val="center"/>
                </w:tcPr>
                <w:p w14:paraId="558DC7FF">
                  <w:pPr>
                    <w:pStyle w:val="36"/>
                    <w:keepNext w:val="0"/>
                    <w:keepLines w:val="0"/>
                    <w:pageBreakBefore w:val="0"/>
                    <w:kinsoku/>
                    <w:overflowPunct/>
                    <w:bidi w:val="0"/>
                    <w:adjustRightInd/>
                    <w:snapToGrid/>
                    <w:ind w:left="0"/>
                    <w:jc w:val="center"/>
                    <w:rPr>
                      <w:color w:val="auto"/>
                      <w:sz w:val="21"/>
                      <w:szCs w:val="21"/>
                    </w:rPr>
                  </w:pPr>
                  <w:r>
                    <w:rPr>
                      <w:color w:val="auto"/>
                      <w:sz w:val="21"/>
                      <w:szCs w:val="21"/>
                    </w:rPr>
                    <w:t>Pc800</w:t>
                  </w:r>
                </w:p>
              </w:tc>
              <w:tc>
                <w:tcPr>
                  <w:tcW w:w="712" w:type="dxa"/>
                  <w:vAlign w:val="center"/>
                </w:tcPr>
                <w:p w14:paraId="5179BC4F">
                  <w:pPr>
                    <w:pStyle w:val="36"/>
                    <w:keepNext w:val="0"/>
                    <w:keepLines w:val="0"/>
                    <w:pageBreakBefore w:val="0"/>
                    <w:kinsoku/>
                    <w:overflowPunct/>
                    <w:bidi w:val="0"/>
                    <w:adjustRightInd/>
                    <w:snapToGrid/>
                    <w:ind w:left="0"/>
                    <w:jc w:val="center"/>
                    <w:rPr>
                      <w:color w:val="auto"/>
                      <w:sz w:val="21"/>
                      <w:szCs w:val="21"/>
                    </w:rPr>
                  </w:pPr>
                  <w:r>
                    <w:rPr>
                      <w:color w:val="auto"/>
                      <w:sz w:val="21"/>
                      <w:szCs w:val="21"/>
                    </w:rPr>
                    <w:t>1</w:t>
                  </w:r>
                </w:p>
              </w:tc>
              <w:tc>
                <w:tcPr>
                  <w:tcW w:w="912" w:type="dxa"/>
                  <w:vAlign w:val="center"/>
                </w:tcPr>
                <w:p w14:paraId="728BD89B">
                  <w:pPr>
                    <w:pStyle w:val="36"/>
                    <w:keepNext w:val="0"/>
                    <w:keepLines w:val="0"/>
                    <w:pageBreakBefore w:val="0"/>
                    <w:kinsoku/>
                    <w:overflowPunct/>
                    <w:bidi w:val="0"/>
                    <w:adjustRightInd/>
                    <w:snapToGrid/>
                    <w:ind w:left="0"/>
                    <w:jc w:val="center"/>
                    <w:rPr>
                      <w:color w:val="auto"/>
                      <w:sz w:val="21"/>
                      <w:szCs w:val="21"/>
                    </w:rPr>
                  </w:pPr>
                  <w:r>
                    <w:rPr>
                      <w:color w:val="auto"/>
                      <w:sz w:val="21"/>
                      <w:szCs w:val="21"/>
                    </w:rPr>
                    <w:t>台</w:t>
                  </w:r>
                </w:p>
              </w:tc>
              <w:tc>
                <w:tcPr>
                  <w:tcW w:w="1866" w:type="dxa"/>
                  <w:vAlign w:val="center"/>
                </w:tcPr>
                <w:p w14:paraId="399E6D30">
                  <w:pPr>
                    <w:pStyle w:val="36"/>
                    <w:keepNext w:val="0"/>
                    <w:keepLines w:val="0"/>
                    <w:pageBreakBefore w:val="0"/>
                    <w:kinsoku/>
                    <w:overflowPunct/>
                    <w:bidi w:val="0"/>
                    <w:adjustRightInd/>
                    <w:snapToGrid/>
                    <w:ind w:left="0"/>
                    <w:jc w:val="center"/>
                    <w:rPr>
                      <w:rFonts w:hint="eastAsia" w:eastAsia="宋体"/>
                      <w:color w:val="auto"/>
                      <w:sz w:val="21"/>
                      <w:szCs w:val="21"/>
                      <w:lang w:val="en-US" w:eastAsia="zh-CN"/>
                    </w:rPr>
                  </w:pPr>
                  <w:r>
                    <w:rPr>
                      <w:rFonts w:hint="eastAsia"/>
                      <w:color w:val="auto"/>
                      <w:sz w:val="21"/>
                      <w:szCs w:val="21"/>
                      <w:lang w:val="en-US" w:eastAsia="zh-CN"/>
                    </w:rPr>
                    <w:t>/</w:t>
                  </w:r>
                </w:p>
              </w:tc>
            </w:tr>
            <w:tr w14:paraId="4C09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2B69DF48">
                  <w:pPr>
                    <w:pStyle w:val="36"/>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3</w:t>
                  </w:r>
                </w:p>
              </w:tc>
              <w:tc>
                <w:tcPr>
                  <w:tcW w:w="2218" w:type="dxa"/>
                  <w:vAlign w:val="center"/>
                </w:tcPr>
                <w:p w14:paraId="6E345A5D">
                  <w:pPr>
                    <w:pStyle w:val="36"/>
                    <w:keepNext w:val="0"/>
                    <w:keepLines w:val="0"/>
                    <w:pageBreakBefore w:val="0"/>
                    <w:kinsoku/>
                    <w:overflowPunct/>
                    <w:bidi w:val="0"/>
                    <w:adjustRightInd/>
                    <w:snapToGrid/>
                    <w:ind w:left="0"/>
                    <w:jc w:val="center"/>
                    <w:rPr>
                      <w:color w:val="auto"/>
                      <w:sz w:val="21"/>
                      <w:szCs w:val="21"/>
                    </w:rPr>
                  </w:pPr>
                  <w:r>
                    <w:rPr>
                      <w:color w:val="auto"/>
                      <w:sz w:val="21"/>
                      <w:szCs w:val="21"/>
                    </w:rPr>
                    <w:t>振动锤打桩机</w:t>
                  </w:r>
                </w:p>
              </w:tc>
              <w:tc>
                <w:tcPr>
                  <w:tcW w:w="1805" w:type="dxa"/>
                  <w:vAlign w:val="center"/>
                </w:tcPr>
                <w:p w14:paraId="3FE9729C">
                  <w:pPr>
                    <w:pStyle w:val="36"/>
                    <w:keepNext w:val="0"/>
                    <w:keepLines w:val="0"/>
                    <w:pageBreakBefore w:val="0"/>
                    <w:kinsoku/>
                    <w:overflowPunct/>
                    <w:bidi w:val="0"/>
                    <w:adjustRightInd/>
                    <w:snapToGrid/>
                    <w:ind w:left="0"/>
                    <w:jc w:val="center"/>
                    <w:rPr>
                      <w:color w:val="auto"/>
                      <w:sz w:val="21"/>
                      <w:szCs w:val="21"/>
                    </w:rPr>
                  </w:pPr>
                  <w:r>
                    <w:rPr>
                      <w:color w:val="auto"/>
                      <w:sz w:val="21"/>
                      <w:szCs w:val="21"/>
                    </w:rPr>
                    <w:t>GZB-600</w:t>
                  </w:r>
                </w:p>
              </w:tc>
              <w:tc>
                <w:tcPr>
                  <w:tcW w:w="712" w:type="dxa"/>
                  <w:vAlign w:val="center"/>
                </w:tcPr>
                <w:p w14:paraId="16BC5F4D">
                  <w:pPr>
                    <w:pStyle w:val="36"/>
                    <w:keepNext w:val="0"/>
                    <w:keepLines w:val="0"/>
                    <w:pageBreakBefore w:val="0"/>
                    <w:kinsoku/>
                    <w:overflowPunct/>
                    <w:bidi w:val="0"/>
                    <w:adjustRightInd/>
                    <w:snapToGrid/>
                    <w:ind w:left="0"/>
                    <w:jc w:val="center"/>
                    <w:rPr>
                      <w:color w:val="auto"/>
                      <w:sz w:val="21"/>
                      <w:szCs w:val="21"/>
                    </w:rPr>
                  </w:pPr>
                  <w:r>
                    <w:rPr>
                      <w:color w:val="auto"/>
                      <w:sz w:val="21"/>
                      <w:szCs w:val="21"/>
                    </w:rPr>
                    <w:t>1</w:t>
                  </w:r>
                </w:p>
              </w:tc>
              <w:tc>
                <w:tcPr>
                  <w:tcW w:w="912" w:type="dxa"/>
                  <w:vAlign w:val="center"/>
                </w:tcPr>
                <w:p w14:paraId="3CA53359">
                  <w:pPr>
                    <w:pStyle w:val="36"/>
                    <w:keepNext w:val="0"/>
                    <w:keepLines w:val="0"/>
                    <w:pageBreakBefore w:val="0"/>
                    <w:kinsoku/>
                    <w:overflowPunct/>
                    <w:bidi w:val="0"/>
                    <w:adjustRightInd/>
                    <w:snapToGrid/>
                    <w:ind w:left="0"/>
                    <w:jc w:val="center"/>
                    <w:rPr>
                      <w:color w:val="auto"/>
                      <w:sz w:val="21"/>
                      <w:szCs w:val="21"/>
                    </w:rPr>
                  </w:pPr>
                  <w:r>
                    <w:rPr>
                      <w:color w:val="auto"/>
                      <w:sz w:val="21"/>
                      <w:szCs w:val="21"/>
                    </w:rPr>
                    <w:t>台</w:t>
                  </w:r>
                </w:p>
              </w:tc>
              <w:tc>
                <w:tcPr>
                  <w:tcW w:w="1866" w:type="dxa"/>
                  <w:vAlign w:val="center"/>
                </w:tcPr>
                <w:p w14:paraId="651BAD19">
                  <w:pPr>
                    <w:pStyle w:val="36"/>
                    <w:keepNext w:val="0"/>
                    <w:keepLines w:val="0"/>
                    <w:pageBreakBefore w:val="0"/>
                    <w:kinsoku/>
                    <w:overflowPunct/>
                    <w:bidi w:val="0"/>
                    <w:adjustRightInd/>
                    <w:snapToGrid/>
                    <w:ind w:left="0"/>
                    <w:jc w:val="center"/>
                    <w:rPr>
                      <w:rFonts w:hint="eastAsia" w:eastAsia="宋体"/>
                      <w:color w:val="auto"/>
                      <w:sz w:val="21"/>
                      <w:szCs w:val="21"/>
                      <w:lang w:val="en-US" w:eastAsia="zh-CN"/>
                    </w:rPr>
                  </w:pPr>
                  <w:r>
                    <w:rPr>
                      <w:rFonts w:hint="eastAsia"/>
                      <w:color w:val="auto"/>
                      <w:sz w:val="21"/>
                      <w:szCs w:val="21"/>
                      <w:lang w:val="en-US" w:eastAsia="zh-CN"/>
                    </w:rPr>
                    <w:t>/</w:t>
                  </w:r>
                </w:p>
              </w:tc>
            </w:tr>
            <w:tr w14:paraId="3B82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15700803">
                  <w:pPr>
                    <w:pStyle w:val="36"/>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4</w:t>
                  </w:r>
                </w:p>
              </w:tc>
              <w:tc>
                <w:tcPr>
                  <w:tcW w:w="2218" w:type="dxa"/>
                  <w:vAlign w:val="center"/>
                </w:tcPr>
                <w:p w14:paraId="6C2B3868">
                  <w:pPr>
                    <w:pStyle w:val="36"/>
                    <w:keepNext w:val="0"/>
                    <w:keepLines w:val="0"/>
                    <w:pageBreakBefore w:val="0"/>
                    <w:kinsoku/>
                    <w:overflowPunct/>
                    <w:bidi w:val="0"/>
                    <w:adjustRightInd/>
                    <w:snapToGrid/>
                    <w:ind w:left="0"/>
                    <w:jc w:val="center"/>
                    <w:rPr>
                      <w:color w:val="auto"/>
                      <w:sz w:val="21"/>
                      <w:szCs w:val="21"/>
                    </w:rPr>
                  </w:pPr>
                  <w:r>
                    <w:rPr>
                      <w:color w:val="auto"/>
                      <w:sz w:val="21"/>
                      <w:szCs w:val="21"/>
                    </w:rPr>
                    <w:t>压桩机</w:t>
                  </w:r>
                </w:p>
              </w:tc>
              <w:tc>
                <w:tcPr>
                  <w:tcW w:w="1805" w:type="dxa"/>
                  <w:vAlign w:val="center"/>
                </w:tcPr>
                <w:p w14:paraId="4CA7FB6A">
                  <w:pPr>
                    <w:pStyle w:val="36"/>
                    <w:keepNext w:val="0"/>
                    <w:keepLines w:val="0"/>
                    <w:pageBreakBefore w:val="0"/>
                    <w:kinsoku/>
                    <w:overflowPunct/>
                    <w:bidi w:val="0"/>
                    <w:adjustRightInd/>
                    <w:snapToGrid/>
                    <w:ind w:left="0"/>
                    <w:jc w:val="center"/>
                    <w:rPr>
                      <w:color w:val="auto"/>
                      <w:sz w:val="21"/>
                      <w:szCs w:val="21"/>
                    </w:rPr>
                  </w:pPr>
                  <w:r>
                    <w:rPr>
                      <w:color w:val="auto"/>
                      <w:sz w:val="21"/>
                      <w:szCs w:val="21"/>
                    </w:rPr>
                    <w:t>DJ100</w:t>
                  </w:r>
                </w:p>
              </w:tc>
              <w:tc>
                <w:tcPr>
                  <w:tcW w:w="712" w:type="dxa"/>
                  <w:vAlign w:val="center"/>
                </w:tcPr>
                <w:p w14:paraId="53DC616E">
                  <w:pPr>
                    <w:pStyle w:val="36"/>
                    <w:keepNext w:val="0"/>
                    <w:keepLines w:val="0"/>
                    <w:pageBreakBefore w:val="0"/>
                    <w:kinsoku/>
                    <w:overflowPunct/>
                    <w:bidi w:val="0"/>
                    <w:adjustRightInd/>
                    <w:snapToGrid/>
                    <w:ind w:left="0"/>
                    <w:jc w:val="center"/>
                    <w:rPr>
                      <w:color w:val="auto"/>
                      <w:sz w:val="21"/>
                      <w:szCs w:val="21"/>
                    </w:rPr>
                  </w:pPr>
                  <w:r>
                    <w:rPr>
                      <w:color w:val="auto"/>
                      <w:sz w:val="21"/>
                      <w:szCs w:val="21"/>
                    </w:rPr>
                    <w:t>1</w:t>
                  </w:r>
                </w:p>
              </w:tc>
              <w:tc>
                <w:tcPr>
                  <w:tcW w:w="912" w:type="dxa"/>
                  <w:vAlign w:val="center"/>
                </w:tcPr>
                <w:p w14:paraId="2C605AC1">
                  <w:pPr>
                    <w:pStyle w:val="36"/>
                    <w:keepNext w:val="0"/>
                    <w:keepLines w:val="0"/>
                    <w:pageBreakBefore w:val="0"/>
                    <w:kinsoku/>
                    <w:overflowPunct/>
                    <w:bidi w:val="0"/>
                    <w:adjustRightInd/>
                    <w:snapToGrid/>
                    <w:ind w:left="0"/>
                    <w:jc w:val="center"/>
                    <w:rPr>
                      <w:color w:val="auto"/>
                      <w:sz w:val="21"/>
                      <w:szCs w:val="21"/>
                    </w:rPr>
                  </w:pPr>
                  <w:r>
                    <w:rPr>
                      <w:color w:val="auto"/>
                      <w:sz w:val="21"/>
                      <w:szCs w:val="21"/>
                    </w:rPr>
                    <w:t>台</w:t>
                  </w:r>
                </w:p>
              </w:tc>
              <w:tc>
                <w:tcPr>
                  <w:tcW w:w="1866" w:type="dxa"/>
                  <w:vAlign w:val="center"/>
                </w:tcPr>
                <w:p w14:paraId="7339B998">
                  <w:pPr>
                    <w:pStyle w:val="36"/>
                    <w:keepNext w:val="0"/>
                    <w:keepLines w:val="0"/>
                    <w:pageBreakBefore w:val="0"/>
                    <w:kinsoku/>
                    <w:overflowPunct/>
                    <w:bidi w:val="0"/>
                    <w:adjustRightInd/>
                    <w:snapToGrid/>
                    <w:ind w:left="0" w:firstLine="0" w:firstLineChars="0"/>
                    <w:jc w:val="center"/>
                    <w:rPr>
                      <w:color w:val="auto"/>
                      <w:sz w:val="21"/>
                      <w:szCs w:val="21"/>
                    </w:rPr>
                  </w:pPr>
                  <w:r>
                    <w:rPr>
                      <w:rFonts w:hint="eastAsia"/>
                      <w:color w:val="auto"/>
                      <w:sz w:val="21"/>
                      <w:szCs w:val="21"/>
                      <w:lang w:val="en-US" w:eastAsia="zh-CN"/>
                    </w:rPr>
                    <w:t>/</w:t>
                  </w:r>
                </w:p>
              </w:tc>
            </w:tr>
            <w:tr w14:paraId="1DC6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5CB0F5EF">
                  <w:pPr>
                    <w:pStyle w:val="36"/>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5</w:t>
                  </w:r>
                </w:p>
              </w:tc>
              <w:tc>
                <w:tcPr>
                  <w:tcW w:w="2218" w:type="dxa"/>
                  <w:vAlign w:val="center"/>
                </w:tcPr>
                <w:p w14:paraId="0930F621">
                  <w:pPr>
                    <w:pStyle w:val="36"/>
                    <w:keepNext w:val="0"/>
                    <w:keepLines w:val="0"/>
                    <w:pageBreakBefore w:val="0"/>
                    <w:kinsoku/>
                    <w:overflowPunct/>
                    <w:bidi w:val="0"/>
                    <w:adjustRightInd/>
                    <w:snapToGrid/>
                    <w:ind w:left="0"/>
                    <w:jc w:val="center"/>
                    <w:rPr>
                      <w:color w:val="auto"/>
                      <w:sz w:val="21"/>
                      <w:szCs w:val="21"/>
                    </w:rPr>
                  </w:pPr>
                  <w:r>
                    <w:rPr>
                      <w:color w:val="auto"/>
                      <w:sz w:val="21"/>
                      <w:szCs w:val="21"/>
                    </w:rPr>
                    <w:t>旋喷桩机</w:t>
                  </w:r>
                </w:p>
              </w:tc>
              <w:tc>
                <w:tcPr>
                  <w:tcW w:w="1805" w:type="dxa"/>
                  <w:vAlign w:val="center"/>
                </w:tcPr>
                <w:p w14:paraId="194CD800">
                  <w:pPr>
                    <w:pStyle w:val="36"/>
                    <w:keepNext w:val="0"/>
                    <w:keepLines w:val="0"/>
                    <w:pageBreakBefore w:val="0"/>
                    <w:kinsoku/>
                    <w:overflowPunct/>
                    <w:bidi w:val="0"/>
                    <w:adjustRightInd/>
                    <w:snapToGrid/>
                    <w:ind w:left="0"/>
                    <w:jc w:val="center"/>
                    <w:rPr>
                      <w:color w:val="auto"/>
                      <w:sz w:val="21"/>
                      <w:szCs w:val="21"/>
                    </w:rPr>
                  </w:pPr>
                  <w:r>
                    <w:rPr>
                      <w:color w:val="auto"/>
                      <w:sz w:val="21"/>
                      <w:szCs w:val="21"/>
                    </w:rPr>
                    <w:t>YCY-100</w:t>
                  </w:r>
                </w:p>
              </w:tc>
              <w:tc>
                <w:tcPr>
                  <w:tcW w:w="712" w:type="dxa"/>
                  <w:vAlign w:val="center"/>
                </w:tcPr>
                <w:p w14:paraId="572EAB4E">
                  <w:pPr>
                    <w:pStyle w:val="36"/>
                    <w:keepNext w:val="0"/>
                    <w:keepLines w:val="0"/>
                    <w:pageBreakBefore w:val="0"/>
                    <w:kinsoku/>
                    <w:overflowPunct/>
                    <w:bidi w:val="0"/>
                    <w:adjustRightInd/>
                    <w:snapToGrid/>
                    <w:ind w:left="0"/>
                    <w:jc w:val="center"/>
                    <w:rPr>
                      <w:color w:val="auto"/>
                      <w:sz w:val="21"/>
                      <w:szCs w:val="21"/>
                    </w:rPr>
                  </w:pPr>
                  <w:r>
                    <w:rPr>
                      <w:color w:val="auto"/>
                      <w:sz w:val="21"/>
                      <w:szCs w:val="21"/>
                    </w:rPr>
                    <w:t>1</w:t>
                  </w:r>
                </w:p>
              </w:tc>
              <w:tc>
                <w:tcPr>
                  <w:tcW w:w="912" w:type="dxa"/>
                  <w:vAlign w:val="center"/>
                </w:tcPr>
                <w:p w14:paraId="19473784">
                  <w:pPr>
                    <w:pStyle w:val="36"/>
                    <w:keepNext w:val="0"/>
                    <w:keepLines w:val="0"/>
                    <w:pageBreakBefore w:val="0"/>
                    <w:kinsoku/>
                    <w:overflowPunct/>
                    <w:bidi w:val="0"/>
                    <w:adjustRightInd/>
                    <w:snapToGrid/>
                    <w:ind w:left="0"/>
                    <w:jc w:val="center"/>
                    <w:rPr>
                      <w:color w:val="auto"/>
                      <w:sz w:val="21"/>
                      <w:szCs w:val="21"/>
                    </w:rPr>
                  </w:pPr>
                  <w:r>
                    <w:rPr>
                      <w:color w:val="auto"/>
                      <w:sz w:val="21"/>
                      <w:szCs w:val="21"/>
                    </w:rPr>
                    <w:t>台</w:t>
                  </w:r>
                </w:p>
              </w:tc>
              <w:tc>
                <w:tcPr>
                  <w:tcW w:w="1866" w:type="dxa"/>
                  <w:vAlign w:val="center"/>
                </w:tcPr>
                <w:p w14:paraId="4A1D3626">
                  <w:pPr>
                    <w:pStyle w:val="36"/>
                    <w:keepNext w:val="0"/>
                    <w:keepLines w:val="0"/>
                    <w:pageBreakBefore w:val="0"/>
                    <w:kinsoku/>
                    <w:overflowPunct/>
                    <w:bidi w:val="0"/>
                    <w:adjustRightInd/>
                    <w:snapToGrid/>
                    <w:ind w:left="0" w:firstLine="0" w:firstLineChars="0"/>
                    <w:jc w:val="center"/>
                    <w:rPr>
                      <w:color w:val="auto"/>
                      <w:sz w:val="21"/>
                      <w:szCs w:val="21"/>
                    </w:rPr>
                  </w:pPr>
                  <w:r>
                    <w:rPr>
                      <w:rFonts w:hint="eastAsia"/>
                      <w:color w:val="auto"/>
                      <w:sz w:val="21"/>
                      <w:szCs w:val="21"/>
                      <w:lang w:val="en-US" w:eastAsia="zh-CN"/>
                    </w:rPr>
                    <w:t>/</w:t>
                  </w:r>
                </w:p>
              </w:tc>
            </w:tr>
            <w:tr w14:paraId="1BC7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4024F5B5">
                  <w:pPr>
                    <w:pStyle w:val="36"/>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6</w:t>
                  </w:r>
                </w:p>
              </w:tc>
              <w:tc>
                <w:tcPr>
                  <w:tcW w:w="2218" w:type="dxa"/>
                  <w:vAlign w:val="center"/>
                </w:tcPr>
                <w:p w14:paraId="36F974F6">
                  <w:pPr>
                    <w:pStyle w:val="36"/>
                    <w:keepNext w:val="0"/>
                    <w:keepLines w:val="0"/>
                    <w:pageBreakBefore w:val="0"/>
                    <w:kinsoku/>
                    <w:overflowPunct/>
                    <w:bidi w:val="0"/>
                    <w:adjustRightInd/>
                    <w:snapToGrid/>
                    <w:ind w:left="0"/>
                    <w:jc w:val="center"/>
                    <w:rPr>
                      <w:color w:val="auto"/>
                      <w:sz w:val="21"/>
                      <w:szCs w:val="21"/>
                    </w:rPr>
                  </w:pPr>
                  <w:r>
                    <w:rPr>
                      <w:color w:val="auto"/>
                      <w:sz w:val="21"/>
                      <w:szCs w:val="21"/>
                    </w:rPr>
                    <w:t>钻机</w:t>
                  </w:r>
                </w:p>
              </w:tc>
              <w:tc>
                <w:tcPr>
                  <w:tcW w:w="1805" w:type="dxa"/>
                  <w:vAlign w:val="center"/>
                </w:tcPr>
                <w:p w14:paraId="5FF00AE2">
                  <w:pPr>
                    <w:pStyle w:val="36"/>
                    <w:keepNext w:val="0"/>
                    <w:keepLines w:val="0"/>
                    <w:pageBreakBefore w:val="0"/>
                    <w:kinsoku/>
                    <w:overflowPunct/>
                    <w:bidi w:val="0"/>
                    <w:adjustRightInd/>
                    <w:snapToGrid/>
                    <w:ind w:left="0"/>
                    <w:jc w:val="center"/>
                    <w:rPr>
                      <w:color w:val="auto"/>
                      <w:sz w:val="21"/>
                      <w:szCs w:val="21"/>
                    </w:rPr>
                  </w:pPr>
                  <w:r>
                    <w:rPr>
                      <w:color w:val="auto"/>
                      <w:sz w:val="21"/>
                      <w:szCs w:val="21"/>
                    </w:rPr>
                    <w:t>XU600</w:t>
                  </w:r>
                </w:p>
              </w:tc>
              <w:tc>
                <w:tcPr>
                  <w:tcW w:w="712" w:type="dxa"/>
                  <w:vAlign w:val="center"/>
                </w:tcPr>
                <w:p w14:paraId="2860AC63">
                  <w:pPr>
                    <w:pStyle w:val="36"/>
                    <w:keepNext w:val="0"/>
                    <w:keepLines w:val="0"/>
                    <w:pageBreakBefore w:val="0"/>
                    <w:kinsoku/>
                    <w:overflowPunct/>
                    <w:bidi w:val="0"/>
                    <w:adjustRightInd/>
                    <w:snapToGrid/>
                    <w:ind w:left="0"/>
                    <w:jc w:val="center"/>
                    <w:rPr>
                      <w:color w:val="auto"/>
                      <w:sz w:val="21"/>
                      <w:szCs w:val="21"/>
                    </w:rPr>
                  </w:pPr>
                  <w:r>
                    <w:rPr>
                      <w:color w:val="auto"/>
                      <w:sz w:val="21"/>
                      <w:szCs w:val="21"/>
                    </w:rPr>
                    <w:t>1</w:t>
                  </w:r>
                </w:p>
              </w:tc>
              <w:tc>
                <w:tcPr>
                  <w:tcW w:w="912" w:type="dxa"/>
                  <w:vAlign w:val="center"/>
                </w:tcPr>
                <w:p w14:paraId="16A6A257">
                  <w:pPr>
                    <w:pStyle w:val="36"/>
                    <w:keepNext w:val="0"/>
                    <w:keepLines w:val="0"/>
                    <w:pageBreakBefore w:val="0"/>
                    <w:kinsoku/>
                    <w:overflowPunct/>
                    <w:bidi w:val="0"/>
                    <w:adjustRightInd/>
                    <w:snapToGrid/>
                    <w:ind w:left="0"/>
                    <w:jc w:val="center"/>
                    <w:rPr>
                      <w:color w:val="auto"/>
                      <w:sz w:val="21"/>
                      <w:szCs w:val="21"/>
                    </w:rPr>
                  </w:pPr>
                  <w:r>
                    <w:rPr>
                      <w:color w:val="auto"/>
                      <w:sz w:val="21"/>
                      <w:szCs w:val="21"/>
                    </w:rPr>
                    <w:t>台</w:t>
                  </w:r>
                </w:p>
              </w:tc>
              <w:tc>
                <w:tcPr>
                  <w:tcW w:w="1866" w:type="dxa"/>
                  <w:vAlign w:val="center"/>
                </w:tcPr>
                <w:p w14:paraId="3F4750FA">
                  <w:pPr>
                    <w:pStyle w:val="36"/>
                    <w:keepNext w:val="0"/>
                    <w:keepLines w:val="0"/>
                    <w:pageBreakBefore w:val="0"/>
                    <w:kinsoku/>
                    <w:overflowPunct/>
                    <w:bidi w:val="0"/>
                    <w:adjustRightInd/>
                    <w:snapToGrid/>
                    <w:ind w:left="0" w:firstLine="0" w:firstLineChars="0"/>
                    <w:jc w:val="center"/>
                    <w:rPr>
                      <w:color w:val="auto"/>
                      <w:sz w:val="21"/>
                      <w:szCs w:val="21"/>
                    </w:rPr>
                  </w:pPr>
                  <w:r>
                    <w:rPr>
                      <w:rFonts w:hint="eastAsia"/>
                      <w:color w:val="auto"/>
                      <w:sz w:val="21"/>
                      <w:szCs w:val="21"/>
                      <w:lang w:val="en-US" w:eastAsia="zh-CN"/>
                    </w:rPr>
                    <w:t>/</w:t>
                  </w:r>
                </w:p>
              </w:tc>
            </w:tr>
            <w:tr w14:paraId="23E4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5FEBD649">
                  <w:pPr>
                    <w:pStyle w:val="36"/>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7</w:t>
                  </w:r>
                </w:p>
              </w:tc>
              <w:tc>
                <w:tcPr>
                  <w:tcW w:w="2218" w:type="dxa"/>
                  <w:vAlign w:val="center"/>
                </w:tcPr>
                <w:p w14:paraId="29B8650B">
                  <w:pPr>
                    <w:pStyle w:val="36"/>
                    <w:keepNext w:val="0"/>
                    <w:keepLines w:val="0"/>
                    <w:pageBreakBefore w:val="0"/>
                    <w:kinsoku/>
                    <w:overflowPunct/>
                    <w:bidi w:val="0"/>
                    <w:adjustRightInd/>
                    <w:snapToGrid/>
                    <w:ind w:left="0"/>
                    <w:jc w:val="center"/>
                    <w:rPr>
                      <w:color w:val="auto"/>
                      <w:sz w:val="21"/>
                      <w:szCs w:val="21"/>
                    </w:rPr>
                  </w:pPr>
                  <w:r>
                    <w:rPr>
                      <w:color w:val="auto"/>
                      <w:sz w:val="21"/>
                      <w:szCs w:val="21"/>
                    </w:rPr>
                    <w:t>轮胎式装载机</w:t>
                  </w:r>
                </w:p>
              </w:tc>
              <w:tc>
                <w:tcPr>
                  <w:tcW w:w="1805" w:type="dxa"/>
                  <w:vAlign w:val="center"/>
                </w:tcPr>
                <w:p w14:paraId="7612508C">
                  <w:pPr>
                    <w:pStyle w:val="36"/>
                    <w:keepNext w:val="0"/>
                    <w:keepLines w:val="0"/>
                    <w:pageBreakBefore w:val="0"/>
                    <w:kinsoku/>
                    <w:overflowPunct/>
                    <w:bidi w:val="0"/>
                    <w:adjustRightInd/>
                    <w:snapToGrid/>
                    <w:ind w:left="0"/>
                    <w:jc w:val="center"/>
                    <w:rPr>
                      <w:color w:val="auto"/>
                      <w:sz w:val="21"/>
                      <w:szCs w:val="21"/>
                    </w:rPr>
                  </w:pPr>
                  <w:r>
                    <w:rPr>
                      <w:color w:val="auto"/>
                      <w:sz w:val="21"/>
                      <w:szCs w:val="21"/>
                    </w:rPr>
                    <w:t>PYZ2250</w:t>
                  </w:r>
                </w:p>
              </w:tc>
              <w:tc>
                <w:tcPr>
                  <w:tcW w:w="712" w:type="dxa"/>
                  <w:vAlign w:val="center"/>
                </w:tcPr>
                <w:p w14:paraId="2EF23A2F">
                  <w:pPr>
                    <w:pStyle w:val="36"/>
                    <w:keepNext w:val="0"/>
                    <w:keepLines w:val="0"/>
                    <w:pageBreakBefore w:val="0"/>
                    <w:kinsoku/>
                    <w:overflowPunct/>
                    <w:bidi w:val="0"/>
                    <w:adjustRightInd/>
                    <w:snapToGrid/>
                    <w:ind w:left="0"/>
                    <w:jc w:val="center"/>
                    <w:rPr>
                      <w:color w:val="auto"/>
                      <w:sz w:val="21"/>
                      <w:szCs w:val="21"/>
                    </w:rPr>
                  </w:pPr>
                  <w:r>
                    <w:rPr>
                      <w:color w:val="auto"/>
                      <w:sz w:val="21"/>
                      <w:szCs w:val="21"/>
                    </w:rPr>
                    <w:t>1</w:t>
                  </w:r>
                </w:p>
              </w:tc>
              <w:tc>
                <w:tcPr>
                  <w:tcW w:w="912" w:type="dxa"/>
                  <w:vAlign w:val="center"/>
                </w:tcPr>
                <w:p w14:paraId="44A45E66">
                  <w:pPr>
                    <w:pStyle w:val="36"/>
                    <w:keepNext w:val="0"/>
                    <w:keepLines w:val="0"/>
                    <w:pageBreakBefore w:val="0"/>
                    <w:kinsoku/>
                    <w:overflowPunct/>
                    <w:bidi w:val="0"/>
                    <w:adjustRightInd/>
                    <w:snapToGrid/>
                    <w:ind w:left="0"/>
                    <w:jc w:val="center"/>
                    <w:rPr>
                      <w:color w:val="auto"/>
                      <w:sz w:val="21"/>
                      <w:szCs w:val="21"/>
                    </w:rPr>
                  </w:pPr>
                  <w:r>
                    <w:rPr>
                      <w:color w:val="auto"/>
                      <w:sz w:val="21"/>
                      <w:szCs w:val="21"/>
                    </w:rPr>
                    <w:t>辆</w:t>
                  </w:r>
                </w:p>
              </w:tc>
              <w:tc>
                <w:tcPr>
                  <w:tcW w:w="1866" w:type="dxa"/>
                  <w:vAlign w:val="center"/>
                </w:tcPr>
                <w:p w14:paraId="748778AF">
                  <w:pPr>
                    <w:pStyle w:val="36"/>
                    <w:keepNext w:val="0"/>
                    <w:keepLines w:val="0"/>
                    <w:pageBreakBefore w:val="0"/>
                    <w:kinsoku/>
                    <w:overflowPunct/>
                    <w:bidi w:val="0"/>
                    <w:adjustRightInd/>
                    <w:snapToGrid/>
                    <w:ind w:left="0" w:firstLine="0" w:firstLineChars="0"/>
                    <w:jc w:val="center"/>
                    <w:rPr>
                      <w:color w:val="auto"/>
                      <w:sz w:val="21"/>
                      <w:szCs w:val="21"/>
                    </w:rPr>
                  </w:pPr>
                  <w:r>
                    <w:rPr>
                      <w:rFonts w:hint="eastAsia"/>
                      <w:color w:val="auto"/>
                      <w:sz w:val="21"/>
                      <w:szCs w:val="21"/>
                      <w:lang w:val="en-US" w:eastAsia="zh-CN"/>
                    </w:rPr>
                    <w:t>/</w:t>
                  </w:r>
                </w:p>
              </w:tc>
            </w:tr>
            <w:tr w14:paraId="383F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4" w:type="dxa"/>
                  <w:vAlign w:val="center"/>
                </w:tcPr>
                <w:p w14:paraId="0090DCBC">
                  <w:pPr>
                    <w:pStyle w:val="36"/>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8</w:t>
                  </w:r>
                </w:p>
              </w:tc>
              <w:tc>
                <w:tcPr>
                  <w:tcW w:w="2218" w:type="dxa"/>
                  <w:vAlign w:val="center"/>
                </w:tcPr>
                <w:p w14:paraId="2C6E4EE8">
                  <w:pPr>
                    <w:pStyle w:val="36"/>
                    <w:keepNext w:val="0"/>
                    <w:keepLines w:val="0"/>
                    <w:pageBreakBefore w:val="0"/>
                    <w:kinsoku/>
                    <w:overflowPunct/>
                    <w:bidi w:val="0"/>
                    <w:adjustRightInd/>
                    <w:snapToGrid/>
                    <w:ind w:left="0"/>
                    <w:jc w:val="center"/>
                    <w:rPr>
                      <w:color w:val="auto"/>
                      <w:sz w:val="21"/>
                      <w:szCs w:val="21"/>
                    </w:rPr>
                  </w:pPr>
                  <w:r>
                    <w:rPr>
                      <w:color w:val="auto"/>
                      <w:sz w:val="21"/>
                      <w:szCs w:val="21"/>
                    </w:rPr>
                    <w:t>汽车吊</w:t>
                  </w:r>
                </w:p>
              </w:tc>
              <w:tc>
                <w:tcPr>
                  <w:tcW w:w="1805" w:type="dxa"/>
                  <w:vAlign w:val="center"/>
                </w:tcPr>
                <w:p w14:paraId="5BBB1CF7">
                  <w:pPr>
                    <w:pStyle w:val="36"/>
                    <w:keepNext w:val="0"/>
                    <w:keepLines w:val="0"/>
                    <w:pageBreakBefore w:val="0"/>
                    <w:kinsoku/>
                    <w:overflowPunct/>
                    <w:bidi w:val="0"/>
                    <w:adjustRightInd/>
                    <w:snapToGrid/>
                    <w:ind w:left="0"/>
                    <w:jc w:val="center"/>
                    <w:rPr>
                      <w:color w:val="auto"/>
                      <w:sz w:val="21"/>
                      <w:szCs w:val="21"/>
                    </w:rPr>
                  </w:pPr>
                  <w:r>
                    <w:rPr>
                      <w:color w:val="auto"/>
                      <w:sz w:val="21"/>
                      <w:szCs w:val="21"/>
                    </w:rPr>
                    <w:t>QY-25t</w:t>
                  </w:r>
                </w:p>
              </w:tc>
              <w:tc>
                <w:tcPr>
                  <w:tcW w:w="712" w:type="dxa"/>
                  <w:vAlign w:val="center"/>
                </w:tcPr>
                <w:p w14:paraId="4BA0F677">
                  <w:pPr>
                    <w:pStyle w:val="36"/>
                    <w:keepNext w:val="0"/>
                    <w:keepLines w:val="0"/>
                    <w:pageBreakBefore w:val="0"/>
                    <w:kinsoku/>
                    <w:overflowPunct/>
                    <w:bidi w:val="0"/>
                    <w:adjustRightInd/>
                    <w:snapToGrid/>
                    <w:ind w:left="0"/>
                    <w:jc w:val="center"/>
                    <w:rPr>
                      <w:color w:val="auto"/>
                      <w:sz w:val="21"/>
                      <w:szCs w:val="21"/>
                    </w:rPr>
                  </w:pPr>
                  <w:r>
                    <w:rPr>
                      <w:color w:val="auto"/>
                      <w:sz w:val="21"/>
                      <w:szCs w:val="21"/>
                    </w:rPr>
                    <w:t>1</w:t>
                  </w:r>
                </w:p>
              </w:tc>
              <w:tc>
                <w:tcPr>
                  <w:tcW w:w="912" w:type="dxa"/>
                  <w:vAlign w:val="center"/>
                </w:tcPr>
                <w:p w14:paraId="66C38200">
                  <w:pPr>
                    <w:pStyle w:val="36"/>
                    <w:keepNext w:val="0"/>
                    <w:keepLines w:val="0"/>
                    <w:pageBreakBefore w:val="0"/>
                    <w:kinsoku/>
                    <w:overflowPunct/>
                    <w:bidi w:val="0"/>
                    <w:adjustRightInd/>
                    <w:snapToGrid/>
                    <w:ind w:left="0"/>
                    <w:jc w:val="center"/>
                    <w:rPr>
                      <w:color w:val="auto"/>
                      <w:sz w:val="21"/>
                      <w:szCs w:val="21"/>
                    </w:rPr>
                  </w:pPr>
                  <w:r>
                    <w:rPr>
                      <w:color w:val="auto"/>
                      <w:sz w:val="21"/>
                      <w:szCs w:val="21"/>
                    </w:rPr>
                    <w:t>台</w:t>
                  </w:r>
                </w:p>
              </w:tc>
              <w:tc>
                <w:tcPr>
                  <w:tcW w:w="1866" w:type="dxa"/>
                  <w:vAlign w:val="center"/>
                </w:tcPr>
                <w:p w14:paraId="6ECF682D">
                  <w:pPr>
                    <w:pStyle w:val="36"/>
                    <w:keepNext w:val="0"/>
                    <w:keepLines w:val="0"/>
                    <w:pageBreakBefore w:val="0"/>
                    <w:kinsoku/>
                    <w:overflowPunct/>
                    <w:bidi w:val="0"/>
                    <w:adjustRightInd/>
                    <w:snapToGrid/>
                    <w:ind w:left="0" w:firstLine="0" w:firstLineChars="0"/>
                    <w:jc w:val="center"/>
                    <w:rPr>
                      <w:color w:val="auto"/>
                      <w:sz w:val="21"/>
                      <w:szCs w:val="21"/>
                    </w:rPr>
                  </w:pPr>
                  <w:r>
                    <w:rPr>
                      <w:rFonts w:hint="eastAsia"/>
                      <w:color w:val="auto"/>
                      <w:sz w:val="21"/>
                      <w:szCs w:val="21"/>
                      <w:lang w:val="en-US" w:eastAsia="zh-CN"/>
                    </w:rPr>
                    <w:t>/</w:t>
                  </w:r>
                </w:p>
              </w:tc>
            </w:tr>
          </w:tbl>
          <w:p w14:paraId="2C67F05E">
            <w:pPr>
              <w:keepNext w:val="0"/>
              <w:keepLines w:val="0"/>
              <w:pageBreakBefore w:val="0"/>
              <w:widowControl w:val="0"/>
              <w:numPr>
                <w:ilvl w:val="0"/>
                <w:numId w:val="3"/>
              </w:numPr>
              <w:kinsoku/>
              <w:wordWrap/>
              <w:overflowPunct/>
              <w:topLinePunct w:val="0"/>
              <w:autoSpaceDE/>
              <w:autoSpaceDN/>
              <w:bidi w:val="0"/>
              <w:adjustRightInd/>
              <w:snapToGrid/>
              <w:ind w:firstLine="0" w:firstLineChars="0"/>
              <w:textAlignment w:val="auto"/>
              <w:rPr>
                <w:b/>
                <w:bCs/>
                <w:color w:val="auto"/>
              </w:rPr>
            </w:pPr>
            <w:r>
              <w:rPr>
                <w:rFonts w:hint="eastAsia"/>
                <w:b/>
                <w:bCs/>
                <w:color w:val="auto"/>
              </w:rPr>
              <w:t>原辅料及能源消耗</w:t>
            </w:r>
          </w:p>
          <w:p w14:paraId="3C519075">
            <w:pPr>
              <w:keepNext w:val="0"/>
              <w:keepLines w:val="0"/>
              <w:pageBreakBefore w:val="0"/>
              <w:widowControl w:val="0"/>
              <w:kinsoku/>
              <w:wordWrap/>
              <w:overflowPunct/>
              <w:topLinePunct w:val="0"/>
              <w:autoSpaceDE/>
              <w:autoSpaceDN/>
              <w:bidi w:val="0"/>
              <w:adjustRightInd/>
              <w:snapToGrid/>
              <w:ind w:firstLine="480"/>
              <w:textAlignment w:val="auto"/>
              <w:rPr>
                <w:color w:val="auto"/>
              </w:rPr>
            </w:pPr>
            <w:r>
              <w:rPr>
                <w:rFonts w:hint="eastAsia"/>
                <w:color w:val="auto"/>
              </w:rPr>
              <w:t>主要原辅料及能源消耗见下表。</w:t>
            </w:r>
          </w:p>
          <w:p w14:paraId="1AABA7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auto"/>
                <w:lang w:val="en-US" w:eastAsia="zh-CN"/>
              </w:rPr>
            </w:pPr>
            <w:r>
              <w:rPr>
                <w:rFonts w:hint="eastAsia"/>
                <w:b/>
                <w:bCs/>
                <w:color w:val="auto"/>
                <w:lang w:val="en-US" w:eastAsia="zh-CN"/>
              </w:rPr>
              <w:t>表2-8  能源站原料</w:t>
            </w:r>
            <w:r>
              <w:rPr>
                <w:rFonts w:hint="eastAsia"/>
                <w:b/>
                <w:bCs/>
                <w:color w:val="auto"/>
                <w:lang w:eastAsia="zh-CN"/>
              </w:rPr>
              <w:t>、</w:t>
            </w:r>
            <w:r>
              <w:rPr>
                <w:rFonts w:hint="eastAsia"/>
                <w:b/>
                <w:bCs/>
                <w:color w:val="auto"/>
                <w:lang w:val="en-US" w:eastAsia="zh-CN"/>
              </w:rPr>
              <w:t>能耗消耗一览表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40"/>
              <w:gridCol w:w="1650"/>
              <w:gridCol w:w="4451"/>
            </w:tblGrid>
            <w:tr w14:paraId="3381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6" w:type="dxa"/>
                  <w:vAlign w:val="center"/>
                </w:tcPr>
                <w:p w14:paraId="3BC51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1440" w:type="dxa"/>
                  <w:vAlign w:val="center"/>
                </w:tcPr>
                <w:p w14:paraId="69466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名称</w:t>
                  </w:r>
                </w:p>
              </w:tc>
              <w:tc>
                <w:tcPr>
                  <w:tcW w:w="1650" w:type="dxa"/>
                  <w:vAlign w:val="center"/>
                </w:tcPr>
                <w:p w14:paraId="3FA75F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本项目</w:t>
                  </w:r>
                </w:p>
              </w:tc>
              <w:tc>
                <w:tcPr>
                  <w:tcW w:w="4451" w:type="dxa"/>
                  <w:vAlign w:val="center"/>
                </w:tcPr>
                <w:p w14:paraId="2BD1D0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z w:val="21"/>
                      <w:szCs w:val="21"/>
                      <w:vertAlign w:val="baseline"/>
                      <w:lang w:val="en-US" w:eastAsia="zh-CN"/>
                    </w:rPr>
                  </w:pPr>
                  <w:r>
                    <w:rPr>
                      <w:rFonts w:hint="eastAsia"/>
                      <w:b/>
                      <w:bCs/>
                      <w:color w:val="auto"/>
                      <w:sz w:val="21"/>
                      <w:szCs w:val="21"/>
                    </w:rPr>
                    <w:t>备注</w:t>
                  </w:r>
                </w:p>
              </w:tc>
            </w:tr>
            <w:tr w14:paraId="5CFD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6" w:type="dxa"/>
                  <w:vAlign w:val="center"/>
                </w:tcPr>
                <w:p w14:paraId="539E09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w:t>
                  </w:r>
                </w:p>
              </w:tc>
              <w:tc>
                <w:tcPr>
                  <w:tcW w:w="1440" w:type="dxa"/>
                  <w:vAlign w:val="center"/>
                </w:tcPr>
                <w:p w14:paraId="567F7E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水</w:t>
                  </w:r>
                </w:p>
              </w:tc>
              <w:tc>
                <w:tcPr>
                  <w:tcW w:w="1650" w:type="dxa"/>
                  <w:shd w:val="clear" w:color="auto" w:fill="auto"/>
                  <w:vAlign w:val="center"/>
                </w:tcPr>
                <w:p w14:paraId="7431B7AD">
                  <w:pPr>
                    <w:pStyle w:val="4"/>
                    <w:ind w:firstLine="0" w:firstLineChars="0"/>
                    <w:outlineLvl w:val="0"/>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2063.87</w:t>
                  </w:r>
                  <w:r>
                    <w:rPr>
                      <w:rFonts w:hint="eastAsia"/>
                      <w:color w:val="auto"/>
                    </w:rPr>
                    <w:t>m</w:t>
                  </w:r>
                  <w:r>
                    <w:rPr>
                      <w:rFonts w:hint="eastAsia"/>
                      <w:color w:val="auto"/>
                      <w:vertAlign w:val="superscript"/>
                    </w:rPr>
                    <w:t>3</w:t>
                  </w:r>
                  <w:r>
                    <w:rPr>
                      <w:rFonts w:hint="eastAsia"/>
                      <w:color w:val="auto"/>
                    </w:rPr>
                    <w:t>/a</w:t>
                  </w:r>
                </w:p>
              </w:tc>
              <w:tc>
                <w:tcPr>
                  <w:tcW w:w="4451" w:type="dxa"/>
                  <w:shd w:val="clear" w:color="auto" w:fill="auto"/>
                  <w:vAlign w:val="center"/>
                </w:tcPr>
                <w:p w14:paraId="27738634">
                  <w:pPr>
                    <w:pStyle w:val="4"/>
                    <w:bidi w:val="0"/>
                    <w:ind w:firstLine="0" w:firstLineChars="0"/>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市政</w:t>
                  </w:r>
                  <w:r>
                    <w:rPr>
                      <w:rFonts w:hint="default"/>
                      <w:color w:val="auto"/>
                    </w:rPr>
                    <w:t>供水管网供给</w:t>
                  </w:r>
                </w:p>
              </w:tc>
            </w:tr>
            <w:tr w14:paraId="407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6" w:type="dxa"/>
                  <w:shd w:val="clear" w:color="auto" w:fill="auto"/>
                  <w:vAlign w:val="center"/>
                </w:tcPr>
                <w:p w14:paraId="2C8E84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2</w:t>
                  </w:r>
                </w:p>
              </w:tc>
              <w:tc>
                <w:tcPr>
                  <w:tcW w:w="1440" w:type="dxa"/>
                  <w:shd w:val="clear" w:color="auto" w:fill="auto"/>
                  <w:vAlign w:val="center"/>
                </w:tcPr>
                <w:p w14:paraId="7423EF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电</w:t>
                  </w:r>
                </w:p>
              </w:tc>
              <w:tc>
                <w:tcPr>
                  <w:tcW w:w="1650" w:type="dxa"/>
                  <w:shd w:val="clear" w:color="auto" w:fill="auto"/>
                  <w:vAlign w:val="center"/>
                </w:tcPr>
                <w:p w14:paraId="15AF81D8">
                  <w:pPr>
                    <w:pStyle w:val="4"/>
                    <w:ind w:firstLine="0" w:firstLineChars="0"/>
                    <w:outlineLvl w:val="0"/>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3050</w:t>
                  </w:r>
                  <w:r>
                    <w:rPr>
                      <w:color w:val="auto"/>
                    </w:rPr>
                    <w:t>万kWh/a</w:t>
                  </w:r>
                </w:p>
              </w:tc>
              <w:tc>
                <w:tcPr>
                  <w:tcW w:w="4451" w:type="dxa"/>
                  <w:shd w:val="clear" w:color="auto" w:fill="auto"/>
                  <w:vAlign w:val="center"/>
                </w:tcPr>
                <w:p w14:paraId="2AFD364E">
                  <w:pPr>
                    <w:pStyle w:val="4"/>
                    <w:bidi w:val="0"/>
                    <w:ind w:firstLine="0" w:firstLineChars="0"/>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市政</w:t>
                  </w:r>
                  <w:r>
                    <w:rPr>
                      <w:rFonts w:hint="eastAsia" w:cs="Times New Roman"/>
                      <w:color w:val="auto"/>
                      <w:kern w:val="44"/>
                      <w:sz w:val="21"/>
                      <w:szCs w:val="24"/>
                      <w:lang w:val="en-US" w:eastAsia="zh-CN" w:bidi="ar-SA"/>
                    </w:rPr>
                    <w:t>供电管网供给</w:t>
                  </w:r>
                </w:p>
              </w:tc>
            </w:tr>
            <w:tr w14:paraId="5EF8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24316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w:t>
                  </w:r>
                </w:p>
              </w:tc>
              <w:tc>
                <w:tcPr>
                  <w:tcW w:w="1440" w:type="dxa"/>
                  <w:vAlign w:val="center"/>
                </w:tcPr>
                <w:p w14:paraId="011598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戊烷燃料</w:t>
                  </w:r>
                </w:p>
              </w:tc>
              <w:tc>
                <w:tcPr>
                  <w:tcW w:w="1650" w:type="dxa"/>
                  <w:shd w:val="clear" w:color="auto" w:fill="auto"/>
                  <w:vAlign w:val="center"/>
                </w:tcPr>
                <w:p w14:paraId="3428E217">
                  <w:pPr>
                    <w:pStyle w:val="4"/>
                    <w:ind w:firstLine="0" w:firstLineChars="0"/>
                    <w:outlineLvl w:val="0"/>
                    <w:rPr>
                      <w:rFonts w:hint="default"/>
                      <w:color w:val="auto"/>
                      <w:lang w:val="en-US" w:eastAsia="zh-CN"/>
                    </w:rPr>
                  </w:pPr>
                  <w:r>
                    <w:rPr>
                      <w:rFonts w:hint="eastAsia"/>
                      <w:color w:val="auto"/>
                      <w:lang w:val="en-US" w:eastAsia="zh-CN"/>
                    </w:rPr>
                    <w:t>150t/a</w:t>
                  </w:r>
                </w:p>
              </w:tc>
              <w:tc>
                <w:tcPr>
                  <w:tcW w:w="4451" w:type="dxa"/>
                  <w:shd w:val="clear" w:color="auto" w:fill="auto"/>
                  <w:vAlign w:val="center"/>
                </w:tcPr>
                <w:p w14:paraId="52B4E5B7">
                  <w:pPr>
                    <w:pStyle w:val="4"/>
                    <w:bidi w:val="0"/>
                    <w:ind w:firstLine="0" w:firstLineChars="0"/>
                    <w:rPr>
                      <w:rFonts w:hint="default"/>
                      <w:color w:val="auto"/>
                      <w:lang w:val="en-US"/>
                    </w:rPr>
                  </w:pPr>
                  <w:r>
                    <w:rPr>
                      <w:rFonts w:hint="eastAsia" w:eastAsiaTheme="minorEastAsia"/>
                      <w:color w:val="auto"/>
                      <w:szCs w:val="21"/>
                      <w:vertAlign w:val="baseline"/>
                      <w:lang w:val="en-US" w:eastAsia="zh-CN"/>
                    </w:rPr>
                    <w:t>最大暂存量为70t、罐车运输、液态暂存于地埋式储罐区、利用</w:t>
                  </w:r>
                  <w:r>
                    <w:rPr>
                      <w:rFonts w:hint="default" w:ascii="Times New Roman" w:hAnsi="Times New Roman" w:cs="Times New Roman"/>
                      <w:color w:val="auto"/>
                    </w:rPr>
                    <w:t>气化机组</w:t>
                  </w:r>
                  <w:r>
                    <w:rPr>
                      <w:rFonts w:hint="eastAsia" w:eastAsiaTheme="minorEastAsia"/>
                      <w:color w:val="auto"/>
                      <w:szCs w:val="21"/>
                      <w:vertAlign w:val="baseline"/>
                      <w:lang w:val="en-US" w:eastAsia="zh-CN"/>
                    </w:rPr>
                    <w:t>将液态戊烷转化为气态戊烷，以便作为燃料使用，1t转换为1m</w:t>
                  </w:r>
                  <w:r>
                    <w:rPr>
                      <w:rFonts w:hint="eastAsia" w:eastAsiaTheme="minorEastAsia"/>
                      <w:color w:val="auto"/>
                      <w:szCs w:val="21"/>
                      <w:vertAlign w:val="superscript"/>
                      <w:lang w:val="en-US" w:eastAsia="zh-CN"/>
                    </w:rPr>
                    <w:t>3</w:t>
                  </w:r>
                  <w:r>
                    <w:rPr>
                      <w:rFonts w:hint="eastAsia" w:eastAsiaTheme="minorEastAsia"/>
                      <w:color w:val="auto"/>
                      <w:szCs w:val="21"/>
                      <w:vertAlign w:val="baseline"/>
                      <w:lang w:val="en-US" w:eastAsia="zh-CN"/>
                    </w:rPr>
                    <w:t>，按照</w:t>
                  </w:r>
                  <w:r>
                    <w:rPr>
                      <w:rFonts w:hint="eastAsia"/>
                      <w:color w:val="auto"/>
                      <w:lang w:val="en-US" w:eastAsia="zh-CN"/>
                    </w:rPr>
                    <w:t>天然气热值折算，天然气用量约为760m</w:t>
                  </w:r>
                  <w:r>
                    <w:rPr>
                      <w:rFonts w:hint="eastAsia"/>
                      <w:color w:val="auto"/>
                      <w:vertAlign w:val="superscript"/>
                      <w:lang w:val="en-US" w:eastAsia="zh-CN"/>
                    </w:rPr>
                    <w:t>3</w:t>
                  </w:r>
                </w:p>
              </w:tc>
            </w:tr>
            <w:tr w14:paraId="0AF6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6" w:type="dxa"/>
                  <w:vAlign w:val="center"/>
                </w:tcPr>
                <w:p w14:paraId="51F2E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1440" w:type="dxa"/>
                  <w:vAlign w:val="center"/>
                </w:tcPr>
                <w:p w14:paraId="58CBC2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氯化钠</w:t>
                  </w:r>
                </w:p>
              </w:tc>
              <w:tc>
                <w:tcPr>
                  <w:tcW w:w="1650" w:type="dxa"/>
                  <w:shd w:val="clear" w:color="auto" w:fill="auto"/>
                  <w:vAlign w:val="center"/>
                </w:tcPr>
                <w:p w14:paraId="48758B14">
                  <w:pPr>
                    <w:pStyle w:val="4"/>
                    <w:ind w:firstLine="0" w:firstLineChars="0"/>
                    <w:outlineLvl w:val="0"/>
                    <w:rPr>
                      <w:rFonts w:hint="default"/>
                      <w:color w:val="auto"/>
                      <w:lang w:val="en-US" w:eastAsia="zh-CN"/>
                    </w:rPr>
                  </w:pPr>
                  <w:r>
                    <w:rPr>
                      <w:rFonts w:hint="eastAsia"/>
                      <w:color w:val="auto"/>
                      <w:lang w:val="en-US" w:eastAsia="zh-CN"/>
                    </w:rPr>
                    <w:t>20kg</w:t>
                  </w:r>
                </w:p>
              </w:tc>
              <w:tc>
                <w:tcPr>
                  <w:tcW w:w="4451" w:type="dxa"/>
                  <w:shd w:val="clear" w:color="auto" w:fill="auto"/>
                  <w:vAlign w:val="center"/>
                </w:tcPr>
                <w:p w14:paraId="3250BDEA">
                  <w:pPr>
                    <w:pStyle w:val="4"/>
                    <w:bidi w:val="0"/>
                    <w:ind w:firstLine="0" w:firstLineChars="0"/>
                    <w:rPr>
                      <w:rFonts w:hint="default" w:eastAsia="宋体"/>
                      <w:color w:val="auto"/>
                      <w:lang w:val="en-US" w:eastAsia="zh-CN"/>
                    </w:rPr>
                  </w:pPr>
                  <w:r>
                    <w:rPr>
                      <w:rFonts w:hint="eastAsia"/>
                      <w:color w:val="auto"/>
                      <w:lang w:val="en-US" w:eastAsia="zh-CN"/>
                    </w:rPr>
                    <w:t>软水处置装置定期添加使用</w:t>
                  </w:r>
                  <w:r>
                    <w:rPr>
                      <w:rFonts w:hint="eastAsia"/>
                      <w:color w:val="auto"/>
                      <w:lang w:eastAsia="zh-CN"/>
                    </w:rPr>
                    <w:t>、</w:t>
                  </w:r>
                  <w:r>
                    <w:rPr>
                      <w:rFonts w:hint="eastAsia"/>
                      <w:color w:val="auto"/>
                      <w:lang w:val="en-US" w:eastAsia="zh-CN"/>
                    </w:rPr>
                    <w:t>最大暂存量为20kg</w:t>
                  </w:r>
                </w:p>
              </w:tc>
            </w:tr>
          </w:tbl>
          <w:p w14:paraId="227F1B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rPr>
            </w:pPr>
            <w:r>
              <w:rPr>
                <w:rFonts w:hint="eastAsia" w:cs="Times New Roman"/>
                <w:b/>
                <w:bCs/>
                <w:color w:val="auto"/>
                <w:lang w:val="en-US" w:eastAsia="zh-CN"/>
              </w:rPr>
              <w:t>表2-9  管网铺设原材料消耗</w:t>
            </w:r>
            <w:r>
              <w:rPr>
                <w:rFonts w:hint="eastAsia"/>
                <w:b/>
                <w:bCs/>
                <w:color w:val="auto"/>
                <w:lang w:val="en-US" w:eastAsia="zh-CN"/>
              </w:rPr>
              <w:t>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576"/>
              <w:gridCol w:w="3321"/>
              <w:gridCol w:w="922"/>
              <w:gridCol w:w="876"/>
            </w:tblGrid>
            <w:tr w14:paraId="1EC8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3A83DB55">
                  <w:pPr>
                    <w:pStyle w:val="34"/>
                    <w:keepNext w:val="0"/>
                    <w:keepLines w:val="0"/>
                    <w:pageBreakBefore w:val="0"/>
                    <w:widowControl/>
                    <w:kinsoku/>
                    <w:wordWrap/>
                    <w:overflowPunct/>
                    <w:topLinePunct w:val="0"/>
                    <w:autoSpaceDE/>
                    <w:autoSpaceDN/>
                    <w:bidi w:val="0"/>
                    <w:adjustRightInd/>
                    <w:snapToGrid/>
                    <w:spacing w:before="0" w:beforeLines="0" w:after="0" w:line="240" w:lineRule="auto"/>
                    <w:ind w:left="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2576" w:type="dxa"/>
                  <w:vAlign w:val="center"/>
                </w:tcPr>
                <w:p w14:paraId="3B5A6070">
                  <w:pPr>
                    <w:pStyle w:val="34"/>
                    <w:keepNext w:val="0"/>
                    <w:keepLines w:val="0"/>
                    <w:pageBreakBefore w:val="0"/>
                    <w:widowControl/>
                    <w:kinsoku/>
                    <w:wordWrap/>
                    <w:overflowPunct/>
                    <w:topLinePunct w:val="0"/>
                    <w:autoSpaceDE/>
                    <w:autoSpaceDN/>
                    <w:bidi w:val="0"/>
                    <w:adjustRightInd/>
                    <w:snapToGrid/>
                    <w:spacing w:before="0" w:beforeLines="0" w:after="0" w:line="240" w:lineRule="auto"/>
                    <w:ind w:left="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名称</w:t>
                  </w:r>
                </w:p>
              </w:tc>
              <w:tc>
                <w:tcPr>
                  <w:tcW w:w="3321" w:type="dxa"/>
                  <w:vAlign w:val="center"/>
                </w:tcPr>
                <w:p w14:paraId="7F3ECC4A">
                  <w:pPr>
                    <w:pStyle w:val="34"/>
                    <w:keepNext w:val="0"/>
                    <w:keepLines w:val="0"/>
                    <w:pageBreakBefore w:val="0"/>
                    <w:widowControl/>
                    <w:kinsoku/>
                    <w:wordWrap/>
                    <w:overflowPunct/>
                    <w:topLinePunct w:val="0"/>
                    <w:autoSpaceDE/>
                    <w:autoSpaceDN/>
                    <w:bidi w:val="0"/>
                    <w:adjustRightInd/>
                    <w:snapToGrid/>
                    <w:spacing w:before="0" w:beforeLines="0" w:after="0" w:line="240" w:lineRule="auto"/>
                    <w:ind w:left="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规格、型号</w:t>
                  </w:r>
                </w:p>
              </w:tc>
              <w:tc>
                <w:tcPr>
                  <w:tcW w:w="922" w:type="dxa"/>
                  <w:vAlign w:val="center"/>
                </w:tcPr>
                <w:p w14:paraId="083E882D">
                  <w:pPr>
                    <w:pStyle w:val="34"/>
                    <w:keepNext w:val="0"/>
                    <w:keepLines w:val="0"/>
                    <w:pageBreakBefore w:val="0"/>
                    <w:widowControl/>
                    <w:kinsoku/>
                    <w:wordWrap/>
                    <w:overflowPunct/>
                    <w:topLinePunct w:val="0"/>
                    <w:autoSpaceDE/>
                    <w:autoSpaceDN/>
                    <w:bidi w:val="0"/>
                    <w:adjustRightInd/>
                    <w:snapToGrid/>
                    <w:spacing w:before="0" w:beforeLines="0" w:after="0" w:line="240" w:lineRule="auto"/>
                    <w:ind w:left="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材料</w:t>
                  </w:r>
                </w:p>
              </w:tc>
              <w:tc>
                <w:tcPr>
                  <w:tcW w:w="876" w:type="dxa"/>
                  <w:vAlign w:val="center"/>
                </w:tcPr>
                <w:p w14:paraId="5515BD84">
                  <w:pPr>
                    <w:pStyle w:val="34"/>
                    <w:keepNext w:val="0"/>
                    <w:keepLines w:val="0"/>
                    <w:pageBreakBefore w:val="0"/>
                    <w:widowControl/>
                    <w:kinsoku/>
                    <w:wordWrap/>
                    <w:overflowPunct/>
                    <w:topLinePunct w:val="0"/>
                    <w:autoSpaceDE/>
                    <w:autoSpaceDN/>
                    <w:bidi w:val="0"/>
                    <w:adjustRightInd/>
                    <w:snapToGrid/>
                    <w:spacing w:before="0" w:beforeLines="0" w:after="0" w:line="240" w:lineRule="auto"/>
                    <w:ind w:left="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数量</w:t>
                  </w:r>
                </w:p>
              </w:tc>
            </w:tr>
            <w:tr w14:paraId="393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25549000">
                  <w:pPr>
                    <w:pStyle w:val="36"/>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1</w:t>
                  </w:r>
                </w:p>
              </w:tc>
              <w:tc>
                <w:tcPr>
                  <w:tcW w:w="2576" w:type="dxa"/>
                  <w:vAlign w:val="center"/>
                </w:tcPr>
                <w:p w14:paraId="71B03BBD">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无缝钢管</w:t>
                  </w:r>
                </w:p>
              </w:tc>
              <w:tc>
                <w:tcPr>
                  <w:tcW w:w="3321" w:type="dxa"/>
                  <w:vAlign w:val="center"/>
                </w:tcPr>
                <w:p w14:paraId="14581A84">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Φ325×8</w:t>
                  </w:r>
                </w:p>
              </w:tc>
              <w:tc>
                <w:tcPr>
                  <w:tcW w:w="922" w:type="dxa"/>
                  <w:vAlign w:val="center"/>
                </w:tcPr>
                <w:p w14:paraId="3EE7E5FB">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876" w:type="dxa"/>
                  <w:vAlign w:val="center"/>
                </w:tcPr>
                <w:p w14:paraId="707214F2">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1200</w:t>
                  </w:r>
                  <w:r>
                    <w:rPr>
                      <w:rFonts w:hint="default" w:ascii="Times New Roman" w:hAnsi="Times New Roman" w:eastAsia="宋体" w:cs="Times New Roman"/>
                      <w:color w:val="auto"/>
                      <w:sz w:val="21"/>
                      <w:szCs w:val="21"/>
                      <w:lang w:val="en-US" w:eastAsia="zh-CN"/>
                    </w:rPr>
                    <w:t>m</w:t>
                  </w:r>
                </w:p>
              </w:tc>
            </w:tr>
            <w:tr w14:paraId="0103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29484FC9">
                  <w:pPr>
                    <w:pStyle w:val="36"/>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2</w:t>
                  </w:r>
                </w:p>
              </w:tc>
              <w:tc>
                <w:tcPr>
                  <w:tcW w:w="2576" w:type="dxa"/>
                  <w:vAlign w:val="center"/>
                </w:tcPr>
                <w:p w14:paraId="483A839B">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eastAsia"/>
                      <w:color w:val="auto"/>
                      <w:lang w:val="en-US" w:eastAsia="zh-CN"/>
                    </w:rPr>
                    <w:t>采用预制高密度聚乙烯聚氨酯保温管</w:t>
                  </w:r>
                </w:p>
              </w:tc>
              <w:tc>
                <w:tcPr>
                  <w:tcW w:w="3321" w:type="dxa"/>
                  <w:vAlign w:val="center"/>
                </w:tcPr>
                <w:p w14:paraId="5F8287D8">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D325×8（内管）、D720×9（外管），20#</w:t>
                  </w:r>
                </w:p>
              </w:tc>
              <w:tc>
                <w:tcPr>
                  <w:tcW w:w="922" w:type="dxa"/>
                  <w:vAlign w:val="center"/>
                </w:tcPr>
                <w:p w14:paraId="3EB6650C">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组合件</w:t>
                  </w:r>
                </w:p>
              </w:tc>
              <w:tc>
                <w:tcPr>
                  <w:tcW w:w="876" w:type="dxa"/>
                  <w:vAlign w:val="center"/>
                </w:tcPr>
                <w:p w14:paraId="677459BA">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2500m</w:t>
                  </w:r>
                </w:p>
              </w:tc>
            </w:tr>
            <w:tr w14:paraId="1708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1F01710D">
                  <w:pPr>
                    <w:pStyle w:val="36"/>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eastAsia"/>
                      <w:color w:val="auto"/>
                      <w:sz w:val="21"/>
                      <w:szCs w:val="21"/>
                      <w:lang w:val="en-US" w:eastAsia="zh-CN"/>
                    </w:rPr>
                    <w:t>3</w:t>
                  </w:r>
                </w:p>
              </w:tc>
              <w:tc>
                <w:tcPr>
                  <w:tcW w:w="2576" w:type="dxa"/>
                  <w:vAlign w:val="center"/>
                </w:tcPr>
                <w:p w14:paraId="53841CC1">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r>
                    <w:rPr>
                      <w:rFonts w:hint="default" w:ascii="Times New Roman" w:hAnsi="Times New Roman" w:eastAsia="宋体" w:cs="Times New Roman"/>
                      <w:color w:val="auto"/>
                      <w:sz w:val="21"/>
                      <w:szCs w:val="21"/>
                      <w:vertAlign w:val="superscript"/>
                      <w:lang w:val="en-US" w:eastAsia="zh-CN"/>
                    </w:rPr>
                    <w:t>o</w:t>
                  </w:r>
                  <w:r>
                    <w:rPr>
                      <w:rFonts w:hint="default" w:ascii="Times New Roman" w:hAnsi="Times New Roman" w:eastAsia="宋体" w:cs="Times New Roman"/>
                      <w:color w:val="auto"/>
                      <w:sz w:val="21"/>
                      <w:szCs w:val="21"/>
                      <w:lang w:val="en-US" w:eastAsia="zh-CN"/>
                    </w:rPr>
                    <w:t>弯头（直埋管道转直埋管道）</w:t>
                  </w:r>
                </w:p>
              </w:tc>
              <w:tc>
                <w:tcPr>
                  <w:tcW w:w="3321" w:type="dxa"/>
                  <w:vAlign w:val="center"/>
                </w:tcPr>
                <w:p w14:paraId="0EADF6A7">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D325×8</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内管</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/D1020×9</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外管</w:t>
                  </w:r>
                  <w:r>
                    <w:rPr>
                      <w:rFonts w:hint="eastAsia" w:cs="Times New Roman"/>
                      <w:color w:val="auto"/>
                      <w:sz w:val="21"/>
                      <w:szCs w:val="21"/>
                      <w:lang w:val="en-US" w:eastAsia="zh-CN"/>
                    </w:rPr>
                    <w:t>）</w:t>
                  </w:r>
                </w:p>
              </w:tc>
              <w:tc>
                <w:tcPr>
                  <w:tcW w:w="922" w:type="dxa"/>
                  <w:vAlign w:val="center"/>
                </w:tcPr>
                <w:p w14:paraId="2F894E57">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组合件</w:t>
                  </w:r>
                </w:p>
              </w:tc>
              <w:tc>
                <w:tcPr>
                  <w:tcW w:w="876" w:type="dxa"/>
                  <w:vAlign w:val="center"/>
                </w:tcPr>
                <w:p w14:paraId="01752822">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1个</w:t>
                  </w:r>
                </w:p>
              </w:tc>
            </w:tr>
            <w:tr w14:paraId="55FB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75893D05">
                  <w:pPr>
                    <w:pStyle w:val="36"/>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eastAsia"/>
                      <w:color w:val="auto"/>
                      <w:sz w:val="21"/>
                      <w:szCs w:val="21"/>
                      <w:lang w:val="en-US" w:eastAsia="zh-CN"/>
                    </w:rPr>
                    <w:t>4</w:t>
                  </w:r>
                </w:p>
              </w:tc>
              <w:tc>
                <w:tcPr>
                  <w:tcW w:w="2576" w:type="dxa"/>
                  <w:vAlign w:val="center"/>
                </w:tcPr>
                <w:p w14:paraId="499A59FE">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w:t>
                  </w:r>
                  <w:r>
                    <w:rPr>
                      <w:rFonts w:hint="default" w:ascii="Times New Roman" w:hAnsi="Times New Roman" w:eastAsia="宋体" w:cs="Times New Roman"/>
                      <w:color w:val="auto"/>
                      <w:sz w:val="21"/>
                      <w:szCs w:val="21"/>
                      <w:vertAlign w:val="superscript"/>
                      <w:lang w:val="en-US" w:eastAsia="zh-CN"/>
                    </w:rPr>
                    <w:t>o</w:t>
                  </w:r>
                  <w:r>
                    <w:rPr>
                      <w:rFonts w:hint="default" w:ascii="Times New Roman" w:hAnsi="Times New Roman" w:eastAsia="宋体" w:cs="Times New Roman"/>
                      <w:color w:val="auto"/>
                      <w:sz w:val="21"/>
                      <w:szCs w:val="21"/>
                      <w:lang w:val="en-US" w:eastAsia="zh-CN"/>
                    </w:rPr>
                    <w:t>弯头（出入地弯头）</w:t>
                  </w:r>
                </w:p>
              </w:tc>
              <w:tc>
                <w:tcPr>
                  <w:tcW w:w="3321" w:type="dxa"/>
                  <w:vAlign w:val="center"/>
                </w:tcPr>
                <w:p w14:paraId="631BD78B">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D325</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8</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内管</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/D1220</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9</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外管</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H=3500mm</w:t>
                  </w:r>
                </w:p>
              </w:tc>
              <w:tc>
                <w:tcPr>
                  <w:tcW w:w="922" w:type="dxa"/>
                  <w:vAlign w:val="center"/>
                </w:tcPr>
                <w:p w14:paraId="083C68B4">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组合件</w:t>
                  </w:r>
                </w:p>
              </w:tc>
              <w:tc>
                <w:tcPr>
                  <w:tcW w:w="876" w:type="dxa"/>
                  <w:vAlign w:val="center"/>
                </w:tcPr>
                <w:p w14:paraId="50FF6878">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6个</w:t>
                  </w:r>
                </w:p>
              </w:tc>
            </w:tr>
            <w:tr w14:paraId="7481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1C16E698">
                  <w:pPr>
                    <w:pStyle w:val="36"/>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eastAsia"/>
                      <w:color w:val="auto"/>
                      <w:sz w:val="21"/>
                      <w:szCs w:val="21"/>
                      <w:lang w:val="en-US" w:eastAsia="zh-CN"/>
                    </w:rPr>
                    <w:t>5</w:t>
                  </w:r>
                </w:p>
              </w:tc>
              <w:tc>
                <w:tcPr>
                  <w:tcW w:w="2576" w:type="dxa"/>
                  <w:vAlign w:val="center"/>
                </w:tcPr>
                <w:p w14:paraId="200FDBB5">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钢套钢直埋式轴向外压无约束型波纹补偿器</w:t>
                  </w:r>
                </w:p>
              </w:tc>
              <w:tc>
                <w:tcPr>
                  <w:tcW w:w="3321" w:type="dxa"/>
                  <w:vAlign w:val="center"/>
                </w:tcPr>
                <w:p w14:paraId="6AB70540">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ZWY300-2.5/240 内管长度L=6000mm</w:t>
                  </w:r>
                  <w:r>
                    <w:rPr>
                      <w:rFonts w:hint="default" w:ascii="Times New Roman" w:hAnsi="Times New Roman" w:eastAsia="宋体" w:cs="Times New Roman"/>
                      <w:color w:val="auto"/>
                      <w:sz w:val="21"/>
                      <w:szCs w:val="21"/>
                      <w:lang w:eastAsia="zh-CN"/>
                    </w:rPr>
                    <w:t>；工作压力=1.6MPa，工作温度=260°C；设计温度=300°C，设计压力=2.5MPa.</w:t>
                  </w:r>
                </w:p>
              </w:tc>
              <w:tc>
                <w:tcPr>
                  <w:tcW w:w="922" w:type="dxa"/>
                  <w:shd w:val="clear" w:color="auto" w:fill="auto"/>
                  <w:vAlign w:val="center"/>
                </w:tcPr>
                <w:p w14:paraId="631495DC">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组合件</w:t>
                  </w:r>
                </w:p>
              </w:tc>
              <w:tc>
                <w:tcPr>
                  <w:tcW w:w="876" w:type="dxa"/>
                  <w:shd w:val="clear" w:color="auto" w:fill="auto"/>
                  <w:vAlign w:val="center"/>
                </w:tcPr>
                <w:p w14:paraId="10534B1D">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25个</w:t>
                  </w:r>
                </w:p>
              </w:tc>
            </w:tr>
            <w:tr w14:paraId="4D29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1727E6E3">
                  <w:pPr>
                    <w:pStyle w:val="36"/>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eastAsia"/>
                      <w:color w:val="auto"/>
                      <w:sz w:val="21"/>
                      <w:szCs w:val="21"/>
                      <w:lang w:val="en-US" w:eastAsia="zh-CN"/>
                    </w:rPr>
                    <w:t>6</w:t>
                  </w:r>
                </w:p>
              </w:tc>
              <w:tc>
                <w:tcPr>
                  <w:tcW w:w="2576" w:type="dxa"/>
                  <w:vAlign w:val="center"/>
                </w:tcPr>
                <w:p w14:paraId="28CF3D0C">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90°无缝热压夸头</w:t>
                  </w:r>
                </w:p>
              </w:tc>
              <w:tc>
                <w:tcPr>
                  <w:tcW w:w="3321" w:type="dxa"/>
                  <w:vAlign w:val="center"/>
                </w:tcPr>
                <w:p w14:paraId="26DF9F7D">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DN300 PN4.0MPa</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R=1.5D</w:t>
                  </w:r>
                </w:p>
              </w:tc>
              <w:tc>
                <w:tcPr>
                  <w:tcW w:w="922" w:type="dxa"/>
                  <w:vAlign w:val="center"/>
                </w:tcPr>
                <w:p w14:paraId="2AE008D9">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876" w:type="dxa"/>
                  <w:vAlign w:val="center"/>
                </w:tcPr>
                <w:p w14:paraId="5CBEDB20">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12个</w:t>
                  </w:r>
                </w:p>
              </w:tc>
            </w:tr>
            <w:tr w14:paraId="7F91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2A679D4A">
                  <w:pPr>
                    <w:pStyle w:val="36"/>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eastAsia"/>
                      <w:color w:val="auto"/>
                      <w:sz w:val="21"/>
                      <w:szCs w:val="21"/>
                      <w:lang w:val="en-US" w:eastAsia="zh-CN"/>
                    </w:rPr>
                    <w:t>7</w:t>
                  </w:r>
                </w:p>
              </w:tc>
              <w:tc>
                <w:tcPr>
                  <w:tcW w:w="2576" w:type="dxa"/>
                  <w:vAlign w:val="center"/>
                </w:tcPr>
                <w:p w14:paraId="52518A0B">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45°无缝热压弯头</w:t>
                  </w:r>
                </w:p>
              </w:tc>
              <w:tc>
                <w:tcPr>
                  <w:tcW w:w="3321" w:type="dxa"/>
                  <w:vAlign w:val="center"/>
                </w:tcPr>
                <w:p w14:paraId="4412CFDF">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DN300 PN4.0MPa</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R=1.5D</w:t>
                  </w:r>
                </w:p>
              </w:tc>
              <w:tc>
                <w:tcPr>
                  <w:tcW w:w="922" w:type="dxa"/>
                  <w:vAlign w:val="center"/>
                </w:tcPr>
                <w:p w14:paraId="2A821E43">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876" w:type="dxa"/>
                  <w:vAlign w:val="center"/>
                </w:tcPr>
                <w:p w14:paraId="7F4A4850">
                  <w:pPr>
                    <w:pStyle w:val="36"/>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6个</w:t>
                  </w:r>
                </w:p>
              </w:tc>
            </w:tr>
          </w:tbl>
          <w:p w14:paraId="44CC9046">
            <w:pPr>
              <w:pStyle w:val="34"/>
              <w:keepNext w:val="0"/>
              <w:keepLines w:val="0"/>
              <w:pageBreakBefore w:val="0"/>
              <w:widowControl/>
              <w:kinsoku/>
              <w:wordWrap/>
              <w:overflowPunct/>
              <w:topLinePunct w:val="0"/>
              <w:autoSpaceDE/>
              <w:autoSpaceDN/>
              <w:bidi w:val="0"/>
              <w:adjustRightInd/>
              <w:snapToGrid/>
              <w:spacing w:before="0" w:beforeLines="0" w:after="0" w:line="240" w:lineRule="auto"/>
              <w:ind w:left="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bCs w:val="0"/>
                <w:color w:val="auto"/>
                <w:lang w:val="en-US" w:eastAsia="zh-CN"/>
              </w:rPr>
              <w:t>表2-</w:t>
            </w:r>
            <w:r>
              <w:rPr>
                <w:rFonts w:hint="eastAsia" w:ascii="Times New Roman" w:hAnsi="Times New Roman" w:eastAsia="宋体" w:cs="Times New Roman"/>
                <w:b/>
                <w:bCs w:val="0"/>
                <w:color w:val="auto"/>
                <w:lang w:val="en-US" w:eastAsia="zh-CN"/>
              </w:rPr>
              <w:t>10</w:t>
            </w:r>
            <w:r>
              <w:rPr>
                <w:rFonts w:hint="default" w:ascii="Times New Roman" w:hAnsi="Times New Roman" w:eastAsia="宋体" w:cs="Times New Roman"/>
                <w:b/>
                <w:bCs w:val="0"/>
                <w:color w:val="auto"/>
                <w:lang w:val="en-US" w:eastAsia="zh-CN"/>
              </w:rPr>
              <w:t xml:space="preserve">  </w:t>
            </w:r>
            <w:r>
              <w:rPr>
                <w:rFonts w:hint="eastAsia" w:eastAsia="宋体" w:cs="Times New Roman"/>
                <w:b/>
                <w:bCs w:val="0"/>
                <w:color w:val="auto"/>
                <w:lang w:val="en-US" w:eastAsia="zh-CN"/>
              </w:rPr>
              <w:t>管网铺设</w:t>
            </w:r>
            <w:r>
              <w:rPr>
                <w:rFonts w:hint="eastAsia" w:ascii="Times New Roman" w:hAnsi="Times New Roman" w:eastAsia="宋体" w:cs="Times New Roman"/>
                <w:b/>
                <w:bCs w:val="0"/>
                <w:color w:val="auto"/>
                <w:lang w:val="en-US" w:eastAsia="zh-CN"/>
              </w:rPr>
              <w:t>施工期</w:t>
            </w:r>
            <w:r>
              <w:rPr>
                <w:rFonts w:hint="default" w:ascii="Times New Roman" w:hAnsi="Times New Roman" w:eastAsia="宋体" w:cs="Times New Roman"/>
                <w:b/>
                <w:bCs w:val="0"/>
                <w:color w:val="auto"/>
                <w:lang w:val="en-US" w:eastAsia="zh-CN"/>
              </w:rPr>
              <w:t>主要辅料用量</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128"/>
              <w:gridCol w:w="1380"/>
              <w:gridCol w:w="1590"/>
              <w:gridCol w:w="2578"/>
            </w:tblGrid>
            <w:tr w14:paraId="17F6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Align w:val="center"/>
                </w:tcPr>
                <w:p w14:paraId="5F385489">
                  <w:pPr>
                    <w:pStyle w:val="36"/>
                    <w:keepNext w:val="0"/>
                    <w:keepLines w:val="0"/>
                    <w:pageBreakBefore w:val="0"/>
                    <w:kinsoku/>
                    <w:overflowPunct/>
                    <w:bidi w:val="0"/>
                    <w:adjustRightInd/>
                    <w:snapToGrid/>
                    <w:ind w:left="0"/>
                    <w:jc w:val="center"/>
                    <w:rPr>
                      <w:rFonts w:hint="default"/>
                      <w:b/>
                      <w:bCs/>
                      <w:color w:val="auto"/>
                      <w:lang w:val="en-US" w:eastAsia="zh-CN"/>
                    </w:rPr>
                  </w:pPr>
                  <w:r>
                    <w:rPr>
                      <w:rFonts w:hint="eastAsia"/>
                      <w:b/>
                      <w:bCs/>
                      <w:color w:val="auto"/>
                      <w:lang w:val="en-US" w:eastAsia="zh-CN"/>
                    </w:rPr>
                    <w:t>序号</w:t>
                  </w:r>
                </w:p>
              </w:tc>
              <w:tc>
                <w:tcPr>
                  <w:tcW w:w="2128" w:type="dxa"/>
                  <w:vAlign w:val="center"/>
                </w:tcPr>
                <w:p w14:paraId="05B185B4">
                  <w:pPr>
                    <w:pStyle w:val="36"/>
                    <w:keepNext w:val="0"/>
                    <w:keepLines w:val="0"/>
                    <w:pageBreakBefore w:val="0"/>
                    <w:kinsoku/>
                    <w:overflowPunct/>
                    <w:bidi w:val="0"/>
                    <w:adjustRightInd/>
                    <w:snapToGrid/>
                    <w:ind w:left="0"/>
                    <w:jc w:val="center"/>
                    <w:rPr>
                      <w:rFonts w:hint="default"/>
                      <w:b/>
                      <w:bCs/>
                      <w:color w:val="auto"/>
                      <w:lang w:val="en-US" w:eastAsia="zh-CN"/>
                    </w:rPr>
                  </w:pPr>
                  <w:r>
                    <w:rPr>
                      <w:rFonts w:hint="eastAsia"/>
                      <w:b/>
                      <w:bCs/>
                      <w:color w:val="auto"/>
                      <w:lang w:val="en-US" w:eastAsia="zh-CN"/>
                    </w:rPr>
                    <w:t>辅料</w:t>
                  </w:r>
                </w:p>
              </w:tc>
              <w:tc>
                <w:tcPr>
                  <w:tcW w:w="1380" w:type="dxa"/>
                  <w:vAlign w:val="center"/>
                </w:tcPr>
                <w:p w14:paraId="0D3BD756">
                  <w:pPr>
                    <w:pStyle w:val="36"/>
                    <w:keepNext w:val="0"/>
                    <w:keepLines w:val="0"/>
                    <w:pageBreakBefore w:val="0"/>
                    <w:kinsoku/>
                    <w:overflowPunct/>
                    <w:bidi w:val="0"/>
                    <w:adjustRightInd/>
                    <w:snapToGrid/>
                    <w:ind w:left="0"/>
                    <w:jc w:val="center"/>
                    <w:rPr>
                      <w:rFonts w:hint="default"/>
                      <w:b/>
                      <w:bCs/>
                      <w:color w:val="auto"/>
                      <w:lang w:val="en-US" w:eastAsia="zh-CN"/>
                    </w:rPr>
                  </w:pPr>
                  <w:r>
                    <w:rPr>
                      <w:rFonts w:hint="eastAsia"/>
                      <w:b/>
                      <w:bCs/>
                      <w:color w:val="auto"/>
                      <w:lang w:val="en-US" w:eastAsia="zh-CN"/>
                    </w:rPr>
                    <w:t>用量</w:t>
                  </w:r>
                </w:p>
              </w:tc>
              <w:tc>
                <w:tcPr>
                  <w:tcW w:w="1590" w:type="dxa"/>
                  <w:vAlign w:val="center"/>
                </w:tcPr>
                <w:p w14:paraId="35C6ACAB">
                  <w:pPr>
                    <w:pStyle w:val="36"/>
                    <w:keepNext w:val="0"/>
                    <w:keepLines w:val="0"/>
                    <w:pageBreakBefore w:val="0"/>
                    <w:kinsoku/>
                    <w:overflowPunct/>
                    <w:bidi w:val="0"/>
                    <w:adjustRightInd/>
                    <w:snapToGrid/>
                    <w:ind w:left="0"/>
                    <w:jc w:val="center"/>
                    <w:rPr>
                      <w:rFonts w:hint="default"/>
                      <w:b/>
                      <w:bCs/>
                      <w:color w:val="auto"/>
                      <w:lang w:val="en-US" w:eastAsia="zh-CN"/>
                    </w:rPr>
                  </w:pPr>
                  <w:r>
                    <w:rPr>
                      <w:rFonts w:hint="eastAsia"/>
                      <w:b/>
                      <w:bCs/>
                      <w:color w:val="auto"/>
                      <w:lang w:val="en-US" w:eastAsia="zh-CN"/>
                    </w:rPr>
                    <w:t>单位</w:t>
                  </w:r>
                </w:p>
              </w:tc>
              <w:tc>
                <w:tcPr>
                  <w:tcW w:w="2578" w:type="dxa"/>
                  <w:vAlign w:val="center"/>
                </w:tcPr>
                <w:p w14:paraId="59E58BE8">
                  <w:pPr>
                    <w:pStyle w:val="36"/>
                    <w:keepNext w:val="0"/>
                    <w:keepLines w:val="0"/>
                    <w:pageBreakBefore w:val="0"/>
                    <w:kinsoku/>
                    <w:overflowPunct/>
                    <w:bidi w:val="0"/>
                    <w:adjustRightInd/>
                    <w:snapToGrid/>
                    <w:ind w:left="0"/>
                    <w:jc w:val="center"/>
                    <w:rPr>
                      <w:rFonts w:hint="default"/>
                      <w:b/>
                      <w:bCs/>
                      <w:color w:val="auto"/>
                      <w:lang w:val="en-US" w:eastAsia="zh-CN"/>
                    </w:rPr>
                  </w:pPr>
                  <w:r>
                    <w:rPr>
                      <w:rFonts w:hint="eastAsia"/>
                      <w:b/>
                      <w:bCs/>
                      <w:color w:val="auto"/>
                      <w:lang w:val="en-US" w:eastAsia="zh-CN"/>
                    </w:rPr>
                    <w:t>备注</w:t>
                  </w:r>
                </w:p>
              </w:tc>
            </w:tr>
            <w:tr w14:paraId="4AF0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Align w:val="center"/>
                </w:tcPr>
                <w:p w14:paraId="52D5D638">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1</w:t>
                  </w:r>
                </w:p>
              </w:tc>
              <w:tc>
                <w:tcPr>
                  <w:tcW w:w="2128" w:type="dxa"/>
                  <w:vAlign w:val="center"/>
                </w:tcPr>
                <w:p w14:paraId="50BBD0C8">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焊丝</w:t>
                  </w:r>
                </w:p>
              </w:tc>
              <w:tc>
                <w:tcPr>
                  <w:tcW w:w="1380" w:type="dxa"/>
                  <w:vAlign w:val="center"/>
                </w:tcPr>
                <w:p w14:paraId="014244D4">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3</w:t>
                  </w:r>
                </w:p>
              </w:tc>
              <w:tc>
                <w:tcPr>
                  <w:tcW w:w="1590" w:type="dxa"/>
                  <w:vAlign w:val="center"/>
                </w:tcPr>
                <w:p w14:paraId="26A1B4B1">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t/a</w:t>
                  </w:r>
                </w:p>
              </w:tc>
              <w:tc>
                <w:tcPr>
                  <w:tcW w:w="2578" w:type="dxa"/>
                  <w:vAlign w:val="center"/>
                </w:tcPr>
                <w:p w14:paraId="087D0AB1">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外购</w:t>
                  </w:r>
                </w:p>
              </w:tc>
            </w:tr>
            <w:tr w14:paraId="1699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Align w:val="center"/>
                </w:tcPr>
                <w:p w14:paraId="71DA783E">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2</w:t>
                  </w:r>
                </w:p>
              </w:tc>
              <w:tc>
                <w:tcPr>
                  <w:tcW w:w="2128" w:type="dxa"/>
                  <w:vAlign w:val="center"/>
                </w:tcPr>
                <w:p w14:paraId="5FE4564B">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砂石</w:t>
                  </w:r>
                </w:p>
              </w:tc>
              <w:tc>
                <w:tcPr>
                  <w:tcW w:w="1380" w:type="dxa"/>
                  <w:vAlign w:val="center"/>
                </w:tcPr>
                <w:p w14:paraId="169DA31F">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6465.862</w:t>
                  </w:r>
                </w:p>
              </w:tc>
              <w:tc>
                <w:tcPr>
                  <w:tcW w:w="1590" w:type="dxa"/>
                  <w:vAlign w:val="center"/>
                </w:tcPr>
                <w:p w14:paraId="3F7F3EBB">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m</w:t>
                  </w:r>
                  <w:r>
                    <w:rPr>
                      <w:rFonts w:hint="eastAsia"/>
                      <w:color w:val="auto"/>
                      <w:vertAlign w:val="superscript"/>
                      <w:lang w:val="en-US" w:eastAsia="zh-CN"/>
                    </w:rPr>
                    <w:t>3</w:t>
                  </w:r>
                  <w:r>
                    <w:rPr>
                      <w:rFonts w:hint="eastAsia"/>
                      <w:color w:val="auto"/>
                      <w:lang w:val="en-US" w:eastAsia="zh-CN"/>
                    </w:rPr>
                    <w:t>/a</w:t>
                  </w:r>
                </w:p>
              </w:tc>
              <w:tc>
                <w:tcPr>
                  <w:tcW w:w="2578" w:type="dxa"/>
                  <w:vAlign w:val="center"/>
                </w:tcPr>
                <w:p w14:paraId="59F8286B">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外购砂石料</w:t>
                  </w:r>
                </w:p>
              </w:tc>
            </w:tr>
            <w:tr w14:paraId="011A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Align w:val="center"/>
                </w:tcPr>
                <w:p w14:paraId="07B9DB1B">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3</w:t>
                  </w:r>
                </w:p>
              </w:tc>
              <w:tc>
                <w:tcPr>
                  <w:tcW w:w="2128" w:type="dxa"/>
                  <w:vAlign w:val="center"/>
                </w:tcPr>
                <w:p w14:paraId="11FCE361">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水</w:t>
                  </w:r>
                </w:p>
              </w:tc>
              <w:tc>
                <w:tcPr>
                  <w:tcW w:w="1380" w:type="dxa"/>
                  <w:vAlign w:val="center"/>
                </w:tcPr>
                <w:p w14:paraId="48762B0F">
                  <w:pPr>
                    <w:pStyle w:val="36"/>
                    <w:keepNext w:val="0"/>
                    <w:keepLines w:val="0"/>
                    <w:pageBreakBefore w:val="0"/>
                    <w:kinsoku/>
                    <w:overflowPunct/>
                    <w:bidi w:val="0"/>
                    <w:adjustRightInd/>
                    <w:snapToGrid/>
                    <w:ind w:left="0"/>
                    <w:jc w:val="center"/>
                    <w:rPr>
                      <w:rFonts w:hint="default" w:eastAsia="宋体"/>
                      <w:color w:val="auto"/>
                      <w:lang w:val="en-US" w:eastAsia="zh-CN"/>
                    </w:rPr>
                  </w:pPr>
                  <w:r>
                    <w:rPr>
                      <w:rFonts w:hint="eastAsia"/>
                      <w:color w:val="auto"/>
                      <w:lang w:val="en-US" w:eastAsia="zh-CN"/>
                    </w:rPr>
                    <w:t>2518</w:t>
                  </w:r>
                </w:p>
              </w:tc>
              <w:tc>
                <w:tcPr>
                  <w:tcW w:w="1590" w:type="dxa"/>
                  <w:vAlign w:val="center"/>
                </w:tcPr>
                <w:p w14:paraId="3007F62C">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m</w:t>
                  </w:r>
                  <w:r>
                    <w:rPr>
                      <w:rFonts w:hint="eastAsia"/>
                      <w:color w:val="auto"/>
                      <w:vertAlign w:val="superscript"/>
                      <w:lang w:val="en-US" w:eastAsia="zh-CN"/>
                    </w:rPr>
                    <w:t>3</w:t>
                  </w:r>
                </w:p>
              </w:tc>
              <w:tc>
                <w:tcPr>
                  <w:tcW w:w="2578" w:type="dxa"/>
                  <w:vAlign w:val="center"/>
                </w:tcPr>
                <w:p w14:paraId="2A9DD51C">
                  <w:pPr>
                    <w:pStyle w:val="36"/>
                    <w:keepNext w:val="0"/>
                    <w:keepLines w:val="0"/>
                    <w:pageBreakBefore w:val="0"/>
                    <w:kinsoku/>
                    <w:overflowPunct/>
                    <w:bidi w:val="0"/>
                    <w:adjustRightInd/>
                    <w:snapToGrid/>
                    <w:ind w:left="0"/>
                    <w:jc w:val="center"/>
                    <w:rPr>
                      <w:rFonts w:hint="default"/>
                      <w:color w:val="auto"/>
                      <w:lang w:val="en-US" w:eastAsia="zh-CN"/>
                    </w:rPr>
                  </w:pPr>
                  <w:r>
                    <w:rPr>
                      <w:rFonts w:hint="eastAsia"/>
                      <w:color w:val="auto"/>
                      <w:lang w:val="en-US" w:eastAsia="zh-CN"/>
                    </w:rPr>
                    <w:t>市政管网供水</w:t>
                  </w:r>
                </w:p>
              </w:tc>
            </w:tr>
          </w:tbl>
          <w:p w14:paraId="5BC4406E">
            <w:pPr>
              <w:ind w:firstLine="482"/>
              <w:jc w:val="both"/>
              <w:rPr>
                <w:rFonts w:hint="eastAsia" w:cs="Times New Roman"/>
                <w:b/>
                <w:bCs/>
                <w:color w:val="auto"/>
                <w:lang w:val="en-US" w:eastAsia="zh-CN"/>
              </w:rPr>
            </w:pPr>
            <w:r>
              <w:rPr>
                <w:rFonts w:hint="eastAsia" w:cs="Times New Roman"/>
                <w:b/>
                <w:bCs/>
                <w:color w:val="auto"/>
                <w:lang w:val="en-US" w:eastAsia="zh-CN"/>
              </w:rPr>
              <w:t>原料理化性质：</w:t>
            </w:r>
          </w:p>
          <w:p w14:paraId="5F4ABAB4">
            <w:pPr>
              <w:pStyle w:val="2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color w:val="auto"/>
                <w:lang w:val="en-US" w:eastAsia="zh-CN"/>
              </w:rPr>
            </w:pPr>
            <w:r>
              <w:rPr>
                <w:rFonts w:hint="default"/>
                <w:b/>
                <w:bCs/>
                <w:color w:val="auto"/>
                <w:lang w:val="en-US" w:eastAsia="zh-CN"/>
              </w:rPr>
              <w:t>戊烷</w:t>
            </w:r>
            <w:r>
              <w:rPr>
                <w:rFonts w:hint="eastAsia"/>
                <w:b/>
                <w:bCs/>
                <w:color w:val="auto"/>
                <w:lang w:val="en-US" w:eastAsia="zh-CN"/>
              </w:rPr>
              <w:t>气体</w:t>
            </w:r>
            <w:r>
              <w:rPr>
                <w:rFonts w:hint="default"/>
                <w:b/>
                <w:bCs/>
                <w:color w:val="auto"/>
                <w:lang w:val="en-US" w:eastAsia="zh-CN"/>
              </w:rPr>
              <w:t>燃料</w:t>
            </w:r>
            <w:r>
              <w:rPr>
                <w:rFonts w:hint="eastAsia"/>
                <w:b/>
                <w:bCs/>
                <w:color w:val="auto"/>
                <w:lang w:val="en-US" w:eastAsia="zh-CN"/>
              </w:rPr>
              <w:t>：</w:t>
            </w:r>
            <w:r>
              <w:rPr>
                <w:rFonts w:hint="eastAsia"/>
                <w:color w:val="auto"/>
                <w:lang w:val="en-US" w:eastAsia="zh-CN"/>
              </w:rPr>
              <w:t>戊烷是一种无色、有微弱的薄荷香味，沸点为36</w:t>
            </w:r>
            <w:r>
              <w:rPr>
                <w:rFonts w:hint="default" w:ascii="Times New Roman" w:hAnsi="Times New Roman" w:cs="Times New Roman"/>
                <w:color w:val="auto"/>
                <w:lang w:val="en-US" w:eastAsia="zh-CN"/>
              </w:rPr>
              <w:t>℃</w:t>
            </w:r>
            <w:r>
              <w:rPr>
                <w:rFonts w:hint="eastAsia"/>
                <w:color w:val="auto"/>
                <w:lang w:val="en-US" w:eastAsia="zh-CN"/>
              </w:rPr>
              <w:t>。溶于水、溶于乙醇、乙醚。在常温下，戊烷不易挥发，但易燃，能与空气形成易燃性混合物‌，戊烷是一种饱和烃，属于单烷基链烃，化学性质比较稳定，不容易被氧化，不易形成自由基。在高温环境下或在特定催化剂的作用下，戊烷会发生热解，生成丙烯、丁烯等混合物。</w:t>
            </w:r>
          </w:p>
          <w:p w14:paraId="2A29E1B8">
            <w:pPr>
              <w:keepNext w:val="0"/>
              <w:keepLines w:val="0"/>
              <w:pageBreakBefore w:val="0"/>
              <w:widowControl w:val="0"/>
              <w:kinsoku/>
              <w:wordWrap/>
              <w:overflowPunct/>
              <w:topLinePunct w:val="0"/>
              <w:autoSpaceDE/>
              <w:autoSpaceDN/>
              <w:bidi w:val="0"/>
              <w:adjustRightInd/>
              <w:snapToGrid/>
              <w:ind w:firstLine="482"/>
              <w:jc w:val="both"/>
              <w:textAlignment w:val="auto"/>
              <w:rPr>
                <w:rFonts w:hint="eastAsia"/>
                <w:b/>
                <w:bCs/>
                <w:color w:val="auto"/>
                <w:lang w:val="en-US" w:eastAsia="zh-CN"/>
              </w:rPr>
            </w:pPr>
            <w:r>
              <w:rPr>
                <w:rFonts w:hint="eastAsia"/>
                <w:b/>
                <w:bCs/>
                <w:color w:val="auto"/>
                <w:lang w:val="en-US" w:eastAsia="zh-CN"/>
              </w:rPr>
              <w:t>氯化钠：</w:t>
            </w:r>
            <w:r>
              <w:rPr>
                <w:rFonts w:hint="eastAsia"/>
                <w:b w:val="0"/>
                <w:bCs w:val="0"/>
                <w:color w:val="auto"/>
                <w:lang w:val="en-US" w:eastAsia="zh-CN"/>
              </w:rPr>
              <w:t>氯化钠为白色晶体粉末或结晶体，氯化钠易溶于水，在常温下每100毫升水可以溶解36克氯化钠；微溶于乙醇、丙醇、丁烷，不溶于浓盐酸，氯化钠在常温下不与空气发生反应，是一种稳定的化合物，软水装置主要通过离子交换技术去除水中的钙、镁等硬度离子。在这个过程中，树脂会吸附水中的硬度离子，但随着时间的推移，树脂会逐渐饱和，失去吸附能力。此时，需要使用氯化钠（盐）进行树脂再生。通过将高浓度的氯化钠溶液通过树脂，可以将树脂中的硬度离子置换出来，恢复其吸附能力，从而保证软水装置的持续运行‌。</w:t>
            </w:r>
          </w:p>
          <w:p w14:paraId="5EE836D6">
            <w:pPr>
              <w:keepNext w:val="0"/>
              <w:keepLines w:val="0"/>
              <w:pageBreakBefore w:val="0"/>
              <w:widowControl w:val="0"/>
              <w:kinsoku/>
              <w:wordWrap/>
              <w:overflowPunct/>
              <w:topLinePunct w:val="0"/>
              <w:autoSpaceDE/>
              <w:autoSpaceDN/>
              <w:bidi w:val="0"/>
              <w:adjustRightInd/>
              <w:snapToGrid/>
              <w:ind w:firstLine="482"/>
              <w:jc w:val="both"/>
              <w:textAlignment w:val="auto"/>
              <w:rPr>
                <w:rFonts w:hint="eastAsia" w:eastAsia="宋体"/>
                <w:color w:val="auto"/>
                <w:lang w:val="en-US" w:eastAsia="zh-CN"/>
              </w:rPr>
            </w:pPr>
            <w:r>
              <w:rPr>
                <w:rFonts w:hint="eastAsia"/>
                <w:b/>
                <w:bCs/>
                <w:color w:val="auto"/>
                <w:lang w:val="en-US" w:eastAsia="zh-CN"/>
              </w:rPr>
              <w:t>焊丝：</w:t>
            </w:r>
            <w:r>
              <w:rPr>
                <w:rFonts w:hint="eastAsia"/>
                <w:color w:val="auto"/>
                <w:lang w:val="en-US" w:eastAsia="zh-CN"/>
              </w:rPr>
              <w:t>焊丝是作为填充金属或同时作为</w:t>
            </w:r>
            <w:r>
              <w:rPr>
                <w:rFonts w:hint="eastAsia"/>
                <w:color w:val="auto"/>
                <w:lang w:val="en-US" w:eastAsia="zh-CN"/>
              </w:rPr>
              <w:fldChar w:fldCharType="begin"/>
            </w:r>
            <w:r>
              <w:rPr>
                <w:rFonts w:hint="eastAsia"/>
                <w:color w:val="auto"/>
                <w:lang w:val="en-US" w:eastAsia="zh-CN"/>
              </w:rPr>
              <w:instrText xml:space="preserve"> HYPERLINK "https://baike.baidu.com/item/%E5%AF%BC%E7%94%B5/8936379?fromModule=lemma_inlink" \t "https://baike.baidu.com/item/%E7%84%8A%E4%B8%9D/_blank" </w:instrText>
            </w:r>
            <w:r>
              <w:rPr>
                <w:rFonts w:hint="eastAsia"/>
                <w:color w:val="auto"/>
                <w:lang w:val="en-US" w:eastAsia="zh-CN"/>
              </w:rPr>
              <w:fldChar w:fldCharType="separate"/>
            </w:r>
            <w:r>
              <w:rPr>
                <w:rFonts w:hint="eastAsia"/>
                <w:color w:val="auto"/>
                <w:lang w:val="en-US" w:eastAsia="zh-CN"/>
              </w:rPr>
              <w:t>导电</w:t>
            </w:r>
            <w:r>
              <w:rPr>
                <w:rFonts w:hint="eastAsia"/>
                <w:color w:val="auto"/>
                <w:lang w:val="en-US" w:eastAsia="zh-CN"/>
              </w:rPr>
              <w:fldChar w:fldCharType="end"/>
            </w:r>
            <w:r>
              <w:rPr>
                <w:rFonts w:hint="eastAsia"/>
                <w:color w:val="auto"/>
                <w:lang w:val="en-US" w:eastAsia="zh-CN"/>
              </w:rPr>
              <w:t>用的金属丝焊接材料。在</w:t>
            </w:r>
            <w:r>
              <w:rPr>
                <w:rFonts w:hint="eastAsia"/>
                <w:color w:val="auto"/>
                <w:lang w:val="en-US" w:eastAsia="zh-CN"/>
              </w:rPr>
              <w:fldChar w:fldCharType="begin"/>
            </w:r>
            <w:r>
              <w:rPr>
                <w:rFonts w:hint="eastAsia"/>
                <w:color w:val="auto"/>
                <w:lang w:val="en-US" w:eastAsia="zh-CN"/>
              </w:rPr>
              <w:instrText xml:space="preserve"> HYPERLINK "https://baike.baidu.com/item/%E6%B0%94%E7%84%8A/4361710?fromModule=lemma_inlink" \t "https://baike.baidu.com/item/%E7%84%8A%E4%B8%9D/_blank" </w:instrText>
            </w:r>
            <w:r>
              <w:rPr>
                <w:rFonts w:hint="eastAsia"/>
                <w:color w:val="auto"/>
                <w:lang w:val="en-US" w:eastAsia="zh-CN"/>
              </w:rPr>
              <w:fldChar w:fldCharType="separate"/>
            </w:r>
            <w:r>
              <w:rPr>
                <w:rFonts w:hint="eastAsia"/>
                <w:color w:val="auto"/>
                <w:lang w:val="en-US" w:eastAsia="zh-CN"/>
              </w:rPr>
              <w:t>气焊</w:t>
            </w:r>
            <w:r>
              <w:rPr>
                <w:rFonts w:hint="eastAsia"/>
                <w:color w:val="auto"/>
                <w:lang w:val="en-US" w:eastAsia="zh-CN"/>
              </w:rPr>
              <w:fldChar w:fldCharType="end"/>
            </w:r>
            <w:r>
              <w:rPr>
                <w:rFonts w:hint="eastAsia"/>
                <w:color w:val="auto"/>
                <w:lang w:val="en-US" w:eastAsia="zh-CN"/>
              </w:rPr>
              <w:t>和钨极气体保护</w:t>
            </w:r>
            <w:r>
              <w:rPr>
                <w:rFonts w:hint="eastAsia"/>
                <w:color w:val="auto"/>
                <w:lang w:val="en-US" w:eastAsia="zh-CN"/>
              </w:rPr>
              <w:fldChar w:fldCharType="begin"/>
            </w:r>
            <w:r>
              <w:rPr>
                <w:rFonts w:hint="eastAsia"/>
                <w:color w:val="auto"/>
                <w:lang w:val="en-US" w:eastAsia="zh-CN"/>
              </w:rPr>
              <w:instrText xml:space="preserve"> HYPERLINK "https://baike.baidu.com/item/%E7%94%B5%E5%BC%A7%E7%84%8A/0?fromModule=lemma_inlink" \t "https://baike.baidu.com/item/%E7%84%8A%E4%B8%9D/_blank" </w:instrText>
            </w:r>
            <w:r>
              <w:rPr>
                <w:rFonts w:hint="eastAsia"/>
                <w:color w:val="auto"/>
                <w:lang w:val="en-US" w:eastAsia="zh-CN"/>
              </w:rPr>
              <w:fldChar w:fldCharType="separate"/>
            </w:r>
            <w:r>
              <w:rPr>
                <w:rFonts w:hint="eastAsia"/>
                <w:color w:val="auto"/>
                <w:lang w:val="en-US" w:eastAsia="zh-CN"/>
              </w:rPr>
              <w:t>电弧焊</w:t>
            </w:r>
            <w:r>
              <w:rPr>
                <w:rFonts w:hint="eastAsia"/>
                <w:color w:val="auto"/>
                <w:lang w:val="en-US" w:eastAsia="zh-CN"/>
              </w:rPr>
              <w:fldChar w:fldCharType="end"/>
            </w:r>
            <w:r>
              <w:rPr>
                <w:rFonts w:hint="eastAsia"/>
                <w:color w:val="auto"/>
                <w:lang w:val="en-US" w:eastAsia="zh-CN"/>
              </w:rPr>
              <w:t>时，焊丝用作</w:t>
            </w:r>
            <w:r>
              <w:rPr>
                <w:rFonts w:hint="eastAsia"/>
                <w:color w:val="auto"/>
                <w:lang w:val="en-US" w:eastAsia="zh-CN"/>
              </w:rPr>
              <w:fldChar w:fldCharType="begin"/>
            </w:r>
            <w:r>
              <w:rPr>
                <w:rFonts w:hint="eastAsia"/>
                <w:color w:val="auto"/>
                <w:lang w:val="en-US" w:eastAsia="zh-CN"/>
              </w:rPr>
              <w:instrText xml:space="preserve"> HYPERLINK "https://baike.baidu.com/item/%E5%A1%AB%E5%85%85%E9%87%91%E5%B1%9E/12719740?fromModule=lemma_inlink" \t "https://baike.baidu.com/item/%E7%84%8A%E4%B8%9D/_blank" </w:instrText>
            </w:r>
            <w:r>
              <w:rPr>
                <w:rFonts w:hint="eastAsia"/>
                <w:color w:val="auto"/>
                <w:lang w:val="en-US" w:eastAsia="zh-CN"/>
              </w:rPr>
              <w:fldChar w:fldCharType="separate"/>
            </w:r>
            <w:r>
              <w:rPr>
                <w:rFonts w:hint="eastAsia"/>
                <w:color w:val="auto"/>
                <w:lang w:val="en-US" w:eastAsia="zh-CN"/>
              </w:rPr>
              <w:t>填充金属</w:t>
            </w:r>
            <w:r>
              <w:rPr>
                <w:rFonts w:hint="eastAsia"/>
                <w:color w:val="auto"/>
                <w:lang w:val="en-US" w:eastAsia="zh-CN"/>
              </w:rPr>
              <w:fldChar w:fldCharType="end"/>
            </w:r>
            <w:r>
              <w:rPr>
                <w:rFonts w:hint="eastAsia"/>
                <w:color w:val="auto"/>
                <w:lang w:val="en-US" w:eastAsia="zh-CN"/>
              </w:rPr>
              <w:t>；在</w:t>
            </w:r>
            <w:r>
              <w:rPr>
                <w:rFonts w:hint="eastAsia"/>
                <w:color w:val="auto"/>
                <w:lang w:val="en-US" w:eastAsia="zh-CN"/>
              </w:rPr>
              <w:fldChar w:fldCharType="begin"/>
            </w:r>
            <w:r>
              <w:rPr>
                <w:rFonts w:hint="eastAsia"/>
                <w:color w:val="auto"/>
                <w:lang w:val="en-US" w:eastAsia="zh-CN"/>
              </w:rPr>
              <w:instrText xml:space="preserve"> HYPERLINK "https://baike.baidu.com/item/%E5%9F%8B%E5%BC%A7%E7%84%8A/8369852?fromModule=lemma_inlink" \t "https://baike.baidu.com/item/%E7%84%8A%E4%B8%9D/_blank" </w:instrText>
            </w:r>
            <w:r>
              <w:rPr>
                <w:rFonts w:hint="eastAsia"/>
                <w:color w:val="auto"/>
                <w:lang w:val="en-US" w:eastAsia="zh-CN"/>
              </w:rPr>
              <w:fldChar w:fldCharType="separate"/>
            </w:r>
            <w:r>
              <w:rPr>
                <w:rFonts w:hint="eastAsia"/>
                <w:color w:val="auto"/>
                <w:lang w:val="en-US" w:eastAsia="zh-CN"/>
              </w:rPr>
              <w:t>埋弧焊</w:t>
            </w:r>
            <w:r>
              <w:rPr>
                <w:rFonts w:hint="eastAsia"/>
                <w:color w:val="auto"/>
                <w:lang w:val="en-US" w:eastAsia="zh-CN"/>
              </w:rPr>
              <w:fldChar w:fldCharType="end"/>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HYPERLINK "https://baike.baidu.com/item/%E7%94%B5%E6%B8%A3%E7%84%8A/7937434?fromModule=lemma_inlink" \t "https://baike.baidu.com/item/%E7%84%8A%E4%B8%9D/_blank" </w:instrText>
            </w:r>
            <w:r>
              <w:rPr>
                <w:rFonts w:hint="eastAsia"/>
                <w:color w:val="auto"/>
                <w:lang w:val="en-US" w:eastAsia="zh-CN"/>
              </w:rPr>
              <w:fldChar w:fldCharType="separate"/>
            </w:r>
            <w:r>
              <w:rPr>
                <w:rFonts w:hint="eastAsia"/>
                <w:color w:val="auto"/>
                <w:lang w:val="en-US" w:eastAsia="zh-CN"/>
              </w:rPr>
              <w:t>电渣焊</w:t>
            </w:r>
            <w:r>
              <w:rPr>
                <w:rFonts w:hint="eastAsia"/>
                <w:color w:val="auto"/>
                <w:lang w:val="en-US" w:eastAsia="zh-CN"/>
              </w:rPr>
              <w:fldChar w:fldCharType="end"/>
            </w:r>
            <w:r>
              <w:rPr>
                <w:rFonts w:hint="eastAsia"/>
                <w:color w:val="auto"/>
                <w:lang w:val="en-US" w:eastAsia="zh-CN"/>
              </w:rPr>
              <w:t>和其他</w:t>
            </w:r>
            <w:r>
              <w:rPr>
                <w:rFonts w:hint="eastAsia"/>
                <w:color w:val="auto"/>
                <w:lang w:val="en-US" w:eastAsia="zh-CN"/>
              </w:rPr>
              <w:fldChar w:fldCharType="begin"/>
            </w:r>
            <w:r>
              <w:rPr>
                <w:rFonts w:hint="eastAsia"/>
                <w:color w:val="auto"/>
                <w:lang w:val="en-US" w:eastAsia="zh-CN"/>
              </w:rPr>
              <w:instrText xml:space="preserve"> HYPERLINK "https://baike.baidu.com/item/%E7%86%94%E5%8C%96%E6%9E%81%E6%B0%94%E4%BD%93%E4%BF%9D%E6%8A%A4%E7%94%B5%E5%BC%A7%E7%84%8A/6352312?fromModule=lemma_inlink" \t "https://baike.baidu.com/item/%E7%84%8A%E4%B8%9D/_blank" </w:instrText>
            </w:r>
            <w:r>
              <w:rPr>
                <w:rFonts w:hint="eastAsia"/>
                <w:color w:val="auto"/>
                <w:lang w:val="en-US" w:eastAsia="zh-CN"/>
              </w:rPr>
              <w:fldChar w:fldCharType="separate"/>
            </w:r>
            <w:r>
              <w:rPr>
                <w:rFonts w:hint="eastAsia"/>
                <w:color w:val="auto"/>
                <w:lang w:val="en-US" w:eastAsia="zh-CN"/>
              </w:rPr>
              <w:t>熔化极气体保护电弧焊</w:t>
            </w:r>
            <w:r>
              <w:rPr>
                <w:rFonts w:hint="eastAsia"/>
                <w:color w:val="auto"/>
                <w:lang w:val="en-US" w:eastAsia="zh-CN"/>
              </w:rPr>
              <w:fldChar w:fldCharType="end"/>
            </w:r>
            <w:r>
              <w:rPr>
                <w:rFonts w:hint="eastAsia"/>
                <w:color w:val="auto"/>
                <w:lang w:val="en-US" w:eastAsia="zh-CN"/>
              </w:rPr>
              <w:t>时，焊丝既是填充金属，同时焊丝也是导电电极。焊丝的表面不涂防氧化作用的</w:t>
            </w:r>
            <w:r>
              <w:rPr>
                <w:rFonts w:hint="eastAsia"/>
                <w:color w:val="auto"/>
                <w:lang w:val="en-US" w:eastAsia="zh-CN"/>
              </w:rPr>
              <w:fldChar w:fldCharType="begin"/>
            </w:r>
            <w:r>
              <w:rPr>
                <w:rFonts w:hint="eastAsia"/>
                <w:color w:val="auto"/>
                <w:lang w:val="en-US" w:eastAsia="zh-CN"/>
              </w:rPr>
              <w:instrText xml:space="preserve"> HYPERLINK "https://baike.baidu.com/item/%E7%84%8A%E5%89%82/9847402?fromModule=lemma_inlink" \t "https://baike.baidu.com/item/%E7%84%8A%E4%B8%9D/_blank" </w:instrText>
            </w:r>
            <w:r>
              <w:rPr>
                <w:rFonts w:hint="eastAsia"/>
                <w:color w:val="auto"/>
                <w:lang w:val="en-US" w:eastAsia="zh-CN"/>
              </w:rPr>
              <w:fldChar w:fldCharType="separate"/>
            </w:r>
            <w:r>
              <w:rPr>
                <w:rFonts w:hint="eastAsia"/>
                <w:color w:val="auto"/>
                <w:lang w:val="en-US" w:eastAsia="zh-CN"/>
              </w:rPr>
              <w:t>焊剂</w:t>
            </w:r>
            <w:r>
              <w:rPr>
                <w:rFonts w:hint="eastAsia"/>
                <w:color w:val="auto"/>
                <w:lang w:val="en-US" w:eastAsia="zh-CN"/>
              </w:rPr>
              <w:fldChar w:fldCharType="end"/>
            </w:r>
            <w:r>
              <w:rPr>
                <w:rFonts w:hint="eastAsia"/>
                <w:color w:val="auto"/>
                <w:lang w:val="en-US" w:eastAsia="zh-CN"/>
              </w:rPr>
              <w:t>。</w:t>
            </w:r>
          </w:p>
          <w:p w14:paraId="05C26BDB">
            <w:pPr>
              <w:ind w:firstLine="0" w:firstLineChars="0"/>
              <w:rPr>
                <w:rFonts w:cs="宋体"/>
                <w:b/>
                <w:bCs/>
                <w:color w:val="auto"/>
              </w:rPr>
            </w:pPr>
            <w:r>
              <w:rPr>
                <w:rFonts w:hint="eastAsia" w:cs="宋体"/>
                <w:b/>
                <w:bCs/>
                <w:color w:val="auto"/>
              </w:rPr>
              <w:t>6、公用工程</w:t>
            </w:r>
          </w:p>
          <w:p w14:paraId="5FB55979">
            <w:pPr>
              <w:ind w:firstLine="0" w:firstLineChars="0"/>
              <w:rPr>
                <w:rFonts w:cs="宋体"/>
                <w:b/>
                <w:bCs/>
                <w:color w:val="auto"/>
              </w:rPr>
            </w:pPr>
            <w:r>
              <w:rPr>
                <w:rFonts w:hint="eastAsia" w:cs="宋体"/>
                <w:b/>
                <w:bCs/>
                <w:color w:val="auto"/>
              </w:rPr>
              <w:t>6.1用水量核算</w:t>
            </w:r>
          </w:p>
          <w:p w14:paraId="3451A8E1">
            <w:pPr>
              <w:ind w:left="0" w:leftChars="0" w:firstLine="0" w:firstLineChars="0"/>
              <w:rPr>
                <w:rFonts w:hint="eastAsia"/>
                <w:b/>
                <w:bCs/>
                <w:color w:val="auto"/>
                <w:lang w:val="en-US" w:eastAsia="zh-CN"/>
              </w:rPr>
            </w:pPr>
            <w:r>
              <w:rPr>
                <w:rFonts w:hint="default" w:ascii="Times New Roman" w:hAnsi="Times New Roman" w:eastAsia="微软雅黑" w:cs="Times New Roman"/>
                <w:b/>
                <w:bCs/>
                <w:sz w:val="24"/>
                <w:szCs w:val="24"/>
                <w:lang w:val="en-US" w:eastAsia="zh-CN"/>
              </w:rPr>
              <w:t xml:space="preserve">6.1.1 </w:t>
            </w:r>
            <w:r>
              <w:rPr>
                <w:rFonts w:hint="eastAsia"/>
                <w:b/>
                <w:bCs/>
                <w:lang w:val="en-US" w:eastAsia="zh-CN"/>
              </w:rPr>
              <w:t>能源站</w:t>
            </w:r>
            <w:r>
              <w:rPr>
                <w:rFonts w:hint="eastAsia"/>
                <w:b/>
                <w:bCs/>
                <w:color w:val="auto"/>
                <w:lang w:val="en-US" w:eastAsia="zh-CN"/>
              </w:rPr>
              <w:t>运营期用水</w:t>
            </w:r>
          </w:p>
          <w:p w14:paraId="0B66FD5A">
            <w:pPr>
              <w:ind w:firstLine="480"/>
              <w:rPr>
                <w:rFonts w:hint="eastAsia"/>
                <w:color w:val="auto"/>
              </w:rPr>
            </w:pPr>
            <w:r>
              <w:rPr>
                <w:rFonts w:hint="eastAsia"/>
                <w:color w:val="auto"/>
                <w:lang w:val="en-US" w:eastAsia="zh-CN"/>
              </w:rPr>
              <w:t>运营期</w:t>
            </w:r>
            <w:r>
              <w:rPr>
                <w:rFonts w:hint="eastAsia"/>
                <w:color w:val="auto"/>
              </w:rPr>
              <w:t>用水主要为员工生活用水、</w:t>
            </w:r>
            <w:r>
              <w:rPr>
                <w:rFonts w:hint="eastAsia"/>
                <w:color w:val="auto"/>
                <w:lang w:val="en-US" w:eastAsia="zh-CN"/>
              </w:rPr>
              <w:t>软水制备用水</w:t>
            </w:r>
            <w:r>
              <w:rPr>
                <w:rFonts w:hint="eastAsia"/>
                <w:color w:val="auto"/>
              </w:rPr>
              <w:t>等。</w:t>
            </w:r>
          </w:p>
          <w:p w14:paraId="4EAD3853">
            <w:pPr>
              <w:numPr>
                <w:ilvl w:val="0"/>
                <w:numId w:val="4"/>
              </w:numPr>
              <w:ind w:firstLine="482"/>
              <w:rPr>
                <w:b/>
                <w:color w:val="auto"/>
              </w:rPr>
            </w:pPr>
            <w:r>
              <w:rPr>
                <w:rFonts w:hint="eastAsia"/>
                <w:b/>
                <w:color w:val="auto"/>
              </w:rPr>
              <w:t>生活用水</w:t>
            </w:r>
          </w:p>
          <w:p w14:paraId="2924F3B1">
            <w:pPr>
              <w:ind w:firstLine="480"/>
              <w:rPr>
                <w:rFonts w:hint="default"/>
                <w:color w:val="auto"/>
                <w:lang w:val="en-US" w:eastAsia="zh-CN"/>
              </w:rPr>
            </w:pPr>
            <w:r>
              <w:rPr>
                <w:rFonts w:hint="eastAsia"/>
                <w:color w:val="auto"/>
              </w:rPr>
              <w:t>本项目</w:t>
            </w:r>
            <w:r>
              <w:rPr>
                <w:rFonts w:hint="eastAsia"/>
                <w:color w:val="auto"/>
                <w:lang w:val="en-US" w:eastAsia="zh-CN"/>
              </w:rPr>
              <w:t>在运营期设置6名劳动定员，年运行时间为210d</w:t>
            </w:r>
            <w:r>
              <w:rPr>
                <w:rFonts w:hint="eastAsia"/>
                <w:color w:val="auto"/>
              </w:rPr>
              <w:t>，</w:t>
            </w:r>
            <w:r>
              <w:rPr>
                <w:rFonts w:hint="eastAsia"/>
                <w:color w:val="auto"/>
                <w:lang w:val="en-US" w:eastAsia="zh-CN"/>
              </w:rPr>
              <w:t>其中</w:t>
            </w:r>
            <w:r>
              <w:rPr>
                <w:rFonts w:hint="default" w:ascii="Times New Roman" w:hAnsi="Times New Roman" w:cs="Times New Roman"/>
                <w:color w:val="auto"/>
                <w:lang w:val="en-US" w:eastAsia="zh-CN"/>
              </w:rPr>
              <w:t>锅炉仅在极寒天气下（零下10℃）进行</w:t>
            </w:r>
            <w:r>
              <w:rPr>
                <w:rFonts w:hint="eastAsia"/>
                <w:color w:val="auto"/>
                <w:lang w:val="en-US" w:eastAsia="zh-CN"/>
              </w:rPr>
              <w:t>备用，根据淮北市近30年气候特征，全年极寒天气最多为10天。因此，本项目备用锅炉使用时间为10d，正常天气下运行时间为200d。</w:t>
            </w:r>
          </w:p>
          <w:p w14:paraId="24321DB8">
            <w:pPr>
              <w:ind w:firstLine="480"/>
              <w:rPr>
                <w:color w:val="auto"/>
              </w:rPr>
            </w:pPr>
            <w:r>
              <w:rPr>
                <w:bCs/>
                <w:color w:val="auto"/>
              </w:rPr>
              <w:t>根据</w:t>
            </w:r>
            <w:r>
              <w:rPr>
                <w:color w:val="auto"/>
              </w:rPr>
              <w:t>《安徽省行业用水定额》（DB34/T 679-</w:t>
            </w:r>
            <w:r>
              <w:rPr>
                <w:rFonts w:hint="eastAsia"/>
                <w:color w:val="auto"/>
              </w:rPr>
              <w:t>2019</w:t>
            </w:r>
            <w:r>
              <w:rPr>
                <w:color w:val="auto"/>
              </w:rPr>
              <w:t>）</w:t>
            </w:r>
            <w:r>
              <w:rPr>
                <w:rFonts w:hint="eastAsia"/>
                <w:color w:val="auto"/>
              </w:rPr>
              <w:t>中的相关规定</w:t>
            </w:r>
            <w:r>
              <w:rPr>
                <w:color w:val="auto"/>
              </w:rPr>
              <w:t>，生活用水定额</w:t>
            </w:r>
            <w:r>
              <w:rPr>
                <w:rFonts w:hint="eastAsia"/>
                <w:color w:val="auto"/>
                <w:lang w:val="en-US" w:eastAsia="zh-CN"/>
              </w:rPr>
              <w:t>为60</w:t>
            </w:r>
            <w:r>
              <w:rPr>
                <w:color w:val="auto"/>
              </w:rPr>
              <w:t>L/人，则</w:t>
            </w:r>
            <w:r>
              <w:rPr>
                <w:rFonts w:hint="eastAsia"/>
                <w:color w:val="auto"/>
                <w:lang w:val="en-US" w:eastAsia="zh-CN"/>
              </w:rPr>
              <w:t>正常天气下运营期</w:t>
            </w:r>
            <w:r>
              <w:rPr>
                <w:color w:val="auto"/>
              </w:rPr>
              <w:t>生活用水量</w:t>
            </w:r>
            <w:r>
              <w:rPr>
                <w:rFonts w:hint="eastAsia"/>
                <w:color w:val="auto"/>
                <w:lang w:val="en-US" w:eastAsia="zh-CN"/>
              </w:rPr>
              <w:t>0.36</w:t>
            </w:r>
            <w:r>
              <w:rPr>
                <w:color w:val="auto"/>
                <w:kern w:val="0"/>
              </w:rPr>
              <w:t>m</w:t>
            </w:r>
            <w:r>
              <w:rPr>
                <w:color w:val="auto"/>
                <w:kern w:val="0"/>
                <w:vertAlign w:val="superscript"/>
              </w:rPr>
              <w:t>3</w:t>
            </w:r>
            <w:r>
              <w:rPr>
                <w:color w:val="auto"/>
              </w:rPr>
              <w:t>/d、</w:t>
            </w:r>
            <w:r>
              <w:rPr>
                <w:rFonts w:hint="eastAsia"/>
                <w:color w:val="auto"/>
                <w:lang w:val="en-US" w:eastAsia="zh-CN"/>
              </w:rPr>
              <w:t>72</w:t>
            </w:r>
            <w:r>
              <w:rPr>
                <w:color w:val="auto"/>
                <w:kern w:val="0"/>
              </w:rPr>
              <w:t>m</w:t>
            </w:r>
            <w:r>
              <w:rPr>
                <w:color w:val="auto"/>
                <w:kern w:val="0"/>
                <w:vertAlign w:val="superscript"/>
              </w:rPr>
              <w:t>3</w:t>
            </w:r>
            <w:r>
              <w:rPr>
                <w:color w:val="auto"/>
              </w:rPr>
              <w:t>/a</w:t>
            </w:r>
            <w:r>
              <w:rPr>
                <w:rFonts w:hint="eastAsia"/>
                <w:color w:val="auto"/>
                <w:lang w:eastAsia="zh-CN"/>
              </w:rPr>
              <w:t>，</w:t>
            </w:r>
            <w:r>
              <w:rPr>
                <w:rFonts w:hint="eastAsia"/>
                <w:color w:val="auto"/>
                <w:lang w:val="en-US" w:eastAsia="zh-CN"/>
              </w:rPr>
              <w:t>极寒天气下锅炉运行时生活用水量为0.36</w:t>
            </w:r>
            <w:r>
              <w:rPr>
                <w:color w:val="auto"/>
                <w:kern w:val="0"/>
              </w:rPr>
              <w:t>m</w:t>
            </w:r>
            <w:r>
              <w:rPr>
                <w:color w:val="auto"/>
                <w:kern w:val="0"/>
                <w:vertAlign w:val="superscript"/>
              </w:rPr>
              <w:t>3</w:t>
            </w:r>
            <w:r>
              <w:rPr>
                <w:color w:val="auto"/>
              </w:rPr>
              <w:t>/d、</w:t>
            </w:r>
            <w:r>
              <w:rPr>
                <w:rFonts w:hint="eastAsia"/>
                <w:color w:val="auto"/>
                <w:lang w:val="en-US" w:eastAsia="zh-CN"/>
              </w:rPr>
              <w:t>3.6</w:t>
            </w:r>
            <w:r>
              <w:rPr>
                <w:color w:val="auto"/>
                <w:kern w:val="0"/>
              </w:rPr>
              <w:t>m</w:t>
            </w:r>
            <w:r>
              <w:rPr>
                <w:color w:val="auto"/>
                <w:kern w:val="0"/>
                <w:vertAlign w:val="superscript"/>
              </w:rPr>
              <w:t>3</w:t>
            </w:r>
            <w:r>
              <w:rPr>
                <w:color w:val="auto"/>
              </w:rPr>
              <w:t>/a。生活污水产生系数按</w:t>
            </w:r>
            <w:r>
              <w:rPr>
                <w:rFonts w:hint="eastAsia"/>
                <w:color w:val="auto"/>
              </w:rPr>
              <w:t>80%</w:t>
            </w:r>
            <w:r>
              <w:rPr>
                <w:color w:val="auto"/>
              </w:rPr>
              <w:t>计，</w:t>
            </w:r>
            <w:r>
              <w:rPr>
                <w:rFonts w:hint="eastAsia"/>
                <w:color w:val="auto"/>
                <w:lang w:val="en-US" w:eastAsia="zh-CN"/>
              </w:rPr>
              <w:t>正常天气下运营期</w:t>
            </w:r>
            <w:r>
              <w:rPr>
                <w:color w:val="auto"/>
              </w:rPr>
              <w:t>即</w:t>
            </w:r>
            <w:r>
              <w:rPr>
                <w:rFonts w:hint="eastAsia"/>
                <w:color w:val="auto"/>
                <w:lang w:val="en-US" w:eastAsia="zh-CN"/>
              </w:rPr>
              <w:t>0.288</w:t>
            </w:r>
            <w:r>
              <w:rPr>
                <w:color w:val="auto"/>
              </w:rPr>
              <w:t>m</w:t>
            </w:r>
            <w:r>
              <w:rPr>
                <w:color w:val="auto"/>
                <w:vertAlign w:val="superscript"/>
              </w:rPr>
              <w:t>3</w:t>
            </w:r>
            <w:r>
              <w:rPr>
                <w:color w:val="auto"/>
              </w:rPr>
              <w:t>/d</w:t>
            </w:r>
            <w:r>
              <w:rPr>
                <w:rFonts w:hint="eastAsia"/>
                <w:color w:val="auto"/>
              </w:rPr>
              <w:t>、</w:t>
            </w:r>
            <w:r>
              <w:rPr>
                <w:rFonts w:hint="eastAsia"/>
                <w:color w:val="auto"/>
                <w:lang w:val="en-US" w:eastAsia="zh-CN"/>
              </w:rPr>
              <w:t>57.6</w:t>
            </w:r>
            <w:r>
              <w:rPr>
                <w:color w:val="auto"/>
              </w:rPr>
              <w:t>m</w:t>
            </w:r>
            <w:r>
              <w:rPr>
                <w:color w:val="auto"/>
                <w:vertAlign w:val="superscript"/>
              </w:rPr>
              <w:t>3</w:t>
            </w:r>
            <w:r>
              <w:rPr>
                <w:color w:val="auto"/>
              </w:rPr>
              <w:t>/a</w:t>
            </w:r>
            <w:r>
              <w:rPr>
                <w:rFonts w:hint="eastAsia"/>
                <w:color w:val="auto"/>
                <w:lang w:eastAsia="zh-CN"/>
              </w:rPr>
              <w:t>，</w:t>
            </w:r>
            <w:r>
              <w:rPr>
                <w:rFonts w:hint="eastAsia"/>
                <w:color w:val="auto"/>
                <w:lang w:val="en-US" w:eastAsia="zh-CN"/>
              </w:rPr>
              <w:t>极寒天气下锅炉运行时0.288</w:t>
            </w:r>
            <w:r>
              <w:rPr>
                <w:color w:val="auto"/>
              </w:rPr>
              <w:t>m</w:t>
            </w:r>
            <w:r>
              <w:rPr>
                <w:color w:val="auto"/>
                <w:vertAlign w:val="superscript"/>
              </w:rPr>
              <w:t>3</w:t>
            </w:r>
            <w:r>
              <w:rPr>
                <w:color w:val="auto"/>
              </w:rPr>
              <w:t>/d</w:t>
            </w:r>
            <w:r>
              <w:rPr>
                <w:rFonts w:hint="eastAsia"/>
                <w:color w:val="auto"/>
              </w:rPr>
              <w:t>、</w:t>
            </w:r>
            <w:r>
              <w:rPr>
                <w:rFonts w:hint="eastAsia"/>
                <w:color w:val="auto"/>
                <w:lang w:val="en-US" w:eastAsia="zh-CN"/>
              </w:rPr>
              <w:t>2.88</w:t>
            </w:r>
            <w:r>
              <w:rPr>
                <w:color w:val="auto"/>
              </w:rPr>
              <w:t>m</w:t>
            </w:r>
            <w:r>
              <w:rPr>
                <w:color w:val="auto"/>
                <w:vertAlign w:val="superscript"/>
              </w:rPr>
              <w:t>3</w:t>
            </w:r>
            <w:r>
              <w:rPr>
                <w:color w:val="auto"/>
              </w:rPr>
              <w:t>/a。</w:t>
            </w:r>
          </w:p>
          <w:p w14:paraId="6ACDFB8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b/>
                <w:bCs/>
                <w:color w:val="auto"/>
                <w:lang w:val="en-US" w:eastAsia="zh-CN"/>
              </w:rPr>
            </w:pPr>
            <w:r>
              <w:rPr>
                <w:rFonts w:hint="eastAsia"/>
                <w:b/>
                <w:bCs/>
                <w:color w:val="auto"/>
                <w:lang w:val="en-US" w:eastAsia="zh-CN"/>
              </w:rPr>
              <w:t>（2）软水制备用水</w:t>
            </w:r>
          </w:p>
          <w:p w14:paraId="3EC77FE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color w:val="auto"/>
              </w:rPr>
            </w:pPr>
            <w:r>
              <w:rPr>
                <w:rFonts w:hint="eastAsia"/>
                <w:color w:val="auto"/>
              </w:rPr>
              <w:t>本项目使用的</w:t>
            </w:r>
            <w:r>
              <w:rPr>
                <w:rFonts w:hint="default" w:ascii="Times New Roman" w:hAnsi="Times New Roman" w:cs="Times New Roman"/>
                <w:color w:val="auto"/>
                <w:lang w:val="en-US" w:eastAsia="zh-CN"/>
              </w:rPr>
              <w:t>全自动</w:t>
            </w:r>
            <w:r>
              <w:rPr>
                <w:rFonts w:hint="eastAsia" w:cs="Times New Roman"/>
                <w:color w:val="auto"/>
                <w:lang w:val="en-US" w:eastAsia="zh-CN"/>
              </w:rPr>
              <w:t>软水处理装置</w:t>
            </w:r>
            <w:r>
              <w:rPr>
                <w:rFonts w:hint="eastAsia"/>
                <w:color w:val="auto"/>
              </w:rPr>
              <w:t>，根据供应商提供的资料，自来水经</w:t>
            </w:r>
            <w:r>
              <w:rPr>
                <w:rFonts w:hint="default" w:ascii="Times New Roman" w:hAnsi="Times New Roman" w:cs="Times New Roman"/>
                <w:color w:val="auto"/>
                <w:lang w:val="en-US" w:eastAsia="zh-CN"/>
              </w:rPr>
              <w:t>全自动</w:t>
            </w:r>
            <w:r>
              <w:rPr>
                <w:rFonts w:hint="eastAsia" w:cs="Times New Roman"/>
                <w:color w:val="auto"/>
                <w:lang w:val="en-US" w:eastAsia="zh-CN"/>
              </w:rPr>
              <w:t>软水处理装置</w:t>
            </w:r>
            <w:r>
              <w:rPr>
                <w:rFonts w:hint="eastAsia"/>
                <w:color w:val="auto"/>
              </w:rPr>
              <w:t>处理后约75%为</w:t>
            </w:r>
            <w:r>
              <w:rPr>
                <w:rFonts w:hint="eastAsia"/>
                <w:color w:val="auto"/>
                <w:lang w:eastAsia="zh-CN"/>
              </w:rPr>
              <w:t>软水</w:t>
            </w:r>
            <w:r>
              <w:rPr>
                <w:rFonts w:hint="eastAsia"/>
                <w:color w:val="auto"/>
              </w:rPr>
              <w:t>，25%为</w:t>
            </w:r>
            <w:r>
              <w:rPr>
                <w:rFonts w:hint="eastAsia"/>
                <w:color w:val="auto"/>
                <w:lang w:eastAsia="zh-CN"/>
              </w:rPr>
              <w:t>软水</w:t>
            </w:r>
            <w:r>
              <w:rPr>
                <w:rFonts w:hint="eastAsia"/>
                <w:color w:val="auto"/>
              </w:rPr>
              <w:t>制备废水。厂区</w:t>
            </w:r>
            <w:r>
              <w:rPr>
                <w:rFonts w:hint="eastAsia"/>
                <w:color w:val="auto"/>
                <w:lang w:eastAsia="zh-CN"/>
              </w:rPr>
              <w:t>软水</w:t>
            </w:r>
            <w:r>
              <w:rPr>
                <w:rFonts w:hint="eastAsia"/>
                <w:color w:val="auto"/>
              </w:rPr>
              <w:t>用量为</w:t>
            </w:r>
            <w:r>
              <w:rPr>
                <w:rFonts w:hint="eastAsia"/>
                <w:color w:val="auto"/>
                <w:lang w:val="en-US" w:eastAsia="zh-CN"/>
              </w:rPr>
              <w:t>5.12</w:t>
            </w:r>
            <w:r>
              <w:rPr>
                <w:rFonts w:hint="eastAsia"/>
                <w:color w:val="auto"/>
              </w:rPr>
              <w:t>m</w:t>
            </w:r>
            <w:r>
              <w:rPr>
                <w:rFonts w:hint="eastAsia"/>
                <w:color w:val="auto"/>
                <w:vertAlign w:val="superscript"/>
              </w:rPr>
              <w:t>3</w:t>
            </w:r>
            <w:r>
              <w:rPr>
                <w:rFonts w:hint="eastAsia"/>
                <w:color w:val="auto"/>
              </w:rPr>
              <w:t>/d</w:t>
            </w:r>
            <w:r>
              <w:rPr>
                <w:rFonts w:hint="eastAsia"/>
                <w:color w:val="auto"/>
                <w:lang w:eastAsia="zh-CN"/>
              </w:rPr>
              <w:t>、</w:t>
            </w:r>
            <w:r>
              <w:rPr>
                <w:rFonts w:hint="eastAsia"/>
                <w:color w:val="auto"/>
                <w:lang w:val="en-US" w:eastAsia="zh-CN"/>
              </w:rPr>
              <w:t>51.2</w:t>
            </w:r>
            <w:r>
              <w:rPr>
                <w:rFonts w:hint="eastAsia"/>
                <w:color w:val="auto"/>
              </w:rPr>
              <w:t>m</w:t>
            </w:r>
            <w:r>
              <w:rPr>
                <w:rFonts w:hint="eastAsia"/>
                <w:color w:val="auto"/>
                <w:vertAlign w:val="superscript"/>
              </w:rPr>
              <w:t>3</w:t>
            </w:r>
            <w:r>
              <w:rPr>
                <w:rFonts w:hint="eastAsia"/>
                <w:color w:val="auto"/>
              </w:rPr>
              <w:t>/a，则自来水用量为</w:t>
            </w:r>
            <w:r>
              <w:rPr>
                <w:rFonts w:hint="eastAsia"/>
                <w:color w:val="auto"/>
                <w:lang w:val="en-US" w:eastAsia="zh-CN"/>
              </w:rPr>
              <w:t>6.827</w:t>
            </w:r>
            <w:r>
              <w:rPr>
                <w:rFonts w:hint="eastAsia"/>
                <w:color w:val="auto"/>
              </w:rPr>
              <w:t>m</w:t>
            </w:r>
            <w:r>
              <w:rPr>
                <w:rFonts w:hint="eastAsia"/>
                <w:color w:val="auto"/>
                <w:vertAlign w:val="superscript"/>
              </w:rPr>
              <w:t>3</w:t>
            </w:r>
            <w:r>
              <w:rPr>
                <w:rFonts w:hint="eastAsia"/>
                <w:color w:val="auto"/>
              </w:rPr>
              <w:t>/d</w:t>
            </w:r>
            <w:r>
              <w:rPr>
                <w:rFonts w:hint="eastAsia"/>
                <w:color w:val="auto"/>
                <w:lang w:eastAsia="zh-CN"/>
              </w:rPr>
              <w:t>、</w:t>
            </w:r>
            <w:r>
              <w:rPr>
                <w:rFonts w:hint="eastAsia"/>
                <w:color w:val="auto"/>
                <w:lang w:val="en-US" w:eastAsia="zh-CN"/>
              </w:rPr>
              <w:t>68.267</w:t>
            </w:r>
            <w:r>
              <w:rPr>
                <w:rFonts w:hint="eastAsia"/>
                <w:color w:val="auto"/>
              </w:rPr>
              <w:t>m</w:t>
            </w:r>
            <w:r>
              <w:rPr>
                <w:rFonts w:hint="eastAsia"/>
                <w:color w:val="auto"/>
                <w:vertAlign w:val="superscript"/>
              </w:rPr>
              <w:t>3</w:t>
            </w:r>
            <w:r>
              <w:rPr>
                <w:rFonts w:hint="eastAsia"/>
                <w:color w:val="auto"/>
              </w:rPr>
              <w:t>/a，</w:t>
            </w:r>
            <w:r>
              <w:rPr>
                <w:rFonts w:hint="eastAsia"/>
                <w:color w:val="auto"/>
                <w:lang w:eastAsia="zh-CN"/>
              </w:rPr>
              <w:t>软水</w:t>
            </w:r>
            <w:r>
              <w:rPr>
                <w:rFonts w:hint="eastAsia"/>
                <w:color w:val="auto"/>
              </w:rPr>
              <w:t>制备废水为</w:t>
            </w:r>
            <w:r>
              <w:rPr>
                <w:rFonts w:hint="eastAsia"/>
                <w:color w:val="auto"/>
                <w:lang w:val="en-US" w:eastAsia="zh-CN"/>
              </w:rPr>
              <w:t>1.707</w:t>
            </w:r>
            <w:r>
              <w:rPr>
                <w:rFonts w:hint="eastAsia"/>
                <w:color w:val="auto"/>
              </w:rPr>
              <w:t>m</w:t>
            </w:r>
            <w:r>
              <w:rPr>
                <w:rFonts w:hint="eastAsia"/>
                <w:color w:val="auto"/>
                <w:vertAlign w:val="superscript"/>
              </w:rPr>
              <w:t>3</w:t>
            </w:r>
            <w:r>
              <w:rPr>
                <w:rFonts w:hint="eastAsia"/>
                <w:color w:val="auto"/>
              </w:rPr>
              <w:t>/d</w:t>
            </w:r>
            <w:r>
              <w:rPr>
                <w:rFonts w:hint="eastAsia"/>
                <w:color w:val="auto"/>
                <w:lang w:eastAsia="zh-CN"/>
              </w:rPr>
              <w:t>、</w:t>
            </w:r>
            <w:r>
              <w:rPr>
                <w:rFonts w:hint="eastAsia"/>
                <w:color w:val="auto"/>
                <w:lang w:val="en-US" w:eastAsia="zh-CN"/>
              </w:rPr>
              <w:t>17.07</w:t>
            </w:r>
            <w:r>
              <w:rPr>
                <w:rFonts w:hint="eastAsia"/>
                <w:color w:val="auto"/>
              </w:rPr>
              <w:t>m</w:t>
            </w:r>
            <w:r>
              <w:rPr>
                <w:rFonts w:hint="eastAsia"/>
                <w:color w:val="auto"/>
                <w:vertAlign w:val="superscript"/>
              </w:rPr>
              <w:t>3</w:t>
            </w:r>
            <w:r>
              <w:rPr>
                <w:rFonts w:hint="eastAsia"/>
                <w:color w:val="auto"/>
              </w:rPr>
              <w:t>/a。</w:t>
            </w:r>
          </w:p>
          <w:p w14:paraId="10ED1A24">
            <w:pPr>
              <w:ind w:firstLine="480"/>
              <w:rPr>
                <w:color w:val="auto"/>
              </w:rPr>
            </w:pPr>
            <w:r>
              <w:rPr>
                <w:rFonts w:hint="eastAsia"/>
                <w:color w:val="auto"/>
              </w:rPr>
              <w:t>本项目新鲜用水量为</w:t>
            </w:r>
            <w:r>
              <w:rPr>
                <w:rFonts w:hint="eastAsia"/>
                <w:color w:val="auto"/>
                <w:lang w:val="en-US" w:eastAsia="zh-CN"/>
              </w:rPr>
              <w:t>2063.87</w:t>
            </w:r>
            <w:r>
              <w:rPr>
                <w:color w:val="auto"/>
              </w:rPr>
              <w:t>m</w:t>
            </w:r>
            <w:r>
              <w:rPr>
                <w:color w:val="auto"/>
                <w:vertAlign w:val="superscript"/>
              </w:rPr>
              <w:t>3</w:t>
            </w:r>
            <w:r>
              <w:rPr>
                <w:color w:val="auto"/>
              </w:rPr>
              <w:t>/</w:t>
            </w:r>
            <w:r>
              <w:rPr>
                <w:rFonts w:hint="eastAsia"/>
                <w:color w:val="auto"/>
              </w:rPr>
              <w:t>a，废水产生量为</w:t>
            </w:r>
            <w:r>
              <w:rPr>
                <w:rFonts w:hint="eastAsia"/>
                <w:color w:val="auto"/>
                <w:lang w:val="en-US" w:eastAsia="zh-CN"/>
              </w:rPr>
              <w:t>557.55</w:t>
            </w:r>
            <w:r>
              <w:rPr>
                <w:color w:val="auto"/>
              </w:rPr>
              <w:t>m</w:t>
            </w:r>
            <w:r>
              <w:rPr>
                <w:color w:val="auto"/>
                <w:vertAlign w:val="superscript"/>
              </w:rPr>
              <w:t>3</w:t>
            </w:r>
            <w:r>
              <w:rPr>
                <w:color w:val="auto"/>
              </w:rPr>
              <w:t>/</w:t>
            </w:r>
            <w:r>
              <w:rPr>
                <w:rFonts w:hint="eastAsia"/>
                <w:color w:val="auto"/>
              </w:rPr>
              <w:t>a。</w:t>
            </w:r>
            <w:r>
              <w:rPr>
                <w:rFonts w:hint="eastAsia"/>
                <w:color w:val="auto"/>
                <w:lang w:val="en-US" w:eastAsia="zh-CN"/>
              </w:rPr>
              <w:t>生活污水经化粪池处理后汇同软水制备废水、接管网进入淮北蓝海水处理有限公司进一步处理，部分作为平山电厂冷却循环水，剩余部分排入萧濉新河。</w:t>
            </w:r>
          </w:p>
          <w:p w14:paraId="6937451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auto"/>
                <w:lang w:val="en-US" w:eastAsia="zh-CN"/>
              </w:rPr>
            </w:pPr>
            <w:r>
              <w:rPr>
                <w:rFonts w:hint="eastAsia"/>
                <w:b/>
                <w:bCs/>
                <w:color w:val="auto"/>
                <w:lang w:val="en-US" w:eastAsia="zh-CN"/>
              </w:rPr>
              <w:t>6.1.2 管网铺设施工期用水</w:t>
            </w:r>
          </w:p>
          <w:p w14:paraId="637F50A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施工期间</w:t>
            </w:r>
            <w:r>
              <w:rPr>
                <w:rFonts w:hint="eastAsia" w:ascii="Times New Roman" w:hAnsi="Times New Roman" w:eastAsia="宋体" w:cs="Times New Roman"/>
                <w:color w:val="auto"/>
                <w:sz w:val="24"/>
                <w:szCs w:val="24"/>
                <w:lang w:val="en-US" w:eastAsia="zh-CN"/>
              </w:rPr>
              <w:t>主要用水为施工生产用水、生活用水、管道试压水</w:t>
            </w:r>
            <w:r>
              <w:rPr>
                <w:rFonts w:hint="default" w:ascii="Times New Roman" w:hAnsi="Times New Roman" w:eastAsia="宋体" w:cs="Times New Roman"/>
                <w:color w:val="auto"/>
                <w:sz w:val="24"/>
                <w:szCs w:val="24"/>
              </w:rPr>
              <w:t>。</w:t>
            </w:r>
          </w:p>
          <w:p w14:paraId="7249E415">
            <w:pPr>
              <w:keepNext w:val="0"/>
              <w:keepLines w:val="0"/>
              <w:pageBreakBefore w:val="0"/>
              <w:kinsoku/>
              <w:wordWrap/>
              <w:overflowPunct/>
              <w:topLinePunct w:val="0"/>
              <w:autoSpaceDE/>
              <w:autoSpaceDN/>
              <w:bidi w:val="0"/>
              <w:adjustRightInd/>
              <w:snapToGrid/>
              <w:spacing w:line="360" w:lineRule="auto"/>
              <w:ind w:firstLine="482" w:firstLineChars="200"/>
              <w:contextualSpacing/>
              <w:textAlignment w:val="auto"/>
              <w:rPr>
                <w:rFonts w:hint="eastAsia" w:eastAsia="宋体"/>
                <w:b/>
                <w:bCs w:val="0"/>
                <w:color w:val="auto"/>
                <w:sz w:val="24"/>
                <w:lang w:val="en-US" w:eastAsia="zh-CN"/>
              </w:rPr>
            </w:pPr>
            <w:r>
              <w:rPr>
                <w:rFonts w:hint="eastAsia"/>
                <w:b/>
                <w:bCs w:val="0"/>
                <w:color w:val="auto"/>
                <w:sz w:val="24"/>
                <w:lang w:eastAsia="zh-CN"/>
              </w:rPr>
              <w:t>（</w:t>
            </w:r>
            <w:r>
              <w:rPr>
                <w:rFonts w:hint="eastAsia"/>
                <w:b/>
                <w:bCs w:val="0"/>
                <w:color w:val="auto"/>
                <w:sz w:val="24"/>
                <w:lang w:val="en-US" w:eastAsia="zh-CN"/>
              </w:rPr>
              <w:t>1</w:t>
            </w:r>
            <w:r>
              <w:rPr>
                <w:rFonts w:hint="eastAsia"/>
                <w:b/>
                <w:bCs w:val="0"/>
                <w:color w:val="auto"/>
                <w:sz w:val="24"/>
                <w:lang w:eastAsia="zh-CN"/>
              </w:rPr>
              <w:t>）</w:t>
            </w:r>
            <w:r>
              <w:rPr>
                <w:rFonts w:hint="eastAsia"/>
                <w:b/>
                <w:bCs w:val="0"/>
                <w:color w:val="auto"/>
                <w:sz w:val="24"/>
              </w:rPr>
              <w:t>施工生产</w:t>
            </w:r>
            <w:r>
              <w:rPr>
                <w:rFonts w:hint="eastAsia"/>
                <w:b/>
                <w:bCs w:val="0"/>
                <w:color w:val="auto"/>
                <w:sz w:val="24"/>
                <w:lang w:val="en-US" w:eastAsia="zh-CN"/>
              </w:rPr>
              <w:t>用水</w:t>
            </w:r>
          </w:p>
          <w:p w14:paraId="674CE5F3">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bCs/>
                <w:color w:val="auto"/>
                <w:sz w:val="24"/>
              </w:rPr>
            </w:pPr>
            <w:r>
              <w:rPr>
                <w:rFonts w:hint="eastAsia"/>
                <w:bCs/>
                <w:color w:val="auto"/>
                <w:sz w:val="24"/>
              </w:rPr>
              <w:t>施工生产废水来自</w:t>
            </w:r>
            <w:r>
              <w:rPr>
                <w:rFonts w:hint="eastAsia"/>
                <w:bCs/>
                <w:color w:val="auto"/>
                <w:sz w:val="24"/>
                <w:lang w:val="en-US" w:eastAsia="zh-CN"/>
              </w:rPr>
              <w:t>运输车辆进出场</w:t>
            </w:r>
            <w:r>
              <w:rPr>
                <w:rFonts w:hint="eastAsia"/>
                <w:bCs/>
                <w:color w:val="auto"/>
                <w:sz w:val="24"/>
              </w:rPr>
              <w:t>清洗活动，污染物主要是SS类。根据类比分析，施工期（</w:t>
            </w:r>
            <w:r>
              <w:rPr>
                <w:rFonts w:hint="eastAsia"/>
                <w:bCs/>
                <w:color w:val="auto"/>
                <w:sz w:val="24"/>
                <w:lang w:val="en-US" w:eastAsia="zh-CN"/>
              </w:rPr>
              <w:t>2</w:t>
            </w:r>
            <w:r>
              <w:rPr>
                <w:rFonts w:hint="eastAsia"/>
                <w:bCs/>
                <w:color w:val="auto"/>
                <w:sz w:val="24"/>
              </w:rPr>
              <w:t>个月）生产</w:t>
            </w:r>
            <w:r>
              <w:rPr>
                <w:rFonts w:hint="eastAsia"/>
                <w:bCs/>
                <w:color w:val="auto"/>
                <w:sz w:val="24"/>
                <w:lang w:val="en-US" w:eastAsia="zh-CN"/>
              </w:rPr>
              <w:t>用水量为40</w:t>
            </w:r>
            <w:r>
              <w:rPr>
                <w:rFonts w:hint="eastAsia"/>
                <w:bCs/>
                <w:color w:val="auto"/>
                <w:sz w:val="24"/>
              </w:rPr>
              <w:t>m</w:t>
            </w:r>
            <w:r>
              <w:rPr>
                <w:rFonts w:hint="eastAsia"/>
                <w:bCs/>
                <w:color w:val="auto"/>
                <w:sz w:val="24"/>
                <w:vertAlign w:val="superscript"/>
              </w:rPr>
              <w:t>3</w:t>
            </w:r>
            <w:r>
              <w:rPr>
                <w:rFonts w:hint="eastAsia"/>
                <w:bCs/>
                <w:color w:val="auto"/>
                <w:sz w:val="24"/>
                <w:lang w:eastAsia="zh-CN"/>
              </w:rPr>
              <w:t>，</w:t>
            </w:r>
            <w:r>
              <w:rPr>
                <w:rFonts w:hint="eastAsia"/>
                <w:bCs/>
                <w:color w:val="auto"/>
                <w:sz w:val="24"/>
                <w:lang w:val="en-US" w:eastAsia="zh-CN"/>
              </w:rPr>
              <w:t>废水</w:t>
            </w:r>
            <w:r>
              <w:rPr>
                <w:rFonts w:hint="default" w:ascii="Times New Roman" w:hAnsi="Times New Roman" w:cs="Times New Roman"/>
                <w:color w:val="auto"/>
                <w:lang w:val="en-US" w:eastAsia="zh-CN"/>
              </w:rPr>
              <w:t>按用水量的</w:t>
            </w:r>
            <w:r>
              <w:rPr>
                <w:rFonts w:hint="eastAsia" w:cs="Times New Roman"/>
                <w:color w:val="auto"/>
                <w:lang w:val="en-US" w:eastAsia="zh-CN"/>
              </w:rPr>
              <w:t>8</w:t>
            </w:r>
            <w:r>
              <w:rPr>
                <w:rFonts w:hint="eastAsia"/>
                <w:bCs/>
                <w:color w:val="auto"/>
                <w:sz w:val="24"/>
                <w:lang w:val="en-US" w:eastAsia="zh-CN"/>
              </w:rPr>
              <w:t>0%计，废水</w:t>
            </w:r>
            <w:r>
              <w:rPr>
                <w:rFonts w:hint="eastAsia"/>
                <w:bCs/>
                <w:color w:val="auto"/>
                <w:sz w:val="24"/>
              </w:rPr>
              <w:t>量约</w:t>
            </w:r>
            <w:r>
              <w:rPr>
                <w:rFonts w:hint="eastAsia"/>
                <w:bCs/>
                <w:color w:val="auto"/>
                <w:sz w:val="24"/>
                <w:lang w:val="en-US" w:eastAsia="zh-CN"/>
              </w:rPr>
              <w:t>32</w:t>
            </w:r>
            <w:r>
              <w:rPr>
                <w:rFonts w:hint="eastAsia"/>
                <w:bCs/>
                <w:color w:val="auto"/>
                <w:sz w:val="24"/>
              </w:rPr>
              <w:t>m</w:t>
            </w:r>
            <w:r>
              <w:rPr>
                <w:rFonts w:hint="eastAsia"/>
                <w:bCs/>
                <w:color w:val="auto"/>
                <w:sz w:val="24"/>
                <w:vertAlign w:val="superscript"/>
              </w:rPr>
              <w:t>3</w:t>
            </w:r>
            <w:r>
              <w:rPr>
                <w:rFonts w:hint="eastAsia"/>
                <w:bCs/>
                <w:color w:val="auto"/>
                <w:sz w:val="24"/>
              </w:rPr>
              <w:t>。施工期</w:t>
            </w:r>
            <w:r>
              <w:rPr>
                <w:rFonts w:hint="eastAsia"/>
                <w:bCs/>
                <w:color w:val="auto"/>
                <w:sz w:val="24"/>
                <w:lang w:val="en-US" w:eastAsia="zh-CN"/>
              </w:rPr>
              <w:t>废水经临时沉淀池沉淀后，循环使用，不外排</w:t>
            </w:r>
            <w:r>
              <w:rPr>
                <w:rFonts w:hint="eastAsia"/>
                <w:bCs/>
                <w:color w:val="auto"/>
                <w:sz w:val="24"/>
              </w:rPr>
              <w:t>。</w:t>
            </w:r>
          </w:p>
          <w:p w14:paraId="03D7B421">
            <w:pPr>
              <w:pStyle w:val="2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cs="Times New Roman"/>
                <w:b/>
                <w:bCs/>
                <w:color w:val="auto"/>
                <w:lang w:val="en-US" w:eastAsia="zh-CN"/>
              </w:rPr>
            </w:pPr>
            <w:r>
              <w:rPr>
                <w:rFonts w:hint="eastAsia" w:cs="Times New Roman"/>
                <w:b/>
                <w:bCs/>
                <w:color w:val="auto"/>
                <w:lang w:val="en-US" w:eastAsia="zh-CN"/>
              </w:rPr>
              <w:t>（2）生活用水</w:t>
            </w:r>
          </w:p>
          <w:p w14:paraId="7759D386">
            <w:pPr>
              <w:pStyle w:val="2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主要含 COD、BOD</w:t>
            </w:r>
            <w:r>
              <w:rPr>
                <w:rFonts w:hint="default" w:ascii="Times New Roman" w:hAnsi="Times New Roman" w:cs="Times New Roman"/>
                <w:color w:val="auto"/>
                <w:vertAlign w:val="subscript"/>
                <w:lang w:val="en-US" w:eastAsia="zh-CN"/>
              </w:rPr>
              <w:t>5</w:t>
            </w:r>
            <w:r>
              <w:rPr>
                <w:rFonts w:hint="default" w:ascii="Times New Roman" w:hAnsi="Times New Roman" w:cs="Times New Roman"/>
                <w:color w:val="auto"/>
                <w:lang w:val="en-US" w:eastAsia="zh-CN"/>
              </w:rPr>
              <w:t>、SS 等，本项目</w:t>
            </w:r>
            <w:r>
              <w:rPr>
                <w:rFonts w:hint="eastAsia" w:cs="Times New Roman"/>
                <w:color w:val="auto"/>
                <w:lang w:val="en-US" w:eastAsia="zh-CN"/>
              </w:rPr>
              <w:t>最大</w:t>
            </w:r>
            <w:r>
              <w:rPr>
                <w:rFonts w:hint="default" w:ascii="Times New Roman" w:hAnsi="Times New Roman" w:cs="Times New Roman"/>
                <w:color w:val="auto"/>
                <w:lang w:val="en-US" w:eastAsia="zh-CN"/>
              </w:rPr>
              <w:t>施工人员</w:t>
            </w:r>
            <w:r>
              <w:rPr>
                <w:rFonts w:hint="eastAsia" w:cs="Times New Roman"/>
                <w:color w:val="auto"/>
                <w:lang w:val="en-US" w:eastAsia="zh-CN"/>
              </w:rPr>
              <w:t>20</w:t>
            </w:r>
            <w:r>
              <w:rPr>
                <w:rFonts w:hint="default" w:ascii="Times New Roman" w:hAnsi="Times New Roman" w:cs="Times New Roman"/>
                <w:color w:val="auto"/>
                <w:lang w:val="en-US" w:eastAsia="zh-CN"/>
              </w:rPr>
              <w:t>人，施工期按</w:t>
            </w:r>
            <w:r>
              <w:rPr>
                <w:rFonts w:hint="eastAsia" w:cs="Times New Roman"/>
                <w:color w:val="auto"/>
                <w:lang w:val="en-US" w:eastAsia="zh-CN"/>
              </w:rPr>
              <w:t>60</w:t>
            </w:r>
            <w:r>
              <w:rPr>
                <w:rFonts w:hint="default" w:ascii="Times New Roman" w:hAnsi="Times New Roman" w:cs="Times New Roman"/>
                <w:color w:val="auto"/>
                <w:lang w:val="en-US" w:eastAsia="zh-CN"/>
              </w:rPr>
              <w:t>天计，生活用水量约</w:t>
            </w:r>
            <w:r>
              <w:rPr>
                <w:rFonts w:hint="eastAsia" w:cs="Times New Roman"/>
                <w:color w:val="auto"/>
                <w:lang w:val="en-US" w:eastAsia="zh-CN"/>
              </w:rPr>
              <w:t>6</w:t>
            </w:r>
            <w:r>
              <w:rPr>
                <w:rFonts w:hint="default" w:ascii="Times New Roman" w:hAnsi="Times New Roman" w:cs="Times New Roman"/>
                <w:color w:val="auto"/>
                <w:lang w:val="en-US" w:eastAsia="zh-CN"/>
              </w:rPr>
              <w:t>0L/d·人，</w:t>
            </w:r>
            <w:r>
              <w:rPr>
                <w:rFonts w:hint="eastAsia" w:cs="Times New Roman"/>
                <w:color w:val="auto"/>
                <w:lang w:val="en-US" w:eastAsia="zh-CN"/>
              </w:rPr>
              <w:t>则总用水量72</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w:t>
            </w:r>
            <w:r>
              <w:rPr>
                <w:rFonts w:hint="default" w:ascii="Times New Roman" w:hAnsi="Times New Roman" w:cs="Times New Roman"/>
                <w:color w:val="auto"/>
                <w:lang w:val="en-US" w:eastAsia="zh-CN"/>
              </w:rPr>
              <w:t>生活污水按用水量的80%计，生活污水总量为</w:t>
            </w:r>
            <w:r>
              <w:rPr>
                <w:rFonts w:hint="eastAsia" w:cs="Times New Roman"/>
                <w:color w:val="auto"/>
                <w:lang w:val="en-US" w:eastAsia="zh-CN"/>
              </w:rPr>
              <w:t>57.6</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。生活污水依托附近公厕的化粪池处理</w:t>
            </w:r>
            <w:r>
              <w:rPr>
                <w:rFonts w:hint="eastAsia" w:cs="Times New Roman"/>
                <w:color w:val="auto"/>
                <w:lang w:val="en-US" w:eastAsia="zh-CN"/>
              </w:rPr>
              <w:t>后，接管网进入市政管网</w:t>
            </w:r>
            <w:r>
              <w:rPr>
                <w:rFonts w:hint="default" w:ascii="Times New Roman" w:hAnsi="Times New Roman" w:cs="Times New Roman"/>
                <w:color w:val="auto"/>
                <w:lang w:val="en-US" w:eastAsia="zh-CN"/>
              </w:rPr>
              <w:t>。</w:t>
            </w:r>
          </w:p>
          <w:p w14:paraId="488C1E6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auto"/>
                <w:lang w:val="en-US" w:eastAsia="zh-CN"/>
              </w:rPr>
            </w:pPr>
            <w:r>
              <w:rPr>
                <w:rFonts w:hint="eastAsia" w:cs="Times New Roman"/>
                <w:b/>
                <w:bCs/>
                <w:color w:val="auto"/>
                <w:lang w:val="en-US" w:eastAsia="zh-CN"/>
              </w:rPr>
              <w:t>（3）管道试压</w:t>
            </w:r>
            <w:r>
              <w:rPr>
                <w:rFonts w:hint="default" w:ascii="Times New Roman" w:hAnsi="Times New Roman" w:cs="Times New Roman"/>
                <w:b/>
                <w:bCs/>
                <w:color w:val="auto"/>
                <w:lang w:val="en-US" w:eastAsia="zh-CN"/>
              </w:rPr>
              <w:t>水</w:t>
            </w:r>
          </w:p>
          <w:p w14:paraId="2F1B22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施工期对管道进行分段试压，整体工程结束后进行整体试压。</w:t>
            </w:r>
          </w:p>
          <w:p w14:paraId="169411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根据施工单位提供的资料，直埋</w:t>
            </w:r>
            <w:r>
              <w:rPr>
                <w:rFonts w:hint="default" w:ascii="Times New Roman" w:hAnsi="Times New Roman" w:eastAsia="宋体" w:cs="Times New Roman"/>
                <w:color w:val="auto"/>
                <w:kern w:val="0"/>
                <w:sz w:val="24"/>
                <w:szCs w:val="24"/>
                <w:lang w:val="en-US" w:eastAsia="zh-CN" w:bidi="ar"/>
              </w:rPr>
              <w:t>分段试压共分为</w:t>
            </w:r>
            <w:r>
              <w:rPr>
                <w:rFonts w:hint="eastAsia"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段</w:t>
            </w:r>
            <w:r>
              <w:rPr>
                <w:rFonts w:hint="eastAsia" w:cs="Times New Roman"/>
                <w:color w:val="auto"/>
                <w:kern w:val="0"/>
                <w:sz w:val="24"/>
                <w:szCs w:val="24"/>
                <w:lang w:val="en-US" w:eastAsia="zh-CN" w:bidi="ar"/>
              </w:rPr>
              <w:t>，按照管线1.5倍容积，栗园路~新北路段试压水量约为236m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，望湖路段试压用水量约为106m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w:t>
            </w:r>
            <w:r>
              <w:rPr>
                <w:rFonts w:hint="eastAsia" w:cs="Times New Roman"/>
                <w:color w:val="auto"/>
                <w:sz w:val="24"/>
                <w:lang w:val="en-US" w:eastAsia="zh-CN"/>
              </w:rPr>
              <w:t>雷河路</w:t>
            </w:r>
            <w:r>
              <w:rPr>
                <w:rFonts w:hint="eastAsia" w:cs="Times New Roman"/>
                <w:color w:val="auto"/>
                <w:kern w:val="0"/>
                <w:sz w:val="24"/>
                <w:szCs w:val="24"/>
                <w:lang w:val="en-US" w:eastAsia="zh-CN" w:bidi="ar"/>
              </w:rPr>
              <w:t>段试压用水量约为736m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。则分段试压</w:t>
            </w:r>
            <w:r>
              <w:rPr>
                <w:rFonts w:hint="default" w:ascii="Times New Roman" w:hAnsi="Times New Roman" w:eastAsia="宋体" w:cs="Times New Roman"/>
                <w:color w:val="auto"/>
                <w:kern w:val="0"/>
                <w:sz w:val="24"/>
                <w:szCs w:val="24"/>
                <w:lang w:val="en-US" w:eastAsia="zh-CN" w:bidi="ar"/>
              </w:rPr>
              <w:t>用水</w:t>
            </w:r>
            <w:r>
              <w:rPr>
                <w:rFonts w:hint="eastAsia" w:cs="Times New Roman"/>
                <w:color w:val="auto"/>
                <w:kern w:val="0"/>
                <w:sz w:val="24"/>
                <w:szCs w:val="24"/>
                <w:lang w:val="en-US" w:eastAsia="zh-CN" w:bidi="ar"/>
              </w:rPr>
              <w:t>总</w:t>
            </w:r>
            <w:r>
              <w:rPr>
                <w:rFonts w:hint="default" w:ascii="Times New Roman" w:hAnsi="Times New Roman" w:eastAsia="宋体" w:cs="Times New Roman"/>
                <w:color w:val="auto"/>
                <w:kern w:val="0"/>
                <w:sz w:val="24"/>
                <w:szCs w:val="24"/>
                <w:lang w:val="en-US" w:eastAsia="zh-CN" w:bidi="ar"/>
              </w:rPr>
              <w:t>量约</w:t>
            </w:r>
            <w:r>
              <w:rPr>
                <w:rFonts w:hint="eastAsia" w:cs="Times New Roman"/>
                <w:color w:val="auto"/>
                <w:kern w:val="0"/>
                <w:sz w:val="24"/>
                <w:szCs w:val="24"/>
                <w:lang w:val="en-US" w:eastAsia="zh-CN" w:bidi="ar"/>
              </w:rPr>
              <w:t>1078m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w:t>
            </w:r>
          </w:p>
          <w:p w14:paraId="0A7825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管网整体组装完成后对管道进行整体试压，整体试压水按照总管线2倍容积，管道总体容积为720m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，则整体试压水用量为1440m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w:t>
            </w:r>
          </w:p>
          <w:p w14:paraId="59D92E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因此，本项目管道试压用水</w:t>
            </w:r>
            <w:r>
              <w:rPr>
                <w:rFonts w:hint="eastAsia"/>
                <w:color w:val="auto"/>
                <w:lang w:val="en-US" w:eastAsia="zh-CN"/>
              </w:rPr>
              <w:t>2518</w:t>
            </w:r>
            <w:r>
              <w:rPr>
                <w:rFonts w:hint="eastAsia" w:cs="Times New Roman"/>
                <w:color w:val="auto"/>
                <w:kern w:val="0"/>
                <w:sz w:val="24"/>
                <w:szCs w:val="24"/>
                <w:lang w:val="en-US" w:eastAsia="zh-CN" w:bidi="ar"/>
              </w:rPr>
              <w:t>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，管道试压废水接管网进入淮北蓝海水处理有限公司进一步处理，部分作为平山电厂冷却循环水，剩余部分排入萧濉新河。</w:t>
            </w:r>
          </w:p>
          <w:p w14:paraId="2138A955">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auto"/>
              </w:rPr>
            </w:pPr>
            <w:r>
              <w:rPr>
                <w:rFonts w:hint="eastAsia"/>
                <w:b/>
                <w:bCs/>
                <w:color w:val="auto"/>
              </w:rPr>
              <w:t>6.2供电</w:t>
            </w:r>
          </w:p>
          <w:p w14:paraId="1BC307D3">
            <w:pPr>
              <w:ind w:firstLine="480"/>
              <w:rPr>
                <w:color w:val="auto"/>
              </w:rPr>
            </w:pPr>
            <w:r>
              <w:rPr>
                <w:rFonts w:hint="eastAsia" w:cs="宋体"/>
                <w:color w:val="auto"/>
              </w:rPr>
              <w:t>项目配电由</w:t>
            </w:r>
            <w:r>
              <w:rPr>
                <w:rFonts w:hint="eastAsia" w:cs="宋体"/>
                <w:color w:val="auto"/>
                <w:lang w:val="en-US" w:eastAsia="zh-CN"/>
              </w:rPr>
              <w:t>市政</w:t>
            </w:r>
            <w:r>
              <w:rPr>
                <w:rFonts w:hint="eastAsia" w:cs="宋体"/>
                <w:color w:val="auto"/>
              </w:rPr>
              <w:t>供电管网统一供电，供电设施齐全，可满足企业生产和生活用电需要。本项目年消耗电量</w:t>
            </w:r>
            <w:r>
              <w:rPr>
                <w:rFonts w:hint="eastAsia"/>
                <w:color w:val="auto"/>
                <w:lang w:val="en-US" w:eastAsia="zh-CN"/>
              </w:rPr>
              <w:t>3050</w:t>
            </w:r>
            <w:r>
              <w:rPr>
                <w:color w:val="auto"/>
              </w:rPr>
              <w:t>万kWh</w:t>
            </w:r>
            <w:r>
              <w:rPr>
                <w:rFonts w:hint="eastAsia" w:cs="宋体"/>
                <w:color w:val="auto"/>
              </w:rPr>
              <w:t>。</w:t>
            </w:r>
          </w:p>
          <w:p w14:paraId="5CD330BF">
            <w:pPr>
              <w:pStyle w:val="17"/>
              <w:ind w:firstLine="0" w:firstLineChars="0"/>
              <w:rPr>
                <w:rFonts w:ascii="Times New Roman" w:hAnsi="Times New Roman"/>
                <w:b/>
                <w:bCs/>
                <w:color w:val="auto"/>
                <w:szCs w:val="24"/>
              </w:rPr>
            </w:pPr>
            <w:r>
              <w:rPr>
                <w:rFonts w:hint="eastAsia" w:ascii="Times New Roman" w:hAnsi="Times New Roman"/>
                <w:b/>
                <w:bCs/>
                <w:color w:val="auto"/>
                <w:szCs w:val="24"/>
              </w:rPr>
              <w:t>6.3消防</w:t>
            </w:r>
          </w:p>
          <w:p w14:paraId="251E9AD4">
            <w:pPr>
              <w:autoSpaceDE w:val="0"/>
              <w:autoSpaceDN w:val="0"/>
              <w:ind w:firstLine="480"/>
              <w:rPr>
                <w:color w:val="auto"/>
              </w:rPr>
            </w:pPr>
            <w:r>
              <w:rPr>
                <w:rFonts w:hint="eastAsia" w:cs="宋体"/>
                <w:color w:val="auto"/>
              </w:rPr>
              <w:t>厂区消防设计依据《建筑设计防火规范》（</w:t>
            </w:r>
            <w:r>
              <w:rPr>
                <w:color w:val="auto"/>
              </w:rPr>
              <w:t>GB50016-2014</w:t>
            </w:r>
            <w:r>
              <w:rPr>
                <w:rFonts w:hint="eastAsia" w:cs="宋体"/>
                <w:color w:val="auto"/>
              </w:rPr>
              <w:t>，</w:t>
            </w:r>
            <w:r>
              <w:rPr>
                <w:color w:val="auto"/>
              </w:rPr>
              <w:t>2018</w:t>
            </w:r>
            <w:r>
              <w:rPr>
                <w:rFonts w:hint="eastAsia" w:cs="宋体"/>
                <w:color w:val="auto"/>
              </w:rPr>
              <w:t>修改版），在厂区内设立室外消火栓。室外消火栓间距为</w:t>
            </w:r>
            <w:r>
              <w:rPr>
                <w:color w:val="auto"/>
              </w:rPr>
              <w:t>120m</w:t>
            </w:r>
            <w:r>
              <w:rPr>
                <w:rFonts w:hint="eastAsia" w:cs="宋体"/>
                <w:color w:val="auto"/>
              </w:rPr>
              <w:t>，消火栓保护半径</w:t>
            </w:r>
            <w:r>
              <w:rPr>
                <w:color w:val="auto"/>
              </w:rPr>
              <w:t>150m</w:t>
            </w:r>
            <w:r>
              <w:rPr>
                <w:rFonts w:hint="eastAsia" w:cs="宋体"/>
                <w:color w:val="auto"/>
              </w:rPr>
              <w:t>。</w:t>
            </w:r>
          </w:p>
          <w:p w14:paraId="5B79425C">
            <w:pPr>
              <w:ind w:firstLine="0" w:firstLineChars="0"/>
              <w:rPr>
                <w:b/>
                <w:bCs/>
                <w:color w:val="auto"/>
              </w:rPr>
            </w:pPr>
            <w:r>
              <w:rPr>
                <w:rFonts w:hint="eastAsia"/>
                <w:b/>
                <w:bCs/>
                <w:color w:val="auto"/>
              </w:rPr>
              <w:t>7、</w:t>
            </w:r>
            <w:r>
              <w:rPr>
                <w:b/>
                <w:bCs/>
                <w:color w:val="auto"/>
              </w:rPr>
              <w:t>平面布置合理性分析</w:t>
            </w:r>
          </w:p>
          <w:p w14:paraId="40547AC1">
            <w:pPr>
              <w:pStyle w:val="19"/>
              <w:spacing w:line="360" w:lineRule="auto"/>
              <w:ind w:firstLine="480"/>
              <w:rPr>
                <w:color w:val="auto"/>
              </w:rPr>
            </w:pPr>
            <w:r>
              <w:t>本项目</w:t>
            </w:r>
            <w:r>
              <w:rPr>
                <w:rFonts w:hint="eastAsia"/>
                <w:lang w:val="en-US" w:eastAsia="zh-CN"/>
              </w:rPr>
              <w:t>能源站</w:t>
            </w:r>
            <w:r>
              <w:rPr>
                <w:rFonts w:hint="eastAsia"/>
              </w:rPr>
              <w:t>按照使用功能划分</w:t>
            </w:r>
            <w:r>
              <w:rPr>
                <w:rFonts w:hint="eastAsia"/>
                <w:lang w:val="en-US" w:eastAsia="zh-CN"/>
              </w:rPr>
              <w:t>锅炉房</w:t>
            </w:r>
            <w:r>
              <w:rPr>
                <w:rFonts w:hint="eastAsia"/>
              </w:rPr>
              <w:t>、生活区。生活区位于厂区内</w:t>
            </w:r>
            <w:r>
              <w:rPr>
                <w:rFonts w:hint="eastAsia"/>
                <w:lang w:val="en-US" w:eastAsia="zh-CN"/>
              </w:rPr>
              <w:t>东</w:t>
            </w:r>
            <w:r>
              <w:rPr>
                <w:rFonts w:hint="eastAsia"/>
              </w:rPr>
              <w:t>侧，</w:t>
            </w:r>
            <w:r>
              <w:rPr>
                <w:rFonts w:hint="eastAsia"/>
                <w:color w:val="auto"/>
              </w:rPr>
              <w:t>本项目</w:t>
            </w:r>
            <w:r>
              <w:rPr>
                <w:rFonts w:hint="eastAsia"/>
                <w:color w:val="auto"/>
                <w:lang w:val="en-US" w:eastAsia="zh-CN"/>
              </w:rPr>
              <w:t>锅炉及低温级空气源热泵</w:t>
            </w:r>
            <w:r>
              <w:rPr>
                <w:rFonts w:hint="eastAsia"/>
                <w:color w:val="auto"/>
              </w:rPr>
              <w:t>位于</w:t>
            </w:r>
            <w:r>
              <w:rPr>
                <w:rFonts w:hint="eastAsia"/>
                <w:color w:val="auto"/>
                <w:lang w:val="en-US" w:eastAsia="zh-CN"/>
              </w:rPr>
              <w:t>封闭式的节能站机房内</w:t>
            </w:r>
            <w:r>
              <w:rPr>
                <w:rFonts w:hint="eastAsia"/>
                <w:color w:val="auto"/>
              </w:rPr>
              <w:t>，</w:t>
            </w:r>
            <w:r>
              <w:rPr>
                <w:rFonts w:hint="eastAsia"/>
                <w:color w:val="auto"/>
                <w:lang w:val="en-US" w:eastAsia="zh-CN"/>
              </w:rPr>
              <w:t>地埋式储罐区位于厂区入口南侧，气化间位于地埋式储罐区东北侧</w:t>
            </w:r>
            <w:r>
              <w:rPr>
                <w:rFonts w:hint="eastAsia"/>
                <w:color w:val="auto"/>
              </w:rPr>
              <w:t>，</w:t>
            </w:r>
            <w:r>
              <w:rPr>
                <w:rFonts w:hint="eastAsia"/>
                <w:color w:val="auto"/>
                <w:lang w:val="en-US" w:eastAsia="zh-CN"/>
              </w:rPr>
              <w:t>节能站机房位于气化间北侧，</w:t>
            </w:r>
            <w:r>
              <w:rPr>
                <w:rFonts w:hint="eastAsia"/>
                <w:color w:val="auto"/>
              </w:rPr>
              <w:t>厂区高噪声设备均置于封闭式</w:t>
            </w:r>
            <w:r>
              <w:rPr>
                <w:rFonts w:hint="eastAsia"/>
                <w:color w:val="auto"/>
                <w:lang w:val="en-US" w:eastAsia="zh-CN"/>
              </w:rPr>
              <w:t>厂房</w:t>
            </w:r>
            <w:r>
              <w:rPr>
                <w:rFonts w:hint="eastAsia"/>
                <w:color w:val="auto"/>
              </w:rPr>
              <w:t>内。</w:t>
            </w:r>
          </w:p>
          <w:p w14:paraId="3483547D">
            <w:pPr>
              <w:ind w:firstLine="480"/>
              <w:rPr>
                <w:color w:val="auto"/>
              </w:rPr>
            </w:pPr>
            <w:r>
              <w:rPr>
                <w:color w:val="auto"/>
              </w:rPr>
              <w:t>总体来说，</w:t>
            </w:r>
            <w:r>
              <w:rPr>
                <w:rFonts w:hint="eastAsia"/>
                <w:color w:val="auto"/>
                <w:lang w:val="en-US" w:eastAsia="zh-CN"/>
              </w:rPr>
              <w:t>供热/供热路</w:t>
            </w:r>
            <w:r>
              <w:rPr>
                <w:rFonts w:hint="eastAsia"/>
                <w:color w:val="auto"/>
              </w:rPr>
              <w:t>线</w:t>
            </w:r>
            <w:r>
              <w:rPr>
                <w:color w:val="auto"/>
              </w:rPr>
              <w:t>按照</w:t>
            </w:r>
            <w:r>
              <w:rPr>
                <w:rFonts w:hint="eastAsia"/>
                <w:color w:val="auto"/>
              </w:rPr>
              <w:t>“</w:t>
            </w:r>
            <w:r>
              <w:rPr>
                <w:color w:val="auto"/>
              </w:rPr>
              <w:t>原料—</w:t>
            </w:r>
            <w:r>
              <w:rPr>
                <w:rFonts w:hint="eastAsia"/>
                <w:color w:val="auto"/>
                <w:lang w:val="en-US" w:eastAsia="zh-CN"/>
              </w:rPr>
              <w:t>供热/供冷</w:t>
            </w:r>
            <w:r>
              <w:rPr>
                <w:color w:val="auto"/>
              </w:rPr>
              <w:t>—</w:t>
            </w:r>
            <w:r>
              <w:rPr>
                <w:rFonts w:hint="eastAsia"/>
                <w:color w:val="auto"/>
                <w:lang w:val="en-US" w:eastAsia="zh-CN"/>
              </w:rPr>
              <w:t>输送</w:t>
            </w:r>
            <w:r>
              <w:rPr>
                <w:rFonts w:hint="eastAsia"/>
                <w:color w:val="auto"/>
              </w:rPr>
              <w:t>”</w:t>
            </w:r>
            <w:r>
              <w:rPr>
                <w:color w:val="auto"/>
              </w:rPr>
              <w:t>的流向布置，满足</w:t>
            </w:r>
            <w:r>
              <w:rPr>
                <w:rFonts w:hint="eastAsia"/>
                <w:color w:val="auto"/>
                <w:lang w:val="en-US" w:eastAsia="zh-CN"/>
              </w:rPr>
              <w:t>管道供热（冷）</w:t>
            </w:r>
            <w:r>
              <w:rPr>
                <w:color w:val="auto"/>
              </w:rPr>
              <w:t>进出以及水、电、道路等方面的要求，各功能区分区明确，布局合理、工艺流程布置顺畅可行。因此，本项目</w:t>
            </w:r>
            <w:r>
              <w:rPr>
                <w:rFonts w:hint="eastAsia"/>
                <w:color w:val="auto"/>
                <w:lang w:val="en-US" w:eastAsia="zh-CN"/>
              </w:rPr>
              <w:t>能源站</w:t>
            </w:r>
            <w:r>
              <w:rPr>
                <w:color w:val="auto"/>
              </w:rPr>
              <w:t>总平面布置基本合理可行。</w:t>
            </w:r>
          </w:p>
          <w:p w14:paraId="41BD377F">
            <w:pPr>
              <w:ind w:firstLine="0" w:firstLineChars="0"/>
              <w:rPr>
                <w:b/>
                <w:bCs/>
                <w:color w:val="auto"/>
              </w:rPr>
            </w:pPr>
            <w:bookmarkStart w:id="1" w:name="_Toc27059"/>
            <w:bookmarkStart w:id="2" w:name="_Toc31899"/>
            <w:bookmarkStart w:id="3" w:name="_Toc28289"/>
            <w:r>
              <w:rPr>
                <w:rFonts w:hint="eastAsia"/>
                <w:b/>
                <w:bCs/>
                <w:color w:val="auto"/>
              </w:rPr>
              <w:t>8、</w:t>
            </w:r>
            <w:r>
              <w:rPr>
                <w:b/>
                <w:bCs/>
                <w:color w:val="auto"/>
              </w:rPr>
              <w:t>工作制度及劳动定员</w:t>
            </w:r>
            <w:bookmarkEnd w:id="1"/>
            <w:bookmarkEnd w:id="2"/>
            <w:bookmarkEnd w:id="3"/>
          </w:p>
          <w:p w14:paraId="7026A427">
            <w:pPr>
              <w:ind w:firstLine="480"/>
              <w:rPr>
                <w:rFonts w:hint="eastAsia"/>
                <w:color w:val="auto"/>
                <w:lang w:val="en-US" w:eastAsia="zh-CN"/>
              </w:rPr>
            </w:pPr>
            <w:r>
              <w:rPr>
                <w:rFonts w:hint="eastAsia"/>
                <w:color w:val="auto"/>
              </w:rPr>
              <w:t>本项目</w:t>
            </w:r>
            <w:r>
              <w:rPr>
                <w:rFonts w:hint="eastAsia"/>
                <w:color w:val="auto"/>
                <w:lang w:val="en-US" w:eastAsia="zh-CN"/>
              </w:rPr>
              <w:t>能源站运营期设置6名劳动定员，供暖时间11月20日到来年3月10日（110天）、供冷时间6月20日到9月30日（100天）、24h/d，总计210天。</w:t>
            </w:r>
          </w:p>
          <w:p w14:paraId="6B1E1C67">
            <w:pPr>
              <w:ind w:firstLine="480"/>
              <w:rPr>
                <w:rFonts w:ascii="宋体" w:hAnsi="宋体" w:cs="宋体"/>
                <w:color w:val="auto"/>
                <w:kern w:val="0"/>
                <w:szCs w:val="21"/>
              </w:rPr>
            </w:pPr>
          </w:p>
        </w:tc>
      </w:tr>
    </w:tbl>
    <w:p w14:paraId="7C888576">
      <w:pPr>
        <w:pStyle w:val="24"/>
        <w:spacing w:before="0" w:beforeAutospacing="0" w:after="0" w:afterAutospacing="0"/>
        <w:ind w:firstLine="0" w:firstLineChars="0"/>
        <w:jc w:val="center"/>
        <w:outlineLvl w:val="0"/>
        <w:rPr>
          <w:rFonts w:ascii="黑体" w:hAnsi="黑体" w:eastAsia="黑体"/>
          <w:snapToGrid w:val="0"/>
          <w:color w:val="auto"/>
          <w:sz w:val="30"/>
          <w:szCs w:val="30"/>
        </w:rPr>
        <w:sectPr>
          <w:pgSz w:w="11907" w:h="16840"/>
          <w:pgMar w:top="1701" w:right="1531" w:bottom="2127" w:left="1531" w:header="851" w:footer="851" w:gutter="0"/>
          <w:pgNumType w:fmt="decimal"/>
          <w:cols w:space="720" w:num="1"/>
          <w:docGrid w:linePitch="312" w:charSpace="0"/>
        </w:sectPr>
      </w:pPr>
    </w:p>
    <w:p w14:paraId="67F57178">
      <w:pPr>
        <w:ind w:firstLine="480"/>
        <w:rPr>
          <w:color w:val="auto"/>
        </w:rPr>
      </w:pPr>
    </w:p>
    <w:tbl>
      <w:tblPr>
        <w:tblStyle w:val="26"/>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474"/>
      </w:tblGrid>
      <w:tr w14:paraId="40DBB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510" w:type="dxa"/>
            <w:vAlign w:val="center"/>
          </w:tcPr>
          <w:p w14:paraId="28AEA5FC">
            <w:pPr>
              <w:ind w:firstLine="0" w:firstLineChars="0"/>
              <w:jc w:val="center"/>
              <w:rPr>
                <w:rFonts w:cs="宋体"/>
                <w:color w:val="auto"/>
                <w:szCs w:val="21"/>
              </w:rPr>
            </w:pPr>
            <w:r>
              <w:rPr>
                <w:rFonts w:hint="eastAsia"/>
                <w:color w:val="auto"/>
              </w:rPr>
              <w:t>工艺流程和产排污环节</w:t>
            </w:r>
          </w:p>
        </w:tc>
        <w:tc>
          <w:tcPr>
            <w:tcW w:w="8474" w:type="dxa"/>
          </w:tcPr>
          <w:p w14:paraId="23C6B13A">
            <w:pPr>
              <w:ind w:firstLine="0" w:firstLineChars="0"/>
              <w:rPr>
                <w:b/>
                <w:bCs/>
                <w:color w:val="auto"/>
              </w:rPr>
            </w:pPr>
            <w:r>
              <w:rPr>
                <w:rFonts w:hint="eastAsia"/>
                <w:b/>
                <w:bCs/>
                <w:color w:val="auto"/>
              </w:rPr>
              <w:t>一、施工期</w:t>
            </w:r>
          </w:p>
          <w:p w14:paraId="06BA7841">
            <w:pPr>
              <w:keepNext w:val="0"/>
              <w:keepLines w:val="0"/>
              <w:pageBreakBefore w:val="0"/>
              <w:widowControl w:val="0"/>
              <w:tabs>
                <w:tab w:val="left" w:pos="607"/>
              </w:tabs>
              <w:kinsoku/>
              <w:wordWrap/>
              <w:overflowPunct/>
              <w:topLinePunct w:val="0"/>
              <w:autoSpaceDE/>
              <w:autoSpaceDN/>
              <w:bidi w:val="0"/>
              <w:adjustRightInd/>
              <w:snapToGrid/>
              <w:spacing w:before="0" w:line="360" w:lineRule="auto"/>
              <w:ind w:left="0" w:leftChars="0" w:right="0" w:firstLine="0" w:firstLineChars="0"/>
              <w:jc w:val="left"/>
              <w:textAlignment w:val="auto"/>
              <w:rPr>
                <w:rFonts w:hint="eastAsia" w:ascii="宋体" w:hAnsi="宋体" w:eastAsia="宋体"/>
                <w:b/>
                <w:bCs/>
                <w:sz w:val="24"/>
                <w:szCs w:val="32"/>
                <w:lang w:val="en-US" w:eastAsia="zh-CN"/>
              </w:rPr>
            </w:pPr>
            <w:r>
              <w:rPr>
                <w:rFonts w:hint="default" w:ascii="Times New Roman" w:hAnsi="Times New Roman" w:eastAsia="宋体" w:cs="Times New Roman"/>
                <w:b/>
                <w:bCs/>
                <w:sz w:val="24"/>
                <w:szCs w:val="32"/>
                <w:lang w:val="en-US" w:eastAsia="zh-CN"/>
              </w:rPr>
              <w:t>1</w:t>
            </w:r>
            <w:r>
              <w:rPr>
                <w:rFonts w:hint="default" w:ascii="Times New Roman" w:hAnsi="Times New Roman" w:cs="Times New Roman"/>
                <w:b/>
                <w:bCs/>
                <w:sz w:val="24"/>
                <w:szCs w:val="32"/>
                <w:lang w:val="en-US" w:eastAsia="zh-CN"/>
              </w:rPr>
              <w:t>.1</w:t>
            </w:r>
            <w:r>
              <w:rPr>
                <w:rFonts w:hint="eastAsia" w:ascii="宋体" w:hAnsi="宋体"/>
                <w:b/>
                <w:bCs/>
                <w:sz w:val="24"/>
                <w:szCs w:val="32"/>
                <w:lang w:val="en-US" w:eastAsia="zh-CN"/>
              </w:rPr>
              <w:t xml:space="preserve"> 能源站</w:t>
            </w:r>
            <w:r>
              <w:rPr>
                <w:rFonts w:hint="eastAsia" w:ascii="宋体" w:hAnsi="宋体" w:eastAsia="宋体"/>
                <w:b/>
                <w:bCs/>
                <w:sz w:val="24"/>
                <w:szCs w:val="32"/>
                <w:lang w:val="en-US" w:eastAsia="zh-CN"/>
              </w:rPr>
              <w:t>施工期工艺分析</w:t>
            </w:r>
          </w:p>
          <w:p w14:paraId="51FE24F3">
            <w:pPr>
              <w:spacing w:line="360" w:lineRule="auto"/>
              <w:ind w:firstLine="480" w:firstLineChars="200"/>
              <w:textAlignment w:val="baseline"/>
              <w:rPr>
                <w:sz w:val="24"/>
                <w:szCs w:val="24"/>
              </w:rPr>
            </w:pPr>
            <w:r>
              <w:rPr>
                <w:rFonts w:hint="eastAsia"/>
                <w:color w:val="auto"/>
                <w:lang w:val="en-US" w:eastAsia="zh-CN"/>
              </w:rPr>
              <w:t>安徽十源能源技术有限公司</w:t>
            </w:r>
            <w:r>
              <w:rPr>
                <w:rFonts w:hint="eastAsia"/>
                <w:sz w:val="24"/>
                <w:szCs w:val="24"/>
                <w:lang w:val="en-US" w:eastAsia="zh-CN"/>
              </w:rPr>
              <w:t>主要建设节能站机房</w:t>
            </w:r>
            <w:r>
              <w:rPr>
                <w:rFonts w:hint="eastAsia"/>
                <w:bCs/>
                <w:sz w:val="24"/>
                <w:szCs w:val="24"/>
              </w:rPr>
              <w:t>、办公楼、气化间</w:t>
            </w:r>
            <w:r>
              <w:rPr>
                <w:rFonts w:hint="eastAsia"/>
                <w:bCs/>
                <w:sz w:val="24"/>
                <w:szCs w:val="24"/>
                <w:lang w:eastAsia="zh-CN"/>
              </w:rPr>
              <w:t>，</w:t>
            </w:r>
            <w:r>
              <w:rPr>
                <w:rFonts w:hint="eastAsia"/>
                <w:bCs/>
                <w:sz w:val="24"/>
                <w:szCs w:val="24"/>
                <w:lang w:val="en-US" w:eastAsia="zh-CN"/>
              </w:rPr>
              <w:t>配套建设</w:t>
            </w:r>
            <w:r>
              <w:rPr>
                <w:rFonts w:hint="eastAsia"/>
                <w:bCs/>
                <w:sz w:val="24"/>
                <w:szCs w:val="24"/>
              </w:rPr>
              <w:t>给排水、供配电、道路、绿化</w:t>
            </w:r>
            <w:r>
              <w:rPr>
                <w:rFonts w:hint="eastAsia"/>
                <w:bCs/>
                <w:sz w:val="24"/>
                <w:szCs w:val="24"/>
                <w:lang w:eastAsia="zh-CN"/>
              </w:rPr>
              <w:t>、</w:t>
            </w:r>
            <w:r>
              <w:rPr>
                <w:rFonts w:hint="eastAsia"/>
                <w:sz w:val="24"/>
                <w:szCs w:val="24"/>
              </w:rPr>
              <w:t>土建工程、管网及配套件采购及管道安装工程</w:t>
            </w:r>
            <w:r>
              <w:rPr>
                <w:rFonts w:hint="eastAsia"/>
                <w:bCs/>
                <w:sz w:val="24"/>
                <w:szCs w:val="24"/>
              </w:rPr>
              <w:t>等</w:t>
            </w:r>
            <w:r>
              <w:rPr>
                <w:rFonts w:hint="eastAsia" w:cs="宋体"/>
                <w:sz w:val="24"/>
                <w:szCs w:val="24"/>
              </w:rPr>
              <w:t>。施工期工艺流程主要为场地平整、土石方工程、打桩、房屋结构施工、房屋装修、竣工验收等，具体工艺流程及产污环节示意图见下图。</w:t>
            </w:r>
          </w:p>
          <w:p w14:paraId="1A68FD45">
            <w:pPr>
              <w:keepNext w:val="0"/>
              <w:keepLines w:val="0"/>
              <w:pageBreakBefore w:val="0"/>
              <w:widowControl w:val="0"/>
              <w:tabs>
                <w:tab w:val="left" w:pos="3969"/>
              </w:tabs>
              <w:kinsoku/>
              <w:wordWrap/>
              <w:overflowPunct/>
              <w:topLinePunct w:val="0"/>
              <w:autoSpaceDE/>
              <w:autoSpaceDN/>
              <w:bidi w:val="0"/>
              <w:adjustRightInd/>
              <w:snapToGrid/>
              <w:spacing w:line="360" w:lineRule="auto"/>
              <w:ind w:firstLine="0" w:firstLineChars="0"/>
              <w:jc w:val="center"/>
              <w:textAlignment w:val="auto"/>
              <w:rPr>
                <w:b/>
                <w:bCs/>
                <w:sz w:val="24"/>
                <w:szCs w:val="24"/>
              </w:rPr>
            </w:pPr>
            <w:r>
              <w:drawing>
                <wp:inline distT="0" distB="0" distL="114300" distR="114300">
                  <wp:extent cx="2428875" cy="2555240"/>
                  <wp:effectExtent l="0" t="0" r="0" b="0"/>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pic:cNvPicPr>
                        </pic:nvPicPr>
                        <pic:blipFill>
                          <a:blip r:embed="rId11"/>
                          <a:srcRect t="1009"/>
                          <a:stretch>
                            <a:fillRect/>
                          </a:stretch>
                        </pic:blipFill>
                        <pic:spPr>
                          <a:xfrm>
                            <a:off x="0" y="0"/>
                            <a:ext cx="2428875" cy="2555240"/>
                          </a:xfrm>
                          <a:prstGeom prst="rect">
                            <a:avLst/>
                          </a:prstGeom>
                          <a:noFill/>
                          <a:ln>
                            <a:noFill/>
                          </a:ln>
                        </pic:spPr>
                      </pic:pic>
                    </a:graphicData>
                  </a:graphic>
                </wp:inline>
              </w:drawing>
            </w:r>
          </w:p>
          <w:p w14:paraId="76421FF9">
            <w:pPr>
              <w:spacing w:line="360" w:lineRule="auto"/>
              <w:ind w:firstLine="420"/>
              <w:jc w:val="center"/>
              <w:rPr>
                <w:b/>
                <w:bCs/>
                <w:sz w:val="24"/>
                <w:szCs w:val="24"/>
              </w:rPr>
            </w:pPr>
            <w:r>
              <w:rPr>
                <w:rFonts w:hint="eastAsia" w:cs="宋体"/>
                <w:b/>
                <w:bCs/>
                <w:sz w:val="24"/>
                <w:szCs w:val="24"/>
              </w:rPr>
              <w:t>图</w:t>
            </w:r>
            <w:r>
              <w:rPr>
                <w:b/>
                <w:bCs/>
                <w:sz w:val="24"/>
                <w:szCs w:val="24"/>
              </w:rPr>
              <w:t>2-</w:t>
            </w:r>
            <w:r>
              <w:rPr>
                <w:rFonts w:hint="eastAsia"/>
                <w:b/>
                <w:bCs/>
                <w:sz w:val="24"/>
                <w:szCs w:val="24"/>
                <w:lang w:val="en-US" w:eastAsia="zh-CN"/>
              </w:rPr>
              <w:t xml:space="preserve">2  </w:t>
            </w:r>
            <w:r>
              <w:rPr>
                <w:rFonts w:hint="eastAsia" w:cs="宋体"/>
                <w:b/>
                <w:bCs/>
                <w:sz w:val="24"/>
                <w:szCs w:val="24"/>
              </w:rPr>
              <w:t>项目施工期工艺流程及产污环节示意图</w:t>
            </w:r>
          </w:p>
          <w:p w14:paraId="42C76192">
            <w:pPr>
              <w:spacing w:line="360" w:lineRule="auto"/>
              <w:ind w:left="0" w:leftChars="0" w:firstLine="0" w:firstLineChars="0"/>
              <w:rPr>
                <w:b/>
                <w:bCs/>
                <w:kern w:val="0"/>
                <w:sz w:val="24"/>
                <w:szCs w:val="24"/>
              </w:rPr>
            </w:pPr>
            <w:r>
              <w:rPr>
                <w:rFonts w:hint="eastAsia"/>
                <w:b/>
                <w:bCs/>
                <w:kern w:val="0"/>
                <w:sz w:val="24"/>
                <w:szCs w:val="24"/>
                <w:lang w:val="en-US" w:eastAsia="zh-CN"/>
              </w:rPr>
              <w:t>1.</w:t>
            </w:r>
            <w:r>
              <w:rPr>
                <w:b/>
                <w:bCs/>
                <w:kern w:val="0"/>
                <w:sz w:val="24"/>
                <w:szCs w:val="24"/>
              </w:rPr>
              <w:t>2</w:t>
            </w:r>
            <w:r>
              <w:rPr>
                <w:rFonts w:hint="eastAsia" w:cs="宋体"/>
                <w:b/>
                <w:bCs/>
                <w:kern w:val="0"/>
                <w:sz w:val="24"/>
                <w:szCs w:val="24"/>
                <w:lang w:val="en-US" w:eastAsia="zh-CN"/>
              </w:rPr>
              <w:t xml:space="preserve"> </w:t>
            </w:r>
            <w:r>
              <w:rPr>
                <w:rFonts w:hint="eastAsia" w:ascii="宋体" w:hAnsi="宋体"/>
                <w:b/>
                <w:bCs/>
                <w:sz w:val="24"/>
                <w:szCs w:val="32"/>
                <w:lang w:val="en-US" w:eastAsia="zh-CN"/>
              </w:rPr>
              <w:t>能源站</w:t>
            </w:r>
            <w:r>
              <w:rPr>
                <w:rFonts w:hint="eastAsia" w:cs="宋体"/>
                <w:b/>
                <w:bCs/>
                <w:kern w:val="0"/>
                <w:sz w:val="24"/>
                <w:szCs w:val="24"/>
              </w:rPr>
              <w:t>施工期</w:t>
            </w:r>
            <w:r>
              <w:rPr>
                <w:rFonts w:hint="eastAsia" w:cs="宋体"/>
                <w:b/>
                <w:bCs/>
                <w:sz w:val="24"/>
                <w:szCs w:val="24"/>
              </w:rPr>
              <w:t>污染物分析</w:t>
            </w:r>
          </w:p>
          <w:p w14:paraId="7EF190F6">
            <w:pPr>
              <w:spacing w:line="360" w:lineRule="auto"/>
              <w:ind w:firstLine="482"/>
              <w:rPr>
                <w:sz w:val="24"/>
                <w:szCs w:val="24"/>
              </w:rPr>
            </w:pPr>
            <w:r>
              <w:rPr>
                <w:rFonts w:hint="eastAsia" w:cs="宋体"/>
                <w:sz w:val="24"/>
                <w:szCs w:val="24"/>
              </w:rPr>
              <w:t>（</w:t>
            </w:r>
            <w:r>
              <w:rPr>
                <w:sz w:val="24"/>
                <w:szCs w:val="24"/>
              </w:rPr>
              <w:t>1</w:t>
            </w:r>
            <w:r>
              <w:rPr>
                <w:rFonts w:hint="eastAsia" w:cs="宋体"/>
                <w:sz w:val="24"/>
                <w:szCs w:val="24"/>
              </w:rPr>
              <w:t>）大气污染：施工期的大气污染源主要为施工区裸露地表在大风气象条件下形成的风蚀扬尘，其产生量与风力、表土含水率等因素有关。另外还有施工队伍临时生活炉灶排放的废气，建筑材料运输、卸载</w:t>
            </w:r>
            <w:r>
              <w:rPr>
                <w:rFonts w:hint="eastAsia" w:cs="宋体"/>
                <w:sz w:val="24"/>
                <w:szCs w:val="24"/>
                <w:lang w:eastAsia="zh-CN"/>
              </w:rPr>
              <w:t>、房屋拆除</w:t>
            </w:r>
            <w:r>
              <w:rPr>
                <w:rFonts w:hint="eastAsia" w:cs="宋体"/>
                <w:sz w:val="24"/>
                <w:szCs w:val="24"/>
              </w:rPr>
              <w:t>中的扬尘，土方运输车辆行驶产生的扬尘，临时物料堆场产生的风蚀扬尘等。</w:t>
            </w:r>
          </w:p>
          <w:p w14:paraId="497ADBC9">
            <w:pPr>
              <w:spacing w:line="360" w:lineRule="auto"/>
              <w:ind w:firstLine="480" w:firstLineChars="200"/>
              <w:rPr>
                <w:sz w:val="24"/>
                <w:szCs w:val="24"/>
              </w:rPr>
            </w:pPr>
            <w:r>
              <w:rPr>
                <w:rFonts w:hint="eastAsia" w:cs="宋体"/>
                <w:sz w:val="24"/>
                <w:szCs w:val="24"/>
              </w:rPr>
              <w:t>（</w:t>
            </w:r>
            <w:r>
              <w:rPr>
                <w:sz w:val="24"/>
                <w:szCs w:val="24"/>
              </w:rPr>
              <w:t>2</w:t>
            </w:r>
            <w:r>
              <w:rPr>
                <w:rFonts w:hint="eastAsia" w:cs="宋体"/>
                <w:sz w:val="24"/>
                <w:szCs w:val="24"/>
              </w:rPr>
              <w:t>）废水污染：施工期水污染源主要为施工区的施工废水和施工队伍的生活污水。施工废水主要包括以下几部分：①施工机械跑、冒、漏、滴的油污及露天机械经雨水冲刷后产生的含油污水；②施工物料、施工泥渣、生活垃圾受雨水冲刷产生的污水；③地基工程中产生的打桩废水；④机械设备运转的冷却水和洗涤水；⑤混凝土养护废水。施工废水中污染物主要有</w:t>
            </w:r>
            <w:r>
              <w:rPr>
                <w:sz w:val="24"/>
                <w:szCs w:val="24"/>
              </w:rPr>
              <w:t>COD</w:t>
            </w:r>
            <w:r>
              <w:rPr>
                <w:rFonts w:hint="eastAsia" w:cs="宋体"/>
                <w:sz w:val="24"/>
                <w:szCs w:val="24"/>
              </w:rPr>
              <w:t>、</w:t>
            </w:r>
            <w:r>
              <w:rPr>
                <w:sz w:val="24"/>
                <w:szCs w:val="24"/>
              </w:rPr>
              <w:t>SS</w:t>
            </w:r>
            <w:r>
              <w:rPr>
                <w:rFonts w:hint="eastAsia" w:cs="宋体"/>
                <w:sz w:val="24"/>
                <w:szCs w:val="24"/>
              </w:rPr>
              <w:t>、石油类等，</w:t>
            </w:r>
            <w:r>
              <w:rPr>
                <w:rFonts w:hint="eastAsia" w:cs="宋体"/>
                <w:color w:val="000000"/>
                <w:sz w:val="24"/>
                <w:szCs w:val="24"/>
              </w:rPr>
              <w:t>通过设置简易沉淀池沉淀，清水回用</w:t>
            </w:r>
            <w:r>
              <w:rPr>
                <w:rFonts w:hint="eastAsia" w:cs="宋体"/>
                <w:sz w:val="24"/>
                <w:szCs w:val="24"/>
              </w:rPr>
              <w:t>。施工人员生活污水的排放量由施工队伍的人数确定，主要污染物为</w:t>
            </w:r>
            <w:r>
              <w:rPr>
                <w:sz w:val="24"/>
                <w:szCs w:val="24"/>
              </w:rPr>
              <w:t>COD</w:t>
            </w:r>
            <w:r>
              <w:rPr>
                <w:rFonts w:hint="eastAsia" w:cs="宋体"/>
                <w:sz w:val="24"/>
                <w:szCs w:val="24"/>
              </w:rPr>
              <w:t>、氨氮、</w:t>
            </w:r>
            <w:r>
              <w:rPr>
                <w:sz w:val="24"/>
                <w:szCs w:val="24"/>
              </w:rPr>
              <w:t>SS</w:t>
            </w:r>
            <w:r>
              <w:rPr>
                <w:rFonts w:hint="eastAsia" w:cs="宋体"/>
                <w:sz w:val="24"/>
                <w:szCs w:val="24"/>
              </w:rPr>
              <w:t>等。</w:t>
            </w:r>
          </w:p>
          <w:p w14:paraId="6CA7BEB7">
            <w:pPr>
              <w:spacing w:line="360" w:lineRule="auto"/>
              <w:ind w:firstLine="480" w:firstLineChars="200"/>
              <w:rPr>
                <w:sz w:val="24"/>
                <w:szCs w:val="24"/>
              </w:rPr>
            </w:pPr>
            <w:r>
              <w:rPr>
                <w:rFonts w:hint="eastAsia" w:cs="宋体"/>
                <w:sz w:val="24"/>
                <w:szCs w:val="24"/>
              </w:rPr>
              <w:t>（</w:t>
            </w:r>
            <w:r>
              <w:rPr>
                <w:sz w:val="24"/>
                <w:szCs w:val="24"/>
              </w:rPr>
              <w:t>3</w:t>
            </w:r>
            <w:r>
              <w:rPr>
                <w:rFonts w:hint="eastAsia" w:cs="宋体"/>
                <w:sz w:val="24"/>
                <w:szCs w:val="24"/>
              </w:rPr>
              <w:t>）噪声污染：施工期噪声主要为施工现场的各类机械设备噪声、物料装卸碰撞噪声、施工人员的活动噪声以及物料运输的交通噪声。施工单位应加强施工人员环保意识，合理安排施工时间，采用噪声较低的设备并定期维护，以减少本项目施工噪声对周边环境的影响。本项目工程量不大，施工期结束后噪声污染也随之消失。</w:t>
            </w:r>
          </w:p>
          <w:p w14:paraId="6329CBCE">
            <w:pPr>
              <w:keepNext w:val="0"/>
              <w:keepLines w:val="0"/>
              <w:pageBreakBefore w:val="0"/>
              <w:kinsoku/>
              <w:wordWrap/>
              <w:overflowPunct/>
              <w:topLinePunct w:val="0"/>
              <w:bidi w:val="0"/>
              <w:adjustRightInd/>
              <w:snapToGrid/>
              <w:spacing w:line="360" w:lineRule="auto"/>
              <w:ind w:firstLine="480" w:firstLineChars="200"/>
              <w:textAlignment w:val="baseline"/>
              <w:rPr>
                <w:rFonts w:hint="eastAsia" w:cs="宋体"/>
                <w:sz w:val="24"/>
                <w:szCs w:val="24"/>
              </w:rPr>
            </w:pPr>
            <w:r>
              <w:rPr>
                <w:rFonts w:hint="eastAsia" w:cs="宋体"/>
                <w:sz w:val="24"/>
                <w:szCs w:val="24"/>
              </w:rPr>
              <w:t>（</w:t>
            </w:r>
            <w:r>
              <w:rPr>
                <w:sz w:val="24"/>
                <w:szCs w:val="24"/>
              </w:rPr>
              <w:t>4</w:t>
            </w:r>
            <w:r>
              <w:rPr>
                <w:rFonts w:hint="eastAsia" w:cs="宋体"/>
                <w:sz w:val="24"/>
                <w:szCs w:val="24"/>
              </w:rPr>
              <w:t>）固废污染：施工期固体废弃物主要为施工过程中产生的</w:t>
            </w:r>
            <w:r>
              <w:rPr>
                <w:rFonts w:hint="eastAsia" w:cs="宋体"/>
                <w:sz w:val="24"/>
                <w:szCs w:val="24"/>
                <w:lang w:eastAsia="zh-CN"/>
              </w:rPr>
              <w:t>拆除的建筑垃圾、</w:t>
            </w:r>
            <w:r>
              <w:rPr>
                <w:rFonts w:hint="eastAsia" w:cs="宋体"/>
                <w:sz w:val="24"/>
                <w:szCs w:val="24"/>
              </w:rPr>
              <w:t>生活垃圾、施工渣土及废弃的包装材料等。</w:t>
            </w:r>
          </w:p>
          <w:p w14:paraId="241E7C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项目建设内容包括道路工程、排水工程、绿化工程等。整个施工过程将产生施工废气、施工扬尘、施工废水、施工噪声、弃土等以及造成水土流失，其对环境的不利影响是短暂的，将随着施工期的结束而消失。</w:t>
            </w:r>
          </w:p>
          <w:p w14:paraId="2C178BBF">
            <w:pPr>
              <w:keepNext w:val="0"/>
              <w:keepLines w:val="0"/>
              <w:pageBreakBefore w:val="0"/>
              <w:kinsoku/>
              <w:overflowPunct/>
              <w:bidi w:val="0"/>
              <w:adjustRightInd/>
              <w:snapToGrid/>
              <w:ind w:left="0" w:leftChars="0" w:firstLine="0" w:firstLineChars="0"/>
              <w:rPr>
                <w:rFonts w:hint="eastAsia"/>
                <w:b/>
                <w:bCs/>
                <w:color w:val="auto"/>
                <w:lang w:val="en-US" w:eastAsia="zh-CN"/>
              </w:rPr>
            </w:pPr>
            <w:r>
              <w:rPr>
                <w:rFonts w:hint="eastAsia"/>
                <w:b/>
                <w:bCs/>
                <w:color w:val="auto"/>
                <w:lang w:val="en-US" w:eastAsia="zh-CN"/>
              </w:rPr>
              <w:t xml:space="preserve">1.3 </w:t>
            </w:r>
            <w:r>
              <w:rPr>
                <w:rFonts w:hint="default" w:ascii="Times New Roman" w:hAnsi="Times New Roman" w:cs="Times New Roman"/>
                <w:b/>
                <w:color w:val="auto"/>
              </w:rPr>
              <w:t>工艺流程</w:t>
            </w:r>
          </w:p>
          <w:p w14:paraId="17877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1.3.1项目顶管施工工艺及产污节点</w:t>
            </w:r>
          </w:p>
          <w:p w14:paraId="3A219FC5">
            <w:pPr>
              <w:pStyle w:val="14"/>
              <w:rPr>
                <w:rFonts w:hint="eastAsia" w:cs="Times New Roman"/>
                <w:color w:val="auto"/>
                <w:lang w:val="en-US" w:eastAsia="zh-CN"/>
              </w:rPr>
            </w:pPr>
            <w:r>
              <w:rPr>
                <w:rFonts w:hint="eastAsia"/>
                <w:color w:val="auto"/>
                <w:lang w:val="en-US" w:eastAsia="zh-CN"/>
              </w:rPr>
              <w:t>本设计管道敷设方式为地埋敷设。管道敷设路线详见附图。</w:t>
            </w:r>
          </w:p>
          <w:p w14:paraId="15828EB4">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本项目原材料均购买成品，现场无需刷漆；</w:t>
            </w:r>
            <w:r>
              <w:rPr>
                <w:rFonts w:hint="default" w:ascii="Times New Roman" w:hAnsi="Times New Roman" w:eastAsia="宋体" w:cs="Times New Roman"/>
                <w:color w:val="auto"/>
                <w:lang w:val="en-US" w:eastAsia="zh-CN"/>
              </w:rPr>
              <w:t>具体工艺流程及产污如下：</w:t>
            </w:r>
          </w:p>
          <w:p w14:paraId="008D7A97">
            <w:pPr>
              <w:pStyle w:val="23"/>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工艺流程简述</w:t>
            </w:r>
            <w:r>
              <w:rPr>
                <w:rFonts w:hint="eastAsia" w:ascii="Times New Roman" w:hAnsi="Times New Roman" w:cs="Times New Roman"/>
                <w:b/>
                <w:bCs/>
                <w:color w:val="auto"/>
                <w:kern w:val="0"/>
                <w:sz w:val="24"/>
                <w:szCs w:val="24"/>
                <w:lang w:val="en-US" w:eastAsia="zh-CN" w:bidi="ar"/>
              </w:rPr>
              <w:t>：</w:t>
            </w:r>
          </w:p>
          <w:p w14:paraId="681C7625">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（1）</w:t>
            </w:r>
            <w:r>
              <w:rPr>
                <w:rFonts w:hint="eastAsia" w:cs="Times New Roman"/>
                <w:color w:val="auto"/>
                <w:kern w:val="0"/>
                <w:sz w:val="24"/>
                <w:szCs w:val="24"/>
                <w:lang w:val="en-US" w:eastAsia="zh-CN" w:bidi="ar"/>
              </w:rPr>
              <w:t>施工</w:t>
            </w:r>
            <w:r>
              <w:rPr>
                <w:rFonts w:hint="default" w:ascii="Times New Roman" w:hAnsi="Times New Roman" w:eastAsia="宋体" w:cs="Times New Roman"/>
                <w:color w:val="auto"/>
                <w:kern w:val="0"/>
                <w:sz w:val="24"/>
                <w:szCs w:val="24"/>
                <w:lang w:val="en-US" w:eastAsia="zh-CN" w:bidi="ar"/>
              </w:rPr>
              <w:t>测量放线</w:t>
            </w:r>
          </w:p>
          <w:p w14:paraId="54678BCD">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测量人员根据测量基准点用全站仪在原地放出管线中心线位置，根据供热管道的管径、埋深，土方开挖的坡度，确定沟槽开挖的宽度尺寸，画出地面开挖线。</w:t>
            </w:r>
          </w:p>
          <w:p w14:paraId="660A5D44">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（2）基坑开挖</w:t>
            </w:r>
            <w:r>
              <w:rPr>
                <w:rFonts w:hint="eastAsia" w:cs="Times New Roman"/>
                <w:color w:val="auto"/>
                <w:kern w:val="0"/>
                <w:sz w:val="24"/>
                <w:szCs w:val="24"/>
                <w:lang w:val="en-US" w:eastAsia="zh-CN" w:bidi="ar"/>
              </w:rPr>
              <w:t>、夯实</w:t>
            </w:r>
          </w:p>
          <w:p w14:paraId="7AF08E07">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管道沟槽开挖采用机械施工开挖，沿供热管线纵向开挖，开挖顺序由进水口向出水口推进，以机械挖土为主，人力挖土配合，最后人工清底至施工高程。管沟撼砂回填至道路结构层，采用机械运输、人工回填、平整的施工方式。</w:t>
            </w:r>
          </w:p>
          <w:p w14:paraId="5B3A399A">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临时堆场必须设置在指定位置</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材料分类、分批堆放</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整齐、整洁、安全。</w:t>
            </w:r>
          </w:p>
          <w:p w14:paraId="04DC08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临时存放的土堆应采用防尘网进行覆盖，或采取绿化、固化措施</w:t>
            </w:r>
            <w:r>
              <w:rPr>
                <w:rFonts w:hint="eastAsia" w:cs="Times New Roman"/>
                <w:color w:val="auto"/>
                <w:kern w:val="0"/>
                <w:sz w:val="24"/>
                <w:szCs w:val="24"/>
                <w:lang w:val="en-US" w:eastAsia="zh-CN" w:bidi="ar"/>
              </w:rPr>
              <w:t>。</w:t>
            </w:r>
          </w:p>
          <w:p w14:paraId="0F24BA0F">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color w:val="auto"/>
                <w:sz w:val="24"/>
                <w:szCs w:val="24"/>
                <w:lang w:val="en-US"/>
              </w:rPr>
            </w:pPr>
            <w:r>
              <w:rPr>
                <w:rFonts w:hint="eastAsia" w:cs="Times New Roman"/>
                <w:color w:val="auto"/>
                <w:kern w:val="0"/>
                <w:sz w:val="24"/>
                <w:szCs w:val="24"/>
                <w:lang w:val="en-US" w:eastAsia="zh-CN" w:bidi="ar"/>
              </w:rPr>
              <w:t>该工序产生施工扬尘、临时弃土、噪声。</w:t>
            </w:r>
          </w:p>
          <w:p w14:paraId="08E53013">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）管道安装</w:t>
            </w:r>
            <w:r>
              <w:rPr>
                <w:rFonts w:hint="eastAsia" w:cs="Times New Roman"/>
                <w:color w:val="auto"/>
                <w:kern w:val="0"/>
                <w:sz w:val="24"/>
                <w:szCs w:val="24"/>
                <w:lang w:val="en-US" w:eastAsia="zh-CN" w:bidi="ar"/>
              </w:rPr>
              <w:t>、焊接</w:t>
            </w:r>
          </w:p>
          <w:p w14:paraId="173D6B00">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管道安装采用机械吊装预制式成品管道，选用起重机负责管材的起重工作，管道铺设后</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管道现场接口焊接采用氩弧焊打底</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留出待检查的焊口</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焊缝进行100%X射线探伤检查</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焊缝探伤不得小于现行国家标准《无损检测金属管道熔化焊环向对接接头射线照相检测方法》</w:t>
            </w:r>
            <w:r>
              <w:rPr>
                <w:rFonts w:hint="eastAsia" w:cs="Times New Roman"/>
                <w:color w:val="auto"/>
                <w:kern w:val="0"/>
                <w:sz w:val="24"/>
                <w:szCs w:val="24"/>
                <w:lang w:val="en-US" w:eastAsia="zh-CN" w:bidi="ar"/>
              </w:rPr>
              <w:t>（GB/T 12605-2008）</w:t>
            </w:r>
            <w:r>
              <w:rPr>
                <w:rFonts w:hint="default" w:ascii="Times New Roman" w:hAnsi="Times New Roman" w:eastAsia="宋体" w:cs="Times New Roman"/>
                <w:color w:val="auto"/>
                <w:kern w:val="0"/>
                <w:sz w:val="24"/>
                <w:szCs w:val="24"/>
                <w:lang w:val="en-US" w:eastAsia="zh-CN" w:bidi="ar"/>
              </w:rPr>
              <w:t>的Ⅱ级质量要求</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当采用超声波探伤时</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采用射线探伤复检</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复检数量应为超声波探伤数量的20%</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超声波探伤不得小于国家现行标准《焊缝无损检测超声检测技术</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检测等级和评定》</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GB/T11345</w:t>
            </w:r>
            <w:r>
              <w:rPr>
                <w:rFonts w:hint="eastAsia" w:cs="Times New Roman"/>
                <w:color w:val="auto"/>
                <w:kern w:val="0"/>
                <w:sz w:val="24"/>
                <w:szCs w:val="24"/>
                <w:lang w:val="en-US" w:eastAsia="zh-CN" w:bidi="ar"/>
              </w:rPr>
              <w:t>-2013）</w:t>
            </w:r>
            <w:r>
              <w:rPr>
                <w:rFonts w:hint="default" w:ascii="Times New Roman" w:hAnsi="Times New Roman" w:eastAsia="宋体" w:cs="Times New Roman"/>
                <w:color w:val="auto"/>
                <w:kern w:val="0"/>
                <w:sz w:val="24"/>
                <w:szCs w:val="24"/>
                <w:lang w:val="en-US" w:eastAsia="zh-CN" w:bidi="ar"/>
              </w:rPr>
              <w:t>的Ⅰ级质量要求</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角焊缝处的无损检测可采用磁粉或渗透探伤</w:t>
            </w:r>
            <w:r>
              <w:rPr>
                <w:rFonts w:hint="eastAsia" w:cs="Times New Roman"/>
                <w:color w:val="auto"/>
                <w:kern w:val="0"/>
                <w:sz w:val="24"/>
                <w:szCs w:val="24"/>
                <w:lang w:val="en-US" w:eastAsia="zh-CN" w:bidi="ar"/>
              </w:rPr>
              <w:t>。</w:t>
            </w:r>
          </w:p>
          <w:p w14:paraId="6C792C32">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color w:val="auto"/>
                <w:sz w:val="24"/>
                <w:szCs w:val="24"/>
                <w:lang w:val="en-US"/>
              </w:rPr>
            </w:pPr>
            <w:r>
              <w:rPr>
                <w:rFonts w:hint="eastAsia" w:cs="Times New Roman"/>
                <w:color w:val="auto"/>
                <w:kern w:val="0"/>
                <w:sz w:val="24"/>
                <w:szCs w:val="24"/>
                <w:lang w:val="en-US" w:eastAsia="zh-CN" w:bidi="ar"/>
              </w:rPr>
              <w:t>该工序产生焊接烟尘、废焊材、噪声。</w:t>
            </w:r>
          </w:p>
          <w:p w14:paraId="44991285">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管道试压</w:t>
            </w:r>
          </w:p>
          <w:p w14:paraId="0B5E535E">
            <w:pPr>
              <w:keepNext w:val="0"/>
              <w:keepLines w:val="0"/>
              <w:pageBreakBefore w:val="0"/>
              <w:kinsoku/>
              <w:overflowPunct/>
              <w:bidi w:val="0"/>
              <w:adjustRightInd/>
              <w:snapToGrid/>
              <w:spacing w:line="360" w:lineRule="auto"/>
              <w:ind w:left="0" w:firstLine="480" w:firstLineChars="200"/>
              <w:rPr>
                <w:color w:val="auto"/>
              </w:rPr>
            </w:pPr>
            <w:r>
              <w:rPr>
                <w:color w:val="auto"/>
              </w:rPr>
              <w:t>气密性试验：</w:t>
            </w:r>
            <w:r>
              <w:rPr>
                <w:rFonts w:hint="eastAsia"/>
                <w:color w:val="auto"/>
              </w:rPr>
              <w:t>升压到试验压力，当压力趋于稳定后，详细检查管道、焊缝、管路附件及设备等无渗漏，固定支墩无明显的变形等。一级管网稳压1h，前后降压不大于0.05</w:t>
            </w:r>
            <w:r>
              <w:rPr>
                <w:color w:val="auto"/>
              </w:rPr>
              <w:t>MPa为合格。</w:t>
            </w:r>
          </w:p>
          <w:p w14:paraId="32B0EC5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强度施压：</w:t>
            </w:r>
            <w:r>
              <w:rPr>
                <w:rFonts w:hint="default" w:ascii="Times New Roman" w:hAnsi="Times New Roman" w:cs="Times New Roman"/>
                <w:color w:val="auto"/>
                <w:szCs w:val="24"/>
                <w:highlight w:val="none"/>
              </w:rPr>
              <w:t>管道水压试验的压力为设计压力的1.5倍，水压试验应缓慢升压，待达到试验压力后，稳压10分钟，再将试验压力降至设计压力，停压30分钟，以压力不降，无渗漏为合格。</w:t>
            </w:r>
          </w:p>
          <w:p w14:paraId="6743C62B">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b w:val="0"/>
                <w:bCs/>
                <w:color w:val="auto"/>
                <w:sz w:val="24"/>
                <w:szCs w:val="24"/>
                <w:highlight w:val="none"/>
                <w:lang w:val="en-US" w:eastAsia="zh-CN"/>
              </w:rPr>
            </w:pPr>
            <w:r>
              <w:rPr>
                <w:rFonts w:hint="eastAsia"/>
                <w:b w:val="0"/>
                <w:bCs/>
                <w:color w:val="auto"/>
                <w:sz w:val="24"/>
                <w:szCs w:val="24"/>
                <w:highlight w:val="none"/>
                <w:lang w:val="en-US" w:eastAsia="zh-CN"/>
              </w:rPr>
              <w:t>管道采用分段试压和整体试压相结合的方式，首先对直埋管道进行分段试压，</w:t>
            </w:r>
            <w:r>
              <w:rPr>
                <w:rFonts w:hint="eastAsia"/>
                <w:color w:val="auto"/>
                <w:sz w:val="24"/>
                <w:szCs w:val="24"/>
                <w:lang w:val="en-US" w:eastAsia="zh-CN"/>
              </w:rPr>
              <w:t>管道</w:t>
            </w:r>
            <w:r>
              <w:rPr>
                <w:rFonts w:hint="default"/>
                <w:color w:val="auto"/>
                <w:sz w:val="24"/>
                <w:szCs w:val="24"/>
                <w:lang w:val="en-US" w:eastAsia="zh-CN"/>
              </w:rPr>
              <w:t>试压</w:t>
            </w:r>
            <w:r>
              <w:rPr>
                <w:rFonts w:hint="eastAsia"/>
                <w:color w:val="auto"/>
                <w:sz w:val="24"/>
                <w:szCs w:val="24"/>
                <w:lang w:val="en-US" w:eastAsia="zh-CN"/>
              </w:rPr>
              <w:t>清洗</w:t>
            </w:r>
            <w:r>
              <w:rPr>
                <w:rFonts w:hint="default"/>
                <w:color w:val="auto"/>
                <w:sz w:val="24"/>
                <w:szCs w:val="24"/>
                <w:lang w:val="en-US" w:eastAsia="zh-CN"/>
              </w:rPr>
              <w:t>水</w:t>
            </w:r>
            <w:r>
              <w:rPr>
                <w:rFonts w:hint="eastAsia"/>
                <w:color w:val="auto"/>
                <w:sz w:val="24"/>
                <w:szCs w:val="24"/>
                <w:lang w:val="en-US" w:eastAsia="zh-CN"/>
              </w:rPr>
              <w:t>来自市政管网供给</w:t>
            </w:r>
            <w:r>
              <w:rPr>
                <w:rFonts w:hint="default"/>
                <w:color w:val="auto"/>
                <w:sz w:val="24"/>
                <w:szCs w:val="24"/>
                <w:lang w:val="en-US" w:eastAsia="zh-CN"/>
              </w:rPr>
              <w:t>，</w:t>
            </w:r>
            <w:r>
              <w:rPr>
                <w:rFonts w:hint="eastAsia"/>
                <w:color w:val="auto"/>
                <w:sz w:val="24"/>
                <w:szCs w:val="24"/>
                <w:lang w:val="en-US" w:eastAsia="zh-CN"/>
              </w:rPr>
              <w:t>管道试压废水</w:t>
            </w:r>
            <w:r>
              <w:rPr>
                <w:rFonts w:hint="eastAsia"/>
                <w:color w:val="auto"/>
                <w:lang w:val="en-US" w:eastAsia="zh-CN"/>
              </w:rPr>
              <w:t>接管网进入淮北蓝海水处理有限公司进一步处理，部分作为平山电厂冷却循环水，剩余部分排入萧濉新河</w:t>
            </w:r>
            <w:r>
              <w:rPr>
                <w:rFonts w:hint="eastAsia"/>
                <w:b w:val="0"/>
                <w:bCs/>
                <w:color w:val="auto"/>
                <w:sz w:val="24"/>
                <w:szCs w:val="24"/>
                <w:highlight w:val="none"/>
                <w:lang w:val="en-US" w:eastAsia="zh-CN"/>
              </w:rPr>
              <w:t>。管道组装完成后进行整体试压，试压水同时对管道进行了清洗。</w:t>
            </w:r>
          </w:p>
          <w:p w14:paraId="7659E995">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color w:val="auto"/>
                <w:sz w:val="24"/>
                <w:szCs w:val="24"/>
                <w:lang w:val="en-US"/>
              </w:rPr>
            </w:pPr>
            <w:r>
              <w:rPr>
                <w:rFonts w:hint="eastAsia" w:cs="Times New Roman"/>
                <w:color w:val="auto"/>
                <w:kern w:val="0"/>
                <w:sz w:val="24"/>
                <w:szCs w:val="24"/>
                <w:lang w:val="en-US" w:eastAsia="zh-CN" w:bidi="ar"/>
              </w:rPr>
              <w:t>该工序产生</w:t>
            </w:r>
            <w:r>
              <w:rPr>
                <w:rFonts w:hint="eastAsia"/>
                <w:color w:val="auto"/>
                <w:sz w:val="24"/>
                <w:szCs w:val="24"/>
                <w:lang w:val="en-US" w:eastAsia="zh-CN"/>
              </w:rPr>
              <w:t>管道试压废水</w:t>
            </w:r>
            <w:r>
              <w:rPr>
                <w:rFonts w:hint="eastAsia" w:cs="Times New Roman"/>
                <w:color w:val="auto"/>
                <w:kern w:val="0"/>
                <w:sz w:val="24"/>
                <w:szCs w:val="24"/>
                <w:lang w:val="en-US" w:eastAsia="zh-CN" w:bidi="ar"/>
              </w:rPr>
              <w:t>、噪声。</w:t>
            </w:r>
          </w:p>
          <w:p w14:paraId="28B2EF42">
            <w:pPr>
              <w:ind w:firstLine="0" w:firstLineChars="0"/>
              <w:rPr>
                <w:b/>
                <w:bCs/>
                <w:color w:val="auto"/>
              </w:rPr>
            </w:pPr>
            <w:r>
              <w:rPr>
                <w:rFonts w:hint="eastAsia"/>
                <w:b/>
                <w:bCs/>
                <w:color w:val="auto"/>
              </w:rPr>
              <w:t>二、营运期</w:t>
            </w:r>
          </w:p>
          <w:p w14:paraId="0F233D6D">
            <w:pPr>
              <w:rPr>
                <w:rFonts w:hint="eastAsia"/>
                <w:b/>
                <w:bCs/>
                <w:color w:val="auto"/>
                <w:lang w:val="en-US" w:eastAsia="zh-CN"/>
              </w:rPr>
            </w:pPr>
            <w:r>
              <w:rPr>
                <w:rFonts w:hint="eastAsia"/>
                <w:b/>
                <w:bCs/>
                <w:color w:val="auto"/>
                <w:lang w:val="en-US" w:eastAsia="zh-CN"/>
              </w:rPr>
              <w:t>供冷/供暖工艺流程：</w:t>
            </w:r>
          </w:p>
          <w:p w14:paraId="4A4F7A9A">
            <w:pPr>
              <w:pStyle w:val="2"/>
              <w:rPr>
                <w:rFonts w:hint="eastAsia"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本项目采用低温级空气源热泵利用电将管道内的</w:t>
            </w:r>
            <w:r>
              <w:rPr>
                <w:rFonts w:hint="eastAsia" w:ascii="Times New Roman" w:hAnsi="Times New Roman" w:cs="Times New Roman"/>
                <w:b w:val="0"/>
                <w:bCs w:val="0"/>
                <w:color w:val="auto"/>
                <w:lang w:val="en-US" w:eastAsia="zh-CN"/>
              </w:rPr>
              <w:t>室温</w:t>
            </w:r>
            <w:r>
              <w:rPr>
                <w:rFonts w:hint="default" w:ascii="Times New Roman" w:hAnsi="Times New Roman" w:cs="Times New Roman"/>
                <w:b w:val="0"/>
                <w:bCs w:val="0"/>
                <w:color w:val="auto"/>
                <w:lang w:val="en-US" w:eastAsia="zh-CN"/>
              </w:rPr>
              <w:t>水降至7℃左右</w:t>
            </w:r>
            <w:r>
              <w:rPr>
                <w:rFonts w:hint="eastAsia" w:ascii="Times New Roman" w:hAnsi="Times New Roman" w:cs="Times New Roman"/>
                <w:b w:val="0"/>
                <w:bCs w:val="0"/>
                <w:color w:val="auto"/>
                <w:lang w:val="en-US" w:eastAsia="zh-CN"/>
              </w:rPr>
              <w:t>或加热至41</w:t>
            </w:r>
            <w:r>
              <w:rPr>
                <w:rFonts w:hint="default" w:ascii="Times New Roman" w:hAnsi="Times New Roman" w:cs="Times New Roman"/>
                <w:b w:val="0"/>
                <w:bCs w:val="0"/>
                <w:color w:val="auto"/>
                <w:lang w:val="en-US" w:eastAsia="zh-CN"/>
              </w:rPr>
              <w:t>℃，然后通过管道输送冷水至单位或家庭，以达到供冷</w:t>
            </w:r>
            <w:r>
              <w:rPr>
                <w:rFonts w:hint="eastAsia" w:ascii="Times New Roman" w:hAnsi="Times New Roman" w:cs="Times New Roman"/>
                <w:b w:val="0"/>
                <w:bCs w:val="0"/>
                <w:color w:val="auto"/>
                <w:lang w:val="en-US" w:eastAsia="zh-CN"/>
              </w:rPr>
              <w:t>/供暖</w:t>
            </w:r>
            <w:r>
              <w:rPr>
                <w:rFonts w:hint="default" w:ascii="Times New Roman" w:hAnsi="Times New Roman" w:cs="Times New Roman"/>
                <w:b w:val="0"/>
                <w:bCs w:val="0"/>
                <w:color w:val="auto"/>
                <w:lang w:val="en-US" w:eastAsia="zh-CN"/>
              </w:rPr>
              <w:t>的需求</w:t>
            </w:r>
            <w:r>
              <w:rPr>
                <w:rFonts w:hint="eastAsia" w:ascii="Times New Roman" w:hAnsi="Times New Roman" w:cs="Times New Roman"/>
                <w:b w:val="0"/>
                <w:bCs w:val="0"/>
                <w:color w:val="auto"/>
                <w:lang w:val="en-US" w:eastAsia="zh-CN"/>
              </w:rPr>
              <w:t>，电为清洁能源。</w:t>
            </w:r>
          </w:p>
          <w:p w14:paraId="6EAECA8D">
            <w:pPr>
              <w:pStyle w:val="2"/>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其工作原理基于空气热能的收集、传递和转换，具有环保、节能、高效的特点，低温空气源热泵的工作原理与一般的空气源热泵基本相同，只是它在温度更低的环境下仍能够运行。其基本原理是利用空气中的热能，通过压缩、膨胀等物理原理，将热能转换成高温热水或高温热风，用于供热、供冷和热水制备。</w:t>
            </w:r>
          </w:p>
          <w:p w14:paraId="6DABA434">
            <w:pPr>
              <w:pStyle w:val="2"/>
              <w:rPr>
                <w:rFonts w:hint="default"/>
                <w:lang w:val="en-US" w:eastAsia="zh-CN"/>
              </w:rPr>
            </w:pPr>
            <w:r>
              <w:rPr>
                <w:rFonts w:hint="default" w:ascii="Times New Roman" w:hAnsi="Times New Roman" w:cs="Times New Roman"/>
                <w:b w:val="0"/>
                <w:bCs w:val="0"/>
                <w:color w:val="auto"/>
                <w:lang w:val="en-US" w:eastAsia="zh-CN"/>
              </w:rPr>
              <w:t>该工序不产生污染物，仅为管道输送产生的</w:t>
            </w:r>
            <w:r>
              <w:rPr>
                <w:rFonts w:hint="eastAsia" w:ascii="Times New Roman" w:hAnsi="Times New Roman" w:cs="Times New Roman"/>
                <w:b w:val="0"/>
                <w:bCs w:val="0"/>
                <w:color w:val="auto"/>
                <w:lang w:val="en-US" w:eastAsia="zh-CN"/>
              </w:rPr>
              <w:t>运行</w:t>
            </w:r>
            <w:r>
              <w:rPr>
                <w:rFonts w:hint="default" w:ascii="Times New Roman" w:hAnsi="Times New Roman" w:cs="Times New Roman"/>
                <w:b w:val="0"/>
                <w:bCs w:val="0"/>
                <w:color w:val="auto"/>
                <w:lang w:val="en-US" w:eastAsia="zh-CN"/>
              </w:rPr>
              <w:t>噪声（N）。</w:t>
            </w:r>
          </w:p>
        </w:tc>
      </w:tr>
      <w:tr w14:paraId="462C4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510" w:type="dxa"/>
            <w:vAlign w:val="center"/>
          </w:tcPr>
          <w:p w14:paraId="3D976012">
            <w:pPr>
              <w:keepNext w:val="0"/>
              <w:keepLines w:val="0"/>
              <w:pageBreakBefore w:val="0"/>
              <w:widowControl w:val="0"/>
              <w:kinsoku/>
              <w:wordWrap/>
              <w:overflowPunct/>
              <w:topLinePunct w:val="0"/>
              <w:autoSpaceDE/>
              <w:autoSpaceDN/>
              <w:bidi w:val="0"/>
              <w:adjustRightInd/>
              <w:snapToGrid/>
              <w:ind w:firstLine="0" w:firstLineChars="0"/>
              <w:textAlignment w:val="auto"/>
              <w:rPr>
                <w:rFonts w:cs="宋体"/>
                <w:color w:val="auto"/>
                <w:szCs w:val="21"/>
              </w:rPr>
            </w:pPr>
            <w:r>
              <w:rPr>
                <w:rFonts w:hint="eastAsia"/>
                <w:color w:val="auto"/>
              </w:rPr>
              <w:t>与项目有关的原有环境污染问题</w:t>
            </w:r>
          </w:p>
        </w:tc>
        <w:tc>
          <w:tcPr>
            <w:tcW w:w="8474" w:type="dxa"/>
          </w:tcPr>
          <w:p w14:paraId="006DBE00">
            <w:pPr>
              <w:ind w:firstLine="0" w:firstLineChars="0"/>
            </w:pPr>
            <w:r>
              <w:t>与本项目有关的原有污染情况及主要环境问题：</w:t>
            </w:r>
          </w:p>
          <w:p w14:paraId="33BAEB37">
            <w:pPr>
              <w:adjustRightInd w:val="0"/>
              <w:snapToGrid w:val="0"/>
              <w:ind w:firstLine="480"/>
              <w:rPr>
                <w:rFonts w:hint="eastAsia"/>
              </w:rPr>
            </w:pPr>
            <w:r>
              <w:rPr>
                <w:rFonts w:hint="eastAsia"/>
                <w:lang w:val="en-US" w:eastAsia="zh-CN"/>
              </w:rPr>
              <w:t>根据现场勘查，</w:t>
            </w:r>
            <w:r>
              <w:rPr>
                <w:rFonts w:hint="eastAsia" w:cs="宋体"/>
              </w:rPr>
              <w:t>现场为空地，不涉及开工建设</w:t>
            </w:r>
            <w:r>
              <w:rPr>
                <w:rFonts w:hint="eastAsia"/>
                <w:lang w:val="en-US" w:eastAsia="zh-CN"/>
              </w:rPr>
              <w:t>。</w:t>
            </w:r>
            <w:r>
              <w:rPr>
                <w:rFonts w:hint="eastAsia"/>
              </w:rPr>
              <w:t>因此不存在与本项目有关的原有污染问题。</w:t>
            </w:r>
          </w:p>
          <w:p w14:paraId="763984AD">
            <w:pPr>
              <w:adjustRightInd w:val="0"/>
              <w:snapToGrid w:val="0"/>
              <w:ind w:firstLine="480"/>
              <w:rPr>
                <w:rFonts w:hint="eastAsia"/>
              </w:rPr>
            </w:pPr>
          </w:p>
          <w:p w14:paraId="4CD34617">
            <w:pPr>
              <w:adjustRightInd w:val="0"/>
              <w:snapToGrid w:val="0"/>
              <w:ind w:firstLine="480"/>
              <w:rPr>
                <w:rFonts w:hint="eastAsia"/>
              </w:rPr>
            </w:pPr>
          </w:p>
          <w:p w14:paraId="0EE25AFC">
            <w:pPr>
              <w:adjustRightInd w:val="0"/>
              <w:snapToGrid w:val="0"/>
              <w:ind w:firstLine="480"/>
              <w:rPr>
                <w:rFonts w:hint="eastAsia"/>
              </w:rPr>
            </w:pPr>
          </w:p>
          <w:p w14:paraId="3C7BF774">
            <w:pPr>
              <w:adjustRightInd w:val="0"/>
              <w:snapToGrid w:val="0"/>
              <w:ind w:firstLine="480"/>
              <w:rPr>
                <w:rFonts w:hint="eastAsia"/>
              </w:rPr>
            </w:pPr>
          </w:p>
          <w:p w14:paraId="0AFDA1BC">
            <w:pPr>
              <w:adjustRightInd w:val="0"/>
              <w:snapToGrid w:val="0"/>
              <w:rPr>
                <w:rFonts w:hint="eastAsia" w:eastAsia="宋体"/>
                <w:lang w:val="en-US" w:eastAsia="zh-CN"/>
              </w:rPr>
            </w:pPr>
          </w:p>
          <w:p w14:paraId="1D164C02">
            <w:pPr>
              <w:ind w:firstLine="0" w:firstLineChars="0"/>
              <w:rPr>
                <w:rFonts w:hint="eastAsia" w:ascii="宋体" w:hAnsi="宋体"/>
                <w:bCs/>
                <w:color w:val="auto"/>
                <w:szCs w:val="21"/>
                <w:lang w:val="en-US" w:eastAsia="zh-CN"/>
              </w:rPr>
            </w:pPr>
          </w:p>
          <w:p w14:paraId="4FAB3471">
            <w:pPr>
              <w:ind w:firstLine="0" w:firstLineChars="0"/>
              <w:rPr>
                <w:rFonts w:hint="eastAsia" w:ascii="宋体" w:hAnsi="宋体"/>
                <w:bCs/>
                <w:color w:val="auto"/>
                <w:szCs w:val="21"/>
                <w:lang w:val="en-US" w:eastAsia="zh-CN"/>
              </w:rPr>
            </w:pPr>
          </w:p>
          <w:p w14:paraId="3FB6A3DC">
            <w:pPr>
              <w:ind w:firstLine="0" w:firstLineChars="0"/>
              <w:rPr>
                <w:rFonts w:hint="eastAsia" w:ascii="宋体" w:hAnsi="宋体"/>
                <w:bCs/>
                <w:color w:val="auto"/>
                <w:szCs w:val="21"/>
                <w:lang w:val="en-US" w:eastAsia="zh-CN"/>
              </w:rPr>
            </w:pPr>
          </w:p>
          <w:p w14:paraId="4BAD035C">
            <w:pPr>
              <w:ind w:firstLine="0" w:firstLineChars="0"/>
              <w:rPr>
                <w:rFonts w:hint="eastAsia" w:ascii="宋体" w:hAnsi="宋体"/>
                <w:bCs/>
                <w:color w:val="auto"/>
                <w:szCs w:val="21"/>
                <w:lang w:val="en-US" w:eastAsia="zh-CN"/>
              </w:rPr>
            </w:pPr>
          </w:p>
          <w:p w14:paraId="60350D18">
            <w:pPr>
              <w:ind w:firstLine="0" w:firstLineChars="0"/>
              <w:rPr>
                <w:rFonts w:hint="eastAsia" w:ascii="宋体" w:hAnsi="宋体"/>
                <w:bCs/>
                <w:color w:val="auto"/>
                <w:szCs w:val="21"/>
                <w:lang w:val="en-US" w:eastAsia="zh-CN"/>
              </w:rPr>
            </w:pPr>
          </w:p>
          <w:p w14:paraId="585F72C9">
            <w:pPr>
              <w:ind w:firstLine="0" w:firstLineChars="0"/>
              <w:rPr>
                <w:rFonts w:hint="eastAsia" w:ascii="宋体" w:hAnsi="宋体"/>
                <w:bCs/>
                <w:color w:val="auto"/>
                <w:szCs w:val="21"/>
                <w:lang w:val="en-US" w:eastAsia="zh-CN"/>
              </w:rPr>
            </w:pPr>
          </w:p>
          <w:p w14:paraId="1AE7DACB">
            <w:pPr>
              <w:ind w:firstLine="0" w:firstLineChars="0"/>
              <w:rPr>
                <w:rFonts w:hint="eastAsia" w:ascii="宋体" w:hAnsi="宋体"/>
                <w:bCs/>
                <w:color w:val="auto"/>
                <w:szCs w:val="21"/>
                <w:lang w:val="en-US" w:eastAsia="zh-CN"/>
              </w:rPr>
            </w:pPr>
          </w:p>
          <w:p w14:paraId="1CC5C1D9">
            <w:pPr>
              <w:ind w:firstLine="0" w:firstLineChars="0"/>
              <w:rPr>
                <w:rFonts w:hint="eastAsia" w:ascii="宋体" w:hAnsi="宋体"/>
                <w:bCs/>
                <w:color w:val="auto"/>
                <w:szCs w:val="21"/>
                <w:lang w:val="en-US" w:eastAsia="zh-CN"/>
              </w:rPr>
            </w:pPr>
          </w:p>
          <w:p w14:paraId="4CF193E4">
            <w:pPr>
              <w:ind w:firstLine="0" w:firstLineChars="0"/>
              <w:rPr>
                <w:rFonts w:hint="eastAsia" w:ascii="宋体" w:hAnsi="宋体"/>
                <w:bCs/>
                <w:color w:val="auto"/>
                <w:szCs w:val="21"/>
                <w:lang w:val="en-US" w:eastAsia="zh-CN"/>
              </w:rPr>
            </w:pPr>
          </w:p>
          <w:p w14:paraId="4E8A8DFC">
            <w:pPr>
              <w:ind w:firstLine="0" w:firstLineChars="0"/>
              <w:rPr>
                <w:rFonts w:hint="eastAsia" w:ascii="宋体" w:hAnsi="宋体"/>
                <w:bCs/>
                <w:color w:val="auto"/>
                <w:szCs w:val="21"/>
                <w:lang w:val="en-US" w:eastAsia="zh-CN"/>
              </w:rPr>
            </w:pPr>
          </w:p>
          <w:p w14:paraId="73EEE84B">
            <w:pPr>
              <w:ind w:firstLine="0" w:firstLineChars="0"/>
              <w:rPr>
                <w:rFonts w:hint="eastAsia" w:ascii="宋体" w:hAnsi="宋体"/>
                <w:bCs/>
                <w:color w:val="auto"/>
                <w:szCs w:val="21"/>
                <w:lang w:val="en-US" w:eastAsia="zh-CN"/>
              </w:rPr>
            </w:pPr>
          </w:p>
          <w:p w14:paraId="6E7B38F7">
            <w:pPr>
              <w:ind w:firstLine="0" w:firstLineChars="0"/>
              <w:rPr>
                <w:rFonts w:hint="default" w:ascii="宋体" w:hAnsi="宋体" w:eastAsia="宋体"/>
                <w:bCs/>
                <w:color w:val="auto"/>
                <w:szCs w:val="21"/>
                <w:lang w:val="en-US" w:eastAsia="zh-CN"/>
              </w:rPr>
            </w:pPr>
          </w:p>
        </w:tc>
      </w:tr>
    </w:tbl>
    <w:p w14:paraId="01E9DA9E">
      <w:pPr>
        <w:pStyle w:val="24"/>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both"/>
        <w:textAlignment w:val="auto"/>
        <w:outlineLvl w:val="0"/>
        <w:rPr>
          <w:rFonts w:hint="eastAsia" w:ascii="黑体" w:hAnsi="黑体" w:eastAsia="黑体"/>
          <w:snapToGrid w:val="0"/>
          <w:color w:val="auto"/>
          <w:sz w:val="30"/>
          <w:szCs w:val="30"/>
        </w:rPr>
        <w:sectPr>
          <w:pgSz w:w="11907" w:h="16840"/>
          <w:pgMar w:top="1701" w:right="1531" w:bottom="2127" w:left="1531" w:header="851" w:footer="851" w:gutter="0"/>
          <w:pgNumType w:fmt="decimal"/>
          <w:cols w:space="720" w:num="1"/>
          <w:docGrid w:linePitch="312" w:charSpace="0"/>
        </w:sectPr>
      </w:pPr>
    </w:p>
    <w:p w14:paraId="61CDB3E8">
      <w:pPr>
        <w:pStyle w:val="24"/>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6"/>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3"/>
        <w:gridCol w:w="8477"/>
      </w:tblGrid>
      <w:tr w14:paraId="64E9E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513" w:type="dxa"/>
            <w:vAlign w:val="center"/>
          </w:tcPr>
          <w:p w14:paraId="202F840B">
            <w:pPr>
              <w:adjustRightInd w:val="0"/>
              <w:snapToGrid w:val="0"/>
              <w:ind w:firstLine="0" w:firstLineChars="0"/>
              <w:jc w:val="center"/>
              <w:rPr>
                <w:rFonts w:ascii="宋体" w:hAnsi="宋体" w:cs="宋体"/>
                <w:color w:val="auto"/>
                <w:kern w:val="0"/>
                <w:szCs w:val="21"/>
              </w:rPr>
            </w:pPr>
            <w:r>
              <w:rPr>
                <w:rFonts w:hint="eastAsia" w:ascii="宋体" w:hAnsi="宋体" w:cs="宋体"/>
                <w:color w:val="auto"/>
                <w:kern w:val="0"/>
                <w:szCs w:val="21"/>
              </w:rPr>
              <w:t>区域环境质量现状</w:t>
            </w:r>
          </w:p>
        </w:tc>
        <w:tc>
          <w:tcPr>
            <w:tcW w:w="8477" w:type="dxa"/>
            <w:vAlign w:val="center"/>
          </w:tcPr>
          <w:p w14:paraId="4A2A310D">
            <w:pPr>
              <w:ind w:firstLine="0" w:firstLineChars="0"/>
              <w:rPr>
                <w:b/>
                <w:bCs/>
                <w:color w:val="auto"/>
                <w:sz w:val="28"/>
                <w:szCs w:val="28"/>
              </w:rPr>
            </w:pPr>
            <w:r>
              <w:rPr>
                <w:b/>
                <w:bCs/>
                <w:color w:val="auto"/>
                <w:sz w:val="28"/>
                <w:szCs w:val="28"/>
              </w:rPr>
              <w:t>建设项目所在地区域环境质量现状及主要环境问题（环境空气、地面水、地下水、声环境、生态环境等）：</w:t>
            </w:r>
          </w:p>
          <w:p w14:paraId="35BB111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eastAsia="zh-CN"/>
              </w:rPr>
              <w:t>一、</w:t>
            </w:r>
            <w:r>
              <w:rPr>
                <w:rFonts w:hint="eastAsia" w:ascii="Times New Roman" w:hAnsi="Times New Roman" w:eastAsia="宋体" w:cs="Times New Roman"/>
                <w:b/>
                <w:bCs/>
                <w:color w:val="auto"/>
                <w:sz w:val="24"/>
                <w:szCs w:val="24"/>
                <w:lang w:val="en-US" w:eastAsia="zh-CN"/>
              </w:rPr>
              <w:t>大气环境</w:t>
            </w:r>
          </w:p>
          <w:p w14:paraId="43F78E6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cs="Times New Roman"/>
                <w:b/>
                <w:bCs/>
                <w:color w:val="auto"/>
                <w:sz w:val="24"/>
                <w:szCs w:val="24"/>
                <w:lang w:val="en-US" w:eastAsia="zh-CN"/>
              </w:rPr>
            </w:pPr>
            <w:r>
              <w:rPr>
                <w:rFonts w:hint="eastAsia" w:cs="Times New Roman"/>
                <w:b/>
                <w:bCs/>
                <w:color w:val="auto"/>
                <w:sz w:val="24"/>
                <w:szCs w:val="24"/>
                <w:lang w:val="en-US" w:eastAsia="zh-CN"/>
              </w:rPr>
              <w:t>1、</w:t>
            </w:r>
            <w:r>
              <w:rPr>
                <w:rFonts w:hint="default" w:ascii="Times New Roman" w:hAnsi="Times New Roman" w:eastAsia="宋体" w:cs="Times New Roman"/>
                <w:b/>
                <w:bCs/>
                <w:color w:val="auto"/>
                <w:sz w:val="24"/>
                <w:szCs w:val="24"/>
              </w:rPr>
              <w:t>基本污染物环境质量现状评价</w:t>
            </w:r>
          </w:p>
          <w:p w14:paraId="2CFA31FF">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本项目根据</w:t>
            </w:r>
            <w:r>
              <w:rPr>
                <w:color w:val="auto"/>
                <w:szCs w:val="24"/>
              </w:rPr>
              <w:t>《</w:t>
            </w:r>
            <w:r>
              <w:rPr>
                <w:rFonts w:hint="eastAsia"/>
                <w:color w:val="auto"/>
              </w:rPr>
              <w:t>202</w:t>
            </w:r>
            <w:r>
              <w:rPr>
                <w:rFonts w:hint="eastAsia"/>
                <w:color w:val="auto"/>
                <w:lang w:val="en-US" w:eastAsia="zh-CN"/>
              </w:rPr>
              <w:t>3</w:t>
            </w:r>
            <w:r>
              <w:rPr>
                <w:rFonts w:hint="eastAsia"/>
                <w:color w:val="auto"/>
              </w:rPr>
              <w:t>年度淮北市生态环境状况公报</w:t>
            </w:r>
            <w:r>
              <w:rPr>
                <w:color w:val="auto"/>
                <w:szCs w:val="24"/>
              </w:rPr>
              <w:t>》</w:t>
            </w:r>
            <w:r>
              <w:rPr>
                <w:rFonts w:hint="default" w:ascii="Times New Roman" w:hAnsi="Times New Roman" w:eastAsia="宋体" w:cs="Times New Roman"/>
                <w:color w:val="auto"/>
                <w:sz w:val="24"/>
                <w:szCs w:val="24"/>
              </w:rPr>
              <w:t>中淮北市环境保护监测站20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年1月1日~20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年12月31日的监测数据进行评价，基本污染物环境质量现状评价见表</w:t>
            </w:r>
            <w:r>
              <w:rPr>
                <w:rFonts w:hint="default"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w:t>
            </w:r>
          </w:p>
          <w:p w14:paraId="34696B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 xml:space="preserve">表3-1  </w:t>
            </w:r>
            <w:r>
              <w:rPr>
                <w:rFonts w:hint="default" w:ascii="Times New Roman" w:hAnsi="Times New Roman" w:eastAsia="宋体" w:cs="Times New Roman"/>
                <w:b/>
                <w:bCs/>
                <w:color w:val="auto"/>
                <w:sz w:val="24"/>
                <w:szCs w:val="24"/>
                <w:shd w:val="clear" w:color="auto" w:fill="FFFFFF"/>
              </w:rPr>
              <w:t>基本污染物环境质量现状</w:t>
            </w:r>
          </w:p>
          <w:tbl>
            <w:tblPr>
              <w:tblStyle w:val="27"/>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003"/>
              <w:gridCol w:w="1169"/>
              <w:gridCol w:w="1053"/>
              <w:gridCol w:w="881"/>
              <w:gridCol w:w="736"/>
              <w:gridCol w:w="662"/>
            </w:tblGrid>
            <w:tr w14:paraId="7F98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vMerge w:val="restart"/>
                  <w:tcBorders>
                    <w:tl2br w:val="nil"/>
                    <w:tr2bl w:val="nil"/>
                  </w:tcBorders>
                  <w:vAlign w:val="center"/>
                </w:tcPr>
                <w:p w14:paraId="1866871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污染物</w:t>
                  </w:r>
                </w:p>
              </w:tc>
              <w:tc>
                <w:tcPr>
                  <w:tcW w:w="3003" w:type="dxa"/>
                  <w:vMerge w:val="restart"/>
                  <w:tcBorders>
                    <w:tl2br w:val="nil"/>
                    <w:tr2bl w:val="nil"/>
                  </w:tcBorders>
                  <w:vAlign w:val="center"/>
                </w:tcPr>
                <w:p w14:paraId="20AEA1B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年评价指标</w:t>
                  </w:r>
                </w:p>
              </w:tc>
              <w:tc>
                <w:tcPr>
                  <w:tcW w:w="1169" w:type="dxa"/>
                  <w:vMerge w:val="restart"/>
                  <w:tcBorders>
                    <w:tl2br w:val="nil"/>
                    <w:tr2bl w:val="nil"/>
                  </w:tcBorders>
                  <w:vAlign w:val="center"/>
                </w:tcPr>
                <w:p w14:paraId="4DC8E257">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现状浓度</w:t>
                  </w:r>
                </w:p>
              </w:tc>
              <w:tc>
                <w:tcPr>
                  <w:tcW w:w="1053" w:type="dxa"/>
                  <w:vMerge w:val="restart"/>
                  <w:tcBorders>
                    <w:tl2br w:val="nil"/>
                    <w:tr2bl w:val="nil"/>
                  </w:tcBorders>
                  <w:vAlign w:val="center"/>
                </w:tcPr>
                <w:p w14:paraId="50B7637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标准值</w:t>
                  </w:r>
                </w:p>
              </w:tc>
              <w:tc>
                <w:tcPr>
                  <w:tcW w:w="881" w:type="dxa"/>
                  <w:vMerge w:val="restart"/>
                  <w:tcBorders>
                    <w:tl2br w:val="nil"/>
                    <w:tr2bl w:val="nil"/>
                  </w:tcBorders>
                  <w:vAlign w:val="center"/>
                </w:tcPr>
                <w:p w14:paraId="4BD98EDB">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占标率</w:t>
                  </w:r>
                  <w:r>
                    <w:rPr>
                      <w:rFonts w:hint="default" w:ascii="Times New Roman" w:hAnsi="Times New Roman" w:eastAsia="宋体" w:cs="Times New Roman"/>
                      <w:b/>
                      <w:bCs/>
                      <w:color w:val="auto"/>
                      <w:kern w:val="0"/>
                      <w:sz w:val="21"/>
                      <w:szCs w:val="21"/>
                      <w:lang w:eastAsia="zh-CN"/>
                    </w:rPr>
                    <w:t>（</w:t>
                  </w:r>
                  <w:r>
                    <w:rPr>
                      <w:rFonts w:hint="default" w:ascii="Times New Roman" w:hAnsi="Times New Roman" w:eastAsia="宋体" w:cs="Times New Roman"/>
                      <w:b/>
                      <w:bCs/>
                      <w:color w:val="auto"/>
                      <w:kern w:val="0"/>
                      <w:sz w:val="21"/>
                      <w:szCs w:val="21"/>
                    </w:rPr>
                    <w:t>%</w:t>
                  </w:r>
                  <w:r>
                    <w:rPr>
                      <w:rFonts w:hint="default" w:ascii="Times New Roman" w:hAnsi="Times New Roman" w:eastAsia="宋体" w:cs="Times New Roman"/>
                      <w:b/>
                      <w:bCs/>
                      <w:color w:val="auto"/>
                      <w:kern w:val="0"/>
                      <w:sz w:val="21"/>
                      <w:szCs w:val="21"/>
                      <w:lang w:eastAsia="zh-CN"/>
                    </w:rPr>
                    <w:t>）</w:t>
                  </w:r>
                </w:p>
              </w:tc>
              <w:tc>
                <w:tcPr>
                  <w:tcW w:w="1398" w:type="dxa"/>
                  <w:gridSpan w:val="2"/>
                  <w:tcBorders>
                    <w:tl2br w:val="nil"/>
                    <w:tr2bl w:val="nil"/>
                  </w:tcBorders>
                  <w:vAlign w:val="center"/>
                </w:tcPr>
                <w:p w14:paraId="28806B76">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达标情况</w:t>
                  </w:r>
                </w:p>
              </w:tc>
            </w:tr>
            <w:tr w14:paraId="31D5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vMerge w:val="continue"/>
                  <w:tcBorders>
                    <w:tl2br w:val="nil"/>
                    <w:tr2bl w:val="nil"/>
                  </w:tcBorders>
                  <w:vAlign w:val="center"/>
                </w:tcPr>
                <w:p w14:paraId="2C41481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3003" w:type="dxa"/>
                  <w:vMerge w:val="continue"/>
                  <w:tcBorders>
                    <w:tl2br w:val="nil"/>
                    <w:tr2bl w:val="nil"/>
                  </w:tcBorders>
                  <w:vAlign w:val="center"/>
                </w:tcPr>
                <w:p w14:paraId="7E035F02">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1169" w:type="dxa"/>
                  <w:vMerge w:val="continue"/>
                  <w:tcBorders>
                    <w:tl2br w:val="nil"/>
                    <w:tr2bl w:val="nil"/>
                  </w:tcBorders>
                  <w:vAlign w:val="center"/>
                </w:tcPr>
                <w:p w14:paraId="0BDBF25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1053" w:type="dxa"/>
                  <w:vMerge w:val="continue"/>
                  <w:tcBorders>
                    <w:tl2br w:val="nil"/>
                    <w:tr2bl w:val="nil"/>
                  </w:tcBorders>
                  <w:vAlign w:val="center"/>
                </w:tcPr>
                <w:p w14:paraId="4EE89322">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881" w:type="dxa"/>
                  <w:vMerge w:val="continue"/>
                  <w:tcBorders>
                    <w:tl2br w:val="nil"/>
                    <w:tr2bl w:val="nil"/>
                  </w:tcBorders>
                  <w:vAlign w:val="center"/>
                </w:tcPr>
                <w:p w14:paraId="1753F908">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736" w:type="dxa"/>
                  <w:tcBorders>
                    <w:tl2br w:val="nil"/>
                    <w:tr2bl w:val="nil"/>
                  </w:tcBorders>
                  <w:vAlign w:val="center"/>
                </w:tcPr>
                <w:p w14:paraId="0209CB71">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分项</w:t>
                  </w:r>
                </w:p>
              </w:tc>
              <w:tc>
                <w:tcPr>
                  <w:tcW w:w="662" w:type="dxa"/>
                  <w:tcBorders>
                    <w:tl2br w:val="nil"/>
                    <w:tr2bl w:val="nil"/>
                  </w:tcBorders>
                  <w:vAlign w:val="center"/>
                </w:tcPr>
                <w:p w14:paraId="2855749F">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总体</w:t>
                  </w:r>
                </w:p>
              </w:tc>
            </w:tr>
            <w:tr w14:paraId="2BE5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tcBorders>
                    <w:tl2br w:val="nil"/>
                    <w:tr2bl w:val="nil"/>
                  </w:tcBorders>
                  <w:vAlign w:val="center"/>
                </w:tcPr>
                <w:p w14:paraId="1EF3F02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PM</w:t>
                  </w:r>
                  <w:r>
                    <w:rPr>
                      <w:rFonts w:hint="default" w:ascii="Times New Roman" w:hAnsi="Times New Roman" w:eastAsia="宋体" w:cs="Times New Roman"/>
                      <w:b w:val="0"/>
                      <w:bCs w:val="0"/>
                      <w:color w:val="auto"/>
                      <w:kern w:val="0"/>
                      <w:sz w:val="21"/>
                      <w:szCs w:val="21"/>
                      <w:vertAlign w:val="subscript"/>
                    </w:rPr>
                    <w:t>2.5</w:t>
                  </w:r>
                </w:p>
              </w:tc>
              <w:tc>
                <w:tcPr>
                  <w:tcW w:w="3003" w:type="dxa"/>
                  <w:vMerge w:val="restart"/>
                  <w:tcBorders>
                    <w:tl2br w:val="nil"/>
                    <w:tr2bl w:val="nil"/>
                  </w:tcBorders>
                  <w:vAlign w:val="center"/>
                </w:tcPr>
                <w:p w14:paraId="3B87D11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年平均质量浓度</w:t>
                  </w:r>
                </w:p>
              </w:tc>
              <w:tc>
                <w:tcPr>
                  <w:tcW w:w="1169" w:type="dxa"/>
                  <w:tcBorders>
                    <w:tl2br w:val="nil"/>
                    <w:tr2bl w:val="nil"/>
                  </w:tcBorders>
                  <w:vAlign w:val="center"/>
                </w:tcPr>
                <w:p w14:paraId="2014C71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42μg/m</w:t>
                  </w:r>
                  <w:r>
                    <w:rPr>
                      <w:rFonts w:hint="default" w:ascii="Times New Roman" w:hAnsi="Times New Roman" w:eastAsia="宋体" w:cs="Times New Roman"/>
                      <w:b w:val="0"/>
                      <w:bCs w:val="0"/>
                      <w:color w:val="auto"/>
                      <w:kern w:val="0"/>
                      <w:sz w:val="21"/>
                      <w:szCs w:val="21"/>
                      <w:vertAlign w:val="superscript"/>
                    </w:rPr>
                    <w:t>3</w:t>
                  </w:r>
                </w:p>
              </w:tc>
              <w:tc>
                <w:tcPr>
                  <w:tcW w:w="1053" w:type="dxa"/>
                  <w:tcBorders>
                    <w:tl2br w:val="nil"/>
                    <w:tr2bl w:val="nil"/>
                  </w:tcBorders>
                  <w:vAlign w:val="center"/>
                </w:tcPr>
                <w:p w14:paraId="0414F73B">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35</w:t>
                  </w:r>
                  <w:r>
                    <w:rPr>
                      <w:rFonts w:hint="default" w:ascii="Times New Roman" w:hAnsi="Times New Roman" w:eastAsia="宋体" w:cs="Times New Roman"/>
                      <w:b w:val="0"/>
                      <w:bCs w:val="0"/>
                      <w:color w:val="auto"/>
                      <w:kern w:val="0"/>
                      <w:sz w:val="21"/>
                      <w:szCs w:val="21"/>
                      <w:lang w:val="en-US" w:eastAsia="zh-CN"/>
                    </w:rPr>
                    <w:t xml:space="preserve"> </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881" w:type="dxa"/>
                  <w:tcBorders>
                    <w:tl2br w:val="nil"/>
                    <w:tr2bl w:val="nil"/>
                  </w:tcBorders>
                  <w:vAlign w:val="center"/>
                </w:tcPr>
                <w:p w14:paraId="485A844C">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120</w:t>
                  </w:r>
                </w:p>
              </w:tc>
              <w:tc>
                <w:tcPr>
                  <w:tcW w:w="736" w:type="dxa"/>
                  <w:tcBorders>
                    <w:tl2br w:val="nil"/>
                    <w:tr2bl w:val="nil"/>
                  </w:tcBorders>
                  <w:vAlign w:val="center"/>
                </w:tcPr>
                <w:p w14:paraId="5C7F48E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超标</w:t>
                  </w:r>
                </w:p>
              </w:tc>
              <w:tc>
                <w:tcPr>
                  <w:tcW w:w="662" w:type="dxa"/>
                  <w:vMerge w:val="restart"/>
                  <w:tcBorders>
                    <w:tl2br w:val="nil"/>
                    <w:tr2bl w:val="nil"/>
                  </w:tcBorders>
                  <w:vAlign w:val="center"/>
                </w:tcPr>
                <w:p w14:paraId="198591EE">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不</w:t>
                  </w:r>
                </w:p>
                <w:p w14:paraId="7C0FFF6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w:t>
                  </w:r>
                </w:p>
                <w:p w14:paraId="243F5D8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标</w:t>
                  </w:r>
                </w:p>
              </w:tc>
            </w:tr>
            <w:tr w14:paraId="2273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tcBorders>
                    <w:tl2br w:val="nil"/>
                    <w:tr2bl w:val="nil"/>
                  </w:tcBorders>
                  <w:vAlign w:val="center"/>
                </w:tcPr>
                <w:p w14:paraId="4B335434">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PM</w:t>
                  </w:r>
                  <w:r>
                    <w:rPr>
                      <w:rFonts w:hint="default" w:ascii="Times New Roman" w:hAnsi="Times New Roman" w:eastAsia="宋体" w:cs="Times New Roman"/>
                      <w:b w:val="0"/>
                      <w:bCs w:val="0"/>
                      <w:color w:val="auto"/>
                      <w:kern w:val="0"/>
                      <w:sz w:val="21"/>
                      <w:szCs w:val="21"/>
                      <w:vertAlign w:val="subscript"/>
                    </w:rPr>
                    <w:t>10</w:t>
                  </w:r>
                </w:p>
              </w:tc>
              <w:tc>
                <w:tcPr>
                  <w:tcW w:w="3003" w:type="dxa"/>
                  <w:vMerge w:val="continue"/>
                  <w:tcBorders>
                    <w:tl2br w:val="nil"/>
                    <w:tr2bl w:val="nil"/>
                  </w:tcBorders>
                  <w:vAlign w:val="center"/>
                </w:tcPr>
                <w:p w14:paraId="07B8075B">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c>
                <w:tcPr>
                  <w:tcW w:w="1169" w:type="dxa"/>
                  <w:tcBorders>
                    <w:tl2br w:val="nil"/>
                    <w:tr2bl w:val="nil"/>
                  </w:tcBorders>
                  <w:vAlign w:val="center"/>
                </w:tcPr>
                <w:p w14:paraId="083AAC26">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 xml:space="preserve"> 70μg/m</w:t>
                  </w:r>
                  <w:r>
                    <w:rPr>
                      <w:rFonts w:hint="default" w:ascii="Times New Roman" w:hAnsi="Times New Roman" w:eastAsia="宋体" w:cs="Times New Roman"/>
                      <w:b w:val="0"/>
                      <w:bCs w:val="0"/>
                      <w:color w:val="auto"/>
                      <w:kern w:val="0"/>
                      <w:sz w:val="21"/>
                      <w:szCs w:val="21"/>
                      <w:vertAlign w:val="superscript"/>
                    </w:rPr>
                    <w:t>3</w:t>
                  </w:r>
                </w:p>
              </w:tc>
              <w:tc>
                <w:tcPr>
                  <w:tcW w:w="1053" w:type="dxa"/>
                  <w:tcBorders>
                    <w:tl2br w:val="nil"/>
                    <w:tr2bl w:val="nil"/>
                  </w:tcBorders>
                  <w:vAlign w:val="center"/>
                </w:tcPr>
                <w:p w14:paraId="4D3469C9">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70</w:t>
                  </w:r>
                  <w:r>
                    <w:rPr>
                      <w:rFonts w:hint="default" w:ascii="Times New Roman" w:hAnsi="Times New Roman" w:eastAsia="宋体" w:cs="Times New Roman"/>
                      <w:b w:val="0"/>
                      <w:bCs w:val="0"/>
                      <w:color w:val="auto"/>
                      <w:kern w:val="0"/>
                      <w:sz w:val="21"/>
                      <w:szCs w:val="21"/>
                      <w:lang w:val="en-US" w:eastAsia="zh-CN"/>
                    </w:rPr>
                    <w:t xml:space="preserve"> </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881" w:type="dxa"/>
                  <w:tcBorders>
                    <w:tl2br w:val="nil"/>
                    <w:tr2bl w:val="nil"/>
                  </w:tcBorders>
                  <w:vAlign w:val="center"/>
                </w:tcPr>
                <w:p w14:paraId="74E26A1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100</w:t>
                  </w:r>
                </w:p>
              </w:tc>
              <w:tc>
                <w:tcPr>
                  <w:tcW w:w="736" w:type="dxa"/>
                  <w:tcBorders>
                    <w:tl2br w:val="nil"/>
                    <w:tr2bl w:val="nil"/>
                  </w:tcBorders>
                  <w:vAlign w:val="center"/>
                </w:tcPr>
                <w:p w14:paraId="57998AC9">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eastAsia" w:cs="Times New Roman"/>
                      <w:b w:val="0"/>
                      <w:bCs w:val="0"/>
                      <w:color w:val="auto"/>
                      <w:kern w:val="0"/>
                      <w:sz w:val="21"/>
                      <w:szCs w:val="21"/>
                      <w:lang w:val="en-US" w:eastAsia="zh-CN"/>
                    </w:rPr>
                    <w:t>达标</w:t>
                  </w:r>
                </w:p>
              </w:tc>
              <w:tc>
                <w:tcPr>
                  <w:tcW w:w="662" w:type="dxa"/>
                  <w:vMerge w:val="continue"/>
                  <w:tcBorders>
                    <w:tl2br w:val="nil"/>
                    <w:tr2bl w:val="nil"/>
                  </w:tcBorders>
                  <w:vAlign w:val="center"/>
                </w:tcPr>
                <w:p w14:paraId="0B61444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r w14:paraId="3F22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tcBorders>
                    <w:tl2br w:val="nil"/>
                    <w:tr2bl w:val="nil"/>
                  </w:tcBorders>
                  <w:vAlign w:val="center"/>
                </w:tcPr>
                <w:p w14:paraId="47A25232">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SO</w:t>
                  </w:r>
                  <w:r>
                    <w:rPr>
                      <w:rFonts w:hint="default" w:ascii="Times New Roman" w:hAnsi="Times New Roman" w:eastAsia="宋体" w:cs="Times New Roman"/>
                      <w:b w:val="0"/>
                      <w:bCs w:val="0"/>
                      <w:color w:val="auto"/>
                      <w:kern w:val="0"/>
                      <w:sz w:val="21"/>
                      <w:szCs w:val="21"/>
                      <w:vertAlign w:val="subscript"/>
                    </w:rPr>
                    <w:t>2</w:t>
                  </w:r>
                </w:p>
              </w:tc>
              <w:tc>
                <w:tcPr>
                  <w:tcW w:w="3003" w:type="dxa"/>
                  <w:vMerge w:val="continue"/>
                  <w:tcBorders>
                    <w:tl2br w:val="nil"/>
                    <w:tr2bl w:val="nil"/>
                  </w:tcBorders>
                  <w:vAlign w:val="center"/>
                </w:tcPr>
                <w:p w14:paraId="71B6C36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c>
                <w:tcPr>
                  <w:tcW w:w="1169" w:type="dxa"/>
                  <w:tcBorders>
                    <w:tl2br w:val="nil"/>
                    <w:tr2bl w:val="nil"/>
                  </w:tcBorders>
                  <w:vAlign w:val="center"/>
                </w:tcPr>
                <w:p w14:paraId="21376E1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eastAsia="zh-CN"/>
                    </w:rPr>
                  </w:pPr>
                  <w:r>
                    <w:rPr>
                      <w:rFonts w:hint="eastAsia" w:cs="Times New Roman"/>
                      <w:b w:val="0"/>
                      <w:bCs w:val="0"/>
                      <w:color w:val="auto"/>
                      <w:kern w:val="0"/>
                      <w:sz w:val="21"/>
                      <w:szCs w:val="21"/>
                      <w:lang w:val="en-US" w:eastAsia="zh-CN"/>
                    </w:rPr>
                    <w:t>7</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1053" w:type="dxa"/>
                  <w:tcBorders>
                    <w:tl2br w:val="nil"/>
                    <w:tr2bl w:val="nil"/>
                  </w:tcBorders>
                  <w:vAlign w:val="center"/>
                </w:tcPr>
                <w:p w14:paraId="68557CA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60</w:t>
                  </w:r>
                  <w:r>
                    <w:rPr>
                      <w:rFonts w:hint="default" w:ascii="Times New Roman" w:hAnsi="Times New Roman" w:eastAsia="宋体" w:cs="Times New Roman"/>
                      <w:b w:val="0"/>
                      <w:bCs w:val="0"/>
                      <w:color w:val="auto"/>
                      <w:kern w:val="0"/>
                      <w:sz w:val="21"/>
                      <w:szCs w:val="21"/>
                      <w:lang w:val="en-US" w:eastAsia="zh-CN"/>
                    </w:rPr>
                    <w:t xml:space="preserve"> </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881" w:type="dxa"/>
                  <w:tcBorders>
                    <w:tl2br w:val="nil"/>
                    <w:tr2bl w:val="nil"/>
                  </w:tcBorders>
                  <w:vAlign w:val="center"/>
                </w:tcPr>
                <w:p w14:paraId="4178D8E6">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11.67</w:t>
                  </w:r>
                </w:p>
              </w:tc>
              <w:tc>
                <w:tcPr>
                  <w:tcW w:w="736" w:type="dxa"/>
                  <w:tcBorders>
                    <w:tl2br w:val="nil"/>
                    <w:tr2bl w:val="nil"/>
                  </w:tcBorders>
                  <w:vAlign w:val="center"/>
                </w:tcPr>
                <w:p w14:paraId="6BE713A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达标</w:t>
                  </w:r>
                </w:p>
              </w:tc>
              <w:tc>
                <w:tcPr>
                  <w:tcW w:w="662" w:type="dxa"/>
                  <w:vMerge w:val="continue"/>
                  <w:tcBorders>
                    <w:tl2br w:val="nil"/>
                    <w:tr2bl w:val="nil"/>
                  </w:tcBorders>
                  <w:vAlign w:val="center"/>
                </w:tcPr>
                <w:p w14:paraId="22E4CA5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r w14:paraId="6CFD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tcBorders>
                    <w:tl2br w:val="nil"/>
                    <w:tr2bl w:val="nil"/>
                  </w:tcBorders>
                  <w:vAlign w:val="center"/>
                </w:tcPr>
                <w:p w14:paraId="314A588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NO</w:t>
                  </w:r>
                  <w:r>
                    <w:rPr>
                      <w:rFonts w:hint="default" w:ascii="Times New Roman" w:hAnsi="Times New Roman" w:eastAsia="宋体" w:cs="Times New Roman"/>
                      <w:b w:val="0"/>
                      <w:bCs w:val="0"/>
                      <w:color w:val="auto"/>
                      <w:kern w:val="0"/>
                      <w:sz w:val="21"/>
                      <w:szCs w:val="21"/>
                      <w:vertAlign w:val="subscript"/>
                    </w:rPr>
                    <w:t>2</w:t>
                  </w:r>
                </w:p>
              </w:tc>
              <w:tc>
                <w:tcPr>
                  <w:tcW w:w="3003" w:type="dxa"/>
                  <w:vMerge w:val="continue"/>
                  <w:tcBorders>
                    <w:tl2br w:val="nil"/>
                    <w:tr2bl w:val="nil"/>
                  </w:tcBorders>
                  <w:vAlign w:val="center"/>
                </w:tcPr>
                <w:p w14:paraId="79EEF99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c>
                <w:tcPr>
                  <w:tcW w:w="1169" w:type="dxa"/>
                  <w:tcBorders>
                    <w:tl2br w:val="nil"/>
                    <w:tr2bl w:val="nil"/>
                  </w:tcBorders>
                  <w:vAlign w:val="center"/>
                </w:tcPr>
                <w:p w14:paraId="21CE16FF">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2</w:t>
                  </w:r>
                  <w:r>
                    <w:rPr>
                      <w:rFonts w:hint="eastAsia"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1053" w:type="dxa"/>
                  <w:tcBorders>
                    <w:tl2br w:val="nil"/>
                    <w:tr2bl w:val="nil"/>
                  </w:tcBorders>
                  <w:vAlign w:val="center"/>
                </w:tcPr>
                <w:p w14:paraId="71BA6AEF">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40</w:t>
                  </w:r>
                  <w:r>
                    <w:rPr>
                      <w:rFonts w:hint="default" w:ascii="Times New Roman" w:hAnsi="Times New Roman" w:eastAsia="宋体" w:cs="Times New Roman"/>
                      <w:b w:val="0"/>
                      <w:bCs w:val="0"/>
                      <w:color w:val="auto"/>
                      <w:kern w:val="0"/>
                      <w:sz w:val="21"/>
                      <w:szCs w:val="21"/>
                      <w:lang w:val="en-US" w:eastAsia="zh-CN"/>
                    </w:rPr>
                    <w:t xml:space="preserve"> </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881" w:type="dxa"/>
                  <w:tcBorders>
                    <w:tl2br w:val="nil"/>
                    <w:tr2bl w:val="nil"/>
                  </w:tcBorders>
                  <w:vAlign w:val="center"/>
                </w:tcPr>
                <w:p w14:paraId="54E21AB4">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57.5</w:t>
                  </w:r>
                </w:p>
              </w:tc>
              <w:tc>
                <w:tcPr>
                  <w:tcW w:w="736" w:type="dxa"/>
                  <w:tcBorders>
                    <w:tl2br w:val="nil"/>
                    <w:tr2bl w:val="nil"/>
                  </w:tcBorders>
                  <w:vAlign w:val="center"/>
                </w:tcPr>
                <w:p w14:paraId="5CED748B">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达标</w:t>
                  </w:r>
                </w:p>
              </w:tc>
              <w:tc>
                <w:tcPr>
                  <w:tcW w:w="662" w:type="dxa"/>
                  <w:vMerge w:val="continue"/>
                  <w:tcBorders>
                    <w:tl2br w:val="nil"/>
                    <w:tr2bl w:val="nil"/>
                  </w:tcBorders>
                  <w:vAlign w:val="center"/>
                </w:tcPr>
                <w:p w14:paraId="542E434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r w14:paraId="2265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tcBorders>
                    <w:tl2br w:val="nil"/>
                    <w:tr2bl w:val="nil"/>
                  </w:tcBorders>
                  <w:vAlign w:val="center"/>
                </w:tcPr>
                <w:p w14:paraId="35E5E56B">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CO</w:t>
                  </w:r>
                </w:p>
              </w:tc>
              <w:tc>
                <w:tcPr>
                  <w:tcW w:w="3003" w:type="dxa"/>
                  <w:tcBorders>
                    <w:tl2br w:val="nil"/>
                    <w:tr2bl w:val="nil"/>
                  </w:tcBorders>
                  <w:vAlign w:val="center"/>
                </w:tcPr>
                <w:p w14:paraId="53407BEF">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日平均第95百分位数质量浓度</w:t>
                  </w:r>
                </w:p>
              </w:tc>
              <w:tc>
                <w:tcPr>
                  <w:tcW w:w="1169" w:type="dxa"/>
                  <w:tcBorders>
                    <w:tl2br w:val="nil"/>
                    <w:tr2bl w:val="nil"/>
                  </w:tcBorders>
                  <w:vAlign w:val="center"/>
                </w:tcPr>
                <w:p w14:paraId="0A3002BB">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eastAsia" w:ascii="Times New Roman" w:hAnsi="Times New Roman" w:eastAsia="宋体" w:cs="Times New Roman"/>
                      <w:b w:val="0"/>
                      <w:bCs w:val="0"/>
                      <w:color w:val="auto"/>
                      <w:kern w:val="0"/>
                      <w:sz w:val="21"/>
                      <w:szCs w:val="21"/>
                      <w:lang w:val="en-US" w:eastAsia="zh-CN"/>
                    </w:rPr>
                    <w:t>0.9</w:t>
                  </w:r>
                  <w:r>
                    <w:rPr>
                      <w:rFonts w:hint="default" w:ascii="Times New Roman" w:hAnsi="Times New Roman" w:eastAsia="宋体" w:cs="Times New Roman"/>
                      <w:b w:val="0"/>
                      <w:bCs w:val="0"/>
                      <w:color w:val="auto"/>
                      <w:kern w:val="0"/>
                      <w:sz w:val="21"/>
                      <w:szCs w:val="21"/>
                    </w:rPr>
                    <w:t>mg/m</w:t>
                  </w:r>
                  <w:r>
                    <w:rPr>
                      <w:rFonts w:hint="default" w:ascii="Times New Roman" w:hAnsi="Times New Roman" w:eastAsia="宋体" w:cs="Times New Roman"/>
                      <w:b w:val="0"/>
                      <w:bCs w:val="0"/>
                      <w:color w:val="auto"/>
                      <w:kern w:val="0"/>
                      <w:sz w:val="21"/>
                      <w:szCs w:val="21"/>
                      <w:vertAlign w:val="superscript"/>
                    </w:rPr>
                    <w:t>3</w:t>
                  </w:r>
                </w:p>
              </w:tc>
              <w:tc>
                <w:tcPr>
                  <w:tcW w:w="1053" w:type="dxa"/>
                  <w:tcBorders>
                    <w:tl2br w:val="nil"/>
                    <w:tr2bl w:val="nil"/>
                  </w:tcBorders>
                  <w:vAlign w:val="center"/>
                </w:tcPr>
                <w:p w14:paraId="67FB35EF">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4.0mg/m</w:t>
                  </w:r>
                  <w:r>
                    <w:rPr>
                      <w:rFonts w:hint="default" w:ascii="Times New Roman" w:hAnsi="Times New Roman" w:eastAsia="宋体" w:cs="Times New Roman"/>
                      <w:b w:val="0"/>
                      <w:bCs w:val="0"/>
                      <w:color w:val="auto"/>
                      <w:kern w:val="0"/>
                      <w:sz w:val="21"/>
                      <w:szCs w:val="21"/>
                      <w:vertAlign w:val="superscript"/>
                    </w:rPr>
                    <w:t>3</w:t>
                  </w:r>
                </w:p>
              </w:tc>
              <w:tc>
                <w:tcPr>
                  <w:tcW w:w="881" w:type="dxa"/>
                  <w:tcBorders>
                    <w:tl2br w:val="nil"/>
                    <w:tr2bl w:val="nil"/>
                  </w:tcBorders>
                  <w:vAlign w:val="center"/>
                </w:tcPr>
                <w:p w14:paraId="3BB89973">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22.5</w:t>
                  </w:r>
                </w:p>
              </w:tc>
              <w:tc>
                <w:tcPr>
                  <w:tcW w:w="736" w:type="dxa"/>
                  <w:tcBorders>
                    <w:tl2br w:val="nil"/>
                    <w:tr2bl w:val="nil"/>
                  </w:tcBorders>
                  <w:vAlign w:val="center"/>
                </w:tcPr>
                <w:p w14:paraId="59C55DB7">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达标</w:t>
                  </w:r>
                </w:p>
              </w:tc>
              <w:tc>
                <w:tcPr>
                  <w:tcW w:w="662" w:type="dxa"/>
                  <w:vMerge w:val="continue"/>
                  <w:tcBorders>
                    <w:tl2br w:val="nil"/>
                    <w:tr2bl w:val="nil"/>
                  </w:tcBorders>
                  <w:vAlign w:val="center"/>
                </w:tcPr>
                <w:p w14:paraId="226B6CDF">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r w14:paraId="45FA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tcBorders>
                    <w:tl2br w:val="nil"/>
                    <w:tr2bl w:val="nil"/>
                  </w:tcBorders>
                  <w:vAlign w:val="center"/>
                </w:tcPr>
                <w:p w14:paraId="385E2DB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O</w:t>
                  </w:r>
                  <w:r>
                    <w:rPr>
                      <w:rFonts w:hint="default" w:ascii="Times New Roman" w:hAnsi="Times New Roman" w:eastAsia="宋体" w:cs="Times New Roman"/>
                      <w:b w:val="0"/>
                      <w:bCs w:val="0"/>
                      <w:color w:val="auto"/>
                      <w:kern w:val="0"/>
                      <w:sz w:val="21"/>
                      <w:szCs w:val="21"/>
                      <w:vertAlign w:val="subscript"/>
                    </w:rPr>
                    <w:t>3</w:t>
                  </w:r>
                </w:p>
              </w:tc>
              <w:tc>
                <w:tcPr>
                  <w:tcW w:w="3003" w:type="dxa"/>
                  <w:tcBorders>
                    <w:tl2br w:val="nil"/>
                    <w:tr2bl w:val="nil"/>
                  </w:tcBorders>
                  <w:vAlign w:val="center"/>
                </w:tcPr>
                <w:p w14:paraId="5C7B29B4">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最大8h滑动平均第90百分位数质量浓度</w:t>
                  </w:r>
                </w:p>
              </w:tc>
              <w:tc>
                <w:tcPr>
                  <w:tcW w:w="1169" w:type="dxa"/>
                  <w:tcBorders>
                    <w:tl2br w:val="nil"/>
                    <w:tr2bl w:val="nil"/>
                  </w:tcBorders>
                  <w:vAlign w:val="center"/>
                </w:tcPr>
                <w:p w14:paraId="20C240E4">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16</w:t>
                  </w:r>
                  <w:r>
                    <w:rPr>
                      <w:rFonts w:hint="eastAsia" w:ascii="Times New Roman" w:hAnsi="Times New Roman" w:eastAsia="宋体" w:cs="Times New Roman"/>
                      <w:b w:val="0"/>
                      <w:bCs w:val="0"/>
                      <w:color w:val="auto"/>
                      <w:kern w:val="0"/>
                      <w:sz w:val="21"/>
                      <w:szCs w:val="21"/>
                      <w:lang w:val="en-US" w:eastAsia="zh-CN"/>
                    </w:rPr>
                    <w:t>6</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1053" w:type="dxa"/>
                  <w:tcBorders>
                    <w:tl2br w:val="nil"/>
                    <w:tr2bl w:val="nil"/>
                  </w:tcBorders>
                  <w:vAlign w:val="center"/>
                </w:tcPr>
                <w:p w14:paraId="2C0C1BDE">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160μg/m</w:t>
                  </w:r>
                  <w:r>
                    <w:rPr>
                      <w:rFonts w:hint="default" w:ascii="Times New Roman" w:hAnsi="Times New Roman" w:eastAsia="宋体" w:cs="Times New Roman"/>
                      <w:b w:val="0"/>
                      <w:bCs w:val="0"/>
                      <w:color w:val="auto"/>
                      <w:kern w:val="0"/>
                      <w:sz w:val="21"/>
                      <w:szCs w:val="21"/>
                      <w:vertAlign w:val="superscript"/>
                    </w:rPr>
                    <w:t>3</w:t>
                  </w:r>
                </w:p>
              </w:tc>
              <w:tc>
                <w:tcPr>
                  <w:tcW w:w="881" w:type="dxa"/>
                  <w:tcBorders>
                    <w:tl2br w:val="nil"/>
                    <w:tr2bl w:val="nil"/>
                  </w:tcBorders>
                  <w:vAlign w:val="center"/>
                </w:tcPr>
                <w:p w14:paraId="0E95AC88">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103.75</w:t>
                  </w:r>
                </w:p>
              </w:tc>
              <w:tc>
                <w:tcPr>
                  <w:tcW w:w="736" w:type="dxa"/>
                  <w:tcBorders>
                    <w:tl2br w:val="nil"/>
                    <w:tr2bl w:val="nil"/>
                  </w:tcBorders>
                  <w:vAlign w:val="center"/>
                </w:tcPr>
                <w:p w14:paraId="2C6346B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超标</w:t>
                  </w:r>
                </w:p>
              </w:tc>
              <w:tc>
                <w:tcPr>
                  <w:tcW w:w="662" w:type="dxa"/>
                  <w:vMerge w:val="continue"/>
                  <w:tcBorders>
                    <w:tl2br w:val="nil"/>
                    <w:tr2bl w:val="nil"/>
                  </w:tcBorders>
                  <w:vAlign w:val="center"/>
                </w:tcPr>
                <w:p w14:paraId="102F819F">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bl>
          <w:p w14:paraId="2796C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由上表可知，2023年淮北市O</w:t>
            </w:r>
            <w:r>
              <w:rPr>
                <w:rFonts w:hint="eastAsia" w:cs="Times New Roman"/>
                <w:b w:val="0"/>
                <w:bCs w:val="0"/>
                <w:color w:val="auto"/>
                <w:kern w:val="0"/>
                <w:sz w:val="24"/>
                <w:szCs w:val="24"/>
                <w:vertAlign w:val="subscript"/>
                <w:lang w:val="en-US" w:eastAsia="zh-CN"/>
              </w:rPr>
              <w:t>3</w:t>
            </w:r>
            <w:r>
              <w:rPr>
                <w:rFonts w:hint="eastAsia" w:cs="Times New Roman"/>
                <w:b w:val="0"/>
                <w:bCs w:val="0"/>
                <w:color w:val="auto"/>
                <w:kern w:val="0"/>
                <w:sz w:val="24"/>
                <w:szCs w:val="24"/>
                <w:vertAlign w:val="baseline"/>
                <w:lang w:val="en-US" w:eastAsia="zh-CN"/>
              </w:rPr>
              <w:t>、</w:t>
            </w:r>
            <w:r>
              <w:rPr>
                <w:rFonts w:hint="eastAsia" w:cs="Times New Roman"/>
                <w:b w:val="0"/>
                <w:bCs w:val="0"/>
                <w:color w:val="auto"/>
                <w:kern w:val="0"/>
                <w:sz w:val="24"/>
                <w:szCs w:val="24"/>
                <w:lang w:val="en-US" w:eastAsia="zh-CN"/>
              </w:rPr>
              <w:t>PM</w:t>
            </w:r>
            <w:r>
              <w:rPr>
                <w:rFonts w:hint="default" w:ascii="Times New Roman" w:hAnsi="Times New Roman" w:eastAsia="宋体" w:cs="Times New Roman"/>
                <w:b w:val="0"/>
                <w:bCs w:val="0"/>
                <w:color w:val="auto"/>
                <w:kern w:val="0"/>
                <w:sz w:val="21"/>
                <w:szCs w:val="21"/>
                <w:vertAlign w:val="subscript"/>
              </w:rPr>
              <w:t>.</w:t>
            </w:r>
            <w:r>
              <w:rPr>
                <w:rFonts w:hint="eastAsia" w:ascii="Times New Roman" w:hAnsi="Times New Roman" w:eastAsia="宋体" w:cs="Times New Roman"/>
                <w:b w:val="0"/>
                <w:bCs w:val="0"/>
                <w:color w:val="auto"/>
                <w:kern w:val="0"/>
                <w:sz w:val="21"/>
                <w:szCs w:val="21"/>
                <w:vertAlign w:val="subscript"/>
                <w:lang w:val="en-US" w:eastAsia="zh-CN"/>
              </w:rPr>
              <w:t>2.</w:t>
            </w:r>
            <w:r>
              <w:rPr>
                <w:rFonts w:hint="default" w:ascii="Times New Roman" w:hAnsi="Times New Roman" w:eastAsia="宋体" w:cs="Times New Roman"/>
                <w:b w:val="0"/>
                <w:bCs w:val="0"/>
                <w:color w:val="auto"/>
                <w:kern w:val="0"/>
                <w:sz w:val="21"/>
                <w:szCs w:val="21"/>
                <w:vertAlign w:val="subscript"/>
              </w:rPr>
              <w:t>5</w:t>
            </w:r>
            <w:r>
              <w:rPr>
                <w:rFonts w:hint="eastAsia" w:cs="Times New Roman"/>
                <w:b w:val="0"/>
                <w:bCs w:val="0"/>
                <w:color w:val="auto"/>
                <w:kern w:val="0"/>
                <w:sz w:val="24"/>
                <w:szCs w:val="24"/>
                <w:lang w:val="en-US" w:eastAsia="zh-CN"/>
              </w:rPr>
              <w:t>的评价指标不能满足《环境空气质量标（GB3095-2012） 及其修改单二级标准限值要求，项目所在区域为不达标区。</w:t>
            </w:r>
          </w:p>
          <w:p w14:paraId="0335892F">
            <w:pPr>
              <w:keepNext w:val="0"/>
              <w:keepLines w:val="0"/>
              <w:pageBreakBefore w:val="0"/>
              <w:widowControl w:val="0"/>
              <w:kinsoku/>
              <w:wordWrap/>
              <w:overflowPunct/>
              <w:topLinePunct w:val="0"/>
              <w:autoSpaceDE/>
              <w:autoSpaceDN/>
              <w:bidi w:val="0"/>
              <w:adjustRightInd/>
              <w:snapToGrid/>
              <w:ind w:firstLine="482"/>
              <w:textAlignment w:val="auto"/>
              <w:rPr>
                <w:rFonts w:hint="eastAsia" w:eastAsia="宋体"/>
                <w:b w:val="0"/>
                <w:bCs w:val="0"/>
                <w:color w:val="auto"/>
                <w:lang w:eastAsia="zh-CN"/>
              </w:rPr>
            </w:pPr>
            <w:r>
              <w:rPr>
                <w:rFonts w:hint="eastAsia"/>
                <w:b w:val="0"/>
                <w:bCs w:val="0"/>
                <w:color w:val="auto"/>
              </w:rPr>
              <w:t>根据《淮北市生态环境保护“十四五”规划》（2022年1月，淮环〔2022〕1号，：“以降低PM</w:t>
            </w:r>
            <w:r>
              <w:rPr>
                <w:rFonts w:hint="eastAsia"/>
                <w:b w:val="0"/>
                <w:bCs w:val="0"/>
                <w:color w:val="auto"/>
                <w:vertAlign w:val="subscript"/>
              </w:rPr>
              <w:t>2.5</w:t>
            </w:r>
            <w:r>
              <w:rPr>
                <w:rFonts w:hint="eastAsia"/>
                <w:b w:val="0"/>
                <w:bCs w:val="0"/>
                <w:color w:val="auto"/>
              </w:rPr>
              <w:t>污染为环境空气质量改善的核心目标，推动O</w:t>
            </w:r>
            <w:r>
              <w:rPr>
                <w:rFonts w:hint="eastAsia"/>
                <w:b w:val="0"/>
                <w:bCs w:val="0"/>
                <w:color w:val="auto"/>
                <w:vertAlign w:val="subscript"/>
              </w:rPr>
              <w:t>3</w:t>
            </w:r>
            <w:r>
              <w:rPr>
                <w:rFonts w:hint="eastAsia"/>
                <w:b w:val="0"/>
                <w:bCs w:val="0"/>
                <w:color w:val="auto"/>
              </w:rPr>
              <w:t>污染的协同控制，以质量改善目标引领大气污染防治布局，采取多种手段推动环境空气质量持续改善，到2025年，确保PM</w:t>
            </w:r>
            <w:r>
              <w:rPr>
                <w:rFonts w:hint="eastAsia"/>
                <w:b w:val="0"/>
                <w:bCs w:val="0"/>
                <w:color w:val="auto"/>
                <w:vertAlign w:val="subscript"/>
              </w:rPr>
              <w:t>2.5</w:t>
            </w:r>
            <w:r>
              <w:rPr>
                <w:rFonts w:hint="eastAsia"/>
                <w:b w:val="0"/>
                <w:bCs w:val="0"/>
                <w:color w:val="auto"/>
              </w:rPr>
              <w:t>年均浓度不高于39微克/立方米，优良天数比例达到75%以上，为2035年环境空气质量全面达标奠定基础”。因此，</w:t>
            </w:r>
            <w:r>
              <w:rPr>
                <w:rFonts w:hint="eastAsia"/>
                <w:b w:val="0"/>
                <w:bCs w:val="0"/>
                <w:color w:val="auto"/>
                <w:lang w:val="en-US" w:eastAsia="zh-CN"/>
              </w:rPr>
              <w:t>本项目各项污染物</w:t>
            </w:r>
            <w:r>
              <w:rPr>
                <w:rFonts w:hint="eastAsia"/>
                <w:b w:val="0"/>
                <w:bCs w:val="0"/>
                <w:color w:val="auto"/>
              </w:rPr>
              <w:t>不会突破项目区大气环境质量底线</w:t>
            </w:r>
            <w:r>
              <w:rPr>
                <w:rFonts w:hint="eastAsia"/>
                <w:b w:val="0"/>
                <w:bCs w:val="0"/>
                <w:color w:val="auto"/>
                <w:lang w:eastAsia="zh-CN"/>
              </w:rPr>
              <w:t>。</w:t>
            </w:r>
          </w:p>
          <w:p w14:paraId="07F5080D">
            <w:pPr>
              <w:ind w:firstLine="0" w:firstLineChars="0"/>
              <w:rPr>
                <w:b/>
                <w:bCs/>
                <w:color w:val="auto"/>
              </w:rPr>
            </w:pPr>
            <w:r>
              <w:rPr>
                <w:rFonts w:hint="eastAsia"/>
                <w:b/>
                <w:bCs/>
                <w:color w:val="auto"/>
              </w:rPr>
              <w:t>二、</w:t>
            </w:r>
            <w:r>
              <w:rPr>
                <w:b/>
                <w:bCs/>
                <w:color w:val="auto"/>
              </w:rPr>
              <w:t>地表水环境</w:t>
            </w:r>
          </w:p>
          <w:p w14:paraId="1D23BDF5">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31680"/>
              <w:textAlignment w:val="auto"/>
              <w:rPr>
                <w:rFonts w:hint="default" w:ascii="Times New Roman" w:hAnsi="Times New Roman" w:cs="Times New Roman"/>
                <w:color w:val="auto"/>
              </w:rPr>
            </w:pPr>
            <w:r>
              <w:rPr>
                <w:rFonts w:hint="default" w:ascii="Times New Roman" w:hAnsi="Times New Roman" w:cs="Times New Roman"/>
                <w:color w:val="auto"/>
              </w:rPr>
              <w:t>2023年淮北市地表水四条主要河流10个国控（省控）断面中，水质为Ⅲ类的断面2个，占20%，分别为濉河符离闸（出境）、澥河李大桥闸（出境）；水质为Ⅳ类的断面7个，占70%，分别为濉河后黄里（入境）、濉河淮纺闸、濉河黄桥闸、沱河肖家、沱河后常桥（出境）、浍河三姓楼（入境）、浍河东坪集（出境）；水质为Ⅴ类的断面1个，占10%，为沱河小王桥（入境）。</w:t>
            </w:r>
          </w:p>
          <w:p w14:paraId="0A0924CF">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31680"/>
              <w:textAlignment w:val="auto"/>
              <w:rPr>
                <w:rFonts w:hint="eastAsia" w:ascii="Times New Roman" w:hAnsi="Times New Roman" w:eastAsia="宋体"/>
                <w:color w:val="auto"/>
                <w:lang w:eastAsia="zh-CN"/>
              </w:rPr>
            </w:pPr>
            <w:r>
              <w:rPr>
                <w:rFonts w:hint="eastAsia" w:ascii="Times New Roman" w:hAnsi="Times New Roman"/>
                <w:color w:val="auto"/>
                <w:lang w:eastAsia="zh-CN"/>
              </w:rPr>
              <w:t>2023年水污染防治考核目标责任书确定的淮北市4个国控地表水考核断面中，扣除氟化物本底值影响后，水质达标率为75%，沱河后常桥（出境）断面水质未达标。出境断面中，水质断面优良率达75%。</w:t>
            </w:r>
          </w:p>
          <w:p w14:paraId="51BEE83B">
            <w:pPr>
              <w:pStyle w:val="23"/>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b/>
              </w:rPr>
            </w:pPr>
            <w:r>
              <w:rPr>
                <w:rFonts w:hint="eastAsia"/>
                <w:b/>
              </w:rPr>
              <w:t>三、</w:t>
            </w:r>
            <w:r>
              <w:rPr>
                <w:b/>
              </w:rPr>
              <w:t>声环境质量</w:t>
            </w:r>
          </w:p>
          <w:p w14:paraId="73461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本次声环境质量监测数据由</w:t>
            </w:r>
            <w:r>
              <w:rPr>
                <w:rFonts w:hint="eastAsia" w:cs="Times New Roman"/>
                <w:color w:val="auto"/>
                <w:sz w:val="24"/>
                <w:szCs w:val="24"/>
                <w:lang w:val="en-US" w:eastAsia="zh-CN"/>
              </w:rPr>
              <w:t>江苏新测检测科技有限公司</w:t>
            </w:r>
            <w:r>
              <w:rPr>
                <w:rFonts w:hint="default" w:ascii="Times New Roman" w:hAnsi="Times New Roman" w:cs="Times New Roman"/>
                <w:color w:val="auto"/>
                <w:sz w:val="24"/>
                <w:szCs w:val="24"/>
              </w:rPr>
              <w:t>提供。测量方法按照《声环境质量标准》（GB3096-2008）规定的要求进行，测量仪器使用符合GB/T17181中规定精度为2型以上噪声自动监测仪器，并在测量前后进行校准，测量时传声器需要风罩。</w:t>
            </w:r>
          </w:p>
          <w:p w14:paraId="2C486A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项目区声环境质量现状监测结果（202</w:t>
            </w:r>
            <w:r>
              <w:rPr>
                <w:rFonts w:hint="eastAsia" w:cs="Times New Roman"/>
                <w:color w:val="auto"/>
                <w:sz w:val="24"/>
                <w:szCs w:val="24"/>
                <w:lang w:val="en-US" w:eastAsia="zh-CN"/>
              </w:rPr>
              <w:t>5</w:t>
            </w:r>
            <w:r>
              <w:rPr>
                <w:rFonts w:hint="default" w:ascii="Times New Roman" w:hAnsi="Times New Roman" w:cs="Times New Roman"/>
                <w:color w:val="auto"/>
                <w:sz w:val="24"/>
                <w:szCs w:val="24"/>
              </w:rPr>
              <w:t>年</w:t>
            </w:r>
            <w:r>
              <w:rPr>
                <w:rFonts w:hint="eastAsia" w:cs="Times New Roman"/>
                <w:color w:val="auto"/>
                <w:sz w:val="24"/>
                <w:szCs w:val="24"/>
                <w:lang w:val="en-US" w:eastAsia="zh-CN"/>
              </w:rPr>
              <w:t>1</w:t>
            </w:r>
            <w:r>
              <w:rPr>
                <w:rFonts w:hint="default" w:ascii="Times New Roman" w:hAnsi="Times New Roman" w:cs="Times New Roman"/>
                <w:color w:val="auto"/>
                <w:sz w:val="24"/>
                <w:szCs w:val="24"/>
              </w:rPr>
              <w:t>月</w:t>
            </w:r>
            <w:r>
              <w:rPr>
                <w:rFonts w:hint="eastAsia" w:cs="Times New Roman"/>
                <w:color w:val="auto"/>
                <w:sz w:val="24"/>
                <w:szCs w:val="24"/>
                <w:lang w:val="en-US" w:eastAsia="zh-CN"/>
              </w:rPr>
              <w:t>21</w:t>
            </w:r>
            <w:r>
              <w:rPr>
                <w:rFonts w:hint="default" w:ascii="Times New Roman" w:hAnsi="Times New Roman" w:cs="Times New Roman"/>
                <w:color w:val="auto"/>
                <w:sz w:val="24"/>
                <w:szCs w:val="24"/>
              </w:rPr>
              <w:t>日</w:t>
            </w:r>
            <w:r>
              <w:rPr>
                <w:rFonts w:hint="eastAsia" w:ascii="Times New Roman" w:hAnsi="Times New Roman" w:cs="Times New Roman"/>
                <w:color w:val="auto"/>
                <w:sz w:val="24"/>
                <w:szCs w:val="24"/>
                <w:lang w:val="en-US" w:eastAsia="zh-CN"/>
              </w:rPr>
              <w:t>-1月22日</w:t>
            </w:r>
            <w:r>
              <w:rPr>
                <w:rFonts w:hint="default" w:ascii="Times New Roman" w:hAnsi="Times New Roman" w:cs="Times New Roman"/>
                <w:color w:val="auto"/>
                <w:sz w:val="24"/>
                <w:szCs w:val="24"/>
              </w:rPr>
              <w:t>）如下表。</w:t>
            </w:r>
          </w:p>
          <w:p w14:paraId="56579F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rPr>
            </w:pPr>
            <w:r>
              <w:rPr>
                <w:rFonts w:hint="default"/>
                <w:b/>
                <w:bCs/>
              </w:rPr>
              <w:t>表3-</w:t>
            </w:r>
            <w:r>
              <w:rPr>
                <w:rFonts w:hint="eastAsia"/>
                <w:b/>
                <w:bCs/>
                <w:lang w:val="en-US" w:eastAsia="zh-CN"/>
              </w:rPr>
              <w:t xml:space="preserve">3  </w:t>
            </w:r>
            <w:r>
              <w:rPr>
                <w:rFonts w:hint="default"/>
                <w:b/>
                <w:bCs/>
              </w:rPr>
              <w:t>项目区声环境质量监测结果单位：dB（A）</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801"/>
              <w:gridCol w:w="3054"/>
              <w:gridCol w:w="3396"/>
            </w:tblGrid>
            <w:tr w14:paraId="518D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7" w:hRule="atLeast"/>
              </w:trPr>
              <w:tc>
                <w:tcPr>
                  <w:tcW w:w="1801" w:type="dxa"/>
                  <w:vMerge w:val="restart"/>
                  <w:tcBorders>
                    <w:top w:val="single" w:color="auto" w:sz="4" w:space="0"/>
                    <w:left w:val="single" w:color="auto" w:sz="4" w:space="0"/>
                  </w:tcBorders>
                  <w:shd w:val="clear" w:color="auto" w:fill="auto"/>
                  <w:tcMar>
                    <w:top w:w="15" w:type="dxa"/>
                    <w:left w:w="15" w:type="dxa"/>
                    <w:right w:w="15" w:type="dxa"/>
                  </w:tcMar>
                  <w:vAlign w:val="center"/>
                </w:tcPr>
                <w:p w14:paraId="64EC4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bCs w:val="0"/>
                      <w:i w:val="0"/>
                      <w:color w:val="auto"/>
                      <w:sz w:val="21"/>
                      <w:szCs w:val="21"/>
                      <w:u w:val="none"/>
                    </w:rPr>
                  </w:pPr>
                  <w:r>
                    <w:rPr>
                      <w:rFonts w:hint="default" w:ascii="Times New Roman" w:hAnsi="Times New Roman" w:cs="Times New Roman" w:eastAsiaTheme="minorEastAsia"/>
                      <w:b/>
                      <w:bCs w:val="0"/>
                      <w:i w:val="0"/>
                      <w:color w:val="auto"/>
                      <w:kern w:val="0"/>
                      <w:sz w:val="21"/>
                      <w:szCs w:val="21"/>
                      <w:u w:val="none"/>
                      <w:lang w:val="en-US" w:eastAsia="zh-CN" w:bidi="ar"/>
                    </w:rPr>
                    <w:t>编号</w:t>
                  </w:r>
                </w:p>
              </w:tc>
              <w:tc>
                <w:tcPr>
                  <w:tcW w:w="6450" w:type="dxa"/>
                  <w:gridSpan w:val="2"/>
                  <w:tcBorders>
                    <w:top w:val="single" w:color="auto" w:sz="4" w:space="0"/>
                  </w:tcBorders>
                  <w:shd w:val="clear" w:color="auto" w:fill="auto"/>
                  <w:tcMar>
                    <w:top w:w="15" w:type="dxa"/>
                    <w:left w:w="15" w:type="dxa"/>
                    <w:right w:w="15" w:type="dxa"/>
                  </w:tcMar>
                  <w:vAlign w:val="center"/>
                </w:tcPr>
                <w:p w14:paraId="1A6CD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bCs w:val="0"/>
                      <w:i w:val="0"/>
                      <w:color w:val="auto"/>
                      <w:sz w:val="21"/>
                      <w:szCs w:val="21"/>
                      <w:u w:val="none"/>
                      <w:lang w:val="en-US"/>
                    </w:rPr>
                  </w:pPr>
                  <w:r>
                    <w:rPr>
                      <w:rFonts w:hint="default" w:ascii="Times New Roman" w:hAnsi="Times New Roman" w:cs="Times New Roman" w:eastAsiaTheme="minorEastAsia"/>
                      <w:b/>
                      <w:bCs w:val="0"/>
                      <w:i w:val="0"/>
                      <w:color w:val="auto"/>
                      <w:sz w:val="21"/>
                      <w:szCs w:val="21"/>
                      <w:u w:val="none"/>
                      <w:lang w:val="en-US"/>
                    </w:rPr>
                    <w:t>202</w:t>
                  </w:r>
                  <w:r>
                    <w:rPr>
                      <w:rFonts w:hint="default" w:ascii="Times New Roman" w:hAnsi="Times New Roman" w:cs="Times New Roman" w:eastAsiaTheme="minorEastAsia"/>
                      <w:b/>
                      <w:bCs w:val="0"/>
                      <w:i w:val="0"/>
                      <w:color w:val="auto"/>
                      <w:sz w:val="21"/>
                      <w:szCs w:val="21"/>
                      <w:u w:val="none"/>
                      <w:lang w:val="en-US" w:eastAsia="zh-CN"/>
                    </w:rPr>
                    <w:t>5</w:t>
                  </w:r>
                  <w:r>
                    <w:rPr>
                      <w:rFonts w:hint="default" w:ascii="Times New Roman" w:hAnsi="Times New Roman" w:cs="Times New Roman" w:eastAsiaTheme="minorEastAsia"/>
                      <w:b/>
                      <w:bCs w:val="0"/>
                      <w:i w:val="0"/>
                      <w:color w:val="auto"/>
                      <w:sz w:val="21"/>
                      <w:szCs w:val="21"/>
                      <w:u w:val="none"/>
                      <w:lang w:val="en-US"/>
                    </w:rPr>
                    <w:t>年</w:t>
                  </w:r>
                  <w:r>
                    <w:rPr>
                      <w:rFonts w:hint="default" w:ascii="Times New Roman" w:hAnsi="Times New Roman" w:cs="Times New Roman" w:eastAsiaTheme="minorEastAsia"/>
                      <w:b/>
                      <w:bCs w:val="0"/>
                      <w:i w:val="0"/>
                      <w:color w:val="auto"/>
                      <w:sz w:val="21"/>
                      <w:szCs w:val="21"/>
                      <w:u w:val="none"/>
                      <w:lang w:val="en-US" w:eastAsia="zh-CN"/>
                    </w:rPr>
                    <w:t>1</w:t>
                  </w:r>
                  <w:r>
                    <w:rPr>
                      <w:rFonts w:hint="default" w:ascii="Times New Roman" w:hAnsi="Times New Roman" w:cs="Times New Roman" w:eastAsiaTheme="minorEastAsia"/>
                      <w:b/>
                      <w:bCs w:val="0"/>
                      <w:i w:val="0"/>
                      <w:color w:val="auto"/>
                      <w:sz w:val="21"/>
                      <w:szCs w:val="21"/>
                      <w:u w:val="none"/>
                      <w:lang w:val="en-US"/>
                    </w:rPr>
                    <w:t>月</w:t>
                  </w:r>
                  <w:r>
                    <w:rPr>
                      <w:rFonts w:hint="default" w:ascii="Times New Roman" w:hAnsi="Times New Roman" w:cs="Times New Roman" w:eastAsiaTheme="minorEastAsia"/>
                      <w:b/>
                      <w:bCs w:val="0"/>
                      <w:i w:val="0"/>
                      <w:color w:val="auto"/>
                      <w:sz w:val="21"/>
                      <w:szCs w:val="21"/>
                      <w:u w:val="none"/>
                      <w:lang w:val="en-US" w:eastAsia="zh-CN"/>
                    </w:rPr>
                    <w:t>21</w:t>
                  </w:r>
                  <w:r>
                    <w:rPr>
                      <w:rFonts w:hint="default" w:ascii="Times New Roman" w:hAnsi="Times New Roman" w:cs="Times New Roman" w:eastAsiaTheme="minorEastAsia"/>
                      <w:b/>
                      <w:bCs w:val="0"/>
                      <w:i w:val="0"/>
                      <w:color w:val="auto"/>
                      <w:sz w:val="21"/>
                      <w:szCs w:val="21"/>
                      <w:u w:val="none"/>
                      <w:lang w:val="en-US"/>
                    </w:rPr>
                    <w:t>日</w:t>
                  </w:r>
                  <w:r>
                    <w:rPr>
                      <w:rFonts w:hint="default" w:ascii="Times New Roman" w:hAnsi="Times New Roman" w:cs="Times New Roman" w:eastAsiaTheme="minorEastAsia"/>
                      <w:b/>
                      <w:bCs w:val="0"/>
                      <w:i w:val="0"/>
                      <w:color w:val="auto"/>
                      <w:sz w:val="21"/>
                      <w:szCs w:val="21"/>
                      <w:u w:val="none"/>
                      <w:lang w:val="en-US" w:eastAsia="zh-CN"/>
                    </w:rPr>
                    <w:t>-1月22日</w:t>
                  </w:r>
                </w:p>
              </w:tc>
            </w:tr>
            <w:tr w14:paraId="5973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vMerge w:val="continue"/>
                  <w:tcBorders>
                    <w:left w:val="single" w:color="auto" w:sz="4" w:space="0"/>
                  </w:tcBorders>
                  <w:shd w:val="clear" w:color="auto" w:fill="auto"/>
                  <w:tcMar>
                    <w:top w:w="15" w:type="dxa"/>
                    <w:left w:w="15" w:type="dxa"/>
                    <w:right w:w="15" w:type="dxa"/>
                  </w:tcMar>
                  <w:vAlign w:val="center"/>
                </w:tcPr>
                <w:p w14:paraId="6AB71C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eastAsiaTheme="minorEastAsia"/>
                      <w:b/>
                      <w:bCs w:val="0"/>
                      <w:i w:val="0"/>
                      <w:color w:val="auto"/>
                      <w:sz w:val="21"/>
                      <w:szCs w:val="21"/>
                      <w:u w:val="none"/>
                    </w:rPr>
                  </w:pPr>
                </w:p>
              </w:tc>
              <w:tc>
                <w:tcPr>
                  <w:tcW w:w="3054" w:type="dxa"/>
                  <w:shd w:val="clear" w:color="auto" w:fill="auto"/>
                  <w:tcMar>
                    <w:top w:w="15" w:type="dxa"/>
                    <w:left w:w="15" w:type="dxa"/>
                    <w:right w:w="15" w:type="dxa"/>
                  </w:tcMar>
                  <w:vAlign w:val="center"/>
                </w:tcPr>
                <w:p w14:paraId="49434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bCs w:val="0"/>
                      <w:i w:val="0"/>
                      <w:color w:val="auto"/>
                      <w:sz w:val="21"/>
                      <w:szCs w:val="21"/>
                      <w:u w:val="none"/>
                    </w:rPr>
                  </w:pPr>
                  <w:r>
                    <w:rPr>
                      <w:rFonts w:hint="default" w:ascii="Times New Roman" w:hAnsi="Times New Roman" w:cs="Times New Roman" w:eastAsiaTheme="minorEastAsia"/>
                      <w:b/>
                      <w:bCs w:val="0"/>
                      <w:i w:val="0"/>
                      <w:color w:val="auto"/>
                      <w:kern w:val="0"/>
                      <w:sz w:val="21"/>
                      <w:szCs w:val="21"/>
                      <w:u w:val="none"/>
                      <w:lang w:val="en-US" w:eastAsia="zh-CN" w:bidi="ar"/>
                    </w:rPr>
                    <w:t>昼间Leq</w:t>
                  </w:r>
                </w:p>
              </w:tc>
              <w:tc>
                <w:tcPr>
                  <w:tcW w:w="3396" w:type="dxa"/>
                  <w:shd w:val="clear" w:color="auto" w:fill="auto"/>
                  <w:tcMar>
                    <w:top w:w="15" w:type="dxa"/>
                    <w:left w:w="15" w:type="dxa"/>
                    <w:right w:w="15" w:type="dxa"/>
                  </w:tcMar>
                  <w:vAlign w:val="center"/>
                </w:tcPr>
                <w:p w14:paraId="268840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bCs w:val="0"/>
                      <w:i w:val="0"/>
                      <w:color w:val="auto"/>
                      <w:sz w:val="21"/>
                      <w:szCs w:val="21"/>
                      <w:u w:val="none"/>
                    </w:rPr>
                  </w:pPr>
                  <w:r>
                    <w:rPr>
                      <w:rFonts w:hint="default" w:ascii="Times New Roman" w:hAnsi="Times New Roman" w:cs="Times New Roman" w:eastAsiaTheme="minorEastAsia"/>
                      <w:b/>
                      <w:bCs w:val="0"/>
                      <w:i w:val="0"/>
                      <w:color w:val="auto"/>
                      <w:kern w:val="0"/>
                      <w:sz w:val="21"/>
                      <w:szCs w:val="21"/>
                      <w:u w:val="none"/>
                      <w:lang w:val="en-US" w:eastAsia="zh-CN" w:bidi="ar"/>
                    </w:rPr>
                    <w:t>夜间Leq</w:t>
                  </w:r>
                </w:p>
              </w:tc>
            </w:tr>
            <w:tr w14:paraId="4F8C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59466C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i w:val="0"/>
                      <w:color w:val="auto"/>
                      <w:sz w:val="21"/>
                      <w:szCs w:val="21"/>
                      <w:u w:val="none"/>
                      <w:lang w:val="en-US" w:eastAsia="zh-CN"/>
                    </w:rPr>
                  </w:pPr>
                  <w:r>
                    <w:rPr>
                      <w:rFonts w:hint="default" w:ascii="Times New Roman" w:hAnsi="Times New Roman" w:eastAsia="宋体" w:cs="Times New Roman"/>
                      <w:sz w:val="21"/>
                      <w:szCs w:val="21"/>
                      <w:highlight w:val="none"/>
                      <w:vertAlign w:val="baseline"/>
                      <w:lang w:val="en-US" w:eastAsia="zh-CN"/>
                    </w:rPr>
                    <w:t>N1</w:t>
                  </w:r>
                </w:p>
              </w:tc>
              <w:tc>
                <w:tcPr>
                  <w:tcW w:w="3054" w:type="dxa"/>
                  <w:shd w:val="clear" w:color="auto" w:fill="auto"/>
                  <w:tcMar>
                    <w:top w:w="15" w:type="dxa"/>
                    <w:left w:w="15" w:type="dxa"/>
                    <w:right w:w="15" w:type="dxa"/>
                  </w:tcMar>
                  <w:vAlign w:val="center"/>
                </w:tcPr>
                <w:p w14:paraId="08BA39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48</w:t>
                  </w:r>
                </w:p>
              </w:tc>
              <w:tc>
                <w:tcPr>
                  <w:tcW w:w="3396" w:type="dxa"/>
                  <w:shd w:val="clear" w:color="auto" w:fill="auto"/>
                  <w:tcMar>
                    <w:top w:w="15" w:type="dxa"/>
                    <w:left w:w="15" w:type="dxa"/>
                    <w:right w:w="15" w:type="dxa"/>
                  </w:tcMar>
                  <w:vAlign w:val="center"/>
                </w:tcPr>
                <w:p w14:paraId="5CB3B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45</w:t>
                  </w:r>
                </w:p>
              </w:tc>
            </w:tr>
            <w:tr w14:paraId="5547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159086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i w:val="0"/>
                      <w:color w:val="auto"/>
                      <w:sz w:val="21"/>
                      <w:szCs w:val="21"/>
                      <w:u w:val="none"/>
                      <w:lang w:val="en-US" w:eastAsia="zh-CN"/>
                    </w:rPr>
                  </w:pPr>
                  <w:r>
                    <w:rPr>
                      <w:rFonts w:hint="default" w:ascii="Times New Roman" w:hAnsi="Times New Roman" w:eastAsia="宋体" w:cs="Times New Roman"/>
                      <w:sz w:val="21"/>
                      <w:szCs w:val="21"/>
                      <w:highlight w:val="none"/>
                      <w:vertAlign w:val="baseline"/>
                      <w:lang w:val="en-US" w:eastAsia="zh-CN"/>
                    </w:rPr>
                    <w:t>N2</w:t>
                  </w:r>
                </w:p>
              </w:tc>
              <w:tc>
                <w:tcPr>
                  <w:tcW w:w="3054" w:type="dxa"/>
                  <w:shd w:val="clear" w:color="auto" w:fill="auto"/>
                  <w:tcMar>
                    <w:top w:w="15" w:type="dxa"/>
                    <w:left w:w="15" w:type="dxa"/>
                    <w:right w:w="15" w:type="dxa"/>
                  </w:tcMar>
                  <w:vAlign w:val="center"/>
                </w:tcPr>
                <w:p w14:paraId="49725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51</w:t>
                  </w:r>
                </w:p>
              </w:tc>
              <w:tc>
                <w:tcPr>
                  <w:tcW w:w="3396" w:type="dxa"/>
                  <w:shd w:val="clear" w:color="auto" w:fill="auto"/>
                  <w:tcMar>
                    <w:top w:w="15" w:type="dxa"/>
                    <w:left w:w="15" w:type="dxa"/>
                    <w:right w:w="15" w:type="dxa"/>
                  </w:tcMar>
                  <w:vAlign w:val="center"/>
                </w:tcPr>
                <w:p w14:paraId="0028B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43</w:t>
                  </w:r>
                </w:p>
              </w:tc>
            </w:tr>
            <w:tr w14:paraId="1378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5DA6E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i w:val="0"/>
                      <w:color w:val="auto"/>
                      <w:sz w:val="21"/>
                      <w:szCs w:val="21"/>
                      <w:u w:val="none"/>
                      <w:lang w:val="en-US" w:eastAsia="zh-CN"/>
                    </w:rPr>
                  </w:pPr>
                  <w:r>
                    <w:rPr>
                      <w:rFonts w:hint="default" w:ascii="Times New Roman" w:hAnsi="Times New Roman" w:eastAsia="宋体" w:cs="Times New Roman"/>
                      <w:sz w:val="21"/>
                      <w:szCs w:val="21"/>
                      <w:highlight w:val="none"/>
                      <w:vertAlign w:val="baseline"/>
                      <w:lang w:val="en-US" w:eastAsia="zh-CN"/>
                    </w:rPr>
                    <w:t>N3</w:t>
                  </w:r>
                </w:p>
              </w:tc>
              <w:tc>
                <w:tcPr>
                  <w:tcW w:w="3054" w:type="dxa"/>
                  <w:shd w:val="clear" w:color="auto" w:fill="auto"/>
                  <w:tcMar>
                    <w:top w:w="15" w:type="dxa"/>
                    <w:left w:w="15" w:type="dxa"/>
                    <w:right w:w="15" w:type="dxa"/>
                  </w:tcMar>
                  <w:vAlign w:val="center"/>
                </w:tcPr>
                <w:p w14:paraId="7859E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58</w:t>
                  </w:r>
                </w:p>
              </w:tc>
              <w:tc>
                <w:tcPr>
                  <w:tcW w:w="3396" w:type="dxa"/>
                  <w:shd w:val="clear" w:color="auto" w:fill="auto"/>
                  <w:tcMar>
                    <w:top w:w="15" w:type="dxa"/>
                    <w:left w:w="15" w:type="dxa"/>
                    <w:right w:w="15" w:type="dxa"/>
                  </w:tcMar>
                  <w:vAlign w:val="center"/>
                </w:tcPr>
                <w:p w14:paraId="5F751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41</w:t>
                  </w:r>
                </w:p>
              </w:tc>
            </w:tr>
            <w:tr w14:paraId="74FF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721CC7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N4</w:t>
                  </w:r>
                </w:p>
              </w:tc>
              <w:tc>
                <w:tcPr>
                  <w:tcW w:w="3054" w:type="dxa"/>
                  <w:shd w:val="clear" w:color="auto" w:fill="auto"/>
                  <w:tcMar>
                    <w:top w:w="15" w:type="dxa"/>
                    <w:left w:w="15" w:type="dxa"/>
                    <w:right w:w="15" w:type="dxa"/>
                  </w:tcMar>
                  <w:vAlign w:val="center"/>
                </w:tcPr>
                <w:p w14:paraId="4647B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53</w:t>
                  </w:r>
                </w:p>
              </w:tc>
              <w:tc>
                <w:tcPr>
                  <w:tcW w:w="3396" w:type="dxa"/>
                  <w:shd w:val="clear" w:color="auto" w:fill="auto"/>
                  <w:tcMar>
                    <w:top w:w="15" w:type="dxa"/>
                    <w:left w:w="15" w:type="dxa"/>
                    <w:right w:w="15" w:type="dxa"/>
                  </w:tcMar>
                  <w:vAlign w:val="center"/>
                </w:tcPr>
                <w:p w14:paraId="56751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41</w:t>
                  </w:r>
                </w:p>
              </w:tc>
            </w:tr>
            <w:tr w14:paraId="01AA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6215A9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N5</w:t>
                  </w:r>
                </w:p>
              </w:tc>
              <w:tc>
                <w:tcPr>
                  <w:tcW w:w="3054" w:type="dxa"/>
                  <w:shd w:val="clear" w:color="auto" w:fill="auto"/>
                  <w:tcMar>
                    <w:top w:w="15" w:type="dxa"/>
                    <w:left w:w="15" w:type="dxa"/>
                    <w:right w:w="15" w:type="dxa"/>
                  </w:tcMar>
                  <w:vAlign w:val="center"/>
                </w:tcPr>
                <w:p w14:paraId="029CA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56</w:t>
                  </w:r>
                </w:p>
              </w:tc>
              <w:tc>
                <w:tcPr>
                  <w:tcW w:w="3396" w:type="dxa"/>
                  <w:shd w:val="clear" w:color="auto" w:fill="auto"/>
                  <w:tcMar>
                    <w:top w:w="15" w:type="dxa"/>
                    <w:left w:w="15" w:type="dxa"/>
                    <w:right w:w="15" w:type="dxa"/>
                  </w:tcMar>
                  <w:vAlign w:val="center"/>
                </w:tcPr>
                <w:p w14:paraId="4D9156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42</w:t>
                  </w:r>
                </w:p>
              </w:tc>
            </w:tr>
            <w:tr w14:paraId="0AF1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50336F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N6</w:t>
                  </w:r>
                </w:p>
              </w:tc>
              <w:tc>
                <w:tcPr>
                  <w:tcW w:w="3054" w:type="dxa"/>
                  <w:shd w:val="clear" w:color="auto" w:fill="auto"/>
                  <w:tcMar>
                    <w:top w:w="15" w:type="dxa"/>
                    <w:left w:w="15" w:type="dxa"/>
                    <w:right w:w="15" w:type="dxa"/>
                  </w:tcMar>
                  <w:vAlign w:val="center"/>
                </w:tcPr>
                <w:p w14:paraId="34805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53</w:t>
                  </w:r>
                </w:p>
              </w:tc>
              <w:tc>
                <w:tcPr>
                  <w:tcW w:w="3396" w:type="dxa"/>
                  <w:shd w:val="clear" w:color="auto" w:fill="auto"/>
                  <w:tcMar>
                    <w:top w:w="15" w:type="dxa"/>
                    <w:left w:w="15" w:type="dxa"/>
                    <w:right w:w="15" w:type="dxa"/>
                  </w:tcMar>
                  <w:vAlign w:val="center"/>
                </w:tcPr>
                <w:p w14:paraId="39DD4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38</w:t>
                  </w:r>
                </w:p>
              </w:tc>
            </w:tr>
            <w:tr w14:paraId="19F6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2B012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N7</w:t>
                  </w:r>
                </w:p>
              </w:tc>
              <w:tc>
                <w:tcPr>
                  <w:tcW w:w="3054" w:type="dxa"/>
                  <w:shd w:val="clear" w:color="auto" w:fill="auto"/>
                  <w:tcMar>
                    <w:top w:w="15" w:type="dxa"/>
                    <w:left w:w="15" w:type="dxa"/>
                    <w:right w:w="15" w:type="dxa"/>
                  </w:tcMar>
                  <w:vAlign w:val="center"/>
                </w:tcPr>
                <w:p w14:paraId="72A10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49</w:t>
                  </w:r>
                </w:p>
              </w:tc>
              <w:tc>
                <w:tcPr>
                  <w:tcW w:w="3396" w:type="dxa"/>
                  <w:shd w:val="clear" w:color="auto" w:fill="auto"/>
                  <w:tcMar>
                    <w:top w:w="15" w:type="dxa"/>
                    <w:left w:w="15" w:type="dxa"/>
                    <w:right w:w="15" w:type="dxa"/>
                  </w:tcMar>
                  <w:vAlign w:val="center"/>
                </w:tcPr>
                <w:p w14:paraId="0EC6F1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38</w:t>
                  </w:r>
                </w:p>
              </w:tc>
            </w:tr>
            <w:tr w14:paraId="65A3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1F5698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N8</w:t>
                  </w:r>
                </w:p>
              </w:tc>
              <w:tc>
                <w:tcPr>
                  <w:tcW w:w="3054" w:type="dxa"/>
                  <w:shd w:val="clear" w:color="auto" w:fill="auto"/>
                  <w:tcMar>
                    <w:top w:w="15" w:type="dxa"/>
                    <w:left w:w="15" w:type="dxa"/>
                    <w:right w:w="15" w:type="dxa"/>
                  </w:tcMar>
                  <w:vAlign w:val="center"/>
                </w:tcPr>
                <w:p w14:paraId="67E403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59</w:t>
                  </w:r>
                </w:p>
              </w:tc>
              <w:tc>
                <w:tcPr>
                  <w:tcW w:w="3396" w:type="dxa"/>
                  <w:shd w:val="clear" w:color="auto" w:fill="auto"/>
                  <w:tcMar>
                    <w:top w:w="15" w:type="dxa"/>
                    <w:left w:w="15" w:type="dxa"/>
                    <w:right w:w="15" w:type="dxa"/>
                  </w:tcMar>
                  <w:vAlign w:val="center"/>
                </w:tcPr>
                <w:p w14:paraId="3C9B1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39</w:t>
                  </w:r>
                </w:p>
              </w:tc>
            </w:tr>
            <w:tr w14:paraId="50F4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3BA2CD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N9</w:t>
                  </w:r>
                </w:p>
              </w:tc>
              <w:tc>
                <w:tcPr>
                  <w:tcW w:w="3054" w:type="dxa"/>
                  <w:shd w:val="clear" w:color="auto" w:fill="auto"/>
                  <w:tcMar>
                    <w:top w:w="15" w:type="dxa"/>
                    <w:left w:w="15" w:type="dxa"/>
                    <w:right w:w="15" w:type="dxa"/>
                  </w:tcMar>
                  <w:vAlign w:val="center"/>
                </w:tcPr>
                <w:p w14:paraId="6FD484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54</w:t>
                  </w:r>
                </w:p>
              </w:tc>
              <w:tc>
                <w:tcPr>
                  <w:tcW w:w="3396" w:type="dxa"/>
                  <w:shd w:val="clear" w:color="auto" w:fill="auto"/>
                  <w:tcMar>
                    <w:top w:w="15" w:type="dxa"/>
                    <w:left w:w="15" w:type="dxa"/>
                    <w:right w:w="15" w:type="dxa"/>
                  </w:tcMar>
                  <w:vAlign w:val="center"/>
                </w:tcPr>
                <w:p w14:paraId="43AAC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40</w:t>
                  </w:r>
                </w:p>
              </w:tc>
            </w:tr>
            <w:tr w14:paraId="08EE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73443F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N10</w:t>
                  </w:r>
                </w:p>
              </w:tc>
              <w:tc>
                <w:tcPr>
                  <w:tcW w:w="3054" w:type="dxa"/>
                  <w:shd w:val="clear" w:color="auto" w:fill="auto"/>
                  <w:tcMar>
                    <w:top w:w="15" w:type="dxa"/>
                    <w:left w:w="15" w:type="dxa"/>
                    <w:right w:w="15" w:type="dxa"/>
                  </w:tcMar>
                  <w:vAlign w:val="center"/>
                </w:tcPr>
                <w:p w14:paraId="7F335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55</w:t>
                  </w:r>
                </w:p>
              </w:tc>
              <w:tc>
                <w:tcPr>
                  <w:tcW w:w="3396" w:type="dxa"/>
                  <w:shd w:val="clear" w:color="auto" w:fill="auto"/>
                  <w:tcMar>
                    <w:top w:w="15" w:type="dxa"/>
                    <w:left w:w="15" w:type="dxa"/>
                    <w:right w:w="15" w:type="dxa"/>
                  </w:tcMar>
                  <w:vAlign w:val="center"/>
                </w:tcPr>
                <w:p w14:paraId="5C3D5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42</w:t>
                  </w:r>
                </w:p>
              </w:tc>
            </w:tr>
            <w:tr w14:paraId="1D35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4ADF57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N11</w:t>
                  </w:r>
                </w:p>
              </w:tc>
              <w:tc>
                <w:tcPr>
                  <w:tcW w:w="3054" w:type="dxa"/>
                  <w:shd w:val="clear" w:color="auto" w:fill="auto"/>
                  <w:tcMar>
                    <w:top w:w="15" w:type="dxa"/>
                    <w:left w:w="15" w:type="dxa"/>
                    <w:right w:w="15" w:type="dxa"/>
                  </w:tcMar>
                  <w:vAlign w:val="center"/>
                </w:tcPr>
                <w:p w14:paraId="692C0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44</w:t>
                  </w:r>
                </w:p>
              </w:tc>
              <w:tc>
                <w:tcPr>
                  <w:tcW w:w="3396" w:type="dxa"/>
                  <w:shd w:val="clear" w:color="auto" w:fill="auto"/>
                  <w:tcMar>
                    <w:top w:w="15" w:type="dxa"/>
                    <w:left w:w="15" w:type="dxa"/>
                    <w:right w:w="15" w:type="dxa"/>
                  </w:tcMar>
                  <w:vAlign w:val="center"/>
                </w:tcPr>
                <w:p w14:paraId="5E576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42</w:t>
                  </w:r>
                </w:p>
              </w:tc>
            </w:tr>
            <w:tr w14:paraId="31E4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4CBD6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N12</w:t>
                  </w:r>
                </w:p>
              </w:tc>
              <w:tc>
                <w:tcPr>
                  <w:tcW w:w="3054" w:type="dxa"/>
                  <w:shd w:val="clear" w:color="auto" w:fill="auto"/>
                  <w:tcMar>
                    <w:top w:w="15" w:type="dxa"/>
                    <w:left w:w="15" w:type="dxa"/>
                    <w:right w:w="15" w:type="dxa"/>
                  </w:tcMar>
                  <w:vAlign w:val="center"/>
                </w:tcPr>
                <w:p w14:paraId="4C3C2E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54</w:t>
                  </w:r>
                </w:p>
              </w:tc>
              <w:tc>
                <w:tcPr>
                  <w:tcW w:w="3396" w:type="dxa"/>
                  <w:shd w:val="clear" w:color="auto" w:fill="auto"/>
                  <w:tcMar>
                    <w:top w:w="15" w:type="dxa"/>
                    <w:left w:w="15" w:type="dxa"/>
                    <w:right w:w="15" w:type="dxa"/>
                  </w:tcMar>
                  <w:vAlign w:val="center"/>
                </w:tcPr>
                <w:p w14:paraId="628BC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45</w:t>
                  </w:r>
                </w:p>
              </w:tc>
            </w:tr>
            <w:tr w14:paraId="6AE9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3EACAA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N13*</w:t>
                  </w:r>
                </w:p>
              </w:tc>
              <w:tc>
                <w:tcPr>
                  <w:tcW w:w="3054" w:type="dxa"/>
                  <w:shd w:val="clear" w:color="auto" w:fill="auto"/>
                  <w:tcMar>
                    <w:top w:w="15" w:type="dxa"/>
                    <w:left w:w="15" w:type="dxa"/>
                    <w:right w:w="15" w:type="dxa"/>
                  </w:tcMar>
                  <w:vAlign w:val="center"/>
                </w:tcPr>
                <w:p w14:paraId="3E580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b w:val="0"/>
                      <w:bCs/>
                      <w:color w:val="auto"/>
                      <w:sz w:val="21"/>
                      <w:szCs w:val="21"/>
                      <w:lang w:val="en-US" w:eastAsia="zh-CN"/>
                    </w:rPr>
                  </w:pPr>
                  <w:r>
                    <w:rPr>
                      <w:rFonts w:hint="eastAsia"/>
                      <w:b w:val="0"/>
                      <w:bCs/>
                      <w:color w:val="auto"/>
                      <w:sz w:val="21"/>
                      <w:szCs w:val="21"/>
                      <w:lang w:val="en-US" w:eastAsia="zh-CN"/>
                    </w:rPr>
                    <w:t>56</w:t>
                  </w:r>
                </w:p>
              </w:tc>
              <w:tc>
                <w:tcPr>
                  <w:tcW w:w="3396" w:type="dxa"/>
                  <w:shd w:val="clear" w:color="auto" w:fill="auto"/>
                  <w:tcMar>
                    <w:top w:w="15" w:type="dxa"/>
                    <w:left w:w="15" w:type="dxa"/>
                    <w:right w:w="15" w:type="dxa"/>
                  </w:tcMar>
                  <w:vAlign w:val="center"/>
                </w:tcPr>
                <w:p w14:paraId="34BF3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50</w:t>
                  </w:r>
                </w:p>
              </w:tc>
            </w:tr>
            <w:tr w14:paraId="20E8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0B6B32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N14*</w:t>
                  </w:r>
                </w:p>
              </w:tc>
              <w:tc>
                <w:tcPr>
                  <w:tcW w:w="3054" w:type="dxa"/>
                  <w:shd w:val="clear" w:color="auto" w:fill="auto"/>
                  <w:tcMar>
                    <w:top w:w="15" w:type="dxa"/>
                    <w:left w:w="15" w:type="dxa"/>
                    <w:right w:w="15" w:type="dxa"/>
                  </w:tcMar>
                  <w:vAlign w:val="center"/>
                </w:tcPr>
                <w:p w14:paraId="41A523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57</w:t>
                  </w:r>
                </w:p>
              </w:tc>
              <w:tc>
                <w:tcPr>
                  <w:tcW w:w="3396" w:type="dxa"/>
                  <w:shd w:val="clear" w:color="auto" w:fill="auto"/>
                  <w:tcMar>
                    <w:top w:w="15" w:type="dxa"/>
                    <w:left w:w="15" w:type="dxa"/>
                    <w:right w:w="15" w:type="dxa"/>
                  </w:tcMar>
                  <w:vAlign w:val="center"/>
                </w:tcPr>
                <w:p w14:paraId="3C4A0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47</w:t>
                  </w:r>
                </w:p>
              </w:tc>
            </w:tr>
            <w:tr w14:paraId="72A0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5C1DB6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N15*</w:t>
                  </w:r>
                </w:p>
              </w:tc>
              <w:tc>
                <w:tcPr>
                  <w:tcW w:w="3054" w:type="dxa"/>
                  <w:shd w:val="clear" w:color="auto" w:fill="auto"/>
                  <w:tcMar>
                    <w:top w:w="15" w:type="dxa"/>
                    <w:left w:w="15" w:type="dxa"/>
                    <w:right w:w="15" w:type="dxa"/>
                  </w:tcMar>
                  <w:vAlign w:val="center"/>
                </w:tcPr>
                <w:p w14:paraId="0B886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53</w:t>
                  </w:r>
                </w:p>
              </w:tc>
              <w:tc>
                <w:tcPr>
                  <w:tcW w:w="3396" w:type="dxa"/>
                  <w:shd w:val="clear" w:color="auto" w:fill="auto"/>
                  <w:tcMar>
                    <w:top w:w="15" w:type="dxa"/>
                    <w:left w:w="15" w:type="dxa"/>
                    <w:right w:w="15" w:type="dxa"/>
                  </w:tcMar>
                  <w:vAlign w:val="center"/>
                </w:tcPr>
                <w:p w14:paraId="22744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48</w:t>
                  </w:r>
                </w:p>
              </w:tc>
            </w:tr>
            <w:tr w14:paraId="0595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11F6DF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N16*</w:t>
                  </w:r>
                </w:p>
              </w:tc>
              <w:tc>
                <w:tcPr>
                  <w:tcW w:w="3054" w:type="dxa"/>
                  <w:shd w:val="clear" w:color="auto" w:fill="auto"/>
                  <w:tcMar>
                    <w:top w:w="15" w:type="dxa"/>
                    <w:left w:w="15" w:type="dxa"/>
                    <w:right w:w="15" w:type="dxa"/>
                  </w:tcMar>
                  <w:vAlign w:val="center"/>
                </w:tcPr>
                <w:p w14:paraId="01382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58</w:t>
                  </w:r>
                </w:p>
              </w:tc>
              <w:tc>
                <w:tcPr>
                  <w:tcW w:w="3396" w:type="dxa"/>
                  <w:shd w:val="clear" w:color="auto" w:fill="auto"/>
                  <w:tcMar>
                    <w:top w:w="15" w:type="dxa"/>
                    <w:left w:w="15" w:type="dxa"/>
                    <w:right w:w="15" w:type="dxa"/>
                  </w:tcMar>
                  <w:vAlign w:val="center"/>
                </w:tcPr>
                <w:p w14:paraId="3CE1C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49</w:t>
                  </w:r>
                </w:p>
              </w:tc>
            </w:tr>
            <w:tr w14:paraId="02B9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555646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N17*</w:t>
                  </w:r>
                </w:p>
              </w:tc>
              <w:tc>
                <w:tcPr>
                  <w:tcW w:w="3054" w:type="dxa"/>
                  <w:shd w:val="clear" w:color="auto" w:fill="auto"/>
                  <w:tcMar>
                    <w:top w:w="15" w:type="dxa"/>
                    <w:left w:w="15" w:type="dxa"/>
                    <w:right w:w="15" w:type="dxa"/>
                  </w:tcMar>
                  <w:vAlign w:val="center"/>
                </w:tcPr>
                <w:p w14:paraId="7EE4F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55</w:t>
                  </w:r>
                </w:p>
              </w:tc>
              <w:tc>
                <w:tcPr>
                  <w:tcW w:w="3396" w:type="dxa"/>
                  <w:shd w:val="clear" w:color="auto" w:fill="auto"/>
                  <w:tcMar>
                    <w:top w:w="15" w:type="dxa"/>
                    <w:left w:w="15" w:type="dxa"/>
                    <w:right w:w="15" w:type="dxa"/>
                  </w:tcMar>
                  <w:vAlign w:val="center"/>
                </w:tcPr>
                <w:p w14:paraId="79C68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47</w:t>
                  </w:r>
                </w:p>
              </w:tc>
            </w:tr>
            <w:tr w14:paraId="2613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38991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N18*</w:t>
                  </w:r>
                </w:p>
              </w:tc>
              <w:tc>
                <w:tcPr>
                  <w:tcW w:w="3054" w:type="dxa"/>
                  <w:shd w:val="clear" w:color="auto" w:fill="auto"/>
                  <w:tcMar>
                    <w:top w:w="15" w:type="dxa"/>
                    <w:left w:w="15" w:type="dxa"/>
                    <w:right w:w="15" w:type="dxa"/>
                  </w:tcMar>
                  <w:vAlign w:val="center"/>
                </w:tcPr>
                <w:p w14:paraId="3B657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54</w:t>
                  </w:r>
                </w:p>
              </w:tc>
              <w:tc>
                <w:tcPr>
                  <w:tcW w:w="3396" w:type="dxa"/>
                  <w:shd w:val="clear" w:color="auto" w:fill="auto"/>
                  <w:tcMar>
                    <w:top w:w="15" w:type="dxa"/>
                    <w:left w:w="15" w:type="dxa"/>
                    <w:right w:w="15" w:type="dxa"/>
                  </w:tcMar>
                  <w:vAlign w:val="center"/>
                </w:tcPr>
                <w:p w14:paraId="71DAC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46</w:t>
                  </w:r>
                </w:p>
              </w:tc>
            </w:tr>
            <w:tr w14:paraId="447F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01" w:type="dxa"/>
                  <w:tcBorders>
                    <w:left w:val="single" w:color="auto" w:sz="4" w:space="0"/>
                  </w:tcBorders>
                  <w:shd w:val="clear" w:color="auto" w:fill="auto"/>
                  <w:tcMar>
                    <w:top w:w="15" w:type="dxa"/>
                    <w:left w:w="15" w:type="dxa"/>
                    <w:right w:w="15" w:type="dxa"/>
                  </w:tcMar>
                  <w:vAlign w:val="center"/>
                </w:tcPr>
                <w:p w14:paraId="498A8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b w:val="0"/>
                      <w:bCs/>
                      <w:i w:val="0"/>
                      <w:color w:val="auto"/>
                      <w:sz w:val="21"/>
                      <w:szCs w:val="21"/>
                      <w:u w:val="none"/>
                      <w:lang w:val="en-US" w:eastAsia="zh-CN"/>
                    </w:rPr>
                  </w:pPr>
                  <w:r>
                    <w:rPr>
                      <w:rFonts w:hint="default" w:ascii="Times New Roman" w:hAnsi="Times New Roman" w:cs="Times New Roman"/>
                      <w:sz w:val="21"/>
                      <w:szCs w:val="21"/>
                      <w:highlight w:val="none"/>
                      <w:vertAlign w:val="baseline"/>
                      <w:lang w:val="en-US" w:eastAsia="zh-CN"/>
                    </w:rPr>
                    <w:t>N19*</w:t>
                  </w:r>
                </w:p>
              </w:tc>
              <w:tc>
                <w:tcPr>
                  <w:tcW w:w="3054" w:type="dxa"/>
                  <w:shd w:val="clear" w:color="auto" w:fill="auto"/>
                  <w:tcMar>
                    <w:top w:w="15" w:type="dxa"/>
                    <w:left w:w="15" w:type="dxa"/>
                    <w:right w:w="15" w:type="dxa"/>
                  </w:tcMar>
                  <w:vAlign w:val="center"/>
                </w:tcPr>
                <w:p w14:paraId="3A1DE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43</w:t>
                  </w:r>
                </w:p>
              </w:tc>
              <w:tc>
                <w:tcPr>
                  <w:tcW w:w="3396" w:type="dxa"/>
                  <w:shd w:val="clear" w:color="auto" w:fill="auto"/>
                  <w:tcMar>
                    <w:top w:w="15" w:type="dxa"/>
                    <w:left w:w="15" w:type="dxa"/>
                    <w:right w:w="15" w:type="dxa"/>
                  </w:tcMar>
                  <w:vAlign w:val="center"/>
                </w:tcPr>
                <w:p w14:paraId="56B2C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eastAsiaTheme="minorEastAsia"/>
                      <w:b w:val="0"/>
                      <w:bCs/>
                      <w:i w:val="0"/>
                      <w:color w:val="auto"/>
                      <w:kern w:val="0"/>
                      <w:sz w:val="21"/>
                      <w:szCs w:val="21"/>
                      <w:u w:val="none"/>
                      <w:lang w:val="en-US" w:eastAsia="zh-CN" w:bidi="ar"/>
                    </w:rPr>
                  </w:pPr>
                  <w:r>
                    <w:rPr>
                      <w:rFonts w:hint="eastAsia" w:cs="Times New Roman" w:eastAsiaTheme="minorEastAsia"/>
                      <w:b w:val="0"/>
                      <w:bCs/>
                      <w:i w:val="0"/>
                      <w:color w:val="auto"/>
                      <w:kern w:val="0"/>
                      <w:sz w:val="21"/>
                      <w:szCs w:val="21"/>
                      <w:u w:val="none"/>
                      <w:lang w:val="en-US" w:eastAsia="zh-CN" w:bidi="ar"/>
                    </w:rPr>
                    <w:t>42</w:t>
                  </w:r>
                </w:p>
              </w:tc>
            </w:tr>
          </w:tbl>
          <w:p w14:paraId="5927208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b/>
                <w:bCs/>
                <w:color w:val="auto"/>
                <w:sz w:val="24"/>
                <w:szCs w:val="24"/>
                <w:lang w:val="en-US" w:eastAsia="zh-CN"/>
              </w:rPr>
            </w:pPr>
            <w:r>
              <w:rPr>
                <w:rFonts w:hint="default" w:ascii="Times New Roman" w:hAnsi="Times New Roman" w:eastAsia="宋体" w:cs="Times New Roman"/>
                <w:color w:val="auto"/>
                <w:sz w:val="24"/>
              </w:rPr>
              <w:t>本项目监测点位昼间、夜间噪声监测值均能满足《声环境质量标准》（GB3096-2008）中</w:t>
            </w:r>
            <w:r>
              <w:rPr>
                <w:rFonts w:hint="eastAsia" w:cs="Times New Roman"/>
                <w:color w:val="auto"/>
                <w:sz w:val="24"/>
                <w:lang w:val="en-US" w:eastAsia="zh-CN"/>
              </w:rPr>
              <w:t>2类区标准</w:t>
            </w:r>
            <w:r>
              <w:rPr>
                <w:rFonts w:hint="default" w:ascii="Times New Roman" w:hAnsi="Times New Roman" w:eastAsia="宋体" w:cs="Times New Roman"/>
                <w:color w:val="auto"/>
                <w:sz w:val="24"/>
              </w:rPr>
              <w:t>限值要求</w:t>
            </w:r>
            <w:r>
              <w:rPr>
                <w:rFonts w:hint="default" w:ascii="Times New Roman" w:hAnsi="Times New Roman" w:cs="Times New Roman"/>
                <w:color w:val="auto"/>
                <w:sz w:val="24"/>
                <w:szCs w:val="24"/>
              </w:rPr>
              <w:t>，声环境现状较好</w:t>
            </w:r>
            <w:r>
              <w:rPr>
                <w:rFonts w:hint="eastAsia" w:cs="Times New Roman"/>
                <w:color w:val="auto"/>
                <w:sz w:val="24"/>
                <w:szCs w:val="24"/>
                <w:lang w:eastAsia="zh-CN"/>
              </w:rPr>
              <w:t>。</w:t>
            </w:r>
          </w:p>
          <w:p w14:paraId="5023DA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bCs/>
                <w:color w:val="auto"/>
                <w:highlight w:val="none"/>
              </w:rPr>
            </w:pPr>
            <w:r>
              <w:rPr>
                <w:rFonts w:hint="eastAsia" w:ascii="宋体" w:hAnsi="宋体" w:cs="宋体"/>
                <w:b/>
                <w:bCs/>
                <w:color w:val="auto"/>
                <w:highlight w:val="none"/>
              </w:rPr>
              <w:t>四、生态环境质量</w:t>
            </w:r>
          </w:p>
          <w:p w14:paraId="45A3D5E4">
            <w:pPr>
              <w:keepNext w:val="0"/>
              <w:keepLines w:val="0"/>
              <w:pageBreakBefore w:val="0"/>
              <w:widowControl w:val="0"/>
              <w:kinsoku/>
              <w:wordWrap/>
              <w:overflowPunct/>
              <w:topLinePunct w:val="0"/>
              <w:autoSpaceDE/>
              <w:autoSpaceDN/>
              <w:bidi w:val="0"/>
              <w:adjustRightInd/>
              <w:snapToGrid/>
              <w:ind w:firstLine="480"/>
              <w:textAlignment w:val="auto"/>
            </w:pPr>
            <w:r>
              <w:rPr>
                <w:color w:val="auto"/>
              </w:rPr>
              <w:t>本项目用地</w:t>
            </w:r>
            <w:r>
              <w:rPr>
                <w:rFonts w:hint="eastAsia"/>
                <w:color w:val="auto"/>
              </w:rPr>
              <w:t>为</w:t>
            </w:r>
            <w:r>
              <w:rPr>
                <w:rFonts w:hint="eastAsia"/>
                <w:color w:val="auto"/>
                <w:lang w:val="en-US" w:eastAsia="zh-CN"/>
              </w:rPr>
              <w:t>安徽省淮北市</w:t>
            </w:r>
            <w:r>
              <w:rPr>
                <w:rFonts w:hint="eastAsia"/>
                <w:sz w:val="24"/>
                <w:lang w:val="en-US" w:eastAsia="zh-CN"/>
              </w:rPr>
              <w:t>烈山区，能源站项目土地用途为供热用地</w:t>
            </w:r>
            <w:r>
              <w:rPr>
                <w:rFonts w:hint="eastAsia"/>
                <w:color w:val="000000"/>
              </w:rPr>
              <w:t>，</w:t>
            </w:r>
            <w:r>
              <w:rPr>
                <w:color w:val="000000"/>
              </w:rPr>
              <w:t>不涉及新增用地，用地范围内不涉及野生保护动植物等生态环境保护目标</w:t>
            </w:r>
            <w:r>
              <w:rPr>
                <w:rFonts w:hint="eastAsia"/>
                <w:color w:val="000000"/>
              </w:rPr>
              <w:t>。</w:t>
            </w:r>
          </w:p>
          <w:p w14:paraId="14B6C4F6">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tc>
      </w:tr>
      <w:tr w14:paraId="7630D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13" w:type="dxa"/>
            <w:vAlign w:val="center"/>
          </w:tcPr>
          <w:p w14:paraId="7BF34363">
            <w:pPr>
              <w:adjustRightInd w:val="0"/>
              <w:snapToGrid w:val="0"/>
              <w:ind w:firstLine="0" w:firstLineChars="0"/>
              <w:jc w:val="center"/>
              <w:rPr>
                <w:rFonts w:ascii="宋体" w:hAnsi="宋体" w:cs="宋体"/>
                <w:color w:val="auto"/>
                <w:kern w:val="0"/>
                <w:szCs w:val="21"/>
              </w:rPr>
            </w:pPr>
            <w:r>
              <w:rPr>
                <w:rFonts w:hint="eastAsia" w:ascii="宋体" w:hAnsi="宋体" w:cs="宋体"/>
                <w:color w:val="auto"/>
                <w:kern w:val="0"/>
                <w:szCs w:val="21"/>
              </w:rPr>
              <w:t>环境保护目标</w:t>
            </w:r>
          </w:p>
        </w:tc>
        <w:tc>
          <w:tcPr>
            <w:tcW w:w="8477" w:type="dxa"/>
            <w:vAlign w:val="center"/>
          </w:tcPr>
          <w:p w14:paraId="2FFAD7D1">
            <w:pPr>
              <w:ind w:firstLine="0" w:firstLineChars="0"/>
              <w:rPr>
                <w:b/>
                <w:bCs/>
                <w:color w:val="auto"/>
              </w:rPr>
            </w:pPr>
            <w:r>
              <w:rPr>
                <w:b/>
                <w:bCs/>
                <w:color w:val="auto"/>
              </w:rPr>
              <w:t>主要环境保护目标（列出名单及保护级别）：</w:t>
            </w:r>
          </w:p>
          <w:p w14:paraId="1C92D666">
            <w:pPr>
              <w:spacing w:line="240" w:lineRule="auto"/>
              <w:ind w:firstLine="0" w:firstLineChars="0"/>
              <w:jc w:val="center"/>
              <w:rPr>
                <w:b/>
                <w:color w:val="auto"/>
              </w:rPr>
            </w:pPr>
            <w:r>
              <w:rPr>
                <w:b/>
                <w:color w:val="auto"/>
              </w:rPr>
              <w:t>表3-</w:t>
            </w:r>
            <w:r>
              <w:rPr>
                <w:rFonts w:hint="eastAsia"/>
                <w:b/>
                <w:color w:val="auto"/>
                <w:lang w:val="en-US" w:eastAsia="zh-CN"/>
              </w:rPr>
              <w:t>4</w:t>
            </w:r>
            <w:r>
              <w:rPr>
                <w:b/>
                <w:color w:val="auto"/>
              </w:rPr>
              <w:t xml:space="preserve">  </w:t>
            </w:r>
            <w:r>
              <w:rPr>
                <w:rFonts w:hint="eastAsia"/>
                <w:b/>
                <w:color w:val="auto"/>
                <w:lang w:val="en-US" w:eastAsia="zh-CN"/>
              </w:rPr>
              <w:t>能源站</w:t>
            </w:r>
            <w:r>
              <w:rPr>
                <w:b/>
                <w:color w:val="auto"/>
              </w:rPr>
              <w:t>主要环境保护目标</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03"/>
              <w:gridCol w:w="835"/>
              <w:gridCol w:w="976"/>
              <w:gridCol w:w="1286"/>
              <w:gridCol w:w="1884"/>
              <w:gridCol w:w="908"/>
              <w:gridCol w:w="832"/>
            </w:tblGrid>
            <w:tr w14:paraId="1A94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7" w:type="dxa"/>
                  <w:vMerge w:val="restart"/>
                  <w:vAlign w:val="center"/>
                </w:tcPr>
                <w:p w14:paraId="282EE92D">
                  <w:pPr>
                    <w:pStyle w:val="4"/>
                    <w:rPr>
                      <w:b/>
                      <w:bCs/>
                      <w:color w:val="auto"/>
                    </w:rPr>
                  </w:pPr>
                  <w:r>
                    <w:rPr>
                      <w:b/>
                      <w:bCs/>
                      <w:color w:val="auto"/>
                    </w:rPr>
                    <w:t>名称</w:t>
                  </w:r>
                </w:p>
              </w:tc>
              <w:tc>
                <w:tcPr>
                  <w:tcW w:w="1638" w:type="dxa"/>
                  <w:gridSpan w:val="2"/>
                  <w:vAlign w:val="center"/>
                </w:tcPr>
                <w:p w14:paraId="07E395A7">
                  <w:pPr>
                    <w:pStyle w:val="4"/>
                    <w:rPr>
                      <w:b/>
                      <w:bCs/>
                      <w:color w:val="auto"/>
                    </w:rPr>
                  </w:pPr>
                  <w:r>
                    <w:rPr>
                      <w:b/>
                      <w:bCs/>
                      <w:color w:val="auto"/>
                    </w:rPr>
                    <w:t>经纬度</w:t>
                  </w:r>
                </w:p>
              </w:tc>
              <w:tc>
                <w:tcPr>
                  <w:tcW w:w="976" w:type="dxa"/>
                  <w:vMerge w:val="restart"/>
                  <w:vAlign w:val="center"/>
                </w:tcPr>
                <w:p w14:paraId="1DC666D5">
                  <w:pPr>
                    <w:pStyle w:val="4"/>
                    <w:rPr>
                      <w:b/>
                      <w:bCs/>
                      <w:color w:val="auto"/>
                    </w:rPr>
                  </w:pPr>
                  <w:r>
                    <w:rPr>
                      <w:b/>
                      <w:bCs/>
                      <w:color w:val="auto"/>
                    </w:rPr>
                    <w:t>保护对象</w:t>
                  </w:r>
                </w:p>
              </w:tc>
              <w:tc>
                <w:tcPr>
                  <w:tcW w:w="1286" w:type="dxa"/>
                  <w:vMerge w:val="restart"/>
                  <w:vAlign w:val="center"/>
                </w:tcPr>
                <w:p w14:paraId="5017C73F">
                  <w:pPr>
                    <w:pStyle w:val="4"/>
                    <w:rPr>
                      <w:b/>
                      <w:bCs/>
                      <w:color w:val="auto"/>
                    </w:rPr>
                  </w:pPr>
                  <w:r>
                    <w:rPr>
                      <w:b/>
                      <w:bCs/>
                      <w:color w:val="auto"/>
                    </w:rPr>
                    <w:t>保护内容</w:t>
                  </w:r>
                </w:p>
              </w:tc>
              <w:tc>
                <w:tcPr>
                  <w:tcW w:w="1884" w:type="dxa"/>
                  <w:vMerge w:val="restart"/>
                  <w:vAlign w:val="center"/>
                </w:tcPr>
                <w:p w14:paraId="56D4195F">
                  <w:pPr>
                    <w:pStyle w:val="4"/>
                    <w:rPr>
                      <w:b/>
                      <w:bCs/>
                      <w:color w:val="auto"/>
                    </w:rPr>
                  </w:pPr>
                  <w:r>
                    <w:rPr>
                      <w:b/>
                      <w:bCs/>
                      <w:color w:val="auto"/>
                    </w:rPr>
                    <w:t>环境功能区</w:t>
                  </w:r>
                </w:p>
              </w:tc>
              <w:tc>
                <w:tcPr>
                  <w:tcW w:w="908" w:type="dxa"/>
                  <w:vMerge w:val="restart"/>
                  <w:vAlign w:val="center"/>
                </w:tcPr>
                <w:p w14:paraId="73765E75">
                  <w:pPr>
                    <w:pStyle w:val="4"/>
                    <w:rPr>
                      <w:b/>
                      <w:bCs/>
                      <w:color w:val="auto"/>
                    </w:rPr>
                  </w:pPr>
                  <w:r>
                    <w:rPr>
                      <w:b/>
                      <w:bCs/>
                      <w:color w:val="auto"/>
                    </w:rPr>
                    <w:t>相对厂址方位</w:t>
                  </w:r>
                </w:p>
              </w:tc>
              <w:tc>
                <w:tcPr>
                  <w:tcW w:w="832" w:type="dxa"/>
                  <w:vMerge w:val="restart"/>
                  <w:vAlign w:val="center"/>
                </w:tcPr>
                <w:p w14:paraId="49837FD3">
                  <w:pPr>
                    <w:pStyle w:val="4"/>
                    <w:rPr>
                      <w:b/>
                      <w:bCs/>
                      <w:color w:val="auto"/>
                    </w:rPr>
                  </w:pPr>
                  <w:r>
                    <w:rPr>
                      <w:b/>
                      <w:bCs/>
                      <w:color w:val="auto"/>
                    </w:rPr>
                    <w:t>相对厂界距离（m）</w:t>
                  </w:r>
                </w:p>
              </w:tc>
            </w:tr>
            <w:tr w14:paraId="7874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7" w:type="dxa"/>
                  <w:vMerge w:val="continue"/>
                  <w:vAlign w:val="center"/>
                </w:tcPr>
                <w:p w14:paraId="4800C1CA">
                  <w:pPr>
                    <w:pStyle w:val="4"/>
                    <w:rPr>
                      <w:color w:val="auto"/>
                    </w:rPr>
                  </w:pPr>
                </w:p>
              </w:tc>
              <w:tc>
                <w:tcPr>
                  <w:tcW w:w="803" w:type="dxa"/>
                  <w:vAlign w:val="center"/>
                </w:tcPr>
                <w:p w14:paraId="2DA11377">
                  <w:pPr>
                    <w:pStyle w:val="4"/>
                    <w:rPr>
                      <w:b/>
                      <w:bCs/>
                      <w:color w:val="auto"/>
                    </w:rPr>
                  </w:pPr>
                  <w:r>
                    <w:rPr>
                      <w:b/>
                      <w:bCs/>
                      <w:color w:val="auto"/>
                    </w:rPr>
                    <w:t>经度</w:t>
                  </w:r>
                </w:p>
              </w:tc>
              <w:tc>
                <w:tcPr>
                  <w:tcW w:w="835" w:type="dxa"/>
                  <w:vAlign w:val="center"/>
                </w:tcPr>
                <w:p w14:paraId="05B68A0F">
                  <w:pPr>
                    <w:pStyle w:val="4"/>
                    <w:rPr>
                      <w:b/>
                      <w:bCs/>
                      <w:color w:val="auto"/>
                    </w:rPr>
                  </w:pPr>
                  <w:r>
                    <w:rPr>
                      <w:b/>
                      <w:bCs/>
                      <w:color w:val="auto"/>
                    </w:rPr>
                    <w:t>纬度</w:t>
                  </w:r>
                </w:p>
              </w:tc>
              <w:tc>
                <w:tcPr>
                  <w:tcW w:w="976" w:type="dxa"/>
                  <w:vMerge w:val="continue"/>
                  <w:vAlign w:val="center"/>
                </w:tcPr>
                <w:p w14:paraId="59489CCF">
                  <w:pPr>
                    <w:pStyle w:val="4"/>
                    <w:rPr>
                      <w:color w:val="auto"/>
                    </w:rPr>
                  </w:pPr>
                </w:p>
              </w:tc>
              <w:tc>
                <w:tcPr>
                  <w:tcW w:w="1286" w:type="dxa"/>
                  <w:vMerge w:val="continue"/>
                  <w:vAlign w:val="center"/>
                </w:tcPr>
                <w:p w14:paraId="1D5A4922">
                  <w:pPr>
                    <w:pStyle w:val="4"/>
                    <w:rPr>
                      <w:color w:val="auto"/>
                    </w:rPr>
                  </w:pPr>
                </w:p>
              </w:tc>
              <w:tc>
                <w:tcPr>
                  <w:tcW w:w="1884" w:type="dxa"/>
                  <w:vMerge w:val="continue"/>
                  <w:vAlign w:val="center"/>
                </w:tcPr>
                <w:p w14:paraId="0F6FE866">
                  <w:pPr>
                    <w:pStyle w:val="4"/>
                    <w:rPr>
                      <w:color w:val="auto"/>
                    </w:rPr>
                  </w:pPr>
                </w:p>
              </w:tc>
              <w:tc>
                <w:tcPr>
                  <w:tcW w:w="908" w:type="dxa"/>
                  <w:vMerge w:val="continue"/>
                  <w:vAlign w:val="center"/>
                </w:tcPr>
                <w:p w14:paraId="01F24FEF">
                  <w:pPr>
                    <w:pStyle w:val="4"/>
                    <w:rPr>
                      <w:color w:val="auto"/>
                    </w:rPr>
                  </w:pPr>
                </w:p>
              </w:tc>
              <w:tc>
                <w:tcPr>
                  <w:tcW w:w="832" w:type="dxa"/>
                  <w:vMerge w:val="continue"/>
                  <w:vAlign w:val="center"/>
                </w:tcPr>
                <w:p w14:paraId="54013EDA">
                  <w:pPr>
                    <w:pStyle w:val="4"/>
                    <w:rPr>
                      <w:color w:val="auto"/>
                    </w:rPr>
                  </w:pPr>
                </w:p>
              </w:tc>
            </w:tr>
            <w:tr w14:paraId="23F5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7" w:type="dxa"/>
                  <w:vMerge w:val="restart"/>
                  <w:vAlign w:val="center"/>
                </w:tcPr>
                <w:p w14:paraId="5C365262">
                  <w:pPr>
                    <w:pStyle w:val="4"/>
                    <w:rPr>
                      <w:color w:val="auto"/>
                    </w:rPr>
                  </w:pPr>
                  <w:r>
                    <w:rPr>
                      <w:rFonts w:hint="eastAsia"/>
                      <w:color w:val="auto"/>
                    </w:rPr>
                    <w:t>大气环境</w:t>
                  </w:r>
                </w:p>
              </w:tc>
              <w:tc>
                <w:tcPr>
                  <w:tcW w:w="803" w:type="dxa"/>
                  <w:vAlign w:val="center"/>
                </w:tcPr>
                <w:p w14:paraId="63269737">
                  <w:pPr>
                    <w:pStyle w:val="4"/>
                    <w:rPr>
                      <w:rFonts w:hint="eastAsia" w:eastAsia="宋体"/>
                      <w:color w:val="auto"/>
                      <w:lang w:eastAsia="zh-CN"/>
                    </w:rPr>
                  </w:pPr>
                  <w:r>
                    <w:rPr>
                      <w:rFonts w:hint="eastAsia"/>
                      <w:color w:val="auto"/>
                      <w:lang w:val="en-US" w:eastAsia="zh-CN"/>
                    </w:rPr>
                    <w:t>116.844141</w:t>
                  </w:r>
                </w:p>
              </w:tc>
              <w:tc>
                <w:tcPr>
                  <w:tcW w:w="835" w:type="dxa"/>
                  <w:vAlign w:val="center"/>
                </w:tcPr>
                <w:p w14:paraId="77394AC0">
                  <w:pPr>
                    <w:pStyle w:val="4"/>
                    <w:rPr>
                      <w:rFonts w:hint="eastAsia" w:eastAsia="宋体"/>
                      <w:color w:val="auto"/>
                      <w:lang w:eastAsia="zh-CN"/>
                    </w:rPr>
                  </w:pPr>
                  <w:r>
                    <w:rPr>
                      <w:rFonts w:hint="eastAsia"/>
                      <w:color w:val="auto"/>
                      <w:lang w:val="en-US" w:eastAsia="zh-CN"/>
                    </w:rPr>
                    <w:t>33.906412</w:t>
                  </w:r>
                </w:p>
              </w:tc>
              <w:tc>
                <w:tcPr>
                  <w:tcW w:w="976" w:type="dxa"/>
                  <w:vAlign w:val="center"/>
                </w:tcPr>
                <w:p w14:paraId="4775C984">
                  <w:pPr>
                    <w:pStyle w:val="4"/>
                    <w:rPr>
                      <w:rFonts w:hint="default" w:eastAsia="宋体"/>
                      <w:color w:val="auto"/>
                      <w:lang w:val="en-US" w:eastAsia="zh-CN"/>
                    </w:rPr>
                  </w:pPr>
                  <w:r>
                    <w:rPr>
                      <w:rFonts w:hint="eastAsia"/>
                      <w:color w:val="auto"/>
                      <w:lang w:val="en-US" w:eastAsia="zh-CN"/>
                    </w:rPr>
                    <w:t>新北花园</w:t>
                  </w:r>
                </w:p>
              </w:tc>
              <w:tc>
                <w:tcPr>
                  <w:tcW w:w="1286" w:type="dxa"/>
                  <w:vAlign w:val="center"/>
                </w:tcPr>
                <w:p w14:paraId="7D5909D0">
                  <w:pPr>
                    <w:pStyle w:val="4"/>
                    <w:rPr>
                      <w:rFonts w:hint="default" w:eastAsia="宋体"/>
                      <w:color w:val="auto"/>
                      <w:lang w:val="en-US" w:eastAsia="zh-CN"/>
                    </w:rPr>
                  </w:pPr>
                  <w:r>
                    <w:rPr>
                      <w:rFonts w:hint="eastAsia"/>
                      <w:color w:val="auto"/>
                      <w:lang w:val="en-US" w:eastAsia="zh-CN"/>
                    </w:rPr>
                    <w:t>500户、1500人</w:t>
                  </w:r>
                </w:p>
              </w:tc>
              <w:tc>
                <w:tcPr>
                  <w:tcW w:w="1884" w:type="dxa"/>
                  <w:vMerge w:val="restart"/>
                  <w:vAlign w:val="center"/>
                </w:tcPr>
                <w:p w14:paraId="3F271321">
                  <w:pPr>
                    <w:pStyle w:val="4"/>
                    <w:rPr>
                      <w:rFonts w:hint="eastAsia" w:eastAsia="宋体"/>
                      <w:color w:val="auto"/>
                      <w:lang w:eastAsia="zh-CN"/>
                    </w:rPr>
                  </w:pPr>
                  <w:r>
                    <w:rPr>
                      <w:rFonts w:hint="eastAsia" w:cs="宋体"/>
                      <w:kern w:val="0"/>
                      <w:sz w:val="21"/>
                      <w:szCs w:val="21"/>
                    </w:rPr>
                    <w:t>《环境空气质量标准》（</w:t>
                  </w:r>
                  <w:r>
                    <w:rPr>
                      <w:kern w:val="0"/>
                      <w:sz w:val="21"/>
                      <w:szCs w:val="21"/>
                    </w:rPr>
                    <w:t>GB3095-2012</w:t>
                  </w:r>
                  <w:r>
                    <w:rPr>
                      <w:rFonts w:hint="eastAsia" w:cs="宋体"/>
                      <w:kern w:val="0"/>
                      <w:sz w:val="21"/>
                      <w:szCs w:val="21"/>
                    </w:rPr>
                    <w:t>）及其修改单中的二级标准</w:t>
                  </w:r>
                </w:p>
              </w:tc>
              <w:tc>
                <w:tcPr>
                  <w:tcW w:w="908" w:type="dxa"/>
                  <w:vAlign w:val="center"/>
                </w:tcPr>
                <w:p w14:paraId="5B07F433">
                  <w:pPr>
                    <w:pStyle w:val="4"/>
                    <w:rPr>
                      <w:rFonts w:hint="default" w:eastAsia="宋体"/>
                      <w:color w:val="auto"/>
                      <w:lang w:val="en-US" w:eastAsia="zh-CN"/>
                    </w:rPr>
                  </w:pPr>
                  <w:r>
                    <w:rPr>
                      <w:rFonts w:hint="eastAsia"/>
                      <w:color w:val="auto"/>
                      <w:lang w:val="en-US" w:eastAsia="zh-CN"/>
                    </w:rPr>
                    <w:t>W</w:t>
                  </w:r>
                </w:p>
              </w:tc>
              <w:tc>
                <w:tcPr>
                  <w:tcW w:w="832" w:type="dxa"/>
                  <w:vAlign w:val="center"/>
                </w:tcPr>
                <w:p w14:paraId="202EB9D3">
                  <w:pPr>
                    <w:pStyle w:val="4"/>
                    <w:rPr>
                      <w:rFonts w:hint="default" w:eastAsia="宋体"/>
                      <w:color w:val="auto"/>
                      <w:lang w:val="en-US" w:eastAsia="zh-CN"/>
                    </w:rPr>
                  </w:pPr>
                  <w:r>
                    <w:rPr>
                      <w:rFonts w:hint="eastAsia"/>
                      <w:color w:val="auto"/>
                      <w:lang w:val="en-US" w:eastAsia="zh-CN"/>
                    </w:rPr>
                    <w:t>42</w:t>
                  </w:r>
                </w:p>
              </w:tc>
            </w:tr>
            <w:tr w14:paraId="44B1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7" w:type="dxa"/>
                  <w:vMerge w:val="continue"/>
                  <w:vAlign w:val="center"/>
                </w:tcPr>
                <w:p w14:paraId="16AFB832">
                  <w:pPr>
                    <w:pStyle w:val="4"/>
                    <w:rPr>
                      <w:rFonts w:hint="eastAsia"/>
                      <w:color w:val="auto"/>
                    </w:rPr>
                  </w:pPr>
                </w:p>
              </w:tc>
              <w:tc>
                <w:tcPr>
                  <w:tcW w:w="803" w:type="dxa"/>
                  <w:vAlign w:val="center"/>
                </w:tcPr>
                <w:p w14:paraId="09A0E869">
                  <w:pPr>
                    <w:pStyle w:val="4"/>
                    <w:rPr>
                      <w:rFonts w:hint="eastAsia"/>
                      <w:b/>
                      <w:bCs/>
                      <w:color w:val="auto"/>
                      <w:lang w:val="en-US" w:eastAsia="zh-CN"/>
                    </w:rPr>
                  </w:pPr>
                  <w:r>
                    <w:rPr>
                      <w:rFonts w:hint="eastAsia"/>
                      <w:b w:val="0"/>
                      <w:bCs w:val="0"/>
                      <w:color w:val="auto"/>
                      <w:lang w:val="en-US" w:eastAsia="zh-CN"/>
                    </w:rPr>
                    <w:t>116.844158</w:t>
                  </w:r>
                </w:p>
              </w:tc>
              <w:tc>
                <w:tcPr>
                  <w:tcW w:w="835" w:type="dxa"/>
                  <w:vAlign w:val="center"/>
                </w:tcPr>
                <w:p w14:paraId="52B5316B">
                  <w:pPr>
                    <w:pStyle w:val="4"/>
                    <w:rPr>
                      <w:rFonts w:hint="eastAsia"/>
                      <w:color w:val="auto"/>
                      <w:lang w:val="en-US" w:eastAsia="zh-CN"/>
                    </w:rPr>
                  </w:pPr>
                  <w:r>
                    <w:rPr>
                      <w:rFonts w:hint="eastAsia"/>
                      <w:b w:val="0"/>
                      <w:bCs w:val="0"/>
                      <w:color w:val="auto"/>
                      <w:lang w:val="en-US" w:eastAsia="zh-CN"/>
                    </w:rPr>
                    <w:t>33.904033</w:t>
                  </w:r>
                </w:p>
              </w:tc>
              <w:tc>
                <w:tcPr>
                  <w:tcW w:w="976" w:type="dxa"/>
                  <w:vAlign w:val="center"/>
                </w:tcPr>
                <w:p w14:paraId="7D10C72D">
                  <w:pPr>
                    <w:pStyle w:val="4"/>
                    <w:rPr>
                      <w:rFonts w:hint="default"/>
                      <w:color w:val="auto"/>
                      <w:lang w:val="en-US" w:eastAsia="zh-CN"/>
                    </w:rPr>
                  </w:pPr>
                  <w:r>
                    <w:rPr>
                      <w:rFonts w:hint="eastAsia"/>
                      <w:color w:val="auto"/>
                      <w:lang w:val="en-US" w:eastAsia="zh-CN"/>
                    </w:rPr>
                    <w:t>港利华师城</w:t>
                  </w:r>
                </w:p>
              </w:tc>
              <w:tc>
                <w:tcPr>
                  <w:tcW w:w="1286" w:type="dxa"/>
                  <w:vAlign w:val="center"/>
                </w:tcPr>
                <w:p w14:paraId="693999DA">
                  <w:pPr>
                    <w:pStyle w:val="4"/>
                    <w:rPr>
                      <w:rFonts w:hint="default"/>
                      <w:color w:val="auto"/>
                      <w:lang w:val="en-US" w:eastAsia="zh-CN"/>
                    </w:rPr>
                  </w:pPr>
                  <w:r>
                    <w:rPr>
                      <w:rFonts w:hint="eastAsia"/>
                      <w:color w:val="auto"/>
                      <w:lang w:val="en-US" w:eastAsia="zh-CN"/>
                    </w:rPr>
                    <w:t>800户、2400人</w:t>
                  </w:r>
                </w:p>
              </w:tc>
              <w:tc>
                <w:tcPr>
                  <w:tcW w:w="1884" w:type="dxa"/>
                  <w:vMerge w:val="continue"/>
                  <w:vAlign w:val="center"/>
                </w:tcPr>
                <w:p w14:paraId="5ADD8AAB">
                  <w:pPr>
                    <w:pStyle w:val="4"/>
                    <w:rPr>
                      <w:rFonts w:hint="eastAsia" w:cs="宋体"/>
                      <w:kern w:val="0"/>
                      <w:sz w:val="21"/>
                      <w:szCs w:val="21"/>
                    </w:rPr>
                  </w:pPr>
                </w:p>
              </w:tc>
              <w:tc>
                <w:tcPr>
                  <w:tcW w:w="908" w:type="dxa"/>
                  <w:vAlign w:val="center"/>
                </w:tcPr>
                <w:p w14:paraId="5CF35867">
                  <w:pPr>
                    <w:pStyle w:val="4"/>
                    <w:rPr>
                      <w:rFonts w:hint="eastAsia"/>
                      <w:color w:val="auto"/>
                      <w:lang w:val="en-US" w:eastAsia="zh-CN"/>
                    </w:rPr>
                  </w:pPr>
                  <w:r>
                    <w:rPr>
                      <w:rFonts w:hint="eastAsia"/>
                      <w:color w:val="auto"/>
                      <w:lang w:val="en-US" w:eastAsia="zh-CN"/>
                    </w:rPr>
                    <w:t>W</w:t>
                  </w:r>
                </w:p>
              </w:tc>
              <w:tc>
                <w:tcPr>
                  <w:tcW w:w="832" w:type="dxa"/>
                  <w:vAlign w:val="center"/>
                </w:tcPr>
                <w:p w14:paraId="345A79CD">
                  <w:pPr>
                    <w:pStyle w:val="4"/>
                    <w:rPr>
                      <w:rFonts w:hint="default"/>
                      <w:color w:val="auto"/>
                      <w:lang w:val="en-US" w:eastAsia="zh-CN"/>
                    </w:rPr>
                  </w:pPr>
                  <w:r>
                    <w:rPr>
                      <w:rFonts w:hint="eastAsia"/>
                      <w:color w:val="auto"/>
                      <w:lang w:val="en-US" w:eastAsia="zh-CN"/>
                    </w:rPr>
                    <w:t>36</w:t>
                  </w:r>
                </w:p>
              </w:tc>
            </w:tr>
            <w:tr w14:paraId="4BFD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7" w:type="dxa"/>
                  <w:vMerge w:val="continue"/>
                  <w:vAlign w:val="center"/>
                </w:tcPr>
                <w:p w14:paraId="7D7C1461">
                  <w:pPr>
                    <w:pStyle w:val="4"/>
                    <w:rPr>
                      <w:rFonts w:hint="eastAsia"/>
                      <w:color w:val="auto"/>
                    </w:rPr>
                  </w:pPr>
                </w:p>
              </w:tc>
              <w:tc>
                <w:tcPr>
                  <w:tcW w:w="803" w:type="dxa"/>
                  <w:vAlign w:val="center"/>
                </w:tcPr>
                <w:p w14:paraId="59B7A806">
                  <w:pPr>
                    <w:pStyle w:val="4"/>
                    <w:rPr>
                      <w:rFonts w:hint="eastAsia"/>
                      <w:b w:val="0"/>
                      <w:bCs w:val="0"/>
                      <w:color w:val="auto"/>
                      <w:lang w:val="en-US" w:eastAsia="zh-CN"/>
                    </w:rPr>
                  </w:pPr>
                  <w:r>
                    <w:rPr>
                      <w:rFonts w:hint="eastAsia"/>
                      <w:b w:val="0"/>
                      <w:bCs w:val="0"/>
                      <w:color w:val="auto"/>
                      <w:lang w:val="en-US" w:eastAsia="zh-CN"/>
                    </w:rPr>
                    <w:t>116.846486</w:t>
                  </w:r>
                </w:p>
              </w:tc>
              <w:tc>
                <w:tcPr>
                  <w:tcW w:w="835" w:type="dxa"/>
                  <w:vAlign w:val="center"/>
                </w:tcPr>
                <w:p w14:paraId="26D5DA77">
                  <w:pPr>
                    <w:pStyle w:val="4"/>
                    <w:rPr>
                      <w:rFonts w:hint="eastAsia"/>
                      <w:b w:val="0"/>
                      <w:bCs w:val="0"/>
                      <w:color w:val="auto"/>
                      <w:lang w:val="en-US" w:eastAsia="zh-CN"/>
                    </w:rPr>
                  </w:pPr>
                  <w:r>
                    <w:rPr>
                      <w:rFonts w:hint="eastAsia"/>
                      <w:b w:val="0"/>
                      <w:bCs w:val="0"/>
                      <w:color w:val="auto"/>
                      <w:lang w:val="en-US" w:eastAsia="zh-CN"/>
                    </w:rPr>
                    <w:t>33.901480</w:t>
                  </w:r>
                </w:p>
              </w:tc>
              <w:tc>
                <w:tcPr>
                  <w:tcW w:w="976" w:type="dxa"/>
                  <w:vAlign w:val="center"/>
                </w:tcPr>
                <w:p w14:paraId="500B97DD">
                  <w:pPr>
                    <w:pStyle w:val="4"/>
                    <w:rPr>
                      <w:rFonts w:hint="default"/>
                      <w:color w:val="auto"/>
                      <w:lang w:val="en-US" w:eastAsia="zh-CN"/>
                    </w:rPr>
                  </w:pPr>
                  <w:r>
                    <w:rPr>
                      <w:rFonts w:hint="eastAsia"/>
                      <w:color w:val="auto"/>
                      <w:lang w:val="en-US" w:eastAsia="zh-CN"/>
                    </w:rPr>
                    <w:t>华曜港利实验学校初中部</w:t>
                  </w:r>
                </w:p>
              </w:tc>
              <w:tc>
                <w:tcPr>
                  <w:tcW w:w="1286" w:type="dxa"/>
                  <w:vAlign w:val="center"/>
                </w:tcPr>
                <w:p w14:paraId="59D6D71C">
                  <w:pPr>
                    <w:pStyle w:val="4"/>
                    <w:rPr>
                      <w:rFonts w:hint="default"/>
                      <w:color w:val="auto"/>
                      <w:lang w:val="en-US" w:eastAsia="zh-CN"/>
                    </w:rPr>
                  </w:pPr>
                  <w:r>
                    <w:rPr>
                      <w:rFonts w:hint="eastAsia"/>
                      <w:color w:val="auto"/>
                      <w:lang w:val="en-US" w:eastAsia="zh-CN"/>
                    </w:rPr>
                    <w:t>师生1000人</w:t>
                  </w:r>
                </w:p>
              </w:tc>
              <w:tc>
                <w:tcPr>
                  <w:tcW w:w="1884" w:type="dxa"/>
                  <w:vMerge w:val="continue"/>
                  <w:vAlign w:val="center"/>
                </w:tcPr>
                <w:p w14:paraId="6E910FA0">
                  <w:pPr>
                    <w:pStyle w:val="4"/>
                    <w:rPr>
                      <w:rFonts w:hint="eastAsia" w:cs="宋体"/>
                      <w:kern w:val="0"/>
                      <w:sz w:val="21"/>
                      <w:szCs w:val="21"/>
                    </w:rPr>
                  </w:pPr>
                </w:p>
              </w:tc>
              <w:tc>
                <w:tcPr>
                  <w:tcW w:w="908" w:type="dxa"/>
                  <w:vAlign w:val="center"/>
                </w:tcPr>
                <w:p w14:paraId="4E2AE376">
                  <w:pPr>
                    <w:pStyle w:val="4"/>
                    <w:rPr>
                      <w:rFonts w:hint="default"/>
                      <w:color w:val="auto"/>
                      <w:lang w:val="en-US" w:eastAsia="zh-CN"/>
                    </w:rPr>
                  </w:pPr>
                  <w:r>
                    <w:rPr>
                      <w:rFonts w:hint="eastAsia"/>
                      <w:color w:val="auto"/>
                      <w:lang w:val="en-US" w:eastAsia="zh-CN"/>
                    </w:rPr>
                    <w:t>S</w:t>
                  </w:r>
                </w:p>
              </w:tc>
              <w:tc>
                <w:tcPr>
                  <w:tcW w:w="832" w:type="dxa"/>
                  <w:vAlign w:val="center"/>
                </w:tcPr>
                <w:p w14:paraId="044B2CF1">
                  <w:pPr>
                    <w:pStyle w:val="4"/>
                    <w:rPr>
                      <w:rFonts w:hint="default"/>
                      <w:color w:val="auto"/>
                      <w:lang w:val="en-US" w:eastAsia="zh-CN"/>
                    </w:rPr>
                  </w:pPr>
                  <w:r>
                    <w:rPr>
                      <w:rFonts w:hint="eastAsia"/>
                      <w:color w:val="auto"/>
                      <w:lang w:val="en-US" w:eastAsia="zh-CN"/>
                    </w:rPr>
                    <w:t>300</w:t>
                  </w:r>
                </w:p>
              </w:tc>
            </w:tr>
            <w:tr w14:paraId="566D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7" w:type="dxa"/>
                  <w:vMerge w:val="continue"/>
                  <w:vAlign w:val="center"/>
                </w:tcPr>
                <w:p w14:paraId="6C8C9F06">
                  <w:pPr>
                    <w:pStyle w:val="4"/>
                    <w:rPr>
                      <w:rFonts w:hint="eastAsia"/>
                      <w:color w:val="auto"/>
                    </w:rPr>
                  </w:pPr>
                </w:p>
              </w:tc>
              <w:tc>
                <w:tcPr>
                  <w:tcW w:w="803" w:type="dxa"/>
                  <w:vAlign w:val="center"/>
                </w:tcPr>
                <w:p w14:paraId="7C75C792">
                  <w:pPr>
                    <w:pStyle w:val="4"/>
                    <w:rPr>
                      <w:rFonts w:hint="eastAsia"/>
                      <w:b w:val="0"/>
                      <w:bCs w:val="0"/>
                      <w:color w:val="auto"/>
                      <w:lang w:val="en-US" w:eastAsia="zh-CN"/>
                    </w:rPr>
                  </w:pPr>
                  <w:r>
                    <w:rPr>
                      <w:rFonts w:hint="eastAsia"/>
                      <w:b w:val="0"/>
                      <w:bCs w:val="0"/>
                      <w:color w:val="auto"/>
                      <w:lang w:val="en-US" w:eastAsia="zh-CN"/>
                    </w:rPr>
                    <w:t>116.844384</w:t>
                  </w:r>
                </w:p>
              </w:tc>
              <w:tc>
                <w:tcPr>
                  <w:tcW w:w="835" w:type="dxa"/>
                  <w:vAlign w:val="center"/>
                </w:tcPr>
                <w:p w14:paraId="5524885B">
                  <w:pPr>
                    <w:pStyle w:val="4"/>
                    <w:rPr>
                      <w:rFonts w:hint="eastAsia"/>
                      <w:b w:val="0"/>
                      <w:bCs w:val="0"/>
                      <w:color w:val="auto"/>
                      <w:lang w:val="en-US" w:eastAsia="zh-CN"/>
                    </w:rPr>
                  </w:pPr>
                  <w:r>
                    <w:rPr>
                      <w:rFonts w:hint="eastAsia"/>
                      <w:b w:val="0"/>
                      <w:bCs w:val="0"/>
                      <w:color w:val="auto"/>
                      <w:lang w:val="en-US" w:eastAsia="zh-CN"/>
                    </w:rPr>
                    <w:t>33.901147</w:t>
                  </w:r>
                </w:p>
              </w:tc>
              <w:tc>
                <w:tcPr>
                  <w:tcW w:w="976" w:type="dxa"/>
                  <w:vAlign w:val="center"/>
                </w:tcPr>
                <w:p w14:paraId="18C105CE">
                  <w:pPr>
                    <w:pStyle w:val="4"/>
                    <w:rPr>
                      <w:rFonts w:hint="eastAsia"/>
                      <w:color w:val="auto"/>
                      <w:lang w:val="en-US" w:eastAsia="zh-CN"/>
                    </w:rPr>
                  </w:pPr>
                  <w:r>
                    <w:rPr>
                      <w:rFonts w:hint="eastAsia"/>
                      <w:color w:val="auto"/>
                      <w:lang w:val="en-US" w:eastAsia="zh-CN"/>
                    </w:rPr>
                    <w:t>华曜港利实验学校小学部</w:t>
                  </w:r>
                </w:p>
              </w:tc>
              <w:tc>
                <w:tcPr>
                  <w:tcW w:w="1286" w:type="dxa"/>
                  <w:vAlign w:val="center"/>
                </w:tcPr>
                <w:p w14:paraId="5674A43B">
                  <w:pPr>
                    <w:pStyle w:val="4"/>
                    <w:jc w:val="both"/>
                    <w:rPr>
                      <w:rFonts w:hint="default"/>
                      <w:color w:val="auto"/>
                      <w:lang w:val="en-US" w:eastAsia="zh-CN"/>
                    </w:rPr>
                  </w:pPr>
                  <w:r>
                    <w:rPr>
                      <w:rFonts w:hint="eastAsia"/>
                      <w:color w:val="auto"/>
                      <w:lang w:val="en-US" w:eastAsia="zh-CN"/>
                    </w:rPr>
                    <w:t>师生800人</w:t>
                  </w:r>
                </w:p>
              </w:tc>
              <w:tc>
                <w:tcPr>
                  <w:tcW w:w="1884" w:type="dxa"/>
                  <w:vMerge w:val="continue"/>
                  <w:vAlign w:val="center"/>
                </w:tcPr>
                <w:p w14:paraId="12AC0309">
                  <w:pPr>
                    <w:pStyle w:val="4"/>
                    <w:rPr>
                      <w:rFonts w:hint="eastAsia" w:cs="宋体"/>
                      <w:kern w:val="0"/>
                      <w:sz w:val="21"/>
                      <w:szCs w:val="21"/>
                    </w:rPr>
                  </w:pPr>
                </w:p>
              </w:tc>
              <w:tc>
                <w:tcPr>
                  <w:tcW w:w="908" w:type="dxa"/>
                  <w:vAlign w:val="center"/>
                </w:tcPr>
                <w:p w14:paraId="15402951">
                  <w:pPr>
                    <w:pStyle w:val="4"/>
                    <w:rPr>
                      <w:rFonts w:hint="default"/>
                      <w:color w:val="auto"/>
                      <w:lang w:val="en-US" w:eastAsia="zh-CN"/>
                    </w:rPr>
                  </w:pPr>
                  <w:r>
                    <w:rPr>
                      <w:rFonts w:hint="eastAsia"/>
                      <w:color w:val="auto"/>
                      <w:lang w:val="en-US" w:eastAsia="zh-CN"/>
                    </w:rPr>
                    <w:t>SW</w:t>
                  </w:r>
                </w:p>
              </w:tc>
              <w:tc>
                <w:tcPr>
                  <w:tcW w:w="832" w:type="dxa"/>
                  <w:vAlign w:val="center"/>
                </w:tcPr>
                <w:p w14:paraId="5E743314">
                  <w:pPr>
                    <w:pStyle w:val="4"/>
                    <w:rPr>
                      <w:rFonts w:hint="default"/>
                      <w:color w:val="auto"/>
                      <w:lang w:val="en-US" w:eastAsia="zh-CN"/>
                    </w:rPr>
                  </w:pPr>
                  <w:r>
                    <w:rPr>
                      <w:rFonts w:hint="eastAsia"/>
                      <w:color w:val="auto"/>
                      <w:lang w:val="en-US" w:eastAsia="zh-CN"/>
                    </w:rPr>
                    <w:t>310</w:t>
                  </w:r>
                </w:p>
              </w:tc>
            </w:tr>
            <w:tr w14:paraId="7F68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7" w:type="dxa"/>
                  <w:vMerge w:val="restart"/>
                  <w:vAlign w:val="center"/>
                </w:tcPr>
                <w:p w14:paraId="62D1A740">
                  <w:pPr>
                    <w:pStyle w:val="4"/>
                    <w:rPr>
                      <w:color w:val="auto"/>
                    </w:rPr>
                  </w:pPr>
                  <w:r>
                    <w:rPr>
                      <w:color w:val="auto"/>
                    </w:rPr>
                    <w:t>声环境</w:t>
                  </w:r>
                </w:p>
              </w:tc>
              <w:tc>
                <w:tcPr>
                  <w:tcW w:w="803" w:type="dxa"/>
                  <w:vAlign w:val="center"/>
                </w:tcPr>
                <w:p w14:paraId="27BA77C8">
                  <w:pPr>
                    <w:pStyle w:val="4"/>
                    <w:ind w:firstLine="0" w:firstLineChars="0"/>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116.844141</w:t>
                  </w:r>
                </w:p>
              </w:tc>
              <w:tc>
                <w:tcPr>
                  <w:tcW w:w="835" w:type="dxa"/>
                  <w:vAlign w:val="center"/>
                </w:tcPr>
                <w:p w14:paraId="02CD642F">
                  <w:pPr>
                    <w:pStyle w:val="4"/>
                    <w:ind w:firstLine="0" w:firstLineChars="0"/>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33.906412</w:t>
                  </w:r>
                </w:p>
              </w:tc>
              <w:tc>
                <w:tcPr>
                  <w:tcW w:w="976" w:type="dxa"/>
                  <w:vAlign w:val="center"/>
                </w:tcPr>
                <w:p w14:paraId="59AA5685">
                  <w:pPr>
                    <w:pStyle w:val="4"/>
                    <w:ind w:firstLine="0" w:firstLineChars="0"/>
                    <w:rPr>
                      <w:rFonts w:ascii="Times New Roman" w:hAnsi="Times New Roman" w:eastAsia="宋体" w:cs="Times New Roman"/>
                      <w:color w:val="auto"/>
                      <w:kern w:val="44"/>
                      <w:sz w:val="21"/>
                      <w:szCs w:val="24"/>
                      <w:lang w:val="en-US" w:eastAsia="zh-CN" w:bidi="ar-SA"/>
                    </w:rPr>
                  </w:pPr>
                  <w:r>
                    <w:rPr>
                      <w:rFonts w:hint="eastAsia"/>
                      <w:color w:val="auto"/>
                      <w:lang w:val="en-US" w:eastAsia="zh-CN"/>
                    </w:rPr>
                    <w:t>新北花园</w:t>
                  </w:r>
                </w:p>
              </w:tc>
              <w:tc>
                <w:tcPr>
                  <w:tcW w:w="1286" w:type="dxa"/>
                  <w:vAlign w:val="center"/>
                </w:tcPr>
                <w:p w14:paraId="56171E10">
                  <w:pPr>
                    <w:pStyle w:val="4"/>
                    <w:ind w:firstLine="0" w:firstLineChars="0"/>
                    <w:rPr>
                      <w:rFonts w:hint="eastAsia" w:ascii="Times New Roman" w:hAnsi="Times New Roman" w:eastAsia="宋体" w:cs="Times New Roman"/>
                      <w:color w:val="auto"/>
                      <w:kern w:val="44"/>
                      <w:sz w:val="21"/>
                      <w:szCs w:val="24"/>
                      <w:lang w:val="en-US" w:eastAsia="zh-CN" w:bidi="ar-SA"/>
                    </w:rPr>
                  </w:pPr>
                  <w:r>
                    <w:rPr>
                      <w:rFonts w:hint="eastAsia"/>
                      <w:color w:val="auto"/>
                      <w:lang w:val="en-US" w:eastAsia="zh-CN"/>
                    </w:rPr>
                    <w:t>500户、1500人</w:t>
                  </w:r>
                </w:p>
              </w:tc>
              <w:tc>
                <w:tcPr>
                  <w:tcW w:w="1884" w:type="dxa"/>
                  <w:vMerge w:val="restart"/>
                  <w:vAlign w:val="center"/>
                </w:tcPr>
                <w:p w14:paraId="068E5365">
                  <w:pPr>
                    <w:pStyle w:val="4"/>
                    <w:rPr>
                      <w:color w:val="auto"/>
                    </w:rPr>
                  </w:pPr>
                  <w:r>
                    <w:rPr>
                      <w:color w:val="auto"/>
                    </w:rPr>
                    <w:t>《声环境质量标准》（GB3096-2008）</w:t>
                  </w:r>
                  <w:r>
                    <w:rPr>
                      <w:rFonts w:hint="eastAsia"/>
                      <w:color w:val="auto"/>
                    </w:rPr>
                    <w:t>2</w:t>
                  </w:r>
                  <w:r>
                    <w:rPr>
                      <w:color w:val="auto"/>
                    </w:rPr>
                    <w:t>类区标准</w:t>
                  </w:r>
                </w:p>
              </w:tc>
              <w:tc>
                <w:tcPr>
                  <w:tcW w:w="908" w:type="dxa"/>
                  <w:vAlign w:val="center"/>
                </w:tcPr>
                <w:p w14:paraId="685A1758">
                  <w:pPr>
                    <w:pStyle w:val="4"/>
                    <w:ind w:firstLine="0" w:firstLineChars="0"/>
                    <w:rPr>
                      <w:rFonts w:hint="eastAsia" w:eastAsia="宋体"/>
                      <w:color w:val="auto"/>
                      <w:lang w:eastAsia="zh-CN"/>
                    </w:rPr>
                  </w:pPr>
                  <w:r>
                    <w:rPr>
                      <w:rFonts w:hint="eastAsia"/>
                      <w:color w:val="auto"/>
                      <w:lang w:val="en-US" w:eastAsia="zh-CN"/>
                    </w:rPr>
                    <w:t>W</w:t>
                  </w:r>
                </w:p>
              </w:tc>
              <w:tc>
                <w:tcPr>
                  <w:tcW w:w="832" w:type="dxa"/>
                  <w:vAlign w:val="center"/>
                </w:tcPr>
                <w:p w14:paraId="771C141C">
                  <w:pPr>
                    <w:pStyle w:val="4"/>
                    <w:ind w:firstLine="0" w:firstLineChars="0"/>
                    <w:rPr>
                      <w:color w:val="auto"/>
                    </w:rPr>
                  </w:pPr>
                  <w:r>
                    <w:rPr>
                      <w:rFonts w:hint="eastAsia"/>
                      <w:color w:val="auto"/>
                      <w:lang w:val="en-US" w:eastAsia="zh-CN"/>
                    </w:rPr>
                    <w:t>42</w:t>
                  </w:r>
                </w:p>
              </w:tc>
            </w:tr>
            <w:tr w14:paraId="42DD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7" w:type="dxa"/>
                  <w:vMerge w:val="continue"/>
                  <w:vAlign w:val="center"/>
                </w:tcPr>
                <w:p w14:paraId="3C702A94">
                  <w:pPr>
                    <w:pStyle w:val="4"/>
                    <w:rPr>
                      <w:color w:val="auto"/>
                    </w:rPr>
                  </w:pPr>
                </w:p>
              </w:tc>
              <w:tc>
                <w:tcPr>
                  <w:tcW w:w="803" w:type="dxa"/>
                  <w:vAlign w:val="center"/>
                </w:tcPr>
                <w:p w14:paraId="5A1FCAB8">
                  <w:pPr>
                    <w:pStyle w:val="4"/>
                    <w:ind w:firstLine="0" w:firstLineChars="0"/>
                    <w:rPr>
                      <w:rFonts w:hint="eastAsia"/>
                      <w:color w:val="auto"/>
                      <w:lang w:val="en-US" w:eastAsia="zh-CN"/>
                    </w:rPr>
                  </w:pPr>
                  <w:r>
                    <w:rPr>
                      <w:rFonts w:hint="eastAsia"/>
                      <w:b w:val="0"/>
                      <w:bCs w:val="0"/>
                      <w:color w:val="auto"/>
                      <w:lang w:val="en-US" w:eastAsia="zh-CN"/>
                    </w:rPr>
                    <w:t>116.844158</w:t>
                  </w:r>
                </w:p>
              </w:tc>
              <w:tc>
                <w:tcPr>
                  <w:tcW w:w="835" w:type="dxa"/>
                  <w:vAlign w:val="center"/>
                </w:tcPr>
                <w:p w14:paraId="3CD4CB7A">
                  <w:pPr>
                    <w:pStyle w:val="4"/>
                    <w:ind w:firstLine="0" w:firstLineChars="0"/>
                    <w:rPr>
                      <w:rFonts w:hint="eastAsia"/>
                      <w:color w:val="auto"/>
                      <w:lang w:val="en-US" w:eastAsia="zh-CN"/>
                    </w:rPr>
                  </w:pPr>
                  <w:r>
                    <w:rPr>
                      <w:rFonts w:hint="eastAsia"/>
                      <w:b w:val="0"/>
                      <w:bCs w:val="0"/>
                      <w:color w:val="auto"/>
                      <w:lang w:val="en-US" w:eastAsia="zh-CN"/>
                    </w:rPr>
                    <w:t>33.904033</w:t>
                  </w:r>
                </w:p>
              </w:tc>
              <w:tc>
                <w:tcPr>
                  <w:tcW w:w="976" w:type="dxa"/>
                  <w:vAlign w:val="center"/>
                </w:tcPr>
                <w:p w14:paraId="01C5D5B8">
                  <w:pPr>
                    <w:pStyle w:val="4"/>
                    <w:ind w:firstLine="0" w:firstLineChars="0"/>
                    <w:rPr>
                      <w:rFonts w:ascii="Times New Roman" w:hAnsi="Times New Roman" w:eastAsia="宋体" w:cs="Times New Roman"/>
                      <w:color w:val="auto"/>
                      <w:kern w:val="44"/>
                      <w:sz w:val="21"/>
                      <w:szCs w:val="24"/>
                      <w:lang w:val="en-US" w:eastAsia="zh-CN" w:bidi="ar-SA"/>
                    </w:rPr>
                  </w:pPr>
                  <w:r>
                    <w:rPr>
                      <w:rFonts w:hint="eastAsia"/>
                      <w:color w:val="auto"/>
                      <w:lang w:val="en-US" w:eastAsia="zh-CN"/>
                    </w:rPr>
                    <w:t>港利华师城</w:t>
                  </w:r>
                </w:p>
              </w:tc>
              <w:tc>
                <w:tcPr>
                  <w:tcW w:w="1286" w:type="dxa"/>
                  <w:vAlign w:val="center"/>
                </w:tcPr>
                <w:p w14:paraId="1ECD37C7">
                  <w:pPr>
                    <w:pStyle w:val="4"/>
                    <w:ind w:firstLine="0" w:firstLineChars="0"/>
                    <w:rPr>
                      <w:rFonts w:hint="eastAsia"/>
                      <w:color w:val="auto"/>
                      <w:lang w:val="en-US" w:eastAsia="zh-CN"/>
                    </w:rPr>
                  </w:pPr>
                  <w:r>
                    <w:rPr>
                      <w:rFonts w:hint="eastAsia"/>
                      <w:color w:val="auto"/>
                      <w:lang w:val="en-US" w:eastAsia="zh-CN"/>
                    </w:rPr>
                    <w:t>800户、2400人</w:t>
                  </w:r>
                </w:p>
              </w:tc>
              <w:tc>
                <w:tcPr>
                  <w:tcW w:w="1884" w:type="dxa"/>
                  <w:vMerge w:val="continue"/>
                  <w:vAlign w:val="center"/>
                </w:tcPr>
                <w:p w14:paraId="6A4D33F9">
                  <w:pPr>
                    <w:pStyle w:val="4"/>
                    <w:rPr>
                      <w:color w:val="auto"/>
                    </w:rPr>
                  </w:pPr>
                </w:p>
              </w:tc>
              <w:tc>
                <w:tcPr>
                  <w:tcW w:w="908" w:type="dxa"/>
                  <w:vAlign w:val="center"/>
                </w:tcPr>
                <w:p w14:paraId="700F6930">
                  <w:pPr>
                    <w:pStyle w:val="4"/>
                    <w:ind w:firstLine="0" w:firstLineChars="0"/>
                    <w:rPr>
                      <w:rFonts w:hint="eastAsia"/>
                      <w:color w:val="auto"/>
                      <w:lang w:val="en-US" w:eastAsia="zh-CN"/>
                    </w:rPr>
                  </w:pPr>
                  <w:r>
                    <w:rPr>
                      <w:rFonts w:hint="eastAsia"/>
                      <w:color w:val="auto"/>
                      <w:lang w:val="en-US" w:eastAsia="zh-CN"/>
                    </w:rPr>
                    <w:t>W</w:t>
                  </w:r>
                </w:p>
              </w:tc>
              <w:tc>
                <w:tcPr>
                  <w:tcW w:w="832" w:type="dxa"/>
                  <w:vAlign w:val="center"/>
                </w:tcPr>
                <w:p w14:paraId="6E8A434E">
                  <w:pPr>
                    <w:pStyle w:val="4"/>
                    <w:ind w:firstLine="0" w:firstLineChars="0"/>
                    <w:rPr>
                      <w:rFonts w:hint="eastAsia"/>
                      <w:color w:val="auto"/>
                      <w:lang w:val="en-US" w:eastAsia="zh-CN"/>
                    </w:rPr>
                  </w:pPr>
                  <w:r>
                    <w:rPr>
                      <w:rFonts w:hint="eastAsia"/>
                      <w:color w:val="auto"/>
                      <w:lang w:val="en-US" w:eastAsia="zh-CN"/>
                    </w:rPr>
                    <w:t>36</w:t>
                  </w:r>
                </w:p>
              </w:tc>
            </w:tr>
          </w:tbl>
          <w:p w14:paraId="17ABE607">
            <w:pPr>
              <w:pStyle w:val="23"/>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cs="宋体"/>
                <w:color w:val="auto"/>
                <w:kern w:val="0"/>
                <w:szCs w:val="21"/>
                <w:lang w:val="en-US" w:eastAsia="zh-CN"/>
              </w:rPr>
            </w:pPr>
            <w:r>
              <w:rPr>
                <w:rFonts w:hint="eastAsia"/>
                <w:lang w:val="en-US" w:eastAsia="zh-CN"/>
              </w:rPr>
              <w:t>能源站环境保护目标图：</w:t>
            </w:r>
          </w:p>
          <w:p w14:paraId="69CBCD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default" w:ascii="Times New Roman" w:hAnsi="Times New Roman" w:cs="Times New Roman"/>
                <w:b/>
                <w:color w:val="auto"/>
                <w:kern w:val="0"/>
              </w:rPr>
              <w:t>表3-</w:t>
            </w:r>
            <w:r>
              <w:rPr>
                <w:rFonts w:hint="eastAsia" w:cs="Times New Roman"/>
                <w:b/>
                <w:color w:val="auto"/>
                <w:kern w:val="0"/>
                <w:lang w:val="en-US" w:eastAsia="zh-CN"/>
              </w:rPr>
              <w:t>5</w:t>
            </w:r>
            <w:r>
              <w:rPr>
                <w:rFonts w:hint="default" w:ascii="Times New Roman" w:hAnsi="Times New Roman" w:cs="Times New Roman"/>
                <w:b/>
                <w:color w:val="auto"/>
                <w:kern w:val="0"/>
              </w:rPr>
              <w:t xml:space="preserve">  </w:t>
            </w:r>
            <w:r>
              <w:rPr>
                <w:rFonts w:hint="eastAsia" w:cs="Times New Roman"/>
                <w:b/>
                <w:color w:val="auto"/>
                <w:kern w:val="0"/>
                <w:lang w:val="en-US" w:eastAsia="zh-CN"/>
              </w:rPr>
              <w:t>管网项目</w:t>
            </w:r>
            <w:r>
              <w:rPr>
                <w:rFonts w:hint="default" w:ascii="Times New Roman" w:hAnsi="Times New Roman" w:cs="Times New Roman"/>
                <w:b/>
                <w:color w:val="auto"/>
                <w:kern w:val="0"/>
              </w:rPr>
              <w:t>环境保护目标表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01"/>
              <w:gridCol w:w="820"/>
              <w:gridCol w:w="752"/>
              <w:gridCol w:w="752"/>
              <w:gridCol w:w="1083"/>
              <w:gridCol w:w="1575"/>
              <w:gridCol w:w="1679"/>
            </w:tblGrid>
            <w:tr w14:paraId="2890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noWrap w:val="0"/>
                  <w:vAlign w:val="center"/>
                </w:tcPr>
                <w:p w14:paraId="7C7559B2">
                  <w:pPr>
                    <w:pStyle w:val="36"/>
                    <w:keepNext w:val="0"/>
                    <w:keepLines w:val="0"/>
                    <w:pageBreakBefore w:val="0"/>
                    <w:widowControl/>
                    <w:kinsoku/>
                    <w:wordWrap/>
                    <w:overflowPunct/>
                    <w:topLinePunct w:val="0"/>
                    <w:autoSpaceDE/>
                    <w:autoSpaceDN/>
                    <w:bidi w:val="0"/>
                    <w:adjustRightInd/>
                    <w:snapToGrid/>
                    <w:jc w:val="center"/>
                    <w:textAlignment w:val="auto"/>
                    <w:rPr>
                      <w:rFonts w:hint="default"/>
                      <w:b/>
                      <w:bCs/>
                      <w:color w:val="auto"/>
                      <w:sz w:val="21"/>
                      <w:szCs w:val="21"/>
                    </w:rPr>
                  </w:pPr>
                  <w:r>
                    <w:rPr>
                      <w:rFonts w:hint="default"/>
                      <w:b/>
                      <w:bCs/>
                      <w:color w:val="auto"/>
                      <w:sz w:val="21"/>
                      <w:szCs w:val="21"/>
                    </w:rPr>
                    <w:t>环境类别</w:t>
                  </w:r>
                </w:p>
              </w:tc>
              <w:tc>
                <w:tcPr>
                  <w:tcW w:w="901" w:type="dxa"/>
                  <w:noWrap w:val="0"/>
                  <w:vAlign w:val="center"/>
                </w:tcPr>
                <w:p w14:paraId="1A374B59">
                  <w:pPr>
                    <w:pStyle w:val="36"/>
                    <w:keepNext w:val="0"/>
                    <w:keepLines w:val="0"/>
                    <w:pageBreakBefore w:val="0"/>
                    <w:widowControl/>
                    <w:kinsoku/>
                    <w:wordWrap/>
                    <w:overflowPunct/>
                    <w:topLinePunct w:val="0"/>
                    <w:autoSpaceDE/>
                    <w:autoSpaceDN/>
                    <w:bidi w:val="0"/>
                    <w:adjustRightInd/>
                    <w:snapToGrid/>
                    <w:jc w:val="center"/>
                    <w:textAlignment w:val="auto"/>
                    <w:rPr>
                      <w:rFonts w:hint="default"/>
                      <w:b/>
                      <w:bCs/>
                      <w:color w:val="auto"/>
                      <w:sz w:val="21"/>
                      <w:szCs w:val="21"/>
                    </w:rPr>
                  </w:pPr>
                  <w:r>
                    <w:rPr>
                      <w:rFonts w:hint="default"/>
                      <w:b/>
                      <w:bCs/>
                      <w:color w:val="auto"/>
                      <w:sz w:val="21"/>
                      <w:szCs w:val="21"/>
                    </w:rPr>
                    <w:t>环境保护目标</w:t>
                  </w:r>
                </w:p>
              </w:tc>
              <w:tc>
                <w:tcPr>
                  <w:tcW w:w="820" w:type="dxa"/>
                  <w:noWrap w:val="0"/>
                  <w:vAlign w:val="center"/>
                </w:tcPr>
                <w:p w14:paraId="0209631B">
                  <w:pPr>
                    <w:pStyle w:val="36"/>
                    <w:keepNext w:val="0"/>
                    <w:keepLines w:val="0"/>
                    <w:pageBreakBefore w:val="0"/>
                    <w:widowControl/>
                    <w:kinsoku/>
                    <w:wordWrap/>
                    <w:overflowPunct/>
                    <w:topLinePunct w:val="0"/>
                    <w:autoSpaceDE/>
                    <w:autoSpaceDN/>
                    <w:bidi w:val="0"/>
                    <w:adjustRightInd/>
                    <w:snapToGrid/>
                    <w:jc w:val="center"/>
                    <w:textAlignment w:val="auto"/>
                    <w:rPr>
                      <w:rFonts w:hint="default"/>
                      <w:b/>
                      <w:bCs/>
                      <w:color w:val="auto"/>
                      <w:sz w:val="21"/>
                      <w:szCs w:val="21"/>
                      <w:lang w:val="en-US" w:eastAsia="zh-CN"/>
                    </w:rPr>
                  </w:pPr>
                  <w:r>
                    <w:rPr>
                      <w:rFonts w:hint="default"/>
                      <w:b/>
                      <w:bCs/>
                      <w:color w:val="auto"/>
                      <w:sz w:val="21"/>
                      <w:szCs w:val="21"/>
                      <w:lang w:val="en-US" w:eastAsia="zh-CN"/>
                    </w:rPr>
                    <w:t>经度</w:t>
                  </w:r>
                </w:p>
              </w:tc>
              <w:tc>
                <w:tcPr>
                  <w:tcW w:w="752" w:type="dxa"/>
                  <w:noWrap w:val="0"/>
                  <w:vAlign w:val="center"/>
                </w:tcPr>
                <w:p w14:paraId="69122976">
                  <w:pPr>
                    <w:pStyle w:val="36"/>
                    <w:keepNext w:val="0"/>
                    <w:keepLines w:val="0"/>
                    <w:pageBreakBefore w:val="0"/>
                    <w:widowControl/>
                    <w:kinsoku/>
                    <w:wordWrap/>
                    <w:overflowPunct/>
                    <w:topLinePunct w:val="0"/>
                    <w:autoSpaceDE/>
                    <w:autoSpaceDN/>
                    <w:bidi w:val="0"/>
                    <w:adjustRightInd/>
                    <w:snapToGrid/>
                    <w:jc w:val="center"/>
                    <w:textAlignment w:val="auto"/>
                    <w:rPr>
                      <w:rFonts w:hint="default"/>
                      <w:b/>
                      <w:bCs/>
                      <w:color w:val="auto"/>
                      <w:sz w:val="21"/>
                      <w:szCs w:val="21"/>
                      <w:lang w:val="en-US" w:eastAsia="zh-CN"/>
                    </w:rPr>
                  </w:pPr>
                  <w:r>
                    <w:rPr>
                      <w:rFonts w:hint="default"/>
                      <w:b/>
                      <w:bCs/>
                      <w:color w:val="auto"/>
                      <w:sz w:val="21"/>
                      <w:szCs w:val="21"/>
                      <w:lang w:val="en-US" w:eastAsia="zh-CN"/>
                    </w:rPr>
                    <w:t>纬度</w:t>
                  </w:r>
                </w:p>
              </w:tc>
              <w:tc>
                <w:tcPr>
                  <w:tcW w:w="752" w:type="dxa"/>
                  <w:noWrap w:val="0"/>
                  <w:vAlign w:val="center"/>
                </w:tcPr>
                <w:p w14:paraId="2C5B203B">
                  <w:pPr>
                    <w:pStyle w:val="36"/>
                    <w:keepNext w:val="0"/>
                    <w:keepLines w:val="0"/>
                    <w:pageBreakBefore w:val="0"/>
                    <w:widowControl/>
                    <w:kinsoku/>
                    <w:wordWrap/>
                    <w:overflowPunct/>
                    <w:topLinePunct w:val="0"/>
                    <w:autoSpaceDE/>
                    <w:autoSpaceDN/>
                    <w:bidi w:val="0"/>
                    <w:adjustRightInd/>
                    <w:snapToGrid/>
                    <w:jc w:val="center"/>
                    <w:textAlignment w:val="auto"/>
                    <w:rPr>
                      <w:rFonts w:hint="default"/>
                      <w:b/>
                      <w:bCs/>
                      <w:color w:val="auto"/>
                      <w:sz w:val="21"/>
                      <w:szCs w:val="21"/>
                    </w:rPr>
                  </w:pPr>
                  <w:r>
                    <w:rPr>
                      <w:rFonts w:hint="default"/>
                      <w:b/>
                      <w:bCs/>
                      <w:color w:val="auto"/>
                      <w:sz w:val="21"/>
                      <w:szCs w:val="21"/>
                    </w:rPr>
                    <w:t>相对方位</w:t>
                  </w:r>
                </w:p>
              </w:tc>
              <w:tc>
                <w:tcPr>
                  <w:tcW w:w="1083" w:type="dxa"/>
                  <w:noWrap w:val="0"/>
                  <w:vAlign w:val="center"/>
                </w:tcPr>
                <w:p w14:paraId="61E16461">
                  <w:pPr>
                    <w:pStyle w:val="36"/>
                    <w:keepNext w:val="0"/>
                    <w:keepLines w:val="0"/>
                    <w:pageBreakBefore w:val="0"/>
                    <w:widowControl/>
                    <w:kinsoku/>
                    <w:wordWrap/>
                    <w:overflowPunct/>
                    <w:topLinePunct w:val="0"/>
                    <w:autoSpaceDE/>
                    <w:autoSpaceDN/>
                    <w:bidi w:val="0"/>
                    <w:adjustRightInd/>
                    <w:snapToGrid/>
                    <w:jc w:val="center"/>
                    <w:textAlignment w:val="auto"/>
                    <w:rPr>
                      <w:rFonts w:hint="default"/>
                      <w:b/>
                      <w:bCs/>
                      <w:color w:val="auto"/>
                      <w:sz w:val="21"/>
                      <w:szCs w:val="21"/>
                    </w:rPr>
                  </w:pPr>
                  <w:r>
                    <w:rPr>
                      <w:rFonts w:hint="default"/>
                      <w:b/>
                      <w:bCs/>
                      <w:color w:val="auto"/>
                      <w:sz w:val="21"/>
                      <w:szCs w:val="21"/>
                    </w:rPr>
                    <w:t>距项目距离（m）</w:t>
                  </w:r>
                </w:p>
              </w:tc>
              <w:tc>
                <w:tcPr>
                  <w:tcW w:w="1575" w:type="dxa"/>
                  <w:noWrap w:val="0"/>
                  <w:vAlign w:val="center"/>
                </w:tcPr>
                <w:p w14:paraId="10CEBEEB">
                  <w:pPr>
                    <w:pStyle w:val="36"/>
                    <w:keepNext w:val="0"/>
                    <w:keepLines w:val="0"/>
                    <w:pageBreakBefore w:val="0"/>
                    <w:widowControl/>
                    <w:kinsoku/>
                    <w:wordWrap/>
                    <w:overflowPunct/>
                    <w:topLinePunct w:val="0"/>
                    <w:autoSpaceDE/>
                    <w:autoSpaceDN/>
                    <w:bidi w:val="0"/>
                    <w:adjustRightInd/>
                    <w:snapToGrid/>
                    <w:jc w:val="center"/>
                    <w:textAlignment w:val="auto"/>
                    <w:rPr>
                      <w:rFonts w:hint="default"/>
                      <w:b/>
                      <w:bCs/>
                      <w:color w:val="auto"/>
                      <w:sz w:val="21"/>
                      <w:szCs w:val="21"/>
                    </w:rPr>
                  </w:pPr>
                  <w:r>
                    <w:rPr>
                      <w:rFonts w:hint="default"/>
                      <w:b/>
                      <w:bCs/>
                      <w:color w:val="auto"/>
                      <w:sz w:val="21"/>
                      <w:szCs w:val="21"/>
                    </w:rPr>
                    <w:t>规模</w:t>
                  </w:r>
                </w:p>
              </w:tc>
              <w:tc>
                <w:tcPr>
                  <w:tcW w:w="1679" w:type="dxa"/>
                  <w:noWrap w:val="0"/>
                  <w:vAlign w:val="center"/>
                </w:tcPr>
                <w:p w14:paraId="225520E9">
                  <w:pPr>
                    <w:pStyle w:val="36"/>
                    <w:keepNext w:val="0"/>
                    <w:keepLines w:val="0"/>
                    <w:pageBreakBefore w:val="0"/>
                    <w:widowControl/>
                    <w:kinsoku/>
                    <w:wordWrap/>
                    <w:overflowPunct/>
                    <w:topLinePunct w:val="0"/>
                    <w:autoSpaceDE/>
                    <w:autoSpaceDN/>
                    <w:bidi w:val="0"/>
                    <w:adjustRightInd/>
                    <w:snapToGrid/>
                    <w:jc w:val="center"/>
                    <w:textAlignment w:val="auto"/>
                    <w:rPr>
                      <w:rFonts w:hint="default"/>
                      <w:b/>
                      <w:bCs/>
                      <w:color w:val="auto"/>
                      <w:sz w:val="21"/>
                      <w:szCs w:val="21"/>
                    </w:rPr>
                  </w:pPr>
                  <w:r>
                    <w:rPr>
                      <w:rFonts w:hint="default"/>
                      <w:b/>
                      <w:bCs/>
                      <w:color w:val="auto"/>
                      <w:sz w:val="21"/>
                      <w:szCs w:val="21"/>
                    </w:rPr>
                    <w:t>保护级别</w:t>
                  </w:r>
                </w:p>
              </w:tc>
            </w:tr>
            <w:tr w14:paraId="3340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restart"/>
                  <w:noWrap w:val="0"/>
                  <w:vAlign w:val="center"/>
                </w:tcPr>
                <w:p w14:paraId="56841642">
                  <w:pPr>
                    <w:pStyle w:val="36"/>
                    <w:keepNext w:val="0"/>
                    <w:keepLines w:val="0"/>
                    <w:pageBreakBefore w:val="0"/>
                    <w:widowControl/>
                    <w:kinsoku/>
                    <w:wordWrap/>
                    <w:overflowPunct/>
                    <w:topLinePunct w:val="0"/>
                    <w:autoSpaceDE/>
                    <w:autoSpaceDN/>
                    <w:bidi w:val="0"/>
                    <w:adjustRightInd/>
                    <w:snapToGrid/>
                    <w:jc w:val="center"/>
                    <w:textAlignment w:val="auto"/>
                    <w:rPr>
                      <w:rFonts w:hint="default" w:eastAsia="宋体"/>
                      <w:color w:val="auto"/>
                      <w:sz w:val="21"/>
                      <w:szCs w:val="21"/>
                      <w:lang w:val="en-US" w:eastAsia="zh-CN"/>
                    </w:rPr>
                  </w:pPr>
                  <w:r>
                    <w:rPr>
                      <w:rFonts w:hint="eastAsia"/>
                      <w:color w:val="auto"/>
                      <w:sz w:val="21"/>
                      <w:szCs w:val="21"/>
                      <w:lang w:val="en-US" w:eastAsia="zh-CN"/>
                    </w:rPr>
                    <w:t>声</w:t>
                  </w:r>
                  <w:r>
                    <w:rPr>
                      <w:rFonts w:hint="default"/>
                      <w:color w:val="auto"/>
                      <w:sz w:val="21"/>
                      <w:szCs w:val="21"/>
                    </w:rPr>
                    <w:t>环境</w:t>
                  </w:r>
                </w:p>
              </w:tc>
              <w:tc>
                <w:tcPr>
                  <w:tcW w:w="901" w:type="dxa"/>
                  <w:noWrap w:val="0"/>
                  <w:vAlign w:val="center"/>
                </w:tcPr>
                <w:p w14:paraId="005A36AE">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新北花园</w:t>
                  </w:r>
                </w:p>
              </w:tc>
              <w:tc>
                <w:tcPr>
                  <w:tcW w:w="820" w:type="dxa"/>
                  <w:noWrap w:val="0"/>
                  <w:vAlign w:val="center"/>
                </w:tcPr>
                <w:p w14:paraId="496A3071">
                  <w:pPr>
                    <w:pStyle w:val="4"/>
                    <w:ind w:firstLine="0" w:firstLineChars="0"/>
                    <w:jc w:val="center"/>
                    <w:rPr>
                      <w:rFonts w:hint="default"/>
                      <w:color w:val="auto"/>
                      <w:sz w:val="21"/>
                      <w:szCs w:val="21"/>
                      <w:lang w:val="en-US" w:eastAsia="zh-CN"/>
                    </w:rPr>
                  </w:pPr>
                  <w:r>
                    <w:rPr>
                      <w:rFonts w:hint="eastAsia"/>
                      <w:color w:val="auto"/>
                      <w:lang w:val="en-US" w:eastAsia="zh-CN"/>
                    </w:rPr>
                    <w:t>116.844141</w:t>
                  </w:r>
                </w:p>
              </w:tc>
              <w:tc>
                <w:tcPr>
                  <w:tcW w:w="752" w:type="dxa"/>
                  <w:noWrap w:val="0"/>
                  <w:vAlign w:val="center"/>
                </w:tcPr>
                <w:p w14:paraId="49E1C49D">
                  <w:pPr>
                    <w:pStyle w:val="4"/>
                    <w:ind w:firstLine="0" w:firstLineChars="0"/>
                    <w:jc w:val="center"/>
                    <w:rPr>
                      <w:rFonts w:hint="default"/>
                      <w:color w:val="auto"/>
                      <w:sz w:val="21"/>
                      <w:szCs w:val="21"/>
                      <w:lang w:val="en-US" w:eastAsia="zh-CN"/>
                    </w:rPr>
                  </w:pPr>
                  <w:r>
                    <w:rPr>
                      <w:rFonts w:hint="eastAsia"/>
                      <w:color w:val="auto"/>
                      <w:lang w:val="en-US" w:eastAsia="zh-CN"/>
                    </w:rPr>
                    <w:t>33.906412</w:t>
                  </w:r>
                </w:p>
              </w:tc>
              <w:tc>
                <w:tcPr>
                  <w:tcW w:w="752" w:type="dxa"/>
                  <w:noWrap w:val="0"/>
                  <w:vAlign w:val="center"/>
                </w:tcPr>
                <w:p w14:paraId="732175E0">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W</w:t>
                  </w:r>
                </w:p>
              </w:tc>
              <w:tc>
                <w:tcPr>
                  <w:tcW w:w="1083" w:type="dxa"/>
                  <w:noWrap w:val="0"/>
                  <w:vAlign w:val="center"/>
                </w:tcPr>
                <w:p w14:paraId="77392446">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30</w:t>
                  </w:r>
                </w:p>
              </w:tc>
              <w:tc>
                <w:tcPr>
                  <w:tcW w:w="1575" w:type="dxa"/>
                  <w:noWrap w:val="0"/>
                  <w:vAlign w:val="center"/>
                </w:tcPr>
                <w:p w14:paraId="62011664">
                  <w:pPr>
                    <w:pStyle w:val="4"/>
                    <w:ind w:firstLine="0" w:firstLineChars="0"/>
                    <w:jc w:val="center"/>
                    <w:rPr>
                      <w:rFonts w:hint="default"/>
                      <w:color w:val="auto"/>
                      <w:sz w:val="21"/>
                      <w:szCs w:val="21"/>
                      <w:lang w:val="en-US" w:eastAsia="zh-CN"/>
                    </w:rPr>
                  </w:pPr>
                  <w:r>
                    <w:rPr>
                      <w:rFonts w:hint="eastAsia"/>
                      <w:color w:val="auto"/>
                      <w:lang w:val="en-US" w:eastAsia="zh-CN"/>
                    </w:rPr>
                    <w:t>500户、1500人</w:t>
                  </w:r>
                </w:p>
              </w:tc>
              <w:tc>
                <w:tcPr>
                  <w:tcW w:w="1679" w:type="dxa"/>
                  <w:vMerge w:val="restart"/>
                  <w:noWrap w:val="0"/>
                  <w:vAlign w:val="center"/>
                </w:tcPr>
                <w:p w14:paraId="6CBFEFC9">
                  <w:pPr>
                    <w:pStyle w:val="36"/>
                    <w:keepNext w:val="0"/>
                    <w:keepLines w:val="0"/>
                    <w:pageBreakBefore w:val="0"/>
                    <w:widowControl/>
                    <w:kinsoku/>
                    <w:wordWrap/>
                    <w:overflowPunct/>
                    <w:topLinePunct w:val="0"/>
                    <w:autoSpaceDE/>
                    <w:autoSpaceDN/>
                    <w:bidi w:val="0"/>
                    <w:adjustRightInd/>
                    <w:snapToGrid/>
                    <w:jc w:val="center"/>
                    <w:textAlignment w:val="auto"/>
                    <w:rPr>
                      <w:rFonts w:hint="eastAsia" w:eastAsia="宋体"/>
                      <w:color w:val="auto"/>
                      <w:sz w:val="21"/>
                      <w:szCs w:val="21"/>
                      <w:lang w:val="en-US" w:eastAsia="zh-CN"/>
                    </w:rPr>
                  </w:pPr>
                  <w:r>
                    <w:rPr>
                      <w:rFonts w:hint="default"/>
                      <w:color w:val="auto"/>
                      <w:sz w:val="21"/>
                      <w:szCs w:val="21"/>
                    </w:rPr>
                    <w:t>《声环境质量标准》（GB3096-2008）中的</w:t>
                  </w:r>
                  <w:r>
                    <w:rPr>
                      <w:rFonts w:hint="default"/>
                      <w:color w:val="auto"/>
                      <w:sz w:val="21"/>
                      <w:szCs w:val="21"/>
                      <w:lang w:val="en-US" w:eastAsia="zh-CN"/>
                    </w:rPr>
                    <w:t>2类</w:t>
                  </w:r>
                  <w:r>
                    <w:rPr>
                      <w:rFonts w:hint="default"/>
                      <w:color w:val="auto"/>
                      <w:sz w:val="21"/>
                      <w:szCs w:val="21"/>
                    </w:rPr>
                    <w:t>区标准</w:t>
                  </w:r>
                </w:p>
              </w:tc>
            </w:tr>
            <w:tr w14:paraId="0947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6B89D065">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noWrap w:val="0"/>
                  <w:vAlign w:val="center"/>
                </w:tcPr>
                <w:p w14:paraId="2977B5C9">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港利华师城</w:t>
                  </w:r>
                </w:p>
              </w:tc>
              <w:tc>
                <w:tcPr>
                  <w:tcW w:w="820" w:type="dxa"/>
                  <w:noWrap w:val="0"/>
                  <w:vAlign w:val="center"/>
                </w:tcPr>
                <w:p w14:paraId="588C2099">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116.844158</w:t>
                  </w:r>
                </w:p>
              </w:tc>
              <w:tc>
                <w:tcPr>
                  <w:tcW w:w="752" w:type="dxa"/>
                  <w:noWrap w:val="0"/>
                  <w:vAlign w:val="center"/>
                </w:tcPr>
                <w:p w14:paraId="4DF120E3">
                  <w:pPr>
                    <w:pStyle w:val="4"/>
                    <w:ind w:firstLine="0" w:firstLineChars="0"/>
                    <w:jc w:val="center"/>
                    <w:rPr>
                      <w:rFonts w:hint="default"/>
                      <w:color w:val="auto"/>
                      <w:sz w:val="21"/>
                      <w:szCs w:val="21"/>
                      <w:lang w:val="en-US" w:eastAsia="zh-CN"/>
                    </w:rPr>
                  </w:pPr>
                  <w:r>
                    <w:rPr>
                      <w:rFonts w:hint="eastAsia"/>
                      <w:b w:val="0"/>
                      <w:bCs w:val="0"/>
                      <w:color w:val="auto"/>
                      <w:lang w:val="en-US" w:eastAsia="zh-CN"/>
                    </w:rPr>
                    <w:t>33.904033</w:t>
                  </w:r>
                </w:p>
              </w:tc>
              <w:tc>
                <w:tcPr>
                  <w:tcW w:w="752" w:type="dxa"/>
                  <w:noWrap w:val="0"/>
                  <w:vAlign w:val="center"/>
                </w:tcPr>
                <w:p w14:paraId="5F1EA9CC">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W</w:t>
                  </w:r>
                </w:p>
              </w:tc>
              <w:tc>
                <w:tcPr>
                  <w:tcW w:w="1083" w:type="dxa"/>
                  <w:noWrap w:val="0"/>
                  <w:vAlign w:val="center"/>
                </w:tcPr>
                <w:p w14:paraId="52F19F50">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30</w:t>
                  </w:r>
                </w:p>
              </w:tc>
              <w:tc>
                <w:tcPr>
                  <w:tcW w:w="1575" w:type="dxa"/>
                  <w:noWrap w:val="0"/>
                  <w:vAlign w:val="center"/>
                </w:tcPr>
                <w:p w14:paraId="5CAF34B2">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800户、2400人</w:t>
                  </w:r>
                </w:p>
              </w:tc>
              <w:tc>
                <w:tcPr>
                  <w:tcW w:w="1679" w:type="dxa"/>
                  <w:vMerge w:val="continue"/>
                  <w:noWrap w:val="0"/>
                  <w:vAlign w:val="center"/>
                </w:tcPr>
                <w:p w14:paraId="4514F882">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6432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7BD28A5A">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noWrap w:val="0"/>
                  <w:vAlign w:val="center"/>
                </w:tcPr>
                <w:p w14:paraId="496CF512">
                  <w:pPr>
                    <w:pStyle w:val="4"/>
                    <w:ind w:firstLine="0" w:firstLineChars="0"/>
                    <w:jc w:val="center"/>
                    <w:rPr>
                      <w:rFonts w:hint="eastAsia"/>
                      <w:color w:val="auto"/>
                      <w:sz w:val="21"/>
                      <w:szCs w:val="21"/>
                      <w:lang w:val="en-US" w:eastAsia="zh-CN"/>
                    </w:rPr>
                  </w:pPr>
                  <w:r>
                    <w:rPr>
                      <w:rFonts w:hint="eastAsia"/>
                      <w:color w:val="auto"/>
                      <w:lang w:val="en-US" w:eastAsia="zh-CN"/>
                    </w:rPr>
                    <w:t>华曜港利实验学校初中部</w:t>
                  </w:r>
                </w:p>
              </w:tc>
              <w:tc>
                <w:tcPr>
                  <w:tcW w:w="820" w:type="dxa"/>
                  <w:noWrap w:val="0"/>
                  <w:vAlign w:val="center"/>
                </w:tcPr>
                <w:p w14:paraId="186FCA12">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116.846486</w:t>
                  </w:r>
                </w:p>
              </w:tc>
              <w:tc>
                <w:tcPr>
                  <w:tcW w:w="752" w:type="dxa"/>
                  <w:noWrap w:val="0"/>
                  <w:vAlign w:val="center"/>
                </w:tcPr>
                <w:p w14:paraId="2A5473D5">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33.901480</w:t>
                  </w:r>
                </w:p>
              </w:tc>
              <w:tc>
                <w:tcPr>
                  <w:tcW w:w="752" w:type="dxa"/>
                  <w:noWrap w:val="0"/>
                  <w:vAlign w:val="center"/>
                </w:tcPr>
                <w:p w14:paraId="698F1843">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W</w:t>
                  </w:r>
                </w:p>
              </w:tc>
              <w:tc>
                <w:tcPr>
                  <w:tcW w:w="1083" w:type="dxa"/>
                  <w:noWrap w:val="0"/>
                  <w:vAlign w:val="center"/>
                </w:tcPr>
                <w:p w14:paraId="5A51F4CA">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200</w:t>
                  </w:r>
                </w:p>
              </w:tc>
              <w:tc>
                <w:tcPr>
                  <w:tcW w:w="1575" w:type="dxa"/>
                  <w:noWrap w:val="0"/>
                  <w:vAlign w:val="center"/>
                </w:tcPr>
                <w:p w14:paraId="7F5B4870">
                  <w:pPr>
                    <w:pStyle w:val="4"/>
                    <w:ind w:firstLine="0" w:firstLineChars="0"/>
                    <w:jc w:val="center"/>
                    <w:rPr>
                      <w:rFonts w:hint="eastAsia"/>
                      <w:color w:val="auto"/>
                      <w:sz w:val="21"/>
                      <w:szCs w:val="21"/>
                      <w:lang w:val="en-US" w:eastAsia="zh-CN"/>
                    </w:rPr>
                  </w:pPr>
                  <w:r>
                    <w:rPr>
                      <w:rFonts w:hint="eastAsia"/>
                      <w:color w:val="auto"/>
                      <w:lang w:val="en-US" w:eastAsia="zh-CN"/>
                    </w:rPr>
                    <w:t>师生1000人</w:t>
                  </w:r>
                </w:p>
              </w:tc>
              <w:tc>
                <w:tcPr>
                  <w:tcW w:w="1679" w:type="dxa"/>
                  <w:vMerge w:val="continue"/>
                  <w:noWrap w:val="0"/>
                  <w:vAlign w:val="center"/>
                </w:tcPr>
                <w:p w14:paraId="5E2BF921">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711E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07F27180">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noWrap w:val="0"/>
                  <w:vAlign w:val="center"/>
                </w:tcPr>
                <w:p w14:paraId="2557D4AF">
                  <w:pPr>
                    <w:pStyle w:val="4"/>
                    <w:ind w:firstLine="0" w:firstLineChars="0"/>
                    <w:jc w:val="center"/>
                    <w:rPr>
                      <w:rFonts w:hint="eastAsia"/>
                      <w:color w:val="auto"/>
                      <w:sz w:val="21"/>
                      <w:szCs w:val="21"/>
                      <w:lang w:val="en-US" w:eastAsia="zh-CN"/>
                    </w:rPr>
                  </w:pPr>
                  <w:r>
                    <w:rPr>
                      <w:rFonts w:hint="eastAsia"/>
                      <w:color w:val="auto"/>
                      <w:lang w:val="en-US" w:eastAsia="zh-CN"/>
                    </w:rPr>
                    <w:t>华曜港利实验学校小学部</w:t>
                  </w:r>
                </w:p>
              </w:tc>
              <w:tc>
                <w:tcPr>
                  <w:tcW w:w="820" w:type="dxa"/>
                  <w:noWrap w:val="0"/>
                  <w:vAlign w:val="center"/>
                </w:tcPr>
                <w:p w14:paraId="77693EE2">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116.844384</w:t>
                  </w:r>
                </w:p>
              </w:tc>
              <w:tc>
                <w:tcPr>
                  <w:tcW w:w="752" w:type="dxa"/>
                  <w:noWrap w:val="0"/>
                  <w:vAlign w:val="center"/>
                </w:tcPr>
                <w:p w14:paraId="4B82864C">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33.901147</w:t>
                  </w:r>
                </w:p>
              </w:tc>
              <w:tc>
                <w:tcPr>
                  <w:tcW w:w="752" w:type="dxa"/>
                  <w:noWrap w:val="0"/>
                  <w:vAlign w:val="center"/>
                </w:tcPr>
                <w:p w14:paraId="6ACBD33E">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W</w:t>
                  </w:r>
                </w:p>
              </w:tc>
              <w:tc>
                <w:tcPr>
                  <w:tcW w:w="1083" w:type="dxa"/>
                  <w:noWrap w:val="0"/>
                  <w:vAlign w:val="center"/>
                </w:tcPr>
                <w:p w14:paraId="0D45199D">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30</w:t>
                  </w:r>
                </w:p>
              </w:tc>
              <w:tc>
                <w:tcPr>
                  <w:tcW w:w="1575" w:type="dxa"/>
                  <w:noWrap w:val="0"/>
                  <w:vAlign w:val="center"/>
                </w:tcPr>
                <w:p w14:paraId="0CAEDECE">
                  <w:pPr>
                    <w:pStyle w:val="4"/>
                    <w:ind w:firstLine="0" w:firstLineChars="0"/>
                    <w:jc w:val="center"/>
                    <w:rPr>
                      <w:rFonts w:hint="eastAsia"/>
                      <w:color w:val="auto"/>
                      <w:sz w:val="21"/>
                      <w:szCs w:val="21"/>
                      <w:lang w:val="en-US" w:eastAsia="zh-CN"/>
                    </w:rPr>
                  </w:pPr>
                  <w:r>
                    <w:rPr>
                      <w:rFonts w:hint="eastAsia"/>
                      <w:color w:val="auto"/>
                      <w:lang w:val="en-US" w:eastAsia="zh-CN"/>
                    </w:rPr>
                    <w:t>师生800人</w:t>
                  </w:r>
                </w:p>
              </w:tc>
              <w:tc>
                <w:tcPr>
                  <w:tcW w:w="1679" w:type="dxa"/>
                  <w:vMerge w:val="continue"/>
                  <w:noWrap w:val="0"/>
                  <w:vAlign w:val="center"/>
                </w:tcPr>
                <w:p w14:paraId="7DD1429E">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2FDC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67B4ED5E">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noWrap w:val="0"/>
                  <w:vAlign w:val="center"/>
                </w:tcPr>
                <w:p w14:paraId="3BDE805B">
                  <w:pPr>
                    <w:pStyle w:val="4"/>
                    <w:ind w:firstLine="0" w:firstLineChars="0"/>
                    <w:jc w:val="center"/>
                    <w:rPr>
                      <w:rFonts w:hint="eastAsia"/>
                      <w:color w:val="auto"/>
                      <w:sz w:val="21"/>
                      <w:szCs w:val="21"/>
                      <w:lang w:val="en-US" w:eastAsia="zh-CN"/>
                    </w:rPr>
                  </w:pPr>
                  <w:r>
                    <w:rPr>
                      <w:rFonts w:hint="eastAsia"/>
                      <w:color w:val="auto"/>
                      <w:lang w:val="en-US" w:eastAsia="zh-CN"/>
                    </w:rPr>
                    <w:t>华曜港利幼儿园</w:t>
                  </w:r>
                </w:p>
              </w:tc>
              <w:tc>
                <w:tcPr>
                  <w:tcW w:w="820" w:type="dxa"/>
                  <w:noWrap w:val="0"/>
                  <w:vAlign w:val="center"/>
                </w:tcPr>
                <w:p w14:paraId="5AC86F44">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116.841391</w:t>
                  </w:r>
                </w:p>
              </w:tc>
              <w:tc>
                <w:tcPr>
                  <w:tcW w:w="752" w:type="dxa"/>
                  <w:noWrap w:val="0"/>
                  <w:vAlign w:val="center"/>
                </w:tcPr>
                <w:p w14:paraId="1C2F031F">
                  <w:pPr>
                    <w:pStyle w:val="36"/>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33.899961</w:t>
                  </w:r>
                </w:p>
              </w:tc>
              <w:tc>
                <w:tcPr>
                  <w:tcW w:w="752" w:type="dxa"/>
                  <w:noWrap w:val="0"/>
                  <w:vAlign w:val="center"/>
                </w:tcPr>
                <w:p w14:paraId="16B9696E">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E</w:t>
                  </w:r>
                </w:p>
              </w:tc>
              <w:tc>
                <w:tcPr>
                  <w:tcW w:w="1083" w:type="dxa"/>
                  <w:noWrap w:val="0"/>
                  <w:vAlign w:val="center"/>
                </w:tcPr>
                <w:p w14:paraId="0EC6D5F1">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1575" w:type="dxa"/>
                  <w:noWrap w:val="0"/>
                  <w:vAlign w:val="center"/>
                </w:tcPr>
                <w:p w14:paraId="20D8FDB4">
                  <w:pPr>
                    <w:pStyle w:val="36"/>
                    <w:bidi w:val="0"/>
                    <w:ind w:firstLine="0" w:firstLineChars="0"/>
                    <w:jc w:val="center"/>
                    <w:rPr>
                      <w:rFonts w:hint="eastAsia"/>
                      <w:color w:val="auto"/>
                      <w:sz w:val="21"/>
                      <w:szCs w:val="21"/>
                      <w:lang w:val="en-US" w:eastAsia="zh-CN"/>
                    </w:rPr>
                  </w:pPr>
                  <w:r>
                    <w:rPr>
                      <w:rFonts w:hint="eastAsia"/>
                      <w:color w:val="auto"/>
                      <w:lang w:val="en-US" w:eastAsia="zh-CN"/>
                    </w:rPr>
                    <w:t>师生500人</w:t>
                  </w:r>
                </w:p>
              </w:tc>
              <w:tc>
                <w:tcPr>
                  <w:tcW w:w="1679" w:type="dxa"/>
                  <w:vMerge w:val="continue"/>
                  <w:noWrap w:val="0"/>
                  <w:vAlign w:val="center"/>
                </w:tcPr>
                <w:p w14:paraId="09E2F000">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1BA9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265A94D1">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noWrap w:val="0"/>
                  <w:vAlign w:val="center"/>
                </w:tcPr>
                <w:p w14:paraId="71A326A7">
                  <w:pPr>
                    <w:pStyle w:val="4"/>
                    <w:ind w:firstLine="0" w:firstLineChars="0"/>
                    <w:jc w:val="center"/>
                    <w:rPr>
                      <w:rFonts w:hint="default"/>
                      <w:color w:val="auto"/>
                      <w:sz w:val="21"/>
                      <w:szCs w:val="21"/>
                      <w:lang w:val="en-US" w:eastAsia="zh-CN"/>
                    </w:rPr>
                  </w:pPr>
                  <w:r>
                    <w:rPr>
                      <w:rFonts w:hint="eastAsia"/>
                      <w:color w:val="auto"/>
                      <w:sz w:val="21"/>
                      <w:szCs w:val="21"/>
                      <w:lang w:val="en-US" w:eastAsia="zh-CN"/>
                    </w:rPr>
                    <w:t>烈山区实验学校</w:t>
                  </w:r>
                </w:p>
              </w:tc>
              <w:tc>
                <w:tcPr>
                  <w:tcW w:w="820" w:type="dxa"/>
                  <w:noWrap w:val="0"/>
                  <w:vAlign w:val="center"/>
                </w:tcPr>
                <w:p w14:paraId="5E934520">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116.840125</w:t>
                  </w:r>
                </w:p>
              </w:tc>
              <w:tc>
                <w:tcPr>
                  <w:tcW w:w="752" w:type="dxa"/>
                  <w:noWrap w:val="0"/>
                  <w:vAlign w:val="center"/>
                </w:tcPr>
                <w:p w14:paraId="332D9A7A">
                  <w:pPr>
                    <w:pStyle w:val="36"/>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33.891141</w:t>
                  </w:r>
                </w:p>
              </w:tc>
              <w:tc>
                <w:tcPr>
                  <w:tcW w:w="752" w:type="dxa"/>
                  <w:noWrap w:val="0"/>
                  <w:vAlign w:val="center"/>
                </w:tcPr>
                <w:p w14:paraId="19F59507">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E</w:t>
                  </w:r>
                </w:p>
              </w:tc>
              <w:tc>
                <w:tcPr>
                  <w:tcW w:w="1083" w:type="dxa"/>
                  <w:noWrap w:val="0"/>
                  <w:vAlign w:val="center"/>
                </w:tcPr>
                <w:p w14:paraId="60A4D033">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1575" w:type="dxa"/>
                  <w:noWrap w:val="0"/>
                  <w:vAlign w:val="center"/>
                </w:tcPr>
                <w:p w14:paraId="1B837F28">
                  <w:pPr>
                    <w:pStyle w:val="36"/>
                    <w:bidi w:val="0"/>
                    <w:ind w:firstLine="0" w:firstLineChars="0"/>
                    <w:jc w:val="center"/>
                    <w:rPr>
                      <w:rFonts w:hint="eastAsia"/>
                      <w:color w:val="auto"/>
                      <w:sz w:val="21"/>
                      <w:szCs w:val="21"/>
                      <w:lang w:val="en-US" w:eastAsia="zh-CN"/>
                    </w:rPr>
                  </w:pPr>
                  <w:r>
                    <w:rPr>
                      <w:rFonts w:hint="eastAsia"/>
                      <w:color w:val="auto"/>
                      <w:lang w:val="en-US" w:eastAsia="zh-CN"/>
                    </w:rPr>
                    <w:t>师生9000人</w:t>
                  </w:r>
                </w:p>
              </w:tc>
              <w:tc>
                <w:tcPr>
                  <w:tcW w:w="1679" w:type="dxa"/>
                  <w:vMerge w:val="continue"/>
                  <w:noWrap w:val="0"/>
                  <w:vAlign w:val="center"/>
                </w:tcPr>
                <w:p w14:paraId="21EAFA0E">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0CA0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restart"/>
                  <w:noWrap w:val="0"/>
                  <w:vAlign w:val="center"/>
                </w:tcPr>
                <w:p w14:paraId="46ACF38F">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r>
                    <w:rPr>
                      <w:rFonts w:hint="eastAsia"/>
                      <w:color w:val="auto"/>
                      <w:sz w:val="21"/>
                      <w:szCs w:val="21"/>
                      <w:lang w:val="en-US" w:eastAsia="zh-CN"/>
                    </w:rPr>
                    <w:t>大气环境</w:t>
                  </w:r>
                </w:p>
              </w:tc>
              <w:tc>
                <w:tcPr>
                  <w:tcW w:w="901" w:type="dxa"/>
                  <w:shd w:val="clear" w:color="auto" w:fill="auto"/>
                  <w:noWrap w:val="0"/>
                  <w:vAlign w:val="center"/>
                </w:tcPr>
                <w:p w14:paraId="2AE98616">
                  <w:pPr>
                    <w:pStyle w:val="4"/>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新北花园</w:t>
                  </w:r>
                </w:p>
              </w:tc>
              <w:tc>
                <w:tcPr>
                  <w:tcW w:w="820" w:type="dxa"/>
                  <w:shd w:val="clear" w:color="auto" w:fill="auto"/>
                  <w:noWrap w:val="0"/>
                  <w:vAlign w:val="center"/>
                </w:tcPr>
                <w:p w14:paraId="64F13C36">
                  <w:pPr>
                    <w:pStyle w:val="4"/>
                    <w:ind w:firstLine="0" w:firstLineChars="0"/>
                    <w:jc w:val="center"/>
                    <w:rPr>
                      <w:rFonts w:hint="default" w:ascii="Times New Roman" w:hAnsi="Times New Roman" w:eastAsia="宋体" w:cs="Times New Roman"/>
                      <w:color w:val="auto"/>
                      <w:kern w:val="44"/>
                      <w:sz w:val="21"/>
                      <w:szCs w:val="21"/>
                      <w:lang w:val="en-US" w:eastAsia="zh-CN" w:bidi="ar-SA"/>
                    </w:rPr>
                  </w:pPr>
                  <w:r>
                    <w:rPr>
                      <w:rFonts w:hint="eastAsia"/>
                      <w:color w:val="auto"/>
                      <w:lang w:val="en-US" w:eastAsia="zh-CN"/>
                    </w:rPr>
                    <w:t>116.844141</w:t>
                  </w:r>
                </w:p>
              </w:tc>
              <w:tc>
                <w:tcPr>
                  <w:tcW w:w="752" w:type="dxa"/>
                  <w:shd w:val="clear" w:color="auto" w:fill="auto"/>
                  <w:noWrap w:val="0"/>
                  <w:vAlign w:val="center"/>
                </w:tcPr>
                <w:p w14:paraId="310B0AB0">
                  <w:pPr>
                    <w:pStyle w:val="4"/>
                    <w:ind w:firstLine="0" w:firstLineChars="0"/>
                    <w:jc w:val="center"/>
                    <w:rPr>
                      <w:rFonts w:hint="default" w:ascii="Times New Roman" w:hAnsi="Times New Roman" w:eastAsia="宋体" w:cs="Times New Roman"/>
                      <w:color w:val="auto"/>
                      <w:kern w:val="44"/>
                      <w:sz w:val="21"/>
                      <w:szCs w:val="21"/>
                      <w:lang w:val="en-US" w:eastAsia="zh-CN" w:bidi="ar-SA"/>
                    </w:rPr>
                  </w:pPr>
                  <w:r>
                    <w:rPr>
                      <w:rFonts w:hint="eastAsia"/>
                      <w:color w:val="auto"/>
                      <w:lang w:val="en-US" w:eastAsia="zh-CN"/>
                    </w:rPr>
                    <w:t>33.906412</w:t>
                  </w:r>
                </w:p>
              </w:tc>
              <w:tc>
                <w:tcPr>
                  <w:tcW w:w="752" w:type="dxa"/>
                  <w:shd w:val="clear" w:color="auto" w:fill="auto"/>
                  <w:noWrap w:val="0"/>
                  <w:vAlign w:val="center"/>
                </w:tcPr>
                <w:p w14:paraId="47AEB632">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W</w:t>
                  </w:r>
                </w:p>
              </w:tc>
              <w:tc>
                <w:tcPr>
                  <w:tcW w:w="1083" w:type="dxa"/>
                  <w:shd w:val="clear" w:color="auto" w:fill="auto"/>
                  <w:noWrap w:val="0"/>
                  <w:vAlign w:val="center"/>
                </w:tcPr>
                <w:p w14:paraId="483DACB7">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30</w:t>
                  </w:r>
                </w:p>
              </w:tc>
              <w:tc>
                <w:tcPr>
                  <w:tcW w:w="1575" w:type="dxa"/>
                  <w:shd w:val="clear" w:color="auto" w:fill="auto"/>
                  <w:noWrap w:val="0"/>
                  <w:vAlign w:val="center"/>
                </w:tcPr>
                <w:p w14:paraId="48EB46B0">
                  <w:pPr>
                    <w:pStyle w:val="4"/>
                    <w:ind w:firstLine="0" w:firstLineChars="0"/>
                    <w:jc w:val="center"/>
                    <w:rPr>
                      <w:rFonts w:hint="eastAsia" w:ascii="Times New Roman" w:hAnsi="Times New Roman" w:eastAsia="宋体" w:cs="Times New Roman"/>
                      <w:color w:val="auto"/>
                      <w:kern w:val="44"/>
                      <w:sz w:val="21"/>
                      <w:szCs w:val="21"/>
                      <w:lang w:val="en-US" w:eastAsia="zh-CN" w:bidi="ar-SA"/>
                    </w:rPr>
                  </w:pPr>
                  <w:r>
                    <w:rPr>
                      <w:rFonts w:hint="eastAsia"/>
                      <w:color w:val="auto"/>
                      <w:lang w:val="en-US" w:eastAsia="zh-CN"/>
                    </w:rPr>
                    <w:t>500户、1500人</w:t>
                  </w:r>
                </w:p>
              </w:tc>
              <w:tc>
                <w:tcPr>
                  <w:tcW w:w="1679" w:type="dxa"/>
                  <w:vMerge w:val="restart"/>
                  <w:noWrap w:val="0"/>
                  <w:vAlign w:val="center"/>
                </w:tcPr>
                <w:p w14:paraId="6A242EF0">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r>
                    <w:rPr>
                      <w:rFonts w:hint="default"/>
                      <w:color w:val="auto"/>
                      <w:sz w:val="21"/>
                      <w:szCs w:val="21"/>
                      <w:lang w:eastAsia="zh-CN"/>
                    </w:rPr>
                    <w:t>《环境空气质量标准》（GB3095-2012）及其修改单</w:t>
                  </w:r>
                  <w:r>
                    <w:rPr>
                      <w:rFonts w:hint="default"/>
                      <w:color w:val="auto"/>
                      <w:sz w:val="21"/>
                      <w:szCs w:val="21"/>
                    </w:rPr>
                    <w:t>中的二级标准</w:t>
                  </w:r>
                </w:p>
              </w:tc>
            </w:tr>
            <w:tr w14:paraId="2D14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1DBA2DFB">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shd w:val="clear" w:color="auto" w:fill="auto"/>
                  <w:noWrap w:val="0"/>
                  <w:vAlign w:val="center"/>
                </w:tcPr>
                <w:p w14:paraId="231755EE">
                  <w:pPr>
                    <w:pStyle w:val="4"/>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港利华师城</w:t>
                  </w:r>
                </w:p>
              </w:tc>
              <w:tc>
                <w:tcPr>
                  <w:tcW w:w="820" w:type="dxa"/>
                  <w:shd w:val="clear" w:color="auto" w:fill="auto"/>
                  <w:noWrap w:val="0"/>
                  <w:vAlign w:val="center"/>
                </w:tcPr>
                <w:p w14:paraId="6E8D01C1">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116.844158</w:t>
                  </w:r>
                </w:p>
              </w:tc>
              <w:tc>
                <w:tcPr>
                  <w:tcW w:w="752" w:type="dxa"/>
                  <w:shd w:val="clear" w:color="auto" w:fill="auto"/>
                  <w:noWrap w:val="0"/>
                  <w:vAlign w:val="center"/>
                </w:tcPr>
                <w:p w14:paraId="47B53A27">
                  <w:pPr>
                    <w:pStyle w:val="4"/>
                    <w:ind w:firstLine="0" w:firstLineChars="0"/>
                    <w:jc w:val="center"/>
                    <w:rPr>
                      <w:rFonts w:hint="default" w:ascii="Times New Roman" w:hAnsi="Times New Roman" w:eastAsia="宋体" w:cs="Times New Roman"/>
                      <w:color w:val="auto"/>
                      <w:kern w:val="44"/>
                      <w:sz w:val="21"/>
                      <w:szCs w:val="21"/>
                      <w:lang w:val="en-US" w:eastAsia="zh-CN" w:bidi="ar-SA"/>
                    </w:rPr>
                  </w:pPr>
                  <w:r>
                    <w:rPr>
                      <w:rFonts w:hint="eastAsia"/>
                      <w:b w:val="0"/>
                      <w:bCs w:val="0"/>
                      <w:color w:val="auto"/>
                      <w:lang w:val="en-US" w:eastAsia="zh-CN"/>
                    </w:rPr>
                    <w:t>33.904033</w:t>
                  </w:r>
                </w:p>
              </w:tc>
              <w:tc>
                <w:tcPr>
                  <w:tcW w:w="752" w:type="dxa"/>
                  <w:shd w:val="clear" w:color="auto" w:fill="auto"/>
                  <w:noWrap w:val="0"/>
                  <w:vAlign w:val="center"/>
                </w:tcPr>
                <w:p w14:paraId="007913E9">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W</w:t>
                  </w:r>
                </w:p>
              </w:tc>
              <w:tc>
                <w:tcPr>
                  <w:tcW w:w="1083" w:type="dxa"/>
                  <w:shd w:val="clear" w:color="auto" w:fill="auto"/>
                  <w:noWrap w:val="0"/>
                  <w:vAlign w:val="center"/>
                </w:tcPr>
                <w:p w14:paraId="4441B013">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30</w:t>
                  </w:r>
                </w:p>
              </w:tc>
              <w:tc>
                <w:tcPr>
                  <w:tcW w:w="1575" w:type="dxa"/>
                  <w:shd w:val="clear" w:color="auto" w:fill="auto"/>
                  <w:noWrap w:val="0"/>
                  <w:vAlign w:val="center"/>
                </w:tcPr>
                <w:p w14:paraId="20855855">
                  <w:pPr>
                    <w:pStyle w:val="4"/>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800户、2400人</w:t>
                  </w:r>
                </w:p>
              </w:tc>
              <w:tc>
                <w:tcPr>
                  <w:tcW w:w="1679" w:type="dxa"/>
                  <w:vMerge w:val="continue"/>
                  <w:noWrap w:val="0"/>
                  <w:vAlign w:val="center"/>
                </w:tcPr>
                <w:p w14:paraId="6021F430">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5B03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3E82EDC2">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shd w:val="clear" w:color="auto" w:fill="auto"/>
                  <w:noWrap w:val="0"/>
                  <w:vAlign w:val="center"/>
                </w:tcPr>
                <w:p w14:paraId="036E2F8C">
                  <w:pPr>
                    <w:pStyle w:val="4"/>
                    <w:ind w:firstLine="0" w:firstLineChars="0"/>
                    <w:jc w:val="center"/>
                    <w:rPr>
                      <w:rFonts w:hint="eastAsia" w:ascii="Times New Roman" w:hAnsi="Times New Roman" w:eastAsia="宋体" w:cs="Times New Roman"/>
                      <w:color w:val="auto"/>
                      <w:kern w:val="44"/>
                      <w:sz w:val="21"/>
                      <w:szCs w:val="21"/>
                      <w:lang w:val="en-US" w:eastAsia="zh-CN" w:bidi="ar-SA"/>
                    </w:rPr>
                  </w:pPr>
                  <w:r>
                    <w:rPr>
                      <w:rFonts w:hint="eastAsia"/>
                      <w:color w:val="auto"/>
                      <w:lang w:val="en-US" w:eastAsia="zh-CN"/>
                    </w:rPr>
                    <w:t>华曜港利实验学校小学部</w:t>
                  </w:r>
                </w:p>
              </w:tc>
              <w:tc>
                <w:tcPr>
                  <w:tcW w:w="820" w:type="dxa"/>
                  <w:shd w:val="clear" w:color="auto" w:fill="auto"/>
                  <w:noWrap w:val="0"/>
                  <w:vAlign w:val="center"/>
                </w:tcPr>
                <w:p w14:paraId="5D0F6431">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116.844384</w:t>
                  </w:r>
                </w:p>
              </w:tc>
              <w:tc>
                <w:tcPr>
                  <w:tcW w:w="752" w:type="dxa"/>
                  <w:shd w:val="clear" w:color="auto" w:fill="auto"/>
                  <w:noWrap w:val="0"/>
                  <w:vAlign w:val="center"/>
                </w:tcPr>
                <w:p w14:paraId="0F202705">
                  <w:pPr>
                    <w:pStyle w:val="4"/>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33.901147</w:t>
                  </w:r>
                </w:p>
              </w:tc>
              <w:tc>
                <w:tcPr>
                  <w:tcW w:w="752" w:type="dxa"/>
                  <w:shd w:val="clear" w:color="auto" w:fill="auto"/>
                  <w:noWrap w:val="0"/>
                  <w:vAlign w:val="center"/>
                </w:tcPr>
                <w:p w14:paraId="0DB34107">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W</w:t>
                  </w:r>
                </w:p>
              </w:tc>
              <w:tc>
                <w:tcPr>
                  <w:tcW w:w="1083" w:type="dxa"/>
                  <w:shd w:val="clear" w:color="auto" w:fill="auto"/>
                  <w:noWrap w:val="0"/>
                  <w:vAlign w:val="center"/>
                </w:tcPr>
                <w:p w14:paraId="37127541">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30</w:t>
                  </w:r>
                </w:p>
              </w:tc>
              <w:tc>
                <w:tcPr>
                  <w:tcW w:w="1575" w:type="dxa"/>
                  <w:shd w:val="clear" w:color="auto" w:fill="auto"/>
                  <w:noWrap w:val="0"/>
                  <w:vAlign w:val="center"/>
                </w:tcPr>
                <w:p w14:paraId="434BE210">
                  <w:pPr>
                    <w:pStyle w:val="4"/>
                    <w:ind w:firstLine="0" w:firstLineChars="0"/>
                    <w:jc w:val="center"/>
                    <w:rPr>
                      <w:rFonts w:hint="eastAsia" w:ascii="Times New Roman" w:hAnsi="Times New Roman" w:eastAsia="宋体" w:cs="Times New Roman"/>
                      <w:color w:val="auto"/>
                      <w:kern w:val="44"/>
                      <w:sz w:val="21"/>
                      <w:szCs w:val="21"/>
                      <w:lang w:val="en-US" w:eastAsia="zh-CN" w:bidi="ar-SA"/>
                    </w:rPr>
                  </w:pPr>
                  <w:r>
                    <w:rPr>
                      <w:rFonts w:hint="eastAsia"/>
                      <w:color w:val="auto"/>
                      <w:lang w:val="en-US" w:eastAsia="zh-CN"/>
                    </w:rPr>
                    <w:t>师生800人</w:t>
                  </w:r>
                </w:p>
              </w:tc>
              <w:tc>
                <w:tcPr>
                  <w:tcW w:w="1679" w:type="dxa"/>
                  <w:vMerge w:val="continue"/>
                  <w:noWrap w:val="0"/>
                  <w:vAlign w:val="center"/>
                </w:tcPr>
                <w:p w14:paraId="48F02878">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486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5BCEFCAD">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shd w:val="clear" w:color="auto" w:fill="auto"/>
                  <w:noWrap w:val="0"/>
                  <w:vAlign w:val="center"/>
                </w:tcPr>
                <w:p w14:paraId="2187BFED">
                  <w:pPr>
                    <w:pStyle w:val="4"/>
                    <w:ind w:firstLine="0" w:firstLineChars="0"/>
                    <w:jc w:val="center"/>
                    <w:rPr>
                      <w:rFonts w:hint="eastAsia" w:ascii="Times New Roman" w:hAnsi="Times New Roman" w:eastAsia="宋体" w:cs="Times New Roman"/>
                      <w:color w:val="auto"/>
                      <w:kern w:val="44"/>
                      <w:sz w:val="21"/>
                      <w:szCs w:val="21"/>
                      <w:lang w:val="en-US" w:eastAsia="zh-CN" w:bidi="ar-SA"/>
                    </w:rPr>
                  </w:pPr>
                  <w:r>
                    <w:rPr>
                      <w:rFonts w:hint="eastAsia"/>
                      <w:color w:val="auto"/>
                      <w:lang w:val="en-US" w:eastAsia="zh-CN"/>
                    </w:rPr>
                    <w:t>华曜港利实验学校初中部</w:t>
                  </w:r>
                </w:p>
              </w:tc>
              <w:tc>
                <w:tcPr>
                  <w:tcW w:w="820" w:type="dxa"/>
                  <w:shd w:val="clear" w:color="auto" w:fill="auto"/>
                  <w:noWrap w:val="0"/>
                  <w:vAlign w:val="center"/>
                </w:tcPr>
                <w:p w14:paraId="13882E3F">
                  <w:pPr>
                    <w:pStyle w:val="4"/>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116.846486</w:t>
                  </w:r>
                </w:p>
              </w:tc>
              <w:tc>
                <w:tcPr>
                  <w:tcW w:w="752" w:type="dxa"/>
                  <w:shd w:val="clear" w:color="auto" w:fill="auto"/>
                  <w:noWrap w:val="0"/>
                  <w:vAlign w:val="center"/>
                </w:tcPr>
                <w:p w14:paraId="15A94D4C">
                  <w:pPr>
                    <w:pStyle w:val="4"/>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b w:val="0"/>
                      <w:bCs w:val="0"/>
                      <w:color w:val="auto"/>
                      <w:lang w:val="en-US" w:eastAsia="zh-CN"/>
                    </w:rPr>
                    <w:t>33.901480</w:t>
                  </w:r>
                </w:p>
              </w:tc>
              <w:tc>
                <w:tcPr>
                  <w:tcW w:w="752" w:type="dxa"/>
                  <w:shd w:val="clear" w:color="auto" w:fill="auto"/>
                  <w:noWrap w:val="0"/>
                  <w:vAlign w:val="center"/>
                </w:tcPr>
                <w:p w14:paraId="728C42B5">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E</w:t>
                  </w:r>
                </w:p>
              </w:tc>
              <w:tc>
                <w:tcPr>
                  <w:tcW w:w="1083" w:type="dxa"/>
                  <w:shd w:val="clear" w:color="auto" w:fill="auto"/>
                  <w:noWrap w:val="0"/>
                  <w:vAlign w:val="center"/>
                </w:tcPr>
                <w:p w14:paraId="7B29348B">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333</w:t>
                  </w:r>
                </w:p>
              </w:tc>
              <w:tc>
                <w:tcPr>
                  <w:tcW w:w="1575" w:type="dxa"/>
                  <w:shd w:val="clear" w:color="auto" w:fill="auto"/>
                  <w:noWrap w:val="0"/>
                  <w:vAlign w:val="center"/>
                </w:tcPr>
                <w:p w14:paraId="5F4C0220">
                  <w:pPr>
                    <w:pStyle w:val="4"/>
                    <w:ind w:firstLine="0" w:firstLineChars="0"/>
                    <w:jc w:val="center"/>
                    <w:rPr>
                      <w:rFonts w:hint="eastAsia" w:ascii="Times New Roman" w:hAnsi="Times New Roman" w:eastAsia="宋体" w:cs="Times New Roman"/>
                      <w:color w:val="auto"/>
                      <w:kern w:val="44"/>
                      <w:sz w:val="21"/>
                      <w:szCs w:val="21"/>
                      <w:lang w:val="en-US" w:eastAsia="zh-CN" w:bidi="ar-SA"/>
                    </w:rPr>
                  </w:pPr>
                  <w:r>
                    <w:rPr>
                      <w:rFonts w:hint="eastAsia"/>
                      <w:color w:val="auto"/>
                      <w:lang w:val="en-US" w:eastAsia="zh-CN"/>
                    </w:rPr>
                    <w:t>师生1000人</w:t>
                  </w:r>
                </w:p>
              </w:tc>
              <w:tc>
                <w:tcPr>
                  <w:tcW w:w="1679" w:type="dxa"/>
                  <w:vMerge w:val="continue"/>
                  <w:noWrap w:val="0"/>
                  <w:vAlign w:val="center"/>
                </w:tcPr>
                <w:p w14:paraId="14902528">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1D6D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242F9C6F">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shd w:val="clear" w:color="auto" w:fill="auto"/>
                  <w:noWrap w:val="0"/>
                  <w:vAlign w:val="center"/>
                </w:tcPr>
                <w:p w14:paraId="56724CD9">
                  <w:pPr>
                    <w:pStyle w:val="4"/>
                    <w:ind w:firstLine="0" w:firstLineChars="0"/>
                    <w:jc w:val="center"/>
                    <w:rPr>
                      <w:rFonts w:hint="eastAsia" w:ascii="Times New Roman" w:hAnsi="Times New Roman" w:eastAsia="宋体" w:cs="Times New Roman"/>
                      <w:color w:val="auto"/>
                      <w:kern w:val="44"/>
                      <w:sz w:val="21"/>
                      <w:szCs w:val="21"/>
                      <w:lang w:val="en-US" w:eastAsia="zh-CN" w:bidi="ar-SA"/>
                    </w:rPr>
                  </w:pPr>
                  <w:r>
                    <w:rPr>
                      <w:rFonts w:hint="eastAsia"/>
                      <w:color w:val="auto"/>
                      <w:lang w:val="en-US" w:eastAsia="zh-CN"/>
                    </w:rPr>
                    <w:t>华曜港利幼儿园</w:t>
                  </w:r>
                </w:p>
              </w:tc>
              <w:tc>
                <w:tcPr>
                  <w:tcW w:w="820" w:type="dxa"/>
                  <w:shd w:val="clear" w:color="auto" w:fill="auto"/>
                  <w:noWrap w:val="0"/>
                  <w:vAlign w:val="center"/>
                </w:tcPr>
                <w:p w14:paraId="4251EE29">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116.841391</w:t>
                  </w:r>
                </w:p>
              </w:tc>
              <w:tc>
                <w:tcPr>
                  <w:tcW w:w="752" w:type="dxa"/>
                  <w:shd w:val="clear" w:color="auto" w:fill="auto"/>
                  <w:noWrap w:val="0"/>
                  <w:vAlign w:val="center"/>
                </w:tcPr>
                <w:p w14:paraId="1CB746C0">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33.899961</w:t>
                  </w:r>
                </w:p>
              </w:tc>
              <w:tc>
                <w:tcPr>
                  <w:tcW w:w="752" w:type="dxa"/>
                  <w:shd w:val="clear" w:color="auto" w:fill="auto"/>
                  <w:noWrap w:val="0"/>
                  <w:vAlign w:val="center"/>
                </w:tcPr>
                <w:p w14:paraId="7E17E281">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E</w:t>
                  </w:r>
                </w:p>
              </w:tc>
              <w:tc>
                <w:tcPr>
                  <w:tcW w:w="1083" w:type="dxa"/>
                  <w:shd w:val="clear" w:color="auto" w:fill="auto"/>
                  <w:noWrap w:val="0"/>
                  <w:vAlign w:val="center"/>
                </w:tcPr>
                <w:p w14:paraId="426F908D">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w:t>
                  </w:r>
                </w:p>
              </w:tc>
              <w:tc>
                <w:tcPr>
                  <w:tcW w:w="1575" w:type="dxa"/>
                  <w:shd w:val="clear" w:color="auto" w:fill="auto"/>
                  <w:noWrap w:val="0"/>
                  <w:vAlign w:val="center"/>
                </w:tcPr>
                <w:p w14:paraId="3D65EB06">
                  <w:pPr>
                    <w:pStyle w:val="36"/>
                    <w:bidi w:val="0"/>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师生500人</w:t>
                  </w:r>
                </w:p>
              </w:tc>
              <w:tc>
                <w:tcPr>
                  <w:tcW w:w="1679" w:type="dxa"/>
                  <w:vMerge w:val="continue"/>
                  <w:noWrap w:val="0"/>
                  <w:vAlign w:val="center"/>
                </w:tcPr>
                <w:p w14:paraId="3131579F">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5540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20B65625">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shd w:val="clear" w:color="auto" w:fill="auto"/>
                  <w:noWrap w:val="0"/>
                  <w:vAlign w:val="center"/>
                </w:tcPr>
                <w:p w14:paraId="3A0F7192">
                  <w:pPr>
                    <w:pStyle w:val="4"/>
                    <w:ind w:firstLine="0" w:firstLineChars="0"/>
                    <w:jc w:val="center"/>
                    <w:rPr>
                      <w:rFonts w:hint="eastAsia" w:ascii="Times New Roman" w:hAnsi="Times New Roman" w:eastAsia="宋体" w:cs="Times New Roman"/>
                      <w:color w:val="auto"/>
                      <w:kern w:val="44"/>
                      <w:sz w:val="21"/>
                      <w:szCs w:val="21"/>
                      <w:lang w:val="en-US" w:eastAsia="zh-CN" w:bidi="ar-SA"/>
                    </w:rPr>
                  </w:pPr>
                  <w:r>
                    <w:rPr>
                      <w:rFonts w:hint="eastAsia"/>
                      <w:color w:val="auto"/>
                      <w:sz w:val="21"/>
                      <w:szCs w:val="21"/>
                      <w:lang w:val="en-US" w:eastAsia="zh-CN"/>
                    </w:rPr>
                    <w:t>烈山区实验学校</w:t>
                  </w:r>
                </w:p>
              </w:tc>
              <w:tc>
                <w:tcPr>
                  <w:tcW w:w="820" w:type="dxa"/>
                  <w:shd w:val="clear" w:color="auto" w:fill="auto"/>
                  <w:noWrap w:val="0"/>
                  <w:vAlign w:val="center"/>
                </w:tcPr>
                <w:p w14:paraId="16C1539D">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116.840125</w:t>
                  </w:r>
                </w:p>
              </w:tc>
              <w:tc>
                <w:tcPr>
                  <w:tcW w:w="752" w:type="dxa"/>
                  <w:shd w:val="clear" w:color="auto" w:fill="auto"/>
                  <w:noWrap w:val="0"/>
                  <w:vAlign w:val="center"/>
                </w:tcPr>
                <w:p w14:paraId="39C46DF3">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33.891141</w:t>
                  </w:r>
                </w:p>
              </w:tc>
              <w:tc>
                <w:tcPr>
                  <w:tcW w:w="752" w:type="dxa"/>
                  <w:shd w:val="clear" w:color="auto" w:fill="auto"/>
                  <w:noWrap w:val="0"/>
                  <w:vAlign w:val="center"/>
                </w:tcPr>
                <w:p w14:paraId="43D27C40">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E</w:t>
                  </w:r>
                </w:p>
              </w:tc>
              <w:tc>
                <w:tcPr>
                  <w:tcW w:w="1083" w:type="dxa"/>
                  <w:shd w:val="clear" w:color="auto" w:fill="auto"/>
                  <w:noWrap w:val="0"/>
                  <w:vAlign w:val="center"/>
                </w:tcPr>
                <w:p w14:paraId="505F077A">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w:t>
                  </w:r>
                </w:p>
              </w:tc>
              <w:tc>
                <w:tcPr>
                  <w:tcW w:w="1575" w:type="dxa"/>
                  <w:shd w:val="clear" w:color="auto" w:fill="auto"/>
                  <w:noWrap w:val="0"/>
                  <w:vAlign w:val="center"/>
                </w:tcPr>
                <w:p w14:paraId="2CBBE41F">
                  <w:pPr>
                    <w:pStyle w:val="36"/>
                    <w:bidi w:val="0"/>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师生9000人</w:t>
                  </w:r>
                </w:p>
              </w:tc>
              <w:tc>
                <w:tcPr>
                  <w:tcW w:w="1679" w:type="dxa"/>
                  <w:vMerge w:val="continue"/>
                  <w:noWrap w:val="0"/>
                  <w:vAlign w:val="center"/>
                </w:tcPr>
                <w:p w14:paraId="41500197">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380D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89" w:type="dxa"/>
                  <w:vMerge w:val="continue"/>
                  <w:noWrap w:val="0"/>
                  <w:vAlign w:val="center"/>
                </w:tcPr>
                <w:p w14:paraId="7CFD9D1E">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shd w:val="clear" w:color="auto" w:fill="auto"/>
                  <w:noWrap w:val="0"/>
                  <w:vAlign w:val="center"/>
                </w:tcPr>
                <w:p w14:paraId="5B0EC82D">
                  <w:pPr>
                    <w:pStyle w:val="4"/>
                    <w:ind w:firstLine="0" w:firstLineChars="0"/>
                    <w:jc w:val="center"/>
                    <w:rPr>
                      <w:rFonts w:hint="default"/>
                      <w:color w:val="auto"/>
                      <w:sz w:val="21"/>
                      <w:szCs w:val="21"/>
                      <w:lang w:val="en-US" w:eastAsia="zh-CN"/>
                    </w:rPr>
                  </w:pPr>
                  <w:r>
                    <w:rPr>
                      <w:rFonts w:hint="eastAsia"/>
                      <w:color w:val="auto"/>
                      <w:sz w:val="21"/>
                      <w:szCs w:val="21"/>
                      <w:lang w:val="en-US" w:eastAsia="zh-CN"/>
                    </w:rPr>
                    <w:t>新南社区</w:t>
                  </w:r>
                </w:p>
              </w:tc>
              <w:tc>
                <w:tcPr>
                  <w:tcW w:w="820" w:type="dxa"/>
                  <w:shd w:val="clear" w:color="auto" w:fill="auto"/>
                  <w:noWrap w:val="0"/>
                  <w:vAlign w:val="center"/>
                </w:tcPr>
                <w:p w14:paraId="592DA8B0">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116.84663</w:t>
                  </w:r>
                </w:p>
              </w:tc>
              <w:tc>
                <w:tcPr>
                  <w:tcW w:w="752" w:type="dxa"/>
                  <w:shd w:val="clear" w:color="auto" w:fill="auto"/>
                  <w:noWrap w:val="0"/>
                  <w:vAlign w:val="center"/>
                </w:tcPr>
                <w:p w14:paraId="41447A94">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33.89601</w:t>
                  </w:r>
                </w:p>
              </w:tc>
              <w:tc>
                <w:tcPr>
                  <w:tcW w:w="752" w:type="dxa"/>
                  <w:shd w:val="clear" w:color="auto" w:fill="auto"/>
                  <w:noWrap w:val="0"/>
                  <w:vAlign w:val="center"/>
                </w:tcPr>
                <w:p w14:paraId="12B9ABE0">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E</w:t>
                  </w:r>
                </w:p>
              </w:tc>
              <w:tc>
                <w:tcPr>
                  <w:tcW w:w="1083" w:type="dxa"/>
                  <w:shd w:val="clear" w:color="auto" w:fill="auto"/>
                  <w:noWrap w:val="0"/>
                  <w:vAlign w:val="center"/>
                </w:tcPr>
                <w:p w14:paraId="45BEAFCA">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352</w:t>
                  </w:r>
                </w:p>
              </w:tc>
              <w:tc>
                <w:tcPr>
                  <w:tcW w:w="1575" w:type="dxa"/>
                  <w:shd w:val="clear" w:color="auto" w:fill="auto"/>
                  <w:noWrap w:val="0"/>
                  <w:vAlign w:val="center"/>
                </w:tcPr>
                <w:p w14:paraId="605BEDF6">
                  <w:pPr>
                    <w:pStyle w:val="36"/>
                    <w:bidi w:val="0"/>
                    <w:ind w:firstLine="0" w:firstLineChars="0"/>
                    <w:jc w:val="center"/>
                    <w:rPr>
                      <w:rFonts w:hint="eastAsia"/>
                      <w:color w:val="auto"/>
                      <w:lang w:val="en-US" w:eastAsia="zh-CN"/>
                    </w:rPr>
                  </w:pPr>
                  <w:r>
                    <w:rPr>
                      <w:rFonts w:hint="eastAsia"/>
                      <w:color w:val="auto"/>
                      <w:lang w:val="en-US" w:eastAsia="zh-CN"/>
                    </w:rPr>
                    <w:t>500户、1500人</w:t>
                  </w:r>
                </w:p>
              </w:tc>
              <w:tc>
                <w:tcPr>
                  <w:tcW w:w="1679" w:type="dxa"/>
                  <w:vMerge w:val="continue"/>
                  <w:noWrap w:val="0"/>
                  <w:vAlign w:val="center"/>
                </w:tcPr>
                <w:p w14:paraId="7DB64C04">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2E83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1590FF48">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shd w:val="clear" w:color="auto" w:fill="auto"/>
                  <w:noWrap w:val="0"/>
                  <w:vAlign w:val="center"/>
                </w:tcPr>
                <w:p w14:paraId="00284C53">
                  <w:pPr>
                    <w:pStyle w:val="4"/>
                    <w:ind w:firstLine="0" w:firstLineChars="0"/>
                    <w:jc w:val="center"/>
                    <w:rPr>
                      <w:rFonts w:hint="default"/>
                      <w:color w:val="auto"/>
                      <w:sz w:val="21"/>
                      <w:szCs w:val="21"/>
                      <w:lang w:val="en-US" w:eastAsia="zh-CN"/>
                    </w:rPr>
                  </w:pPr>
                  <w:r>
                    <w:rPr>
                      <w:rFonts w:hint="eastAsia"/>
                      <w:color w:val="auto"/>
                      <w:sz w:val="21"/>
                      <w:szCs w:val="21"/>
                      <w:lang w:val="en-US" w:eastAsia="zh-CN"/>
                    </w:rPr>
                    <w:t>新安花园</w:t>
                  </w:r>
                </w:p>
              </w:tc>
              <w:tc>
                <w:tcPr>
                  <w:tcW w:w="820" w:type="dxa"/>
                  <w:shd w:val="clear" w:color="auto" w:fill="auto"/>
                  <w:noWrap w:val="0"/>
                  <w:vAlign w:val="center"/>
                </w:tcPr>
                <w:p w14:paraId="6B2734EC">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116.84617</w:t>
                  </w:r>
                </w:p>
              </w:tc>
              <w:tc>
                <w:tcPr>
                  <w:tcW w:w="752" w:type="dxa"/>
                  <w:shd w:val="clear" w:color="auto" w:fill="auto"/>
                  <w:noWrap w:val="0"/>
                  <w:vAlign w:val="center"/>
                </w:tcPr>
                <w:p w14:paraId="329DF1EA">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33.89184</w:t>
                  </w:r>
                </w:p>
              </w:tc>
              <w:tc>
                <w:tcPr>
                  <w:tcW w:w="752" w:type="dxa"/>
                  <w:shd w:val="clear" w:color="auto" w:fill="auto"/>
                  <w:noWrap w:val="0"/>
                  <w:vAlign w:val="center"/>
                </w:tcPr>
                <w:p w14:paraId="4D8CA7F8">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E</w:t>
                  </w:r>
                </w:p>
              </w:tc>
              <w:tc>
                <w:tcPr>
                  <w:tcW w:w="1083" w:type="dxa"/>
                  <w:shd w:val="clear" w:color="auto" w:fill="auto"/>
                  <w:noWrap w:val="0"/>
                  <w:vAlign w:val="center"/>
                </w:tcPr>
                <w:p w14:paraId="27C7DBFE">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440</w:t>
                  </w:r>
                </w:p>
              </w:tc>
              <w:tc>
                <w:tcPr>
                  <w:tcW w:w="1575" w:type="dxa"/>
                  <w:shd w:val="clear" w:color="auto" w:fill="auto"/>
                  <w:noWrap w:val="0"/>
                  <w:vAlign w:val="center"/>
                </w:tcPr>
                <w:p w14:paraId="4F15B780">
                  <w:pPr>
                    <w:pStyle w:val="36"/>
                    <w:bidi w:val="0"/>
                    <w:ind w:firstLine="0" w:firstLineChars="0"/>
                    <w:jc w:val="center"/>
                    <w:rPr>
                      <w:rFonts w:hint="eastAsia"/>
                      <w:color w:val="auto"/>
                      <w:lang w:val="en-US" w:eastAsia="zh-CN"/>
                    </w:rPr>
                  </w:pPr>
                  <w:r>
                    <w:rPr>
                      <w:rFonts w:hint="eastAsia"/>
                      <w:color w:val="auto"/>
                      <w:lang w:val="en-US" w:eastAsia="zh-CN"/>
                    </w:rPr>
                    <w:t>800户、2400人</w:t>
                  </w:r>
                </w:p>
              </w:tc>
              <w:tc>
                <w:tcPr>
                  <w:tcW w:w="1679" w:type="dxa"/>
                  <w:vMerge w:val="continue"/>
                  <w:noWrap w:val="0"/>
                  <w:vAlign w:val="center"/>
                </w:tcPr>
                <w:p w14:paraId="3A1D3FF6">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r w14:paraId="3172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noWrap w:val="0"/>
                  <w:vAlign w:val="center"/>
                </w:tcPr>
                <w:p w14:paraId="648602B1">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c>
                <w:tcPr>
                  <w:tcW w:w="901" w:type="dxa"/>
                  <w:shd w:val="clear" w:color="auto" w:fill="auto"/>
                  <w:noWrap w:val="0"/>
                  <w:vAlign w:val="center"/>
                </w:tcPr>
                <w:p w14:paraId="6A1EB356">
                  <w:pPr>
                    <w:pStyle w:val="4"/>
                    <w:ind w:firstLine="0" w:firstLineChars="0"/>
                    <w:jc w:val="center"/>
                    <w:rPr>
                      <w:rFonts w:hint="default"/>
                      <w:color w:val="auto"/>
                      <w:sz w:val="21"/>
                      <w:szCs w:val="21"/>
                      <w:lang w:val="en-US" w:eastAsia="zh-CN"/>
                    </w:rPr>
                  </w:pPr>
                  <w:r>
                    <w:rPr>
                      <w:rFonts w:hint="eastAsia"/>
                      <w:color w:val="auto"/>
                      <w:sz w:val="21"/>
                      <w:szCs w:val="21"/>
                      <w:lang w:val="en-US" w:eastAsia="zh-CN"/>
                    </w:rPr>
                    <w:t>车管所服务大厅</w:t>
                  </w:r>
                </w:p>
              </w:tc>
              <w:tc>
                <w:tcPr>
                  <w:tcW w:w="820" w:type="dxa"/>
                  <w:shd w:val="clear" w:color="auto" w:fill="auto"/>
                  <w:noWrap w:val="0"/>
                  <w:vAlign w:val="center"/>
                </w:tcPr>
                <w:p w14:paraId="6409C134">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116.84336</w:t>
                  </w:r>
                </w:p>
              </w:tc>
              <w:tc>
                <w:tcPr>
                  <w:tcW w:w="752" w:type="dxa"/>
                  <w:shd w:val="clear" w:color="auto" w:fill="auto"/>
                  <w:noWrap w:val="0"/>
                  <w:vAlign w:val="center"/>
                </w:tcPr>
                <w:p w14:paraId="1D8693D9">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33.88726</w:t>
                  </w:r>
                </w:p>
              </w:tc>
              <w:tc>
                <w:tcPr>
                  <w:tcW w:w="752" w:type="dxa"/>
                  <w:shd w:val="clear" w:color="auto" w:fill="auto"/>
                  <w:noWrap w:val="0"/>
                  <w:vAlign w:val="center"/>
                </w:tcPr>
                <w:p w14:paraId="71518FDF">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SE</w:t>
                  </w:r>
                </w:p>
              </w:tc>
              <w:tc>
                <w:tcPr>
                  <w:tcW w:w="1083" w:type="dxa"/>
                  <w:shd w:val="clear" w:color="auto" w:fill="auto"/>
                  <w:noWrap w:val="0"/>
                  <w:vAlign w:val="center"/>
                </w:tcPr>
                <w:p w14:paraId="78E18C3B">
                  <w:pPr>
                    <w:pStyle w:val="3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302</w:t>
                  </w:r>
                </w:p>
              </w:tc>
              <w:tc>
                <w:tcPr>
                  <w:tcW w:w="1575" w:type="dxa"/>
                  <w:shd w:val="clear" w:color="auto" w:fill="auto"/>
                  <w:noWrap w:val="0"/>
                  <w:vAlign w:val="center"/>
                </w:tcPr>
                <w:p w14:paraId="31770FD0">
                  <w:pPr>
                    <w:pStyle w:val="36"/>
                    <w:bidi w:val="0"/>
                    <w:ind w:firstLine="0" w:firstLineChars="0"/>
                    <w:jc w:val="center"/>
                    <w:rPr>
                      <w:rFonts w:hint="default"/>
                      <w:color w:val="auto"/>
                      <w:lang w:val="en-US" w:eastAsia="zh-CN"/>
                    </w:rPr>
                  </w:pPr>
                  <w:r>
                    <w:rPr>
                      <w:rFonts w:hint="eastAsia"/>
                      <w:color w:val="auto"/>
                      <w:lang w:val="en-US" w:eastAsia="zh-CN"/>
                    </w:rPr>
                    <w:t>职工30人</w:t>
                  </w:r>
                </w:p>
              </w:tc>
              <w:tc>
                <w:tcPr>
                  <w:tcW w:w="1679" w:type="dxa"/>
                  <w:vMerge w:val="continue"/>
                  <w:noWrap w:val="0"/>
                  <w:vAlign w:val="center"/>
                </w:tcPr>
                <w:p w14:paraId="306E1329">
                  <w:pPr>
                    <w:pStyle w:val="36"/>
                    <w:keepNext w:val="0"/>
                    <w:keepLines w:val="0"/>
                    <w:pageBreakBefore w:val="0"/>
                    <w:widowControl/>
                    <w:kinsoku/>
                    <w:wordWrap/>
                    <w:overflowPunct/>
                    <w:topLinePunct w:val="0"/>
                    <w:autoSpaceDE/>
                    <w:autoSpaceDN/>
                    <w:bidi w:val="0"/>
                    <w:adjustRightInd/>
                    <w:snapToGrid/>
                    <w:jc w:val="center"/>
                    <w:textAlignment w:val="auto"/>
                    <w:rPr>
                      <w:rFonts w:hint="default"/>
                      <w:color w:val="auto"/>
                      <w:sz w:val="21"/>
                      <w:szCs w:val="21"/>
                    </w:rPr>
                  </w:pPr>
                </w:p>
              </w:tc>
            </w:tr>
          </w:tbl>
          <w:p w14:paraId="3EF5AFFB">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0" w:firstLineChars="0"/>
              <w:jc w:val="left"/>
              <w:textAlignment w:val="auto"/>
              <w:rPr>
                <w:rFonts w:hint="eastAsia" w:cs="Times New Roman"/>
                <w:b w:val="0"/>
                <w:bCs/>
                <w:color w:val="auto"/>
                <w:lang w:val="en-US" w:eastAsia="zh-CN"/>
              </w:rPr>
            </w:pPr>
            <w:r>
              <w:rPr>
                <w:rFonts w:hint="eastAsia" w:cs="Times New Roman"/>
                <w:b w:val="0"/>
                <w:bCs/>
                <w:color w:val="auto"/>
                <w:kern w:val="0"/>
                <w:lang w:val="en-US" w:eastAsia="zh-CN"/>
              </w:rPr>
              <w:t>管网项目</w:t>
            </w:r>
            <w:r>
              <w:rPr>
                <w:rFonts w:hint="default" w:ascii="Times New Roman" w:hAnsi="Times New Roman" w:cs="Times New Roman"/>
                <w:b w:val="0"/>
                <w:bCs/>
                <w:color w:val="auto"/>
                <w:kern w:val="0"/>
              </w:rPr>
              <w:t>环境保护目标</w:t>
            </w:r>
            <w:r>
              <w:rPr>
                <w:rFonts w:hint="eastAsia" w:cs="Times New Roman"/>
                <w:b w:val="0"/>
                <w:bCs/>
                <w:color w:val="auto"/>
                <w:lang w:val="en-US" w:eastAsia="zh-CN"/>
              </w:rPr>
              <w:t>图：</w:t>
            </w:r>
          </w:p>
          <w:p w14:paraId="4D580F74">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0" w:firstLineChars="0"/>
              <w:jc w:val="center"/>
              <w:textAlignment w:val="auto"/>
              <w:rPr>
                <w:color w:val="auto"/>
              </w:rPr>
            </w:pPr>
          </w:p>
          <w:p w14:paraId="6AA438B0">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80" w:firstLineChars="200"/>
              <w:jc w:val="left"/>
              <w:textAlignment w:val="auto"/>
              <w:rPr>
                <w:rFonts w:hint="default" w:cs="Times New Roman"/>
                <w:b w:val="0"/>
                <w:bCs/>
                <w:color w:val="auto"/>
                <w:kern w:val="0"/>
                <w:lang w:val="en-US" w:eastAsia="zh-CN"/>
              </w:rPr>
            </w:pPr>
            <w:r>
              <w:rPr>
                <w:rFonts w:hint="eastAsia" w:cs="Times New Roman"/>
                <w:b w:val="0"/>
                <w:bCs/>
                <w:color w:val="auto"/>
                <w:kern w:val="0"/>
                <w:lang w:val="en-US" w:eastAsia="zh-CN"/>
              </w:rPr>
              <w:t>地下水环境：本项目500m范围内不涉及地下水集中式饮用水水源和热水、矿泉水、温泉等特殊地下水资源。</w:t>
            </w:r>
          </w:p>
          <w:p w14:paraId="1C355808">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80" w:firstLineChars="200"/>
              <w:jc w:val="left"/>
              <w:textAlignment w:val="auto"/>
              <w:rPr>
                <w:rFonts w:hint="default" w:cs="Times New Roman"/>
                <w:b w:val="0"/>
                <w:bCs/>
                <w:color w:val="auto"/>
                <w:kern w:val="0"/>
                <w:lang w:val="en-US" w:eastAsia="zh-CN"/>
              </w:rPr>
            </w:pPr>
            <w:r>
              <w:rPr>
                <w:rFonts w:hint="eastAsia" w:cs="Times New Roman"/>
                <w:b w:val="0"/>
                <w:bCs/>
                <w:color w:val="auto"/>
                <w:kern w:val="0"/>
                <w:lang w:val="en-US" w:eastAsia="zh-CN"/>
              </w:rPr>
              <w:t>生态环境：本项目能源站为建设用地，项目地范围内容不涉及生态环境保护目标。</w:t>
            </w:r>
          </w:p>
          <w:p w14:paraId="6A3A48E5">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0" w:firstLineChars="0"/>
              <w:jc w:val="center"/>
              <w:textAlignment w:val="auto"/>
              <w:rPr>
                <w:rFonts w:hint="eastAsia"/>
                <w:b/>
                <w:bCs/>
                <w:color w:val="auto"/>
                <w:shd w:val="clear" w:color="auto" w:fill="FFFFFF"/>
                <w:lang w:val="en-US" w:eastAsia="zh-CN"/>
              </w:rPr>
            </w:pPr>
          </w:p>
        </w:tc>
      </w:tr>
      <w:tr w14:paraId="3A952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513" w:type="dxa"/>
            <w:tcMar>
              <w:left w:w="28" w:type="dxa"/>
              <w:right w:w="28" w:type="dxa"/>
            </w:tcMar>
            <w:vAlign w:val="center"/>
          </w:tcPr>
          <w:p w14:paraId="4EC35A1A">
            <w:pPr>
              <w:adjustRightInd w:val="0"/>
              <w:snapToGrid w:val="0"/>
              <w:ind w:firstLine="0" w:firstLineChars="0"/>
              <w:jc w:val="center"/>
              <w:rPr>
                <w:rFonts w:ascii="宋体" w:hAnsi="宋体" w:cs="宋体"/>
                <w:color w:val="auto"/>
                <w:kern w:val="0"/>
                <w:szCs w:val="21"/>
              </w:rPr>
            </w:pPr>
            <w:r>
              <w:rPr>
                <w:rFonts w:hint="eastAsia" w:ascii="宋体" w:hAnsi="宋体" w:cs="宋体"/>
                <w:color w:val="auto"/>
                <w:kern w:val="0"/>
                <w:szCs w:val="21"/>
              </w:rPr>
              <w:t>污染物排放控</w:t>
            </w:r>
          </w:p>
          <w:p w14:paraId="736CB5AB">
            <w:pPr>
              <w:adjustRightInd w:val="0"/>
              <w:snapToGrid w:val="0"/>
              <w:ind w:firstLine="0" w:firstLineChars="0"/>
              <w:jc w:val="center"/>
              <w:rPr>
                <w:rFonts w:ascii="宋体" w:hAnsi="宋体" w:cs="宋体"/>
                <w:color w:val="auto"/>
                <w:kern w:val="0"/>
                <w:szCs w:val="21"/>
              </w:rPr>
            </w:pPr>
            <w:r>
              <w:rPr>
                <w:rFonts w:hint="eastAsia" w:ascii="宋体" w:hAnsi="宋体" w:cs="宋体"/>
                <w:color w:val="auto"/>
                <w:kern w:val="0"/>
                <w:szCs w:val="21"/>
              </w:rPr>
              <w:t>制标准</w:t>
            </w:r>
          </w:p>
        </w:tc>
        <w:tc>
          <w:tcPr>
            <w:tcW w:w="8477" w:type="dxa"/>
          </w:tcPr>
          <w:p w14:paraId="55D86E9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rPr>
            </w:pPr>
            <w:r>
              <w:rPr>
                <w:rFonts w:hint="eastAsia"/>
                <w:szCs w:val="21"/>
              </w:rPr>
              <w:t>锅炉燃烧废气（颗粒物、</w:t>
            </w:r>
            <w:r>
              <w:rPr>
                <w:rFonts w:hint="eastAsia"/>
              </w:rPr>
              <w:t>SO</w:t>
            </w:r>
            <w:r>
              <w:rPr>
                <w:rFonts w:hint="eastAsia"/>
                <w:vertAlign w:val="subscript"/>
              </w:rPr>
              <w:t>2</w:t>
            </w:r>
            <w:r>
              <w:rPr>
                <w:rFonts w:hint="eastAsia"/>
              </w:rPr>
              <w:t>、NO</w:t>
            </w:r>
            <w:r>
              <w:rPr>
                <w:rFonts w:hint="eastAsia"/>
                <w:vertAlign w:val="subscript"/>
              </w:rPr>
              <w:t>X</w:t>
            </w:r>
            <w:r>
              <w:rPr>
                <w:rFonts w:hint="eastAsia"/>
                <w:szCs w:val="21"/>
              </w:rPr>
              <w:t>）</w:t>
            </w:r>
            <w:r>
              <w:rPr>
                <w:rFonts w:hint="eastAsia"/>
              </w:rPr>
              <w:t>排放执行《锅炉大气污染物排放标准》（GB13271-2014）表3燃气锅炉大气污染物特别排放限值要求及安徽省大气办关于印发《安徽省2020年大气污染防治重点工作任务》中相关标准</w:t>
            </w:r>
            <w:r>
              <w:rPr>
                <w:rFonts w:hint="eastAsia"/>
                <w:color w:val="auto"/>
              </w:rPr>
              <w:t>。</w:t>
            </w:r>
          </w:p>
          <w:p w14:paraId="29799522">
            <w:pPr>
              <w:spacing w:line="360" w:lineRule="auto"/>
              <w:ind w:firstLine="480" w:firstLineChars="200"/>
              <w:rPr>
                <w:rFonts w:hint="eastAsia" w:ascii="Times New Roman" w:hAnsi="Times New Roman" w:eastAsia="宋体" w:cs="Times New Roman"/>
                <w:b w:val="0"/>
                <w:bCs w:val="0"/>
                <w:color w:val="000000"/>
                <w:sz w:val="24"/>
                <w:szCs w:val="24"/>
                <w:lang w:eastAsia="zh-CN"/>
              </w:rPr>
            </w:pPr>
            <w:r>
              <w:rPr>
                <w:rFonts w:hint="eastAsia"/>
                <w:color w:val="auto"/>
                <w:lang w:val="en-US" w:eastAsia="zh-CN"/>
              </w:rPr>
              <w:t>储罐产生的储罐呼吸废气排放执行</w:t>
            </w:r>
            <w:r>
              <w:rPr>
                <w:rFonts w:hint="eastAsia" w:cs="宋体"/>
              </w:rPr>
              <w:t>《大气污染物综合排放标准》（GB16297-1996）相关标准</w:t>
            </w:r>
            <w:r>
              <w:rPr>
                <w:rFonts w:hint="eastAsia" w:cs="宋体"/>
                <w:lang w:val="en-US" w:eastAsia="zh-CN"/>
              </w:rPr>
              <w:t>及</w:t>
            </w:r>
            <w:r>
              <w:rPr>
                <w:rFonts w:hint="default" w:ascii="Times New Roman" w:hAnsi="Times New Roman" w:eastAsia="宋体" w:cs="Times New Roman"/>
                <w:b w:val="0"/>
                <w:bCs w:val="0"/>
                <w:color w:val="000000"/>
                <w:sz w:val="24"/>
                <w:szCs w:val="24"/>
              </w:rPr>
              <w:t>《挥发性有机物无组织排放控制标准》（GB37822-2019）中表A.1</w:t>
            </w:r>
            <w:r>
              <w:rPr>
                <w:rFonts w:hint="eastAsia" w:cs="Times New Roman"/>
                <w:b w:val="0"/>
                <w:bCs w:val="0"/>
                <w:color w:val="000000"/>
                <w:sz w:val="24"/>
                <w:szCs w:val="24"/>
                <w:lang w:val="en-US" w:eastAsia="zh-CN"/>
              </w:rPr>
              <w:t>特别</w:t>
            </w:r>
            <w:r>
              <w:rPr>
                <w:rFonts w:hint="default" w:ascii="Times New Roman" w:hAnsi="Times New Roman" w:eastAsia="宋体" w:cs="Times New Roman"/>
                <w:b w:val="0"/>
                <w:bCs w:val="0"/>
                <w:color w:val="000000"/>
                <w:sz w:val="24"/>
                <w:szCs w:val="24"/>
              </w:rPr>
              <w:t>排放限值要求</w:t>
            </w:r>
            <w:r>
              <w:rPr>
                <w:rFonts w:hint="eastAsia" w:cs="Times New Roman"/>
                <w:b w:val="0"/>
                <w:bCs w:val="0"/>
                <w:color w:val="000000"/>
                <w:sz w:val="24"/>
                <w:szCs w:val="24"/>
                <w:lang w:eastAsia="zh-CN"/>
              </w:rPr>
              <w:t>；</w:t>
            </w:r>
          </w:p>
          <w:p w14:paraId="2C119B5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s="宋体"/>
                <w:lang w:val="en-US" w:eastAsia="zh-CN"/>
              </w:rPr>
            </w:pPr>
            <w:r>
              <w:rPr>
                <w:rFonts w:hint="eastAsia"/>
                <w:color w:val="000000" w:themeColor="text1"/>
                <w:kern w:val="0"/>
                <w:sz w:val="24"/>
                <w:lang w:val="en-US" w:eastAsia="zh-CN"/>
                <w14:textFill>
                  <w14:solidFill>
                    <w14:schemeClr w14:val="tx1"/>
                  </w14:solidFill>
                </w14:textFill>
              </w:rPr>
              <w:t>项目管道施工期废气排放</w:t>
            </w:r>
            <w:r>
              <w:rPr>
                <w:rFonts w:hint="eastAsia"/>
                <w:color w:val="000000" w:themeColor="text1"/>
                <w:kern w:val="0"/>
                <w:sz w:val="24"/>
                <w14:textFill>
                  <w14:solidFill>
                    <w14:schemeClr w14:val="tx1"/>
                  </w14:solidFill>
                </w14:textFill>
              </w:rPr>
              <w:t>执行</w:t>
            </w:r>
            <w:r>
              <w:rPr>
                <w:rFonts w:hint="eastAsia" w:cs="宋体"/>
                <w:color w:val="000000" w:themeColor="text1"/>
                <w:sz w:val="24"/>
                <w:szCs w:val="24"/>
                <w14:textFill>
                  <w14:solidFill>
                    <w14:schemeClr w14:val="tx1"/>
                  </w14:solidFill>
                </w14:textFill>
              </w:rPr>
              <w:t>《大气污染物综合排放标准》（</w:t>
            </w:r>
            <w:r>
              <w:rPr>
                <w:rFonts w:hint="eastAsia"/>
                <w:color w:val="000000" w:themeColor="text1"/>
                <w:sz w:val="24"/>
                <w:szCs w:val="24"/>
                <w:lang w:val="en-US" w:eastAsia="zh-CN"/>
                <w14:textFill>
                  <w14:solidFill>
                    <w14:schemeClr w14:val="tx1"/>
                  </w14:solidFill>
                </w14:textFill>
              </w:rPr>
              <w:t>G</w:t>
            </w:r>
            <w:r>
              <w:rPr>
                <w:rFonts w:hint="default"/>
                <w:color w:val="000000" w:themeColor="text1"/>
                <w:sz w:val="24"/>
                <w:szCs w:val="24"/>
                <w14:textFill>
                  <w14:solidFill>
                    <w14:schemeClr w14:val="tx1"/>
                  </w14:solidFill>
                </w14:textFill>
              </w:rPr>
              <w:t>B</w:t>
            </w:r>
            <w:r>
              <w:rPr>
                <w:rFonts w:hint="eastAsia"/>
                <w:color w:val="000000" w:themeColor="text1"/>
                <w:sz w:val="24"/>
                <w:szCs w:val="24"/>
                <w14:textFill>
                  <w14:solidFill>
                    <w14:schemeClr w14:val="tx1"/>
                  </w14:solidFill>
                </w14:textFill>
              </w:rPr>
              <w:t>16297-1996</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和《施工场地颗粒物排放标准》（DB34/ 4811-2024）</w:t>
            </w:r>
            <w:r>
              <w:rPr>
                <w:rFonts w:hint="eastAsia" w:cs="宋体"/>
                <w:color w:val="000000" w:themeColor="text1"/>
                <w:sz w:val="24"/>
                <w:szCs w:val="24"/>
                <w14:textFill>
                  <w14:solidFill>
                    <w14:schemeClr w14:val="tx1"/>
                  </w14:solidFill>
                </w14:textFill>
              </w:rPr>
              <w:t>中的相关标准</w:t>
            </w:r>
            <w:r>
              <w:rPr>
                <w:rFonts w:hint="eastAsia" w:cs="宋体"/>
                <w:color w:val="000000" w:themeColor="text1"/>
                <w:sz w:val="24"/>
                <w:szCs w:val="24"/>
                <w:lang w:eastAsia="zh-CN"/>
                <w14:textFill>
                  <w14:solidFill>
                    <w14:schemeClr w14:val="tx1"/>
                  </w14:solidFill>
                </w14:textFill>
              </w:rPr>
              <w:t>。</w:t>
            </w:r>
          </w:p>
          <w:p w14:paraId="3D1B30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rPr>
            </w:pPr>
            <w:r>
              <w:rPr>
                <w:rFonts w:hint="eastAsia"/>
                <w:b/>
                <w:bCs/>
              </w:rPr>
              <w:t>表3-</w:t>
            </w:r>
            <w:r>
              <w:rPr>
                <w:rFonts w:hint="eastAsia"/>
                <w:b/>
                <w:bCs/>
                <w:lang w:val="en-US" w:eastAsia="zh-CN"/>
              </w:rPr>
              <w:t>6</w:t>
            </w:r>
            <w:r>
              <w:rPr>
                <w:rFonts w:hint="eastAsia"/>
                <w:b/>
                <w:bCs/>
              </w:rPr>
              <w:t xml:space="preserve">  《锅炉大气污染物排放标准》（GB13271-2014）</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2750"/>
              <w:gridCol w:w="2750"/>
            </w:tblGrid>
            <w:tr w14:paraId="0FC5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noWrap w:val="0"/>
                  <w:vAlign w:val="center"/>
                </w:tcPr>
                <w:p w14:paraId="591265F2">
                  <w:pPr>
                    <w:pStyle w:val="4"/>
                    <w:outlineLvl w:val="0"/>
                    <w:rPr>
                      <w:b/>
                      <w:bCs/>
                    </w:rPr>
                  </w:pPr>
                  <w:r>
                    <w:rPr>
                      <w:rFonts w:hint="eastAsia"/>
                      <w:b/>
                      <w:bCs/>
                    </w:rPr>
                    <w:t>污染物</w:t>
                  </w:r>
                </w:p>
              </w:tc>
              <w:tc>
                <w:tcPr>
                  <w:tcW w:w="1659" w:type="dxa"/>
                  <w:noWrap w:val="0"/>
                  <w:vAlign w:val="center"/>
                </w:tcPr>
                <w:p w14:paraId="6EF7221A">
                  <w:pPr>
                    <w:pStyle w:val="4"/>
                    <w:outlineLvl w:val="0"/>
                    <w:rPr>
                      <w:rFonts w:hint="eastAsia" w:eastAsia="宋体"/>
                      <w:b/>
                      <w:bCs/>
                      <w:lang w:eastAsia="zh-CN"/>
                    </w:rPr>
                  </w:pPr>
                  <w:r>
                    <w:rPr>
                      <w:rFonts w:hint="eastAsia"/>
                      <w:b/>
                      <w:bCs/>
                    </w:rPr>
                    <w:t>燃</w:t>
                  </w:r>
                  <w:r>
                    <w:rPr>
                      <w:rFonts w:hint="eastAsia"/>
                      <w:b/>
                      <w:bCs/>
                      <w:lang w:val="en-US" w:eastAsia="zh-CN"/>
                    </w:rPr>
                    <w:t>气</w:t>
                  </w:r>
                  <w:r>
                    <w:rPr>
                      <w:rFonts w:hint="eastAsia"/>
                      <w:b/>
                      <w:bCs/>
                    </w:rPr>
                    <w:t>锅炉限值</w:t>
                  </w:r>
                  <w:r>
                    <w:rPr>
                      <w:rFonts w:hint="eastAsia"/>
                      <w:b/>
                      <w:bCs/>
                      <w:lang w:eastAsia="zh-CN"/>
                    </w:rPr>
                    <w:t>（</w:t>
                  </w:r>
                  <w:r>
                    <w:rPr>
                      <w:rFonts w:hint="default"/>
                      <w:b/>
                      <w:bCs/>
                      <w:color w:val="000000" w:themeColor="text1"/>
                      <w14:textFill>
                        <w14:solidFill>
                          <w14:schemeClr w14:val="tx1"/>
                        </w14:solidFill>
                      </w14:textFill>
                    </w:rPr>
                    <w:t>mg/m</w:t>
                  </w:r>
                  <w:r>
                    <w:rPr>
                      <w:rFonts w:hint="default"/>
                      <w:b/>
                      <w:bCs/>
                      <w:color w:val="000000" w:themeColor="text1"/>
                      <w:vertAlign w:val="superscript"/>
                      <w14:textFill>
                        <w14:solidFill>
                          <w14:schemeClr w14:val="tx1"/>
                        </w14:solidFill>
                      </w14:textFill>
                    </w:rPr>
                    <w:t>3</w:t>
                  </w:r>
                  <w:r>
                    <w:rPr>
                      <w:rFonts w:hint="eastAsia"/>
                      <w:b/>
                      <w:bCs/>
                      <w:lang w:eastAsia="zh-CN"/>
                    </w:rPr>
                    <w:t>）</w:t>
                  </w:r>
                </w:p>
              </w:tc>
              <w:tc>
                <w:tcPr>
                  <w:tcW w:w="1659" w:type="dxa"/>
                  <w:noWrap w:val="0"/>
                  <w:vAlign w:val="center"/>
                </w:tcPr>
                <w:p w14:paraId="52562CC2">
                  <w:pPr>
                    <w:pStyle w:val="4"/>
                    <w:outlineLvl w:val="0"/>
                    <w:rPr>
                      <w:b/>
                      <w:bCs/>
                    </w:rPr>
                  </w:pPr>
                  <w:r>
                    <w:rPr>
                      <w:rFonts w:hint="eastAsia"/>
                      <w:b/>
                      <w:bCs/>
                    </w:rPr>
                    <w:t>污染物排放监控位置</w:t>
                  </w:r>
                </w:p>
              </w:tc>
            </w:tr>
            <w:tr w14:paraId="7A03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noWrap w:val="0"/>
                  <w:vAlign w:val="center"/>
                </w:tcPr>
                <w:p w14:paraId="5CD2086B">
                  <w:pPr>
                    <w:pStyle w:val="4"/>
                    <w:outlineLvl w:val="0"/>
                  </w:pPr>
                  <w:r>
                    <w:rPr>
                      <w:rFonts w:hint="eastAsia"/>
                    </w:rPr>
                    <w:t>颗粒物</w:t>
                  </w:r>
                </w:p>
              </w:tc>
              <w:tc>
                <w:tcPr>
                  <w:tcW w:w="1659" w:type="dxa"/>
                  <w:noWrap w:val="0"/>
                  <w:vAlign w:val="center"/>
                </w:tcPr>
                <w:p w14:paraId="182AD1B6">
                  <w:pPr>
                    <w:pStyle w:val="4"/>
                    <w:outlineLvl w:val="0"/>
                    <w:rPr>
                      <w:rFonts w:hint="default" w:eastAsia="宋体"/>
                      <w:lang w:val="en-US" w:eastAsia="zh-CN"/>
                    </w:rPr>
                  </w:pPr>
                  <w:r>
                    <w:rPr>
                      <w:rFonts w:hint="eastAsia"/>
                      <w:lang w:val="en-US" w:eastAsia="zh-CN"/>
                    </w:rPr>
                    <w:t>20</w:t>
                  </w:r>
                </w:p>
              </w:tc>
              <w:tc>
                <w:tcPr>
                  <w:tcW w:w="1659" w:type="dxa"/>
                  <w:vMerge w:val="restart"/>
                  <w:noWrap w:val="0"/>
                  <w:vAlign w:val="center"/>
                </w:tcPr>
                <w:p w14:paraId="3BBCB448">
                  <w:pPr>
                    <w:pStyle w:val="4"/>
                    <w:outlineLvl w:val="0"/>
                  </w:pPr>
                  <w:r>
                    <w:rPr>
                      <w:rFonts w:hint="eastAsia"/>
                    </w:rPr>
                    <w:t>烟囱或烟道</w:t>
                  </w:r>
                </w:p>
              </w:tc>
            </w:tr>
            <w:tr w14:paraId="1F0F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noWrap w:val="0"/>
                  <w:vAlign w:val="center"/>
                </w:tcPr>
                <w:p w14:paraId="51A849EC">
                  <w:pPr>
                    <w:pStyle w:val="4"/>
                    <w:outlineLvl w:val="0"/>
                  </w:pPr>
                  <w:r>
                    <w:rPr>
                      <w:rFonts w:hint="eastAsia"/>
                    </w:rPr>
                    <w:t>二氧化硫</w:t>
                  </w:r>
                </w:p>
              </w:tc>
              <w:tc>
                <w:tcPr>
                  <w:tcW w:w="1659" w:type="dxa"/>
                  <w:noWrap w:val="0"/>
                  <w:vAlign w:val="center"/>
                </w:tcPr>
                <w:p w14:paraId="1DB1DDAC">
                  <w:pPr>
                    <w:pStyle w:val="4"/>
                    <w:outlineLvl w:val="0"/>
                    <w:rPr>
                      <w:rFonts w:hint="default" w:eastAsia="宋体"/>
                      <w:lang w:val="en-US" w:eastAsia="zh-CN"/>
                    </w:rPr>
                  </w:pPr>
                  <w:r>
                    <w:rPr>
                      <w:rFonts w:hint="eastAsia"/>
                      <w:lang w:val="en-US" w:eastAsia="zh-CN"/>
                    </w:rPr>
                    <w:t>50</w:t>
                  </w:r>
                </w:p>
              </w:tc>
              <w:tc>
                <w:tcPr>
                  <w:tcW w:w="1659" w:type="dxa"/>
                  <w:vMerge w:val="continue"/>
                  <w:noWrap w:val="0"/>
                  <w:vAlign w:val="center"/>
                </w:tcPr>
                <w:p w14:paraId="7CD6404A">
                  <w:pPr>
                    <w:pStyle w:val="4"/>
                    <w:outlineLvl w:val="0"/>
                  </w:pPr>
                </w:p>
              </w:tc>
            </w:tr>
            <w:tr w14:paraId="62AA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noWrap w:val="0"/>
                  <w:vAlign w:val="center"/>
                </w:tcPr>
                <w:p w14:paraId="582FAFD2">
                  <w:pPr>
                    <w:pStyle w:val="4"/>
                    <w:outlineLvl w:val="0"/>
                  </w:pPr>
                  <w:r>
                    <w:rPr>
                      <w:rFonts w:hint="eastAsia"/>
                    </w:rPr>
                    <w:t>氮氧化物</w:t>
                  </w:r>
                </w:p>
              </w:tc>
              <w:tc>
                <w:tcPr>
                  <w:tcW w:w="1659" w:type="dxa"/>
                  <w:noWrap w:val="0"/>
                  <w:vAlign w:val="center"/>
                </w:tcPr>
                <w:p w14:paraId="3F95430E">
                  <w:pPr>
                    <w:pStyle w:val="4"/>
                    <w:outlineLvl w:val="0"/>
                    <w:rPr>
                      <w:rFonts w:hint="default" w:eastAsia="宋体"/>
                      <w:lang w:val="en-US" w:eastAsia="zh-CN"/>
                    </w:rPr>
                  </w:pPr>
                  <w:r>
                    <w:rPr>
                      <w:rFonts w:hint="eastAsia"/>
                      <w:lang w:val="en-US" w:eastAsia="zh-CN"/>
                    </w:rPr>
                    <w:t>50</w:t>
                  </w:r>
                  <w:r>
                    <w:t>*</w:t>
                  </w:r>
                </w:p>
              </w:tc>
              <w:tc>
                <w:tcPr>
                  <w:tcW w:w="1659" w:type="dxa"/>
                  <w:vMerge w:val="continue"/>
                  <w:noWrap w:val="0"/>
                  <w:vAlign w:val="center"/>
                </w:tcPr>
                <w:p w14:paraId="6DE75A38">
                  <w:pPr>
                    <w:pStyle w:val="4"/>
                    <w:outlineLvl w:val="0"/>
                  </w:pPr>
                </w:p>
              </w:tc>
            </w:tr>
            <w:tr w14:paraId="4F8F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noWrap w:val="0"/>
                  <w:vAlign w:val="center"/>
                </w:tcPr>
                <w:p w14:paraId="3408739E">
                  <w:pPr>
                    <w:pStyle w:val="4"/>
                    <w:outlineLvl w:val="0"/>
                  </w:pPr>
                  <w:r>
                    <w:rPr>
                      <w:rFonts w:hint="eastAsia"/>
                    </w:rPr>
                    <w:t>烟气黑度（林格曼黑度，级）</w:t>
                  </w:r>
                </w:p>
              </w:tc>
              <w:tc>
                <w:tcPr>
                  <w:tcW w:w="1659" w:type="dxa"/>
                  <w:noWrap w:val="0"/>
                  <w:vAlign w:val="center"/>
                </w:tcPr>
                <w:p w14:paraId="3FFA5C94">
                  <w:pPr>
                    <w:pStyle w:val="4"/>
                    <w:outlineLvl w:val="0"/>
                  </w:pPr>
                  <w:r>
                    <w:t>≤</w:t>
                  </w:r>
                  <w:r>
                    <w:rPr>
                      <w:rFonts w:hint="eastAsia"/>
                    </w:rPr>
                    <w:t>1</w:t>
                  </w:r>
                </w:p>
              </w:tc>
              <w:tc>
                <w:tcPr>
                  <w:tcW w:w="1659" w:type="dxa"/>
                  <w:noWrap w:val="0"/>
                  <w:vAlign w:val="center"/>
                </w:tcPr>
                <w:p w14:paraId="35F4D88D">
                  <w:pPr>
                    <w:pStyle w:val="4"/>
                    <w:outlineLvl w:val="0"/>
                  </w:pPr>
                  <w:r>
                    <w:rPr>
                      <w:rFonts w:hint="eastAsia"/>
                    </w:rPr>
                    <w:t>烟囱排放口</w:t>
                  </w:r>
                </w:p>
              </w:tc>
            </w:tr>
          </w:tbl>
          <w:p w14:paraId="77D2EA53">
            <w:pPr>
              <w:spacing w:line="240" w:lineRule="auto"/>
              <w:ind w:firstLine="0" w:firstLineChars="0"/>
              <w:rPr>
                <w:sz w:val="20"/>
                <w:szCs w:val="20"/>
              </w:rPr>
            </w:pPr>
            <w:r>
              <w:rPr>
                <w:rFonts w:hint="eastAsia"/>
                <w:sz w:val="20"/>
                <w:szCs w:val="20"/>
              </w:rPr>
              <w:t>注：</w:t>
            </w:r>
            <w:r>
              <w:rPr>
                <w:sz w:val="20"/>
                <w:szCs w:val="20"/>
              </w:rPr>
              <w:t>*皖大气办〔2020〕2号：安徽省大气办关于印发《安徽省2020年大气污染防治重点工作任务》中明确，2020年底前，城市建成区燃气锅炉基本完成低氮燃烧改造，原则上改造后氮氧化物排放浓度不高于50毫克/立方米，故本项目燃气锅炉氮氧化物排放标准要求为50mg/m</w:t>
            </w:r>
            <w:r>
              <w:rPr>
                <w:sz w:val="20"/>
                <w:szCs w:val="20"/>
                <w:vertAlign w:val="superscript"/>
              </w:rPr>
              <w:t>3</w:t>
            </w:r>
            <w:r>
              <w:rPr>
                <w:sz w:val="20"/>
                <w:szCs w:val="20"/>
              </w:rPr>
              <w:t>。</w:t>
            </w:r>
          </w:p>
          <w:p w14:paraId="12A99D4E">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表</w:t>
            </w:r>
            <w:r>
              <w:rPr>
                <w:b/>
                <w:bCs/>
                <w:color w:val="000000" w:themeColor="text1"/>
                <w:sz w:val="24"/>
                <w:szCs w:val="24"/>
                <w14:textFill>
                  <w14:solidFill>
                    <w14:schemeClr w14:val="tx1"/>
                  </w14:solidFill>
                </w14:textFill>
              </w:rPr>
              <w:t>3-</w:t>
            </w:r>
            <w:r>
              <w:rPr>
                <w:rFonts w:hint="eastAsia"/>
                <w:b/>
                <w:bCs/>
                <w:color w:val="000000" w:themeColor="text1"/>
                <w:sz w:val="24"/>
                <w:szCs w:val="24"/>
                <w:lang w:val="en-US" w:eastAsia="zh-CN"/>
                <w14:textFill>
                  <w14:solidFill>
                    <w14:schemeClr w14:val="tx1"/>
                  </w14:solidFill>
                </w14:textFill>
              </w:rPr>
              <w:t xml:space="preserve">7  </w:t>
            </w:r>
            <w:r>
              <w:rPr>
                <w:rFonts w:hint="eastAsia" w:cs="宋体"/>
                <w:b/>
                <w:bCs/>
                <w:color w:val="000000" w:themeColor="text1"/>
                <w:sz w:val="24"/>
                <w:szCs w:val="24"/>
                <w14:textFill>
                  <w14:solidFill>
                    <w14:schemeClr w14:val="tx1"/>
                  </w14:solidFill>
                </w14:textFill>
              </w:rPr>
              <w:t>《大气污染物综合排放标准》（</w:t>
            </w:r>
            <w:r>
              <w:rPr>
                <w:rFonts w:hint="eastAsia" w:cs="宋体"/>
                <w:b/>
                <w:bCs/>
                <w:color w:val="000000" w:themeColor="text1"/>
                <w:sz w:val="24"/>
                <w:szCs w:val="24"/>
                <w:lang w:val="en-US" w:eastAsia="zh-CN"/>
                <w14:textFill>
                  <w14:solidFill>
                    <w14:schemeClr w14:val="tx1"/>
                  </w14:solidFill>
                </w14:textFill>
              </w:rPr>
              <w:t>G</w:t>
            </w:r>
            <w:r>
              <w:rPr>
                <w:rFonts w:hint="eastAsia" w:cs="宋体"/>
                <w:b/>
                <w:bCs/>
                <w:color w:val="000000" w:themeColor="text1"/>
                <w:sz w:val="24"/>
                <w:szCs w:val="24"/>
                <w14:textFill>
                  <w14:solidFill>
                    <w14:schemeClr w14:val="tx1"/>
                  </w14:solidFill>
                </w14:textFill>
              </w:rPr>
              <w:t>B16297-1996）中标准限值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3013"/>
              <w:gridCol w:w="3015"/>
            </w:tblGrid>
            <w:tr w14:paraId="1726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47" w:type="pct"/>
                  <w:vMerge w:val="restart"/>
                  <w:tcBorders>
                    <w:top w:val="single" w:color="auto" w:sz="4" w:space="0"/>
                    <w:left w:val="single" w:color="auto" w:sz="4" w:space="0"/>
                    <w:right w:val="single" w:color="auto" w:sz="4" w:space="0"/>
                  </w:tcBorders>
                  <w:vAlign w:val="center"/>
                </w:tcPr>
                <w:p w14:paraId="675A679D">
                  <w:pPr>
                    <w:pStyle w:val="36"/>
                    <w:keepNext w:val="0"/>
                    <w:keepLines w:val="0"/>
                    <w:pageBreakBefore w:val="0"/>
                    <w:kinsoku/>
                    <w:wordWrap/>
                    <w:overflowPunct/>
                    <w:topLinePunct w:val="0"/>
                    <w:autoSpaceDE/>
                    <w:autoSpaceDN/>
                    <w:bidi w:val="0"/>
                    <w:adjustRightInd/>
                    <w:snapToGrid/>
                    <w:textAlignment w:val="auto"/>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污染物</w:t>
                  </w:r>
                </w:p>
              </w:tc>
              <w:tc>
                <w:tcPr>
                  <w:tcW w:w="3652" w:type="pct"/>
                  <w:gridSpan w:val="2"/>
                  <w:tcBorders>
                    <w:top w:val="single" w:color="auto" w:sz="4" w:space="0"/>
                    <w:left w:val="single" w:color="auto" w:sz="4" w:space="0"/>
                    <w:bottom w:val="single" w:color="auto" w:sz="4" w:space="0"/>
                    <w:right w:val="single" w:color="auto" w:sz="4" w:space="0"/>
                  </w:tcBorders>
                  <w:vAlign w:val="center"/>
                </w:tcPr>
                <w:p w14:paraId="3D42EB58">
                  <w:pPr>
                    <w:pStyle w:val="36"/>
                    <w:keepNext w:val="0"/>
                    <w:keepLines w:val="0"/>
                    <w:pageBreakBefore w:val="0"/>
                    <w:kinsoku/>
                    <w:wordWrap/>
                    <w:overflowPunct/>
                    <w:topLinePunct w:val="0"/>
                    <w:autoSpaceDE/>
                    <w:autoSpaceDN/>
                    <w:bidi w:val="0"/>
                    <w:adjustRightInd/>
                    <w:snapToGrid/>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无组织排放</w:t>
                  </w:r>
                  <w:r>
                    <w:rPr>
                      <w:rFonts w:hint="default"/>
                      <w:b/>
                      <w:bCs/>
                      <w:color w:val="000000" w:themeColor="text1"/>
                      <w14:textFill>
                        <w14:solidFill>
                          <w14:schemeClr w14:val="tx1"/>
                        </w14:solidFill>
                      </w14:textFill>
                    </w:rPr>
                    <w:t>监控浓度限值</w:t>
                  </w:r>
                </w:p>
              </w:tc>
            </w:tr>
            <w:tr w14:paraId="5565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47" w:type="pct"/>
                  <w:vMerge w:val="continue"/>
                  <w:tcBorders>
                    <w:left w:val="single" w:color="auto" w:sz="4" w:space="0"/>
                    <w:bottom w:val="single" w:color="auto" w:sz="4" w:space="0"/>
                    <w:right w:val="single" w:color="auto" w:sz="4" w:space="0"/>
                  </w:tcBorders>
                  <w:vAlign w:val="center"/>
                </w:tcPr>
                <w:p w14:paraId="4D55ECE2">
                  <w:pPr>
                    <w:pStyle w:val="36"/>
                    <w:keepNext w:val="0"/>
                    <w:keepLines w:val="0"/>
                    <w:pageBreakBefore w:val="0"/>
                    <w:kinsoku/>
                    <w:wordWrap/>
                    <w:overflowPunct/>
                    <w:topLinePunct w:val="0"/>
                    <w:autoSpaceDE/>
                    <w:autoSpaceDN/>
                    <w:bidi w:val="0"/>
                    <w:adjustRightInd/>
                    <w:snapToGrid/>
                    <w:textAlignment w:val="auto"/>
                    <w:rPr>
                      <w:b/>
                      <w:bCs/>
                      <w:color w:val="000000" w:themeColor="text1"/>
                      <w14:textFill>
                        <w14:solidFill>
                          <w14:schemeClr w14:val="tx1"/>
                        </w14:solidFill>
                      </w14:textFill>
                    </w:rPr>
                  </w:pPr>
                </w:p>
              </w:tc>
              <w:tc>
                <w:tcPr>
                  <w:tcW w:w="1825" w:type="pct"/>
                  <w:tcBorders>
                    <w:top w:val="single" w:color="auto" w:sz="4" w:space="0"/>
                    <w:left w:val="single" w:color="auto" w:sz="4" w:space="0"/>
                    <w:bottom w:val="single" w:color="auto" w:sz="4" w:space="0"/>
                    <w:right w:val="single" w:color="auto" w:sz="4" w:space="0"/>
                  </w:tcBorders>
                  <w:vAlign w:val="center"/>
                </w:tcPr>
                <w:p w14:paraId="125D1282">
                  <w:pPr>
                    <w:pStyle w:val="36"/>
                    <w:keepNext w:val="0"/>
                    <w:keepLines w:val="0"/>
                    <w:pageBreakBefore w:val="0"/>
                    <w:kinsoku/>
                    <w:wordWrap/>
                    <w:overflowPunct/>
                    <w:topLinePunct w:val="0"/>
                    <w:autoSpaceDE/>
                    <w:autoSpaceDN/>
                    <w:bidi w:val="0"/>
                    <w:adjustRightInd/>
                    <w:snapToGrid/>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监控点</w:t>
                  </w:r>
                </w:p>
              </w:tc>
              <w:tc>
                <w:tcPr>
                  <w:tcW w:w="1827" w:type="pct"/>
                  <w:tcBorders>
                    <w:top w:val="single" w:color="auto" w:sz="4" w:space="0"/>
                    <w:left w:val="single" w:color="auto" w:sz="4" w:space="0"/>
                    <w:bottom w:val="single" w:color="auto" w:sz="4" w:space="0"/>
                    <w:right w:val="single" w:color="auto" w:sz="4" w:space="0"/>
                  </w:tcBorders>
                  <w:vAlign w:val="center"/>
                </w:tcPr>
                <w:p w14:paraId="3CCC616D">
                  <w:pPr>
                    <w:pStyle w:val="36"/>
                    <w:keepNext w:val="0"/>
                    <w:keepLines w:val="0"/>
                    <w:pageBreakBefore w:val="0"/>
                    <w:kinsoku/>
                    <w:wordWrap/>
                    <w:overflowPunct/>
                    <w:topLinePunct w:val="0"/>
                    <w:autoSpaceDE/>
                    <w:autoSpaceDN/>
                    <w:bidi w:val="0"/>
                    <w:adjustRightInd/>
                    <w:snapToGrid/>
                    <w:textAlignment w:val="auto"/>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浓度</w:t>
                  </w:r>
                  <w:r>
                    <w:rPr>
                      <w:rFonts w:hint="default"/>
                      <w:b/>
                      <w:bCs/>
                      <w:color w:val="000000" w:themeColor="text1"/>
                      <w14:textFill>
                        <w14:solidFill>
                          <w14:schemeClr w14:val="tx1"/>
                        </w14:solidFill>
                      </w14:textFill>
                    </w:rPr>
                    <w:t>（mg/m</w:t>
                  </w:r>
                  <w:r>
                    <w:rPr>
                      <w:rFonts w:hint="default"/>
                      <w:b/>
                      <w:bCs/>
                      <w:color w:val="000000" w:themeColor="text1"/>
                      <w:vertAlign w:val="superscript"/>
                      <w14:textFill>
                        <w14:solidFill>
                          <w14:schemeClr w14:val="tx1"/>
                        </w14:solidFill>
                      </w14:textFill>
                    </w:rPr>
                    <w:t>3</w:t>
                  </w:r>
                  <w:r>
                    <w:rPr>
                      <w:rFonts w:hint="default"/>
                      <w:b/>
                      <w:bCs/>
                      <w:color w:val="000000" w:themeColor="text1"/>
                      <w14:textFill>
                        <w14:solidFill>
                          <w14:schemeClr w14:val="tx1"/>
                        </w14:solidFill>
                      </w14:textFill>
                    </w:rPr>
                    <w:t>）</w:t>
                  </w:r>
                </w:p>
              </w:tc>
            </w:tr>
            <w:tr w14:paraId="3EEC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47" w:type="pct"/>
                  <w:tcBorders>
                    <w:top w:val="single" w:color="auto" w:sz="4" w:space="0"/>
                    <w:left w:val="single" w:color="auto" w:sz="4" w:space="0"/>
                    <w:bottom w:val="single" w:color="auto" w:sz="4" w:space="0"/>
                    <w:right w:val="single" w:color="auto" w:sz="4" w:space="0"/>
                  </w:tcBorders>
                  <w:vAlign w:val="center"/>
                </w:tcPr>
                <w:p w14:paraId="60219290">
                  <w:pPr>
                    <w:pStyle w:val="36"/>
                    <w:keepNext w:val="0"/>
                    <w:keepLines w:val="0"/>
                    <w:pageBreakBefore w:val="0"/>
                    <w:kinsoku/>
                    <w:wordWrap/>
                    <w:overflowPunct/>
                    <w:topLinePunct w:val="0"/>
                    <w:autoSpaceDE/>
                    <w:autoSpaceDN/>
                    <w:bidi w:val="0"/>
                    <w:adjustRightInd/>
                    <w:snapToGrid/>
                    <w:textAlignment w:val="auto"/>
                    <w:rPr>
                      <w:rFonts w:hint="default"/>
                      <w:color w:val="000000" w:themeColor="text1"/>
                      <w14:textFill>
                        <w14:solidFill>
                          <w14:schemeClr w14:val="tx1"/>
                        </w14:solidFill>
                      </w14:textFill>
                    </w:rPr>
                  </w:pPr>
                  <w:r>
                    <w:rPr>
                      <w:rFonts w:hint="eastAsia"/>
                      <w:lang w:val="en-US" w:eastAsia="zh-CN"/>
                    </w:rPr>
                    <w:t>非甲烷总烃</w:t>
                  </w:r>
                </w:p>
              </w:tc>
              <w:tc>
                <w:tcPr>
                  <w:tcW w:w="1825" w:type="pct"/>
                  <w:tcBorders>
                    <w:left w:val="single" w:color="auto" w:sz="4" w:space="0"/>
                    <w:right w:val="single" w:color="auto" w:sz="4" w:space="0"/>
                  </w:tcBorders>
                  <w:vAlign w:val="center"/>
                </w:tcPr>
                <w:p w14:paraId="3B4FFB8E">
                  <w:pPr>
                    <w:pStyle w:val="36"/>
                    <w:keepNext w:val="0"/>
                    <w:keepLines w:val="0"/>
                    <w:pageBreakBefore w:val="0"/>
                    <w:kinsoku/>
                    <w:wordWrap/>
                    <w:overflowPunct/>
                    <w:topLinePunct w:val="0"/>
                    <w:autoSpaceDE/>
                    <w:autoSpaceDN/>
                    <w:bidi w:val="0"/>
                    <w:adjustRightInd/>
                    <w:snapToGrid/>
                    <w:textAlignment w:val="auto"/>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厂界大气污染物监控浓度限值</w:t>
                  </w:r>
                </w:p>
              </w:tc>
              <w:tc>
                <w:tcPr>
                  <w:tcW w:w="1827" w:type="pct"/>
                  <w:tcBorders>
                    <w:top w:val="single" w:color="auto" w:sz="4" w:space="0"/>
                    <w:left w:val="single" w:color="auto" w:sz="4" w:space="0"/>
                    <w:bottom w:val="single" w:color="auto" w:sz="4" w:space="0"/>
                    <w:right w:val="single" w:color="auto" w:sz="4" w:space="0"/>
                  </w:tcBorders>
                  <w:vAlign w:val="center"/>
                </w:tcPr>
                <w:p w14:paraId="6747F823">
                  <w:pPr>
                    <w:pStyle w:val="36"/>
                    <w:keepNext w:val="0"/>
                    <w:keepLines w:val="0"/>
                    <w:pageBreakBefore w:val="0"/>
                    <w:kinsoku/>
                    <w:wordWrap/>
                    <w:overflowPunct/>
                    <w:topLinePunct w:val="0"/>
                    <w:autoSpaceDE/>
                    <w:autoSpaceDN/>
                    <w:bidi w:val="0"/>
                    <w:adjustRightInd/>
                    <w:snapToGrid/>
                    <w:textAlignment w:val="auto"/>
                    <w:rPr>
                      <w:rFonts w:hint="default"/>
                      <w:color w:val="000000" w:themeColor="text1"/>
                      <w14:textFill>
                        <w14:solidFill>
                          <w14:schemeClr w14:val="tx1"/>
                        </w14:solidFill>
                      </w14:textFill>
                    </w:rPr>
                  </w:pPr>
                  <w:r>
                    <w:rPr>
                      <w:rFonts w:hint="eastAsia"/>
                      <w:lang w:val="en-US" w:eastAsia="zh-CN"/>
                    </w:rPr>
                    <w:t>6.0</w:t>
                  </w:r>
                </w:p>
              </w:tc>
            </w:tr>
          </w:tbl>
          <w:p w14:paraId="3A7FBA04">
            <w:pPr>
              <w:bidi w:val="0"/>
              <w:spacing w:line="240" w:lineRule="auto"/>
              <w:rPr>
                <w:rFonts w:hint="default" w:eastAsia="宋体"/>
                <w:b w:val="0"/>
                <w:bCs w:val="0"/>
                <w:color w:val="000000"/>
                <w:sz w:val="24"/>
                <w:szCs w:val="24"/>
                <w:vertAlign w:val="baseline"/>
                <w:lang w:val="en-US" w:eastAsia="zh-CN"/>
              </w:rPr>
            </w:pPr>
            <w:r>
              <w:rPr>
                <w:rFonts w:hint="eastAsia"/>
                <w:b/>
                <w:bCs/>
                <w:color w:val="000000"/>
                <w:sz w:val="24"/>
                <w:szCs w:val="24"/>
                <w:lang w:val="en-US" w:eastAsia="zh-CN"/>
              </w:rPr>
              <w:t>表3-8</w:t>
            </w:r>
            <w:r>
              <w:rPr>
                <w:rFonts w:hint="eastAsia"/>
                <w:b w:val="0"/>
                <w:bCs w:val="0"/>
                <w:color w:val="000000"/>
                <w:sz w:val="24"/>
                <w:szCs w:val="24"/>
                <w:lang w:val="en-US" w:eastAsia="zh-CN"/>
              </w:rPr>
              <w:t xml:space="preserve">  </w:t>
            </w:r>
            <w:r>
              <w:rPr>
                <w:b/>
                <w:bCs/>
                <w:color w:val="000000"/>
                <w:sz w:val="24"/>
                <w:szCs w:val="24"/>
              </w:rPr>
              <w:t>《</w:t>
            </w:r>
            <w:r>
              <w:rPr>
                <w:b/>
                <w:bCs/>
                <w:color w:val="000000"/>
                <w:kern w:val="1"/>
                <w:sz w:val="24"/>
                <w:szCs w:val="24"/>
              </w:rPr>
              <w:t>挥发性有机物无组织排放控制标准</w:t>
            </w:r>
            <w:r>
              <w:rPr>
                <w:b/>
                <w:bCs/>
                <w:color w:val="000000"/>
                <w:sz w:val="24"/>
                <w:szCs w:val="24"/>
              </w:rPr>
              <w:t>》（GB37822-2019）</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92"/>
              <w:gridCol w:w="2804"/>
              <w:gridCol w:w="2153"/>
            </w:tblGrid>
            <w:tr w14:paraId="1E78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noWrap w:val="0"/>
                  <w:vAlign w:val="center"/>
                </w:tcPr>
                <w:p w14:paraId="36E19ECC">
                  <w:pPr>
                    <w:pStyle w:val="36"/>
                    <w:bidi w:val="0"/>
                    <w:rPr>
                      <w:rFonts w:hint="default"/>
                      <w:b/>
                      <w:bCs/>
                      <w:color w:val="000000"/>
                      <w:lang w:val="en-US" w:eastAsia="zh-CN"/>
                    </w:rPr>
                  </w:pPr>
                  <w:r>
                    <w:rPr>
                      <w:rFonts w:hint="eastAsia"/>
                      <w:b/>
                      <w:bCs/>
                      <w:color w:val="000000"/>
                      <w:lang w:val="en-US" w:eastAsia="zh-CN"/>
                    </w:rPr>
                    <w:t>污染物项目</w:t>
                  </w:r>
                </w:p>
              </w:tc>
              <w:tc>
                <w:tcPr>
                  <w:tcW w:w="1992" w:type="dxa"/>
                  <w:noWrap w:val="0"/>
                  <w:vAlign w:val="center"/>
                </w:tcPr>
                <w:p w14:paraId="41D78707">
                  <w:pPr>
                    <w:pStyle w:val="36"/>
                    <w:bidi w:val="0"/>
                    <w:rPr>
                      <w:rFonts w:hint="default"/>
                      <w:b/>
                      <w:bCs/>
                      <w:color w:val="000000"/>
                      <w:lang w:val="en-US" w:eastAsia="zh-CN"/>
                    </w:rPr>
                  </w:pPr>
                  <w:r>
                    <w:rPr>
                      <w:rFonts w:hint="eastAsia"/>
                      <w:b/>
                      <w:bCs/>
                      <w:color w:val="000000"/>
                      <w:lang w:val="en-US" w:eastAsia="zh-CN"/>
                    </w:rPr>
                    <w:t>特别排放限值</w:t>
                  </w:r>
                  <w:r>
                    <w:rPr>
                      <w:b/>
                      <w:bCs/>
                      <w:color w:val="000000"/>
                    </w:rPr>
                    <w:t>（mg/m</w:t>
                  </w:r>
                  <w:r>
                    <w:rPr>
                      <w:b/>
                      <w:bCs/>
                      <w:color w:val="000000"/>
                      <w:vertAlign w:val="superscript"/>
                    </w:rPr>
                    <w:t>3</w:t>
                  </w:r>
                  <w:r>
                    <w:rPr>
                      <w:b/>
                      <w:bCs/>
                      <w:color w:val="000000"/>
                    </w:rPr>
                    <w:t>）</w:t>
                  </w:r>
                </w:p>
              </w:tc>
              <w:tc>
                <w:tcPr>
                  <w:tcW w:w="2804" w:type="dxa"/>
                  <w:noWrap w:val="0"/>
                  <w:vAlign w:val="center"/>
                </w:tcPr>
                <w:p w14:paraId="587A90BB">
                  <w:pPr>
                    <w:pStyle w:val="36"/>
                    <w:bidi w:val="0"/>
                    <w:rPr>
                      <w:rFonts w:hint="default"/>
                      <w:b/>
                      <w:bCs/>
                      <w:color w:val="000000"/>
                      <w:lang w:val="en-US" w:eastAsia="zh-CN"/>
                    </w:rPr>
                  </w:pPr>
                  <w:r>
                    <w:rPr>
                      <w:rFonts w:hint="eastAsia"/>
                      <w:b/>
                      <w:bCs/>
                      <w:color w:val="000000"/>
                      <w:lang w:val="en-US" w:eastAsia="zh-CN"/>
                    </w:rPr>
                    <w:t>限制含义</w:t>
                  </w:r>
                </w:p>
              </w:tc>
              <w:tc>
                <w:tcPr>
                  <w:tcW w:w="2153" w:type="dxa"/>
                  <w:noWrap w:val="0"/>
                  <w:vAlign w:val="center"/>
                </w:tcPr>
                <w:p w14:paraId="6ED72D70">
                  <w:pPr>
                    <w:pStyle w:val="36"/>
                    <w:bidi w:val="0"/>
                    <w:rPr>
                      <w:rFonts w:hint="default"/>
                      <w:b/>
                      <w:bCs/>
                      <w:color w:val="000000"/>
                      <w:lang w:val="en-US" w:eastAsia="zh-CN"/>
                    </w:rPr>
                  </w:pPr>
                  <w:r>
                    <w:rPr>
                      <w:rFonts w:hint="eastAsia"/>
                      <w:b/>
                      <w:bCs/>
                      <w:color w:val="000000"/>
                      <w:lang w:val="en-US" w:eastAsia="zh-CN"/>
                    </w:rPr>
                    <w:t>无组织排放监控位置</w:t>
                  </w:r>
                </w:p>
              </w:tc>
            </w:tr>
            <w:tr w14:paraId="7E30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vMerge w:val="restart"/>
                  <w:noWrap w:val="0"/>
                  <w:vAlign w:val="center"/>
                </w:tcPr>
                <w:p w14:paraId="33373B39">
                  <w:pPr>
                    <w:pStyle w:val="36"/>
                    <w:bidi w:val="0"/>
                    <w:rPr>
                      <w:rFonts w:hint="default"/>
                      <w:color w:val="000000"/>
                      <w:lang w:val="en-US" w:eastAsia="zh-CN"/>
                    </w:rPr>
                  </w:pPr>
                  <w:r>
                    <w:rPr>
                      <w:rFonts w:hint="eastAsia"/>
                      <w:color w:val="000000"/>
                      <w:lang w:val="en-US" w:eastAsia="zh-CN"/>
                    </w:rPr>
                    <w:t>非甲烷总烃</w:t>
                  </w:r>
                </w:p>
              </w:tc>
              <w:tc>
                <w:tcPr>
                  <w:tcW w:w="1992" w:type="dxa"/>
                  <w:noWrap w:val="0"/>
                  <w:vAlign w:val="center"/>
                </w:tcPr>
                <w:p w14:paraId="498A726E">
                  <w:pPr>
                    <w:pStyle w:val="36"/>
                    <w:bidi w:val="0"/>
                    <w:rPr>
                      <w:rFonts w:hint="default"/>
                      <w:color w:val="000000"/>
                      <w:lang w:val="en-US" w:eastAsia="zh-CN"/>
                    </w:rPr>
                  </w:pPr>
                  <w:r>
                    <w:rPr>
                      <w:rFonts w:hint="eastAsia"/>
                      <w:color w:val="000000"/>
                      <w:lang w:val="en-US" w:eastAsia="zh-CN"/>
                    </w:rPr>
                    <w:t>6</w:t>
                  </w:r>
                </w:p>
              </w:tc>
              <w:tc>
                <w:tcPr>
                  <w:tcW w:w="2804" w:type="dxa"/>
                  <w:noWrap w:val="0"/>
                  <w:vAlign w:val="center"/>
                </w:tcPr>
                <w:p w14:paraId="7C83E1B0">
                  <w:pPr>
                    <w:pStyle w:val="36"/>
                    <w:bidi w:val="0"/>
                    <w:rPr>
                      <w:rFonts w:hint="default"/>
                      <w:color w:val="000000"/>
                      <w:lang w:val="en-US" w:eastAsia="zh-CN"/>
                    </w:rPr>
                  </w:pPr>
                  <w:r>
                    <w:rPr>
                      <w:rFonts w:hint="eastAsia"/>
                      <w:color w:val="000000"/>
                      <w:lang w:val="en-US" w:eastAsia="zh-CN"/>
                    </w:rPr>
                    <w:t>监控点处1h平均浓度值</w:t>
                  </w:r>
                </w:p>
              </w:tc>
              <w:tc>
                <w:tcPr>
                  <w:tcW w:w="2153" w:type="dxa"/>
                  <w:vMerge w:val="restart"/>
                  <w:noWrap w:val="0"/>
                  <w:vAlign w:val="center"/>
                </w:tcPr>
                <w:p w14:paraId="5FFEFC30">
                  <w:pPr>
                    <w:pStyle w:val="36"/>
                    <w:bidi w:val="0"/>
                    <w:rPr>
                      <w:rFonts w:hint="default"/>
                      <w:color w:val="000000"/>
                      <w:lang w:val="en-US" w:eastAsia="zh-CN"/>
                    </w:rPr>
                  </w:pPr>
                  <w:r>
                    <w:rPr>
                      <w:rFonts w:hint="eastAsia"/>
                      <w:color w:val="000000"/>
                      <w:lang w:val="en-US" w:eastAsia="zh-CN"/>
                    </w:rPr>
                    <w:t>在厂房外设置监控点</w:t>
                  </w:r>
                </w:p>
              </w:tc>
            </w:tr>
            <w:tr w14:paraId="0665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vMerge w:val="continue"/>
                  <w:noWrap w:val="0"/>
                  <w:vAlign w:val="center"/>
                </w:tcPr>
                <w:p w14:paraId="6742D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000000"/>
                      <w:sz w:val="21"/>
                      <w:szCs w:val="21"/>
                      <w:vertAlign w:val="baseline"/>
                      <w:lang w:val="en-US" w:eastAsia="zh-CN"/>
                    </w:rPr>
                  </w:pPr>
                </w:p>
              </w:tc>
              <w:tc>
                <w:tcPr>
                  <w:tcW w:w="1992" w:type="dxa"/>
                  <w:noWrap w:val="0"/>
                  <w:vAlign w:val="center"/>
                </w:tcPr>
                <w:p w14:paraId="734F0E72">
                  <w:pPr>
                    <w:pStyle w:val="36"/>
                    <w:bidi w:val="0"/>
                    <w:rPr>
                      <w:rFonts w:hint="default"/>
                      <w:color w:val="000000"/>
                      <w:lang w:val="en-US" w:eastAsia="zh-CN"/>
                    </w:rPr>
                  </w:pPr>
                  <w:r>
                    <w:rPr>
                      <w:rFonts w:hint="eastAsia"/>
                      <w:color w:val="000000"/>
                      <w:lang w:val="en-US" w:eastAsia="zh-CN"/>
                    </w:rPr>
                    <w:t>20</w:t>
                  </w:r>
                </w:p>
              </w:tc>
              <w:tc>
                <w:tcPr>
                  <w:tcW w:w="2804" w:type="dxa"/>
                  <w:noWrap w:val="0"/>
                  <w:vAlign w:val="center"/>
                </w:tcPr>
                <w:p w14:paraId="1E1A8E14">
                  <w:pPr>
                    <w:pStyle w:val="36"/>
                    <w:bidi w:val="0"/>
                    <w:rPr>
                      <w:rFonts w:hint="default"/>
                      <w:color w:val="000000"/>
                      <w:lang w:val="en-US" w:eastAsia="zh-CN"/>
                    </w:rPr>
                  </w:pPr>
                  <w:r>
                    <w:rPr>
                      <w:rFonts w:hint="eastAsia"/>
                      <w:color w:val="000000"/>
                      <w:lang w:val="en-US" w:eastAsia="zh-CN"/>
                    </w:rPr>
                    <w:t>监控点处任意一次浓度值</w:t>
                  </w:r>
                </w:p>
              </w:tc>
              <w:tc>
                <w:tcPr>
                  <w:tcW w:w="2153" w:type="dxa"/>
                  <w:vMerge w:val="continue"/>
                  <w:noWrap w:val="0"/>
                  <w:vAlign w:val="center"/>
                </w:tcPr>
                <w:p w14:paraId="5A378A48">
                  <w:pPr>
                    <w:pStyle w:val="36"/>
                    <w:bidi w:val="0"/>
                    <w:rPr>
                      <w:rFonts w:hint="eastAsia"/>
                      <w:color w:val="000000"/>
                      <w:lang w:val="en-US" w:eastAsia="zh-CN"/>
                    </w:rPr>
                  </w:pPr>
                </w:p>
              </w:tc>
            </w:tr>
          </w:tbl>
          <w:p w14:paraId="1573CC4A">
            <w:pPr>
              <w:numPr>
                <w:ilvl w:val="0"/>
                <w:numId w:val="5"/>
              </w:numPr>
              <w:ind w:firstLine="0" w:firstLineChars="0"/>
              <w:rPr>
                <w:b/>
                <w:bCs/>
                <w:color w:val="auto"/>
              </w:rPr>
            </w:pPr>
            <w:r>
              <w:rPr>
                <w:rFonts w:hint="eastAsia"/>
                <w:b/>
                <w:bCs/>
                <w:color w:val="auto"/>
              </w:rPr>
              <w:t>废水</w:t>
            </w:r>
          </w:p>
          <w:p w14:paraId="7E785477">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color w:val="auto"/>
                <w:lang w:eastAsia="zh-CN"/>
              </w:rPr>
            </w:pPr>
            <w:r>
              <w:rPr>
                <w:rFonts w:hint="eastAsia" w:cs="宋体"/>
                <w:color w:val="auto"/>
                <w:lang w:val="en-US" w:eastAsia="zh-CN"/>
              </w:rPr>
              <w:t>运营期实行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r>
              <w:rPr>
                <w:rFonts w:hint="eastAsia"/>
                <w:color w:val="auto"/>
                <w:lang w:eastAsia="zh-CN"/>
              </w:rPr>
              <w:t>。</w:t>
            </w:r>
          </w:p>
          <w:p w14:paraId="34590CA3">
            <w:pPr>
              <w:pStyle w:val="14"/>
              <w:rPr>
                <w:rFonts w:hint="eastAsia" w:hAnsi="宋体" w:eastAsia="宋体" w:cs="Times New Roman"/>
                <w:color w:val="auto"/>
                <w:sz w:val="24"/>
                <w:szCs w:val="24"/>
                <w:lang w:val="en-US" w:eastAsia="zh-CN"/>
              </w:rPr>
            </w:pPr>
            <w:r>
              <w:rPr>
                <w:rFonts w:hint="eastAsia" w:hAnsi="宋体" w:eastAsia="宋体" w:cs="Times New Roman"/>
                <w:color w:val="auto"/>
                <w:sz w:val="24"/>
                <w:szCs w:val="24"/>
                <w:lang w:val="en-US" w:eastAsia="zh-CN"/>
              </w:rPr>
              <w:t>本项目</w:t>
            </w:r>
            <w:r>
              <w:rPr>
                <w:rFonts w:hint="eastAsia"/>
                <w:lang w:val="en-US" w:eastAsia="zh-CN"/>
              </w:rPr>
              <w:t>接管废水</w:t>
            </w:r>
            <w:r>
              <w:rPr>
                <w:rFonts w:hint="eastAsia" w:hAnsi="宋体" w:eastAsia="宋体" w:cs="Times New Roman"/>
                <w:color w:val="auto"/>
                <w:sz w:val="24"/>
                <w:szCs w:val="24"/>
                <w:lang w:val="en-US" w:eastAsia="zh-CN"/>
              </w:rPr>
              <w:t>污染物排放执行《污水综合排放标准》（GB8978-1996）表4的三级标准及淮北蓝海水处理有限公司接管标准</w:t>
            </w:r>
            <w:r>
              <w:rPr>
                <w:rFonts w:hint="eastAsia" w:hAnsi="宋体" w:cs="Times New Roman"/>
                <w:color w:val="auto"/>
                <w:sz w:val="24"/>
                <w:szCs w:val="24"/>
                <w:lang w:val="en-US" w:eastAsia="zh-CN"/>
              </w:rPr>
              <w:t>，</w:t>
            </w:r>
            <w:r>
              <w:rPr>
                <w:rFonts w:hint="eastAsia" w:hAnsi="宋体" w:eastAsia="宋体" w:cs="Times New Roman"/>
                <w:color w:val="auto"/>
                <w:sz w:val="24"/>
                <w:szCs w:val="24"/>
                <w:lang w:val="en-US" w:eastAsia="zh-CN"/>
              </w:rPr>
              <w:t>淮北</w:t>
            </w:r>
            <w:r>
              <w:rPr>
                <w:rFonts w:hint="eastAsia"/>
                <w:lang w:val="en-US" w:eastAsia="zh-CN"/>
              </w:rPr>
              <w:t>蓝海水处理有限公司出水执行</w:t>
            </w:r>
            <w:r>
              <w:rPr>
                <w:rFonts w:hint="eastAsia"/>
                <w:b w:val="0"/>
                <w:bCs w:val="0"/>
                <w:lang w:val="en-US" w:eastAsia="zh-CN"/>
              </w:rPr>
              <w:t>《</w:t>
            </w:r>
            <w:r>
              <w:rPr>
                <w:rFonts w:hint="default"/>
                <w:b w:val="0"/>
                <w:bCs w:val="0"/>
                <w:color w:val="auto"/>
                <w:sz w:val="24"/>
                <w:szCs w:val="24"/>
              </w:rPr>
              <w:t>城镇污水处理厂污染物排放标准</w:t>
            </w:r>
            <w:r>
              <w:rPr>
                <w:rFonts w:hint="eastAsia"/>
                <w:b w:val="0"/>
                <w:bCs w:val="0"/>
                <w:lang w:val="en-US" w:eastAsia="zh-CN"/>
              </w:rPr>
              <w:t>》</w:t>
            </w:r>
            <w:r>
              <w:rPr>
                <w:rFonts w:hint="eastAsia"/>
                <w:lang w:val="en-US" w:eastAsia="zh-CN"/>
              </w:rPr>
              <w:t>一级A</w:t>
            </w:r>
            <w:r>
              <w:rPr>
                <w:rFonts w:hint="eastAsia" w:hAnsi="宋体" w:eastAsia="宋体" w:cs="Times New Roman"/>
                <w:color w:val="auto"/>
                <w:sz w:val="24"/>
                <w:szCs w:val="24"/>
                <w:lang w:val="en-US" w:eastAsia="zh-CN"/>
              </w:rPr>
              <w:t>。</w:t>
            </w:r>
          </w:p>
          <w:p w14:paraId="058EE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表</w:t>
            </w:r>
            <w:r>
              <w:rPr>
                <w:rFonts w:hint="eastAsia" w:ascii="Times New Roman" w:hAnsi="Times New Roman" w:cs="Times New Roman"/>
                <w:b/>
                <w:color w:val="auto"/>
                <w:kern w:val="0"/>
                <w:sz w:val="24"/>
                <w:szCs w:val="24"/>
                <w:lang w:val="en-US" w:eastAsia="zh-CN"/>
              </w:rPr>
              <w:t>3</w:t>
            </w:r>
            <w:r>
              <w:rPr>
                <w:rFonts w:hint="default" w:ascii="Times New Roman" w:hAnsi="Times New Roman" w:cs="Times New Roman"/>
                <w:b/>
                <w:color w:val="auto"/>
                <w:kern w:val="0"/>
                <w:sz w:val="24"/>
                <w:szCs w:val="24"/>
              </w:rPr>
              <w:t>-</w:t>
            </w:r>
            <w:r>
              <w:rPr>
                <w:rFonts w:hint="eastAsia" w:cs="Times New Roman"/>
                <w:b/>
                <w:color w:val="auto"/>
                <w:kern w:val="0"/>
                <w:sz w:val="24"/>
                <w:szCs w:val="24"/>
                <w:lang w:val="en-US" w:eastAsia="zh-CN"/>
              </w:rPr>
              <w:t xml:space="preserve">10  </w:t>
            </w:r>
            <w:r>
              <w:rPr>
                <w:rFonts w:hint="default" w:ascii="Times New Roman" w:hAnsi="Times New Roman" w:cs="Times New Roman"/>
                <w:b/>
                <w:color w:val="auto"/>
                <w:kern w:val="0"/>
                <w:sz w:val="24"/>
                <w:szCs w:val="24"/>
              </w:rPr>
              <w:t>废水排放标准</w:t>
            </w:r>
            <w:r>
              <w:rPr>
                <w:rFonts w:hint="eastAsia" w:ascii="Times New Roman" w:hAnsi="Times New Roman" w:cs="Times New Roman"/>
                <w:b/>
                <w:color w:val="auto"/>
                <w:kern w:val="0"/>
                <w:sz w:val="24"/>
                <w:szCs w:val="24"/>
                <w:lang w:val="en-US" w:eastAsia="zh-CN"/>
              </w:rPr>
              <w:t xml:space="preserve">  </w:t>
            </w:r>
            <w:r>
              <w:rPr>
                <w:rFonts w:hint="default" w:ascii="Times New Roman" w:hAnsi="Times New Roman" w:cs="Times New Roman"/>
                <w:b/>
                <w:color w:val="auto"/>
                <w:kern w:val="0"/>
                <w:sz w:val="24"/>
                <w:szCs w:val="24"/>
              </w:rPr>
              <w:t>单位：</w:t>
            </w:r>
            <w:r>
              <w:rPr>
                <w:rFonts w:hint="default" w:ascii="Times New Roman" w:hAnsi="Times New Roman" w:eastAsia="TimesNewRomanPSMT" w:cs="Times New Roman"/>
                <w:b/>
                <w:color w:val="auto"/>
                <w:kern w:val="0"/>
                <w:sz w:val="24"/>
                <w:szCs w:val="24"/>
              </w:rPr>
              <w:t>mg/L</w:t>
            </w:r>
            <w:r>
              <w:rPr>
                <w:rFonts w:hint="default" w:ascii="Times New Roman" w:hAnsi="Times New Roman" w:cs="Times New Roman"/>
                <w:b/>
                <w:color w:val="auto"/>
                <w:kern w:val="0"/>
                <w:sz w:val="24"/>
                <w:szCs w:val="24"/>
              </w:rPr>
              <w:t>（</w:t>
            </w:r>
            <w:r>
              <w:rPr>
                <w:rFonts w:hint="default" w:ascii="Times New Roman" w:hAnsi="Times New Roman" w:eastAsia="TimesNewRomanPSMT" w:cs="Times New Roman"/>
                <w:b/>
                <w:color w:val="auto"/>
                <w:kern w:val="0"/>
                <w:sz w:val="24"/>
                <w:szCs w:val="24"/>
              </w:rPr>
              <w:t>pH</w:t>
            </w:r>
            <w:r>
              <w:rPr>
                <w:rFonts w:hint="default" w:ascii="Times New Roman" w:hAnsi="Times New Roman" w:cs="Times New Roman"/>
                <w:b/>
                <w:color w:val="auto"/>
                <w:kern w:val="0"/>
                <w:sz w:val="24"/>
                <w:szCs w:val="24"/>
              </w:rPr>
              <w:t>值除外）</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2725"/>
              <w:gridCol w:w="2406"/>
              <w:gridCol w:w="1859"/>
            </w:tblGrid>
            <w:tr w14:paraId="7A50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noWrap w:val="0"/>
                  <w:vAlign w:val="center"/>
                </w:tcPr>
                <w:p w14:paraId="7E557CDF">
                  <w:pPr>
                    <w:pStyle w:val="4"/>
                    <w:bidi w:val="0"/>
                    <w:jc w:val="center"/>
                    <w:rPr>
                      <w:rFonts w:hint="default"/>
                      <w:b/>
                      <w:bCs/>
                    </w:rPr>
                  </w:pPr>
                  <w:r>
                    <w:rPr>
                      <w:rFonts w:hint="default"/>
                      <w:b/>
                      <w:bCs/>
                    </w:rPr>
                    <w:t>污染物</w:t>
                  </w:r>
                </w:p>
              </w:tc>
              <w:tc>
                <w:tcPr>
                  <w:tcW w:w="2596" w:type="dxa"/>
                  <w:noWrap w:val="0"/>
                  <w:vAlign w:val="center"/>
                </w:tcPr>
                <w:p w14:paraId="5DB46828">
                  <w:pPr>
                    <w:pStyle w:val="4"/>
                    <w:bidi w:val="0"/>
                    <w:jc w:val="center"/>
                    <w:rPr>
                      <w:rFonts w:hint="default"/>
                      <w:b/>
                      <w:bCs/>
                    </w:rPr>
                  </w:pPr>
                  <w:r>
                    <w:rPr>
                      <w:rFonts w:hint="default"/>
                      <w:b/>
                      <w:bCs/>
                    </w:rPr>
                    <w:t>《污水综合排放标准》表4的三级标准浓度限值</w:t>
                  </w:r>
                </w:p>
              </w:tc>
              <w:tc>
                <w:tcPr>
                  <w:tcW w:w="2292" w:type="dxa"/>
                  <w:noWrap w:val="0"/>
                  <w:vAlign w:val="center"/>
                </w:tcPr>
                <w:p w14:paraId="4587B050">
                  <w:pPr>
                    <w:pStyle w:val="4"/>
                    <w:bidi w:val="0"/>
                    <w:jc w:val="center"/>
                    <w:rPr>
                      <w:rFonts w:hint="eastAsia"/>
                      <w:b/>
                      <w:bCs/>
                      <w:lang w:eastAsia="zh-CN"/>
                    </w:rPr>
                  </w:pPr>
                  <w:r>
                    <w:rPr>
                      <w:rFonts w:hint="default"/>
                      <w:b/>
                      <w:bCs/>
                    </w:rPr>
                    <w:t>淮北蓝海水处理有限公司</w:t>
                  </w:r>
                  <w:r>
                    <w:rPr>
                      <w:rFonts w:hint="eastAsia"/>
                      <w:b/>
                      <w:bCs/>
                      <w:lang w:eastAsia="zh-CN"/>
                    </w:rPr>
                    <w:t>接管限值</w:t>
                  </w:r>
                </w:p>
              </w:tc>
              <w:tc>
                <w:tcPr>
                  <w:tcW w:w="1771" w:type="dxa"/>
                  <w:noWrap w:val="0"/>
                  <w:vAlign w:val="center"/>
                </w:tcPr>
                <w:p w14:paraId="4C08D032">
                  <w:pPr>
                    <w:pStyle w:val="4"/>
                    <w:bidi w:val="0"/>
                    <w:jc w:val="center"/>
                    <w:rPr>
                      <w:rFonts w:hint="eastAsia"/>
                      <w:b/>
                      <w:bCs/>
                      <w:lang w:val="en-US" w:eastAsia="zh-CN"/>
                    </w:rPr>
                  </w:pPr>
                  <w:r>
                    <w:rPr>
                      <w:rFonts w:hint="eastAsia"/>
                      <w:b/>
                      <w:bCs/>
                      <w:lang w:val="en-US" w:eastAsia="zh-CN"/>
                    </w:rPr>
                    <w:t>本项目执行标准</w:t>
                  </w:r>
                </w:p>
              </w:tc>
            </w:tr>
            <w:tr w14:paraId="2DC4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noWrap w:val="0"/>
                  <w:vAlign w:val="center"/>
                </w:tcPr>
                <w:p w14:paraId="2DEC9C4D">
                  <w:pPr>
                    <w:pStyle w:val="4"/>
                    <w:bidi w:val="0"/>
                    <w:jc w:val="center"/>
                    <w:rPr>
                      <w:rFonts w:hint="default"/>
                    </w:rPr>
                  </w:pPr>
                  <w:r>
                    <w:rPr>
                      <w:rFonts w:hint="default"/>
                    </w:rPr>
                    <w:t>pH</w:t>
                  </w:r>
                </w:p>
              </w:tc>
              <w:tc>
                <w:tcPr>
                  <w:tcW w:w="2596" w:type="dxa"/>
                  <w:noWrap w:val="0"/>
                  <w:vAlign w:val="center"/>
                </w:tcPr>
                <w:p w14:paraId="10411234">
                  <w:pPr>
                    <w:pStyle w:val="4"/>
                    <w:bidi w:val="0"/>
                    <w:jc w:val="center"/>
                    <w:rPr>
                      <w:rFonts w:hint="default"/>
                    </w:rPr>
                  </w:pPr>
                  <w:r>
                    <w:rPr>
                      <w:rFonts w:hint="default"/>
                    </w:rPr>
                    <w:t>6~9（无量纲）</w:t>
                  </w:r>
                </w:p>
              </w:tc>
              <w:tc>
                <w:tcPr>
                  <w:tcW w:w="2292" w:type="dxa"/>
                  <w:noWrap w:val="0"/>
                  <w:vAlign w:val="center"/>
                </w:tcPr>
                <w:p w14:paraId="6B243E7A">
                  <w:pPr>
                    <w:pStyle w:val="4"/>
                    <w:bidi w:val="0"/>
                    <w:jc w:val="center"/>
                    <w:rPr>
                      <w:rFonts w:hint="default"/>
                    </w:rPr>
                  </w:pPr>
                  <w:r>
                    <w:rPr>
                      <w:rFonts w:hint="default"/>
                    </w:rPr>
                    <w:t>6~9（无量纲）</w:t>
                  </w:r>
                </w:p>
              </w:tc>
              <w:tc>
                <w:tcPr>
                  <w:tcW w:w="1771" w:type="dxa"/>
                  <w:noWrap w:val="0"/>
                  <w:vAlign w:val="center"/>
                </w:tcPr>
                <w:p w14:paraId="704FA1DE">
                  <w:pPr>
                    <w:pStyle w:val="4"/>
                    <w:bidi w:val="0"/>
                    <w:jc w:val="center"/>
                    <w:rPr>
                      <w:rFonts w:hint="default"/>
                    </w:rPr>
                  </w:pPr>
                  <w:r>
                    <w:rPr>
                      <w:rFonts w:hint="default"/>
                    </w:rPr>
                    <w:t>6~9（无量纲）</w:t>
                  </w:r>
                </w:p>
              </w:tc>
            </w:tr>
            <w:tr w14:paraId="6DAD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noWrap w:val="0"/>
                  <w:vAlign w:val="center"/>
                </w:tcPr>
                <w:p w14:paraId="0846ADCD">
                  <w:pPr>
                    <w:pStyle w:val="4"/>
                    <w:bidi w:val="0"/>
                    <w:jc w:val="center"/>
                    <w:rPr>
                      <w:rFonts w:hint="default"/>
                    </w:rPr>
                  </w:pPr>
                  <w:r>
                    <w:rPr>
                      <w:rFonts w:hint="default"/>
                    </w:rPr>
                    <w:t>COD</w:t>
                  </w:r>
                </w:p>
              </w:tc>
              <w:tc>
                <w:tcPr>
                  <w:tcW w:w="2596" w:type="dxa"/>
                  <w:noWrap w:val="0"/>
                  <w:vAlign w:val="center"/>
                </w:tcPr>
                <w:p w14:paraId="7FD6732B">
                  <w:pPr>
                    <w:pStyle w:val="4"/>
                    <w:bidi w:val="0"/>
                    <w:jc w:val="center"/>
                    <w:rPr>
                      <w:rFonts w:hint="default"/>
                    </w:rPr>
                  </w:pPr>
                  <w:r>
                    <w:rPr>
                      <w:rFonts w:hint="default"/>
                    </w:rPr>
                    <w:t>500</w:t>
                  </w:r>
                </w:p>
              </w:tc>
              <w:tc>
                <w:tcPr>
                  <w:tcW w:w="2292" w:type="dxa"/>
                  <w:noWrap w:val="0"/>
                  <w:vAlign w:val="center"/>
                </w:tcPr>
                <w:p w14:paraId="2F7F1BF2">
                  <w:pPr>
                    <w:pStyle w:val="4"/>
                    <w:bidi w:val="0"/>
                    <w:jc w:val="center"/>
                    <w:rPr>
                      <w:rFonts w:hint="default" w:eastAsia="宋体"/>
                      <w:lang w:val="en-US" w:eastAsia="zh-CN"/>
                    </w:rPr>
                  </w:pPr>
                  <w:r>
                    <w:rPr>
                      <w:rFonts w:hint="eastAsia"/>
                      <w:lang w:val="en-US" w:eastAsia="zh-CN"/>
                    </w:rPr>
                    <w:t>480</w:t>
                  </w:r>
                </w:p>
              </w:tc>
              <w:tc>
                <w:tcPr>
                  <w:tcW w:w="1771" w:type="dxa"/>
                  <w:noWrap w:val="0"/>
                  <w:vAlign w:val="center"/>
                </w:tcPr>
                <w:p w14:paraId="754496F4">
                  <w:pPr>
                    <w:pStyle w:val="4"/>
                    <w:bidi w:val="0"/>
                    <w:ind w:firstLine="0" w:firstLineChars="0"/>
                    <w:jc w:val="center"/>
                    <w:rPr>
                      <w:rFonts w:hint="default"/>
                    </w:rPr>
                  </w:pPr>
                  <w:r>
                    <w:rPr>
                      <w:rFonts w:hint="eastAsia"/>
                      <w:lang w:val="en-US" w:eastAsia="zh-CN"/>
                    </w:rPr>
                    <w:t>480</w:t>
                  </w:r>
                </w:p>
              </w:tc>
            </w:tr>
            <w:tr w14:paraId="239D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noWrap w:val="0"/>
                  <w:vAlign w:val="center"/>
                </w:tcPr>
                <w:p w14:paraId="531F67CF">
                  <w:pPr>
                    <w:pStyle w:val="4"/>
                    <w:bidi w:val="0"/>
                    <w:jc w:val="center"/>
                    <w:rPr>
                      <w:rFonts w:hint="default"/>
                    </w:rPr>
                  </w:pPr>
                  <w:r>
                    <w:rPr>
                      <w:rFonts w:hint="default"/>
                    </w:rPr>
                    <w:t>BOD</w:t>
                  </w:r>
                  <w:r>
                    <w:rPr>
                      <w:rFonts w:hint="default"/>
                      <w:vertAlign w:val="subscript"/>
                    </w:rPr>
                    <w:t>5</w:t>
                  </w:r>
                </w:p>
              </w:tc>
              <w:tc>
                <w:tcPr>
                  <w:tcW w:w="2596" w:type="dxa"/>
                  <w:noWrap w:val="0"/>
                  <w:vAlign w:val="center"/>
                </w:tcPr>
                <w:p w14:paraId="08896DC1">
                  <w:pPr>
                    <w:pStyle w:val="4"/>
                    <w:bidi w:val="0"/>
                    <w:jc w:val="center"/>
                    <w:rPr>
                      <w:rFonts w:hint="default"/>
                    </w:rPr>
                  </w:pPr>
                  <w:r>
                    <w:rPr>
                      <w:rFonts w:hint="default"/>
                    </w:rPr>
                    <w:t>300</w:t>
                  </w:r>
                </w:p>
              </w:tc>
              <w:tc>
                <w:tcPr>
                  <w:tcW w:w="2292" w:type="dxa"/>
                  <w:noWrap w:val="0"/>
                  <w:vAlign w:val="center"/>
                </w:tcPr>
                <w:p w14:paraId="5C9BB0A1">
                  <w:pPr>
                    <w:pStyle w:val="4"/>
                    <w:bidi w:val="0"/>
                    <w:jc w:val="center"/>
                    <w:rPr>
                      <w:rFonts w:hint="default" w:eastAsia="宋体"/>
                      <w:lang w:val="en-US" w:eastAsia="zh-CN"/>
                    </w:rPr>
                  </w:pPr>
                  <w:r>
                    <w:rPr>
                      <w:rFonts w:hint="eastAsia"/>
                      <w:lang w:val="en-US" w:eastAsia="zh-CN"/>
                    </w:rPr>
                    <w:t>120</w:t>
                  </w:r>
                </w:p>
              </w:tc>
              <w:tc>
                <w:tcPr>
                  <w:tcW w:w="1771" w:type="dxa"/>
                  <w:noWrap w:val="0"/>
                  <w:vAlign w:val="center"/>
                </w:tcPr>
                <w:p w14:paraId="6CAB3BD2">
                  <w:pPr>
                    <w:pStyle w:val="4"/>
                    <w:bidi w:val="0"/>
                    <w:ind w:firstLine="0" w:firstLineChars="0"/>
                    <w:jc w:val="center"/>
                    <w:rPr>
                      <w:rFonts w:hint="default"/>
                      <w:lang w:val="en-US" w:eastAsia="zh-CN"/>
                    </w:rPr>
                  </w:pPr>
                  <w:r>
                    <w:rPr>
                      <w:rFonts w:hint="eastAsia"/>
                      <w:lang w:val="en-US" w:eastAsia="zh-CN"/>
                    </w:rPr>
                    <w:t>120</w:t>
                  </w:r>
                </w:p>
              </w:tc>
            </w:tr>
            <w:tr w14:paraId="5CDD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noWrap w:val="0"/>
                  <w:vAlign w:val="center"/>
                </w:tcPr>
                <w:p w14:paraId="1C8F45AE">
                  <w:pPr>
                    <w:pStyle w:val="4"/>
                    <w:bidi w:val="0"/>
                    <w:jc w:val="center"/>
                    <w:rPr>
                      <w:rFonts w:hint="default"/>
                    </w:rPr>
                  </w:pPr>
                  <w:r>
                    <w:rPr>
                      <w:rFonts w:hint="default"/>
                    </w:rPr>
                    <w:t>SS</w:t>
                  </w:r>
                </w:p>
              </w:tc>
              <w:tc>
                <w:tcPr>
                  <w:tcW w:w="2596" w:type="dxa"/>
                  <w:noWrap w:val="0"/>
                  <w:vAlign w:val="center"/>
                </w:tcPr>
                <w:p w14:paraId="1237E406">
                  <w:pPr>
                    <w:pStyle w:val="4"/>
                    <w:bidi w:val="0"/>
                    <w:jc w:val="center"/>
                    <w:rPr>
                      <w:rFonts w:hint="default"/>
                    </w:rPr>
                  </w:pPr>
                  <w:r>
                    <w:rPr>
                      <w:rFonts w:hint="default"/>
                    </w:rPr>
                    <w:t>400</w:t>
                  </w:r>
                </w:p>
              </w:tc>
              <w:tc>
                <w:tcPr>
                  <w:tcW w:w="2292" w:type="dxa"/>
                  <w:noWrap w:val="0"/>
                  <w:vAlign w:val="center"/>
                </w:tcPr>
                <w:p w14:paraId="7C9DF13E">
                  <w:pPr>
                    <w:pStyle w:val="4"/>
                    <w:bidi w:val="0"/>
                    <w:jc w:val="center"/>
                    <w:rPr>
                      <w:rFonts w:hint="default" w:eastAsia="宋体"/>
                      <w:lang w:val="en-US" w:eastAsia="zh-CN"/>
                    </w:rPr>
                  </w:pPr>
                  <w:r>
                    <w:rPr>
                      <w:rFonts w:hint="eastAsia"/>
                      <w:lang w:val="en-US" w:eastAsia="zh-CN"/>
                    </w:rPr>
                    <w:t>310</w:t>
                  </w:r>
                </w:p>
              </w:tc>
              <w:tc>
                <w:tcPr>
                  <w:tcW w:w="1771" w:type="dxa"/>
                  <w:noWrap w:val="0"/>
                  <w:vAlign w:val="center"/>
                </w:tcPr>
                <w:p w14:paraId="6CBA224D">
                  <w:pPr>
                    <w:pStyle w:val="4"/>
                    <w:bidi w:val="0"/>
                    <w:ind w:firstLine="0" w:firstLineChars="0"/>
                    <w:jc w:val="center"/>
                    <w:rPr>
                      <w:rFonts w:hint="default"/>
                    </w:rPr>
                  </w:pPr>
                  <w:r>
                    <w:rPr>
                      <w:rFonts w:hint="eastAsia"/>
                      <w:lang w:val="en-US" w:eastAsia="zh-CN"/>
                    </w:rPr>
                    <w:t>310</w:t>
                  </w:r>
                </w:p>
              </w:tc>
            </w:tr>
            <w:tr w14:paraId="5B65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noWrap w:val="0"/>
                  <w:vAlign w:val="center"/>
                </w:tcPr>
                <w:p w14:paraId="118AC266">
                  <w:pPr>
                    <w:pStyle w:val="4"/>
                    <w:bidi w:val="0"/>
                    <w:jc w:val="center"/>
                    <w:rPr>
                      <w:rFonts w:hint="default"/>
                    </w:rPr>
                  </w:pPr>
                  <w:r>
                    <w:rPr>
                      <w:rFonts w:hint="default"/>
                    </w:rPr>
                    <w:t>NH</w:t>
                  </w:r>
                  <w:r>
                    <w:rPr>
                      <w:rFonts w:hint="default"/>
                      <w:vertAlign w:val="subscript"/>
                    </w:rPr>
                    <w:t>3</w:t>
                  </w:r>
                  <w:r>
                    <w:rPr>
                      <w:rFonts w:hint="default"/>
                    </w:rPr>
                    <w:t>-N</w:t>
                  </w:r>
                </w:p>
              </w:tc>
              <w:tc>
                <w:tcPr>
                  <w:tcW w:w="2596" w:type="dxa"/>
                  <w:noWrap w:val="0"/>
                  <w:vAlign w:val="center"/>
                </w:tcPr>
                <w:p w14:paraId="247E9198">
                  <w:pPr>
                    <w:pStyle w:val="4"/>
                    <w:bidi w:val="0"/>
                    <w:jc w:val="center"/>
                    <w:rPr>
                      <w:rFonts w:hint="eastAsia" w:eastAsia="宋体"/>
                      <w:lang w:eastAsia="zh-CN"/>
                    </w:rPr>
                  </w:pPr>
                  <w:r>
                    <w:rPr>
                      <w:rFonts w:hint="eastAsia"/>
                      <w:lang w:val="en-US" w:eastAsia="zh-CN"/>
                    </w:rPr>
                    <w:t>/</w:t>
                  </w:r>
                </w:p>
              </w:tc>
              <w:tc>
                <w:tcPr>
                  <w:tcW w:w="2292" w:type="dxa"/>
                  <w:noWrap w:val="0"/>
                  <w:vAlign w:val="center"/>
                </w:tcPr>
                <w:p w14:paraId="671D898C">
                  <w:pPr>
                    <w:pStyle w:val="4"/>
                    <w:bidi w:val="0"/>
                    <w:jc w:val="center"/>
                    <w:rPr>
                      <w:rFonts w:hint="default"/>
                    </w:rPr>
                  </w:pPr>
                  <w:r>
                    <w:rPr>
                      <w:rFonts w:hint="default"/>
                    </w:rPr>
                    <w:t>35</w:t>
                  </w:r>
                </w:p>
              </w:tc>
              <w:tc>
                <w:tcPr>
                  <w:tcW w:w="1771" w:type="dxa"/>
                  <w:noWrap w:val="0"/>
                  <w:vAlign w:val="center"/>
                </w:tcPr>
                <w:p w14:paraId="7064F814">
                  <w:pPr>
                    <w:pStyle w:val="4"/>
                    <w:bidi w:val="0"/>
                    <w:ind w:firstLine="0" w:firstLineChars="0"/>
                    <w:jc w:val="center"/>
                    <w:rPr>
                      <w:rFonts w:hint="default"/>
                    </w:rPr>
                  </w:pPr>
                  <w:r>
                    <w:rPr>
                      <w:rFonts w:hint="default"/>
                    </w:rPr>
                    <w:t>35</w:t>
                  </w:r>
                </w:p>
              </w:tc>
            </w:tr>
            <w:tr w14:paraId="3796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noWrap w:val="0"/>
                  <w:vAlign w:val="center"/>
                </w:tcPr>
                <w:p w14:paraId="4E20EF22">
                  <w:pPr>
                    <w:pStyle w:val="4"/>
                    <w:bidi w:val="0"/>
                    <w:jc w:val="center"/>
                    <w:rPr>
                      <w:rFonts w:hint="eastAsia" w:eastAsia="宋体"/>
                      <w:lang w:val="en-US" w:eastAsia="zh-CN"/>
                    </w:rPr>
                  </w:pPr>
                  <w:r>
                    <w:rPr>
                      <w:rFonts w:hint="eastAsia"/>
                      <w:lang w:val="en-US" w:eastAsia="zh-CN"/>
                    </w:rPr>
                    <w:t>动植物油</w:t>
                  </w:r>
                </w:p>
              </w:tc>
              <w:tc>
                <w:tcPr>
                  <w:tcW w:w="2596" w:type="dxa"/>
                  <w:noWrap w:val="0"/>
                  <w:vAlign w:val="center"/>
                </w:tcPr>
                <w:p w14:paraId="2F9DAAEF">
                  <w:pPr>
                    <w:pStyle w:val="4"/>
                    <w:bidi w:val="0"/>
                    <w:jc w:val="center"/>
                    <w:rPr>
                      <w:rFonts w:hint="default"/>
                      <w:lang w:val="en-US" w:eastAsia="zh-CN"/>
                    </w:rPr>
                  </w:pPr>
                  <w:r>
                    <w:rPr>
                      <w:rFonts w:hint="eastAsia"/>
                      <w:lang w:val="en-US" w:eastAsia="zh-CN"/>
                    </w:rPr>
                    <w:t>100</w:t>
                  </w:r>
                </w:p>
              </w:tc>
              <w:tc>
                <w:tcPr>
                  <w:tcW w:w="2292" w:type="dxa"/>
                  <w:noWrap w:val="0"/>
                  <w:vAlign w:val="center"/>
                </w:tcPr>
                <w:p w14:paraId="4A031422">
                  <w:pPr>
                    <w:pStyle w:val="4"/>
                    <w:bidi w:val="0"/>
                    <w:jc w:val="center"/>
                    <w:rPr>
                      <w:rFonts w:hint="eastAsia" w:eastAsia="宋体"/>
                      <w:lang w:val="en-US" w:eastAsia="zh-CN"/>
                    </w:rPr>
                  </w:pPr>
                  <w:r>
                    <w:rPr>
                      <w:rFonts w:hint="eastAsia"/>
                      <w:lang w:val="en-US" w:eastAsia="zh-CN"/>
                    </w:rPr>
                    <w:t>/</w:t>
                  </w:r>
                </w:p>
              </w:tc>
              <w:tc>
                <w:tcPr>
                  <w:tcW w:w="1771" w:type="dxa"/>
                  <w:noWrap w:val="0"/>
                  <w:vAlign w:val="center"/>
                </w:tcPr>
                <w:p w14:paraId="3B9E1686">
                  <w:pPr>
                    <w:pStyle w:val="4"/>
                    <w:bidi w:val="0"/>
                    <w:ind w:firstLine="0" w:firstLineChars="0"/>
                    <w:jc w:val="center"/>
                    <w:rPr>
                      <w:rFonts w:hint="default" w:eastAsia="宋体"/>
                      <w:lang w:val="en-US" w:eastAsia="zh-CN"/>
                    </w:rPr>
                  </w:pPr>
                  <w:r>
                    <w:rPr>
                      <w:rFonts w:hint="eastAsia"/>
                      <w:lang w:val="en-US" w:eastAsia="zh-CN"/>
                    </w:rPr>
                    <w:t>100</w:t>
                  </w:r>
                </w:p>
              </w:tc>
            </w:tr>
          </w:tbl>
          <w:p w14:paraId="35F7B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rPr>
            </w:pPr>
            <w:r>
              <w:rPr>
                <w:rFonts w:hint="default"/>
                <w:b/>
                <w:bCs/>
                <w:color w:val="auto"/>
                <w:sz w:val="24"/>
                <w:szCs w:val="24"/>
              </w:rPr>
              <w:t>表</w:t>
            </w:r>
            <w:r>
              <w:rPr>
                <w:rFonts w:hint="eastAsia"/>
                <w:b/>
                <w:bCs/>
                <w:color w:val="auto"/>
                <w:sz w:val="24"/>
                <w:szCs w:val="24"/>
                <w:lang w:val="en-US" w:eastAsia="zh-CN"/>
              </w:rPr>
              <w:t xml:space="preserve">3-11  </w:t>
            </w:r>
            <w:r>
              <w:rPr>
                <w:rFonts w:hint="default"/>
                <w:b/>
                <w:bCs/>
                <w:color w:val="auto"/>
                <w:sz w:val="24"/>
                <w:szCs w:val="24"/>
              </w:rPr>
              <w:t>城镇污水处理厂污染物排放标准  单位：mg/L（pH值除外）</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2874"/>
              <w:gridCol w:w="3267"/>
            </w:tblGrid>
            <w:tr w14:paraId="5FD5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noWrap w:val="0"/>
                  <w:vAlign w:val="center"/>
                </w:tcPr>
                <w:p w14:paraId="799DB3D8">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2738" w:type="dxa"/>
                  <w:noWrap w:val="0"/>
                  <w:vAlign w:val="center"/>
                </w:tcPr>
                <w:p w14:paraId="42605C17">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浓度限值</w:t>
                  </w:r>
                </w:p>
              </w:tc>
              <w:tc>
                <w:tcPr>
                  <w:tcW w:w="3112" w:type="dxa"/>
                  <w:noWrap w:val="0"/>
                  <w:vAlign w:val="center"/>
                </w:tcPr>
                <w:p w14:paraId="05CCD72A">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依据</w:t>
                  </w:r>
                </w:p>
              </w:tc>
            </w:tr>
            <w:tr w14:paraId="601D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noWrap w:val="0"/>
                  <w:vAlign w:val="center"/>
                </w:tcPr>
                <w:p w14:paraId="76C6769C">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p>
              </w:tc>
              <w:tc>
                <w:tcPr>
                  <w:tcW w:w="2738" w:type="dxa"/>
                  <w:noWrap w:val="0"/>
                  <w:vAlign w:val="center"/>
                </w:tcPr>
                <w:p w14:paraId="6C35BE4D">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c>
                <w:tcPr>
                  <w:tcW w:w="3112" w:type="dxa"/>
                  <w:vMerge w:val="restart"/>
                  <w:noWrap w:val="0"/>
                  <w:vAlign w:val="center"/>
                </w:tcPr>
                <w:p w14:paraId="178EEDBA">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《城镇污水处理厂污染物排放标准》（GB18918-2002）中一级A标准</w:t>
                  </w:r>
                </w:p>
              </w:tc>
            </w:tr>
            <w:tr w14:paraId="1CBC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noWrap w:val="0"/>
                  <w:vAlign w:val="center"/>
                </w:tcPr>
                <w:p w14:paraId="1DCAB685">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2738" w:type="dxa"/>
                  <w:noWrap w:val="0"/>
                  <w:vAlign w:val="center"/>
                </w:tcPr>
                <w:p w14:paraId="42DAEECE">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3112" w:type="dxa"/>
                  <w:vMerge w:val="continue"/>
                  <w:noWrap w:val="0"/>
                  <w:vAlign w:val="center"/>
                </w:tcPr>
                <w:p w14:paraId="229B950E">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p>
              </w:tc>
            </w:tr>
            <w:tr w14:paraId="0D08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noWrap w:val="0"/>
                  <w:vAlign w:val="center"/>
                </w:tcPr>
                <w:p w14:paraId="368A2948">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tc>
              <w:tc>
                <w:tcPr>
                  <w:tcW w:w="2738" w:type="dxa"/>
                  <w:noWrap w:val="0"/>
                  <w:vAlign w:val="center"/>
                </w:tcPr>
                <w:p w14:paraId="5DB5FF80">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3112" w:type="dxa"/>
                  <w:vMerge w:val="continue"/>
                  <w:noWrap w:val="0"/>
                  <w:vAlign w:val="center"/>
                </w:tcPr>
                <w:p w14:paraId="24565FAA">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p>
              </w:tc>
            </w:tr>
            <w:tr w14:paraId="3E2C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noWrap w:val="0"/>
                  <w:vAlign w:val="center"/>
                </w:tcPr>
                <w:p w14:paraId="5EA2302B">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tc>
              <w:tc>
                <w:tcPr>
                  <w:tcW w:w="2738" w:type="dxa"/>
                  <w:noWrap w:val="0"/>
                  <w:vAlign w:val="center"/>
                </w:tcPr>
                <w:p w14:paraId="4A650528">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3112" w:type="dxa"/>
                  <w:vMerge w:val="continue"/>
                  <w:noWrap w:val="0"/>
                  <w:vAlign w:val="center"/>
                </w:tcPr>
                <w:p w14:paraId="13A00E16">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p>
              </w:tc>
            </w:tr>
            <w:tr w14:paraId="296D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noWrap w:val="0"/>
                  <w:vAlign w:val="center"/>
                </w:tcPr>
                <w:p w14:paraId="5F5F0F75">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2738" w:type="dxa"/>
                  <w:noWrap w:val="0"/>
                  <w:vAlign w:val="center"/>
                </w:tcPr>
                <w:p w14:paraId="63C4F9D3">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5（8）</w:t>
                  </w:r>
                </w:p>
              </w:tc>
              <w:tc>
                <w:tcPr>
                  <w:tcW w:w="3112" w:type="dxa"/>
                  <w:vMerge w:val="continue"/>
                  <w:noWrap w:val="0"/>
                  <w:vAlign w:val="center"/>
                </w:tcPr>
                <w:p w14:paraId="2D353E78">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p>
              </w:tc>
            </w:tr>
            <w:tr w14:paraId="49E7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noWrap w:val="0"/>
                  <w:vAlign w:val="center"/>
                </w:tcPr>
                <w:p w14:paraId="07AD30BA">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动植物油</w:t>
                  </w:r>
                </w:p>
              </w:tc>
              <w:tc>
                <w:tcPr>
                  <w:tcW w:w="2738" w:type="dxa"/>
                  <w:noWrap w:val="0"/>
                  <w:vAlign w:val="center"/>
                </w:tcPr>
                <w:p w14:paraId="0D4B48C4">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3112" w:type="dxa"/>
                  <w:vMerge w:val="continue"/>
                  <w:noWrap w:val="0"/>
                  <w:vAlign w:val="center"/>
                </w:tcPr>
                <w:p w14:paraId="3C22F3CC">
                  <w:pPr>
                    <w:pStyle w:val="5"/>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sz w:val="21"/>
                      <w:szCs w:val="21"/>
                    </w:rPr>
                  </w:pPr>
                </w:p>
              </w:tc>
            </w:tr>
          </w:tbl>
          <w:p w14:paraId="19CBE7B5">
            <w:pPr>
              <w:numPr>
                <w:ilvl w:val="0"/>
                <w:numId w:val="5"/>
              </w:numPr>
              <w:ind w:firstLine="0" w:firstLineChars="0"/>
              <w:rPr>
                <w:b/>
                <w:bCs/>
                <w:color w:val="auto"/>
              </w:rPr>
            </w:pPr>
            <w:r>
              <w:rPr>
                <w:rFonts w:hint="eastAsia"/>
                <w:b/>
                <w:bCs/>
                <w:color w:val="auto"/>
              </w:rPr>
              <w:t>噪声</w:t>
            </w:r>
          </w:p>
          <w:p w14:paraId="00A7D438">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val="en-US" w:eastAsia="zh-CN"/>
              </w:rPr>
              <w:t>本项目能源站、管网施工期厂界噪声执行《建筑施工场界环境噪声排放标准》（GB12523-2011）中相关标准；</w:t>
            </w:r>
            <w:r>
              <w:rPr>
                <w:rFonts w:hint="default"/>
              </w:rPr>
              <w:t>运营期厂界噪声执行《工业企业厂界环境噪声排放标准》（GB12348-2008）中</w:t>
            </w:r>
            <w:r>
              <w:rPr>
                <w:rFonts w:hint="eastAsia"/>
                <w:lang w:val="en-US" w:eastAsia="zh-CN"/>
              </w:rPr>
              <w:t>2</w:t>
            </w:r>
            <w:r>
              <w:rPr>
                <w:rFonts w:hint="default"/>
              </w:rPr>
              <w:t>类标准</w:t>
            </w:r>
            <w:r>
              <w:rPr>
                <w:rFonts w:hint="eastAsia"/>
                <w:lang w:eastAsia="zh-CN"/>
              </w:rPr>
              <w:t>。</w:t>
            </w:r>
          </w:p>
          <w:p w14:paraId="39981187">
            <w:pPr>
              <w:spacing w:line="240" w:lineRule="auto"/>
              <w:ind w:firstLine="482"/>
              <w:jc w:val="center"/>
              <w:rPr>
                <w:b/>
                <w:bCs/>
                <w:color w:val="auto"/>
              </w:rPr>
            </w:pPr>
            <w:r>
              <w:rPr>
                <w:b/>
                <w:bCs/>
                <w:color w:val="auto"/>
              </w:rPr>
              <w:t>表</w:t>
            </w:r>
            <w:r>
              <w:rPr>
                <w:rFonts w:hint="eastAsia"/>
                <w:b/>
                <w:bCs/>
                <w:color w:val="auto"/>
              </w:rPr>
              <w:t>3-</w:t>
            </w:r>
            <w:r>
              <w:rPr>
                <w:rFonts w:hint="eastAsia"/>
                <w:b/>
                <w:bCs/>
                <w:color w:val="auto"/>
                <w:lang w:val="en-US" w:eastAsia="zh-CN"/>
              </w:rPr>
              <w:t>13</w:t>
            </w:r>
            <w:r>
              <w:rPr>
                <w:rFonts w:hint="eastAsia"/>
                <w:b/>
                <w:bCs/>
                <w:color w:val="auto"/>
              </w:rPr>
              <w:t xml:space="preserve">  </w:t>
            </w:r>
            <w:r>
              <w:rPr>
                <w:b/>
                <w:bCs/>
                <w:color w:val="auto"/>
              </w:rPr>
              <w:t>环境噪声排放标准  单位：dB（A）</w:t>
            </w:r>
          </w:p>
          <w:tbl>
            <w:tblPr>
              <w:tblStyle w:val="26"/>
              <w:tblW w:w="8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824"/>
              <w:gridCol w:w="894"/>
              <w:gridCol w:w="5548"/>
            </w:tblGrid>
            <w:tr w14:paraId="25D0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5" w:type="dxa"/>
                  <w:vAlign w:val="center"/>
                </w:tcPr>
                <w:p w14:paraId="0B4FEB3F">
                  <w:pPr>
                    <w:pStyle w:val="4"/>
                    <w:spacing w:line="240" w:lineRule="auto"/>
                    <w:rPr>
                      <w:b/>
                      <w:bCs/>
                      <w:color w:val="auto"/>
                    </w:rPr>
                  </w:pPr>
                  <w:r>
                    <w:rPr>
                      <w:b/>
                      <w:bCs/>
                      <w:color w:val="auto"/>
                    </w:rPr>
                    <w:t>时段</w:t>
                  </w:r>
                </w:p>
              </w:tc>
              <w:tc>
                <w:tcPr>
                  <w:tcW w:w="824" w:type="dxa"/>
                  <w:vAlign w:val="center"/>
                </w:tcPr>
                <w:p w14:paraId="563DBB18">
                  <w:pPr>
                    <w:pStyle w:val="4"/>
                    <w:spacing w:line="240" w:lineRule="auto"/>
                    <w:rPr>
                      <w:b/>
                      <w:bCs/>
                      <w:color w:val="auto"/>
                    </w:rPr>
                  </w:pPr>
                  <w:r>
                    <w:rPr>
                      <w:b/>
                      <w:bCs/>
                      <w:color w:val="auto"/>
                    </w:rPr>
                    <w:t>昼间</w:t>
                  </w:r>
                </w:p>
              </w:tc>
              <w:tc>
                <w:tcPr>
                  <w:tcW w:w="894" w:type="dxa"/>
                  <w:vAlign w:val="center"/>
                </w:tcPr>
                <w:p w14:paraId="2415F606">
                  <w:pPr>
                    <w:pStyle w:val="4"/>
                    <w:spacing w:line="240" w:lineRule="auto"/>
                    <w:rPr>
                      <w:b/>
                      <w:bCs/>
                      <w:color w:val="auto"/>
                    </w:rPr>
                  </w:pPr>
                  <w:r>
                    <w:rPr>
                      <w:b/>
                      <w:bCs/>
                      <w:color w:val="auto"/>
                    </w:rPr>
                    <w:t>夜间</w:t>
                  </w:r>
                </w:p>
              </w:tc>
              <w:tc>
                <w:tcPr>
                  <w:tcW w:w="5548" w:type="dxa"/>
                  <w:vAlign w:val="center"/>
                </w:tcPr>
                <w:p w14:paraId="269A12F9">
                  <w:pPr>
                    <w:pStyle w:val="4"/>
                    <w:spacing w:line="240" w:lineRule="auto"/>
                    <w:rPr>
                      <w:b/>
                      <w:bCs/>
                      <w:color w:val="auto"/>
                    </w:rPr>
                  </w:pPr>
                  <w:r>
                    <w:rPr>
                      <w:b/>
                      <w:bCs/>
                      <w:color w:val="auto"/>
                    </w:rPr>
                    <w:t>标准</w:t>
                  </w:r>
                </w:p>
              </w:tc>
            </w:tr>
            <w:tr w14:paraId="28BC5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5" w:type="dxa"/>
                  <w:vMerge w:val="restart"/>
                  <w:vAlign w:val="center"/>
                </w:tcPr>
                <w:p w14:paraId="24410A5F">
                  <w:pPr>
                    <w:pStyle w:val="4"/>
                    <w:spacing w:line="240" w:lineRule="auto"/>
                    <w:rPr>
                      <w:color w:val="auto"/>
                    </w:rPr>
                  </w:pPr>
                  <w:r>
                    <w:rPr>
                      <w:rFonts w:hint="eastAsia"/>
                      <w:color w:val="auto"/>
                      <w:lang w:val="en-US" w:eastAsia="zh-CN"/>
                    </w:rPr>
                    <w:t>营运</w:t>
                  </w:r>
                  <w:r>
                    <w:rPr>
                      <w:color w:val="auto"/>
                    </w:rPr>
                    <w:t>期</w:t>
                  </w:r>
                </w:p>
              </w:tc>
              <w:tc>
                <w:tcPr>
                  <w:tcW w:w="824" w:type="dxa"/>
                  <w:vAlign w:val="center"/>
                </w:tcPr>
                <w:p w14:paraId="32596E46">
                  <w:pPr>
                    <w:pStyle w:val="4"/>
                    <w:spacing w:line="240" w:lineRule="auto"/>
                    <w:rPr>
                      <w:rFonts w:hint="eastAsia" w:eastAsia="宋体"/>
                      <w:color w:val="auto"/>
                      <w:lang w:eastAsia="zh-CN"/>
                    </w:rPr>
                  </w:pPr>
                  <w:r>
                    <w:rPr>
                      <w:color w:val="auto"/>
                    </w:rPr>
                    <w:t>6</w:t>
                  </w:r>
                  <w:r>
                    <w:rPr>
                      <w:rFonts w:hint="eastAsia"/>
                      <w:color w:val="auto"/>
                      <w:lang w:val="en-US" w:eastAsia="zh-CN"/>
                    </w:rPr>
                    <w:t>5</w:t>
                  </w:r>
                </w:p>
              </w:tc>
              <w:tc>
                <w:tcPr>
                  <w:tcW w:w="894" w:type="dxa"/>
                  <w:vAlign w:val="center"/>
                </w:tcPr>
                <w:p w14:paraId="57B50CB3">
                  <w:pPr>
                    <w:pStyle w:val="4"/>
                    <w:spacing w:line="240" w:lineRule="auto"/>
                    <w:rPr>
                      <w:rFonts w:hint="eastAsia" w:eastAsia="宋体"/>
                      <w:color w:val="auto"/>
                      <w:lang w:eastAsia="zh-CN"/>
                    </w:rPr>
                  </w:pPr>
                  <w:r>
                    <w:rPr>
                      <w:color w:val="auto"/>
                    </w:rPr>
                    <w:t>5</w:t>
                  </w:r>
                  <w:r>
                    <w:rPr>
                      <w:rFonts w:hint="eastAsia"/>
                      <w:color w:val="auto"/>
                      <w:lang w:val="en-US" w:eastAsia="zh-CN"/>
                    </w:rPr>
                    <w:t>5</w:t>
                  </w:r>
                </w:p>
              </w:tc>
              <w:tc>
                <w:tcPr>
                  <w:tcW w:w="5548" w:type="dxa"/>
                  <w:vAlign w:val="center"/>
                </w:tcPr>
                <w:p w14:paraId="2DE9F5CA">
                  <w:pPr>
                    <w:pStyle w:val="4"/>
                    <w:spacing w:line="240" w:lineRule="auto"/>
                    <w:rPr>
                      <w:color w:val="auto"/>
                    </w:rPr>
                  </w:pPr>
                  <w:r>
                    <w:rPr>
                      <w:color w:val="auto"/>
                    </w:rPr>
                    <w:t>《工业企业厂界环境噪声排放标准》</w:t>
                  </w:r>
                  <w:r>
                    <w:rPr>
                      <w:rFonts w:hint="eastAsia"/>
                      <w:color w:val="auto"/>
                    </w:rPr>
                    <w:t>（</w:t>
                  </w:r>
                  <w:r>
                    <w:rPr>
                      <w:color w:val="auto"/>
                    </w:rPr>
                    <w:t>GB12348-2008</w:t>
                  </w:r>
                  <w:r>
                    <w:rPr>
                      <w:rFonts w:hint="eastAsia"/>
                      <w:color w:val="auto"/>
                    </w:rPr>
                    <w:t>）</w:t>
                  </w:r>
                  <w:r>
                    <w:rPr>
                      <w:color w:val="auto"/>
                    </w:rPr>
                    <w:t>中的</w:t>
                  </w:r>
                  <w:r>
                    <w:rPr>
                      <w:rFonts w:hint="eastAsia"/>
                      <w:color w:val="auto"/>
                    </w:rPr>
                    <w:t>2</w:t>
                  </w:r>
                  <w:r>
                    <w:rPr>
                      <w:color w:val="auto"/>
                    </w:rPr>
                    <w:t>类标准</w:t>
                  </w:r>
                </w:p>
              </w:tc>
            </w:tr>
            <w:tr w14:paraId="48212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146AB8F4">
                  <w:pPr>
                    <w:pStyle w:val="4"/>
                    <w:spacing w:line="240" w:lineRule="auto"/>
                    <w:rPr>
                      <w:color w:val="auto"/>
                    </w:rPr>
                  </w:pPr>
                </w:p>
              </w:tc>
              <w:tc>
                <w:tcPr>
                  <w:tcW w:w="824" w:type="dxa"/>
                  <w:shd w:val="clear" w:color="auto" w:fill="auto"/>
                  <w:vAlign w:val="center"/>
                </w:tcPr>
                <w:p w14:paraId="5555B78B">
                  <w:pPr>
                    <w:keepNext w:val="0"/>
                    <w:keepLines w:val="0"/>
                    <w:pageBreakBefore w:val="0"/>
                    <w:widowControl/>
                    <w:suppressLineNumbers w:val="0"/>
                    <w:tabs>
                      <w:tab w:val="left" w:pos="630"/>
                      <w:tab w:val="left" w:pos="126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2"/>
                      <w:sz w:val="21"/>
                      <w:szCs w:val="21"/>
                      <w:lang w:val="en-US" w:eastAsia="zh-CN" w:bidi="ar-SA"/>
                    </w:rPr>
                  </w:pPr>
                  <w:r>
                    <w:rPr>
                      <w:rFonts w:hint="eastAsia"/>
                      <w:snapToGrid w:val="0"/>
                      <w:color w:val="auto"/>
                      <w:sz w:val="21"/>
                      <w:szCs w:val="21"/>
                      <w:lang w:val="en-US" w:eastAsia="zh-CN"/>
                    </w:rPr>
                    <w:t>/</w:t>
                  </w:r>
                </w:p>
              </w:tc>
              <w:tc>
                <w:tcPr>
                  <w:tcW w:w="894" w:type="dxa"/>
                  <w:shd w:val="clear" w:color="auto" w:fill="auto"/>
                  <w:vAlign w:val="center"/>
                </w:tcPr>
                <w:p w14:paraId="6C7E251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lang w:val="en-US" w:eastAsia="zh-CN"/>
                    </w:rPr>
                    <w:t>≤</w:t>
                  </w:r>
                  <w:r>
                    <w:rPr>
                      <w:rFonts w:hint="eastAsia" w:cs="Times New Roman"/>
                      <w:bCs/>
                      <w:sz w:val="21"/>
                      <w:szCs w:val="21"/>
                      <w:lang w:val="en-US" w:eastAsia="zh-CN"/>
                    </w:rPr>
                    <w:t>15</w:t>
                  </w:r>
                </w:p>
              </w:tc>
              <w:tc>
                <w:tcPr>
                  <w:tcW w:w="5548" w:type="dxa"/>
                  <w:vAlign w:val="center"/>
                </w:tcPr>
                <w:p w14:paraId="3F37EE78">
                  <w:pPr>
                    <w:pStyle w:val="4"/>
                    <w:spacing w:line="240" w:lineRule="auto"/>
                    <w:rPr>
                      <w:color w:val="auto"/>
                    </w:rPr>
                  </w:pPr>
                  <w:r>
                    <w:rPr>
                      <w:color w:val="auto"/>
                    </w:rPr>
                    <w:t>《工业企业厂界环境噪声排放标准》</w:t>
                  </w:r>
                  <w:r>
                    <w:rPr>
                      <w:rFonts w:hint="eastAsia"/>
                      <w:color w:val="auto"/>
                    </w:rPr>
                    <w:t>（</w:t>
                  </w:r>
                  <w:r>
                    <w:rPr>
                      <w:color w:val="auto"/>
                    </w:rPr>
                    <w:t>GB12348-2008</w:t>
                  </w:r>
                  <w:r>
                    <w:rPr>
                      <w:rFonts w:hint="eastAsia"/>
                      <w:color w:val="auto"/>
                    </w:rPr>
                    <w:t>）</w:t>
                  </w:r>
                  <w:r>
                    <w:rPr>
                      <w:color w:val="auto"/>
                    </w:rPr>
                    <w:t>中的</w:t>
                  </w:r>
                  <w:r>
                    <w:rPr>
                      <w:rFonts w:hint="eastAsia"/>
                      <w:color w:val="auto"/>
                    </w:rPr>
                    <w:t>2</w:t>
                  </w:r>
                  <w:r>
                    <w:rPr>
                      <w:color w:val="auto"/>
                    </w:rPr>
                    <w:t>类标准夜间偶发噪声</w:t>
                  </w:r>
                </w:p>
              </w:tc>
            </w:tr>
            <w:tr w14:paraId="58A8A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985" w:type="dxa"/>
                  <w:shd w:val="clear" w:color="auto" w:fill="auto"/>
                  <w:vAlign w:val="center"/>
                </w:tcPr>
                <w:p w14:paraId="2799137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Cs/>
                      <w:sz w:val="21"/>
                      <w:szCs w:val="21"/>
                      <w:lang w:val="en-AU"/>
                    </w:rPr>
                    <w:t>施工期</w:t>
                  </w:r>
                </w:p>
              </w:tc>
              <w:tc>
                <w:tcPr>
                  <w:tcW w:w="824" w:type="dxa"/>
                  <w:shd w:val="clear" w:color="auto" w:fill="auto"/>
                  <w:vAlign w:val="center"/>
                </w:tcPr>
                <w:p w14:paraId="2FF589FD">
                  <w:pPr>
                    <w:keepNext w:val="0"/>
                    <w:keepLines w:val="0"/>
                    <w:pageBreakBefore w:val="0"/>
                    <w:widowControl/>
                    <w:suppressLineNumbers w:val="0"/>
                    <w:tabs>
                      <w:tab w:val="left" w:pos="630"/>
                      <w:tab w:val="left" w:pos="126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snapToGrid w:val="0"/>
                      <w:color w:val="auto"/>
                      <w:sz w:val="21"/>
                      <w:szCs w:val="21"/>
                    </w:rPr>
                    <w:t>70</w:t>
                  </w:r>
                </w:p>
              </w:tc>
              <w:tc>
                <w:tcPr>
                  <w:tcW w:w="894" w:type="dxa"/>
                  <w:shd w:val="clear" w:color="auto" w:fill="auto"/>
                  <w:vAlign w:val="center"/>
                </w:tcPr>
                <w:p w14:paraId="30911C5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rPr>
                    <w:t>55</w:t>
                  </w:r>
                </w:p>
              </w:tc>
              <w:tc>
                <w:tcPr>
                  <w:tcW w:w="5548" w:type="dxa"/>
                  <w:shd w:val="clear" w:color="auto" w:fill="auto"/>
                  <w:vAlign w:val="center"/>
                </w:tcPr>
                <w:p w14:paraId="2A19B75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AU"/>
                    </w:rPr>
                    <w:t>《建筑施工场界环境噪声排放标准》（GB12523-2011）</w:t>
                  </w:r>
                </w:p>
              </w:tc>
            </w:tr>
          </w:tbl>
          <w:p w14:paraId="7367984E">
            <w:pPr>
              <w:numPr>
                <w:ilvl w:val="0"/>
                <w:numId w:val="5"/>
              </w:numPr>
              <w:ind w:firstLine="0" w:firstLineChars="0"/>
              <w:rPr>
                <w:b/>
                <w:bCs/>
                <w:color w:val="auto"/>
                <w:kern w:val="0"/>
              </w:rPr>
            </w:pPr>
            <w:r>
              <w:rPr>
                <w:b/>
                <w:bCs/>
                <w:color w:val="auto"/>
                <w:kern w:val="0"/>
              </w:rPr>
              <w:t>固废</w:t>
            </w:r>
          </w:p>
          <w:p w14:paraId="65B5502C">
            <w:pPr>
              <w:ind w:firstLine="48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kern w:val="2"/>
                <w:sz w:val="24"/>
                <w:szCs w:val="24"/>
                <w:lang w:eastAsia="zh-CN"/>
              </w:rPr>
              <w:t>工业固体废物的贮存、处置执行《中华人民共和国固体废物污染环境防治法》</w:t>
            </w:r>
            <w:r>
              <w:rPr>
                <w:rFonts w:hint="eastAsia" w:cs="Times New Roman"/>
                <w:kern w:val="2"/>
                <w:sz w:val="24"/>
                <w:szCs w:val="24"/>
                <w:lang w:eastAsia="zh-CN"/>
              </w:rPr>
              <w:t>，</w:t>
            </w:r>
            <w:r>
              <w:rPr>
                <w:rFonts w:hint="default" w:ascii="Times New Roman" w:hAnsi="Times New Roman" w:eastAsia="宋体" w:cs="Times New Roman"/>
                <w:kern w:val="2"/>
                <w:sz w:val="24"/>
                <w:szCs w:val="24"/>
                <w:lang w:val="en-US" w:eastAsia="zh-CN"/>
              </w:rPr>
              <w:t>一般工业固体废物暂存场所的建设参照执行</w:t>
            </w:r>
            <w:r>
              <w:rPr>
                <w:rFonts w:hint="default" w:ascii="Times New Roman" w:hAnsi="Times New Roman" w:eastAsia="宋体" w:cs="Times New Roman"/>
                <w:kern w:val="2"/>
                <w:sz w:val="24"/>
                <w:szCs w:val="24"/>
                <w:lang w:eastAsia="zh-CN"/>
              </w:rPr>
              <w:t>《一般工业固体废物贮存和填埋污染控制标准》（GB18599-2020）</w:t>
            </w:r>
            <w:r>
              <w:rPr>
                <w:rFonts w:hint="default" w:ascii="Times New Roman" w:hAnsi="Times New Roman" w:eastAsia="宋体" w:cs="Times New Roman"/>
                <w:color w:val="auto"/>
                <w:kern w:val="2"/>
                <w:sz w:val="24"/>
                <w:szCs w:val="24"/>
                <w:lang w:val="en-US" w:eastAsia="zh-CN"/>
              </w:rPr>
              <w:t>。</w:t>
            </w:r>
          </w:p>
          <w:p w14:paraId="18C92C48">
            <w:pPr>
              <w:ind w:firstLine="480"/>
              <w:rPr>
                <w:rFonts w:hint="default" w:ascii="Times New Roman" w:hAnsi="Times New Roman" w:eastAsia="宋体" w:cs="Times New Roman"/>
                <w:color w:val="auto"/>
                <w:kern w:val="2"/>
                <w:sz w:val="24"/>
                <w:szCs w:val="24"/>
                <w:lang w:val="en-US" w:eastAsia="zh-CN"/>
              </w:rPr>
            </w:pPr>
          </w:p>
          <w:p w14:paraId="29511B3D">
            <w:pPr>
              <w:ind w:firstLine="480"/>
              <w:rPr>
                <w:rFonts w:hint="default" w:ascii="Times New Roman" w:hAnsi="Times New Roman" w:eastAsia="宋体" w:cs="Times New Roman"/>
                <w:color w:val="auto"/>
                <w:kern w:val="2"/>
                <w:sz w:val="24"/>
                <w:szCs w:val="24"/>
                <w:lang w:val="en-US" w:eastAsia="zh-CN"/>
              </w:rPr>
            </w:pPr>
          </w:p>
          <w:p w14:paraId="04AE4873">
            <w:pPr>
              <w:ind w:firstLine="480"/>
              <w:rPr>
                <w:rFonts w:hint="default" w:ascii="Times New Roman" w:hAnsi="Times New Roman" w:eastAsia="宋体" w:cs="Times New Roman"/>
                <w:color w:val="auto"/>
                <w:kern w:val="2"/>
                <w:sz w:val="24"/>
                <w:szCs w:val="24"/>
                <w:lang w:val="en-US" w:eastAsia="zh-CN"/>
              </w:rPr>
            </w:pPr>
          </w:p>
          <w:p w14:paraId="411953A4">
            <w:pPr>
              <w:ind w:firstLine="480"/>
              <w:rPr>
                <w:rFonts w:hint="default" w:ascii="Times New Roman" w:hAnsi="Times New Roman" w:eastAsia="宋体" w:cs="Times New Roman"/>
                <w:color w:val="auto"/>
                <w:kern w:val="2"/>
                <w:sz w:val="24"/>
                <w:szCs w:val="24"/>
                <w:lang w:val="en-US" w:eastAsia="zh-CN"/>
              </w:rPr>
            </w:pPr>
          </w:p>
          <w:p w14:paraId="4A4F909A">
            <w:pPr>
              <w:ind w:firstLine="480"/>
              <w:rPr>
                <w:rFonts w:hint="default" w:ascii="Times New Roman" w:hAnsi="Times New Roman" w:eastAsia="宋体" w:cs="Times New Roman"/>
                <w:color w:val="auto"/>
                <w:kern w:val="2"/>
                <w:sz w:val="24"/>
                <w:szCs w:val="24"/>
                <w:lang w:val="en-US" w:eastAsia="zh-CN"/>
              </w:rPr>
            </w:pPr>
          </w:p>
          <w:p w14:paraId="20171D1D">
            <w:pPr>
              <w:ind w:left="0" w:leftChars="0" w:firstLine="0" w:firstLineChars="0"/>
              <w:rPr>
                <w:rFonts w:hint="default" w:ascii="宋体" w:hAnsi="宋体" w:eastAsia="宋体" w:cs="宋体"/>
                <w:color w:val="auto"/>
                <w:kern w:val="0"/>
                <w:szCs w:val="21"/>
                <w:lang w:val="en-US" w:eastAsia="zh-CN"/>
              </w:rPr>
            </w:pPr>
          </w:p>
        </w:tc>
      </w:tr>
      <w:tr w14:paraId="38247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513" w:type="dxa"/>
            <w:vAlign w:val="center"/>
          </w:tcPr>
          <w:p w14:paraId="2AFE283E">
            <w:pPr>
              <w:adjustRightInd w:val="0"/>
              <w:snapToGrid w:val="0"/>
              <w:ind w:firstLine="0" w:firstLineChars="0"/>
              <w:jc w:val="center"/>
              <w:rPr>
                <w:rFonts w:ascii="宋体" w:hAnsi="宋体" w:cs="宋体"/>
                <w:color w:val="auto"/>
                <w:kern w:val="0"/>
                <w:szCs w:val="21"/>
              </w:rPr>
            </w:pPr>
            <w:r>
              <w:rPr>
                <w:rFonts w:hint="eastAsia" w:ascii="宋体" w:hAnsi="宋体" w:cs="宋体"/>
                <w:color w:val="auto"/>
                <w:kern w:val="0"/>
                <w:szCs w:val="21"/>
              </w:rPr>
              <w:t>总量控制指标</w:t>
            </w:r>
          </w:p>
        </w:tc>
        <w:tc>
          <w:tcPr>
            <w:tcW w:w="8477" w:type="dxa"/>
            <w:vAlign w:val="center"/>
          </w:tcPr>
          <w:p w14:paraId="63536B5B">
            <w:pPr>
              <w:ind w:firstLine="480"/>
              <w:rPr>
                <w:rFonts w:hint="eastAsia" w:eastAsia="宋体"/>
                <w:color w:val="auto"/>
                <w:lang w:val="en-US" w:eastAsia="zh-CN"/>
              </w:rPr>
            </w:pPr>
            <w:r>
              <w:rPr>
                <w:color w:val="auto"/>
              </w:rPr>
              <w:t>根据</w:t>
            </w:r>
            <w:r>
              <w:rPr>
                <w:rFonts w:hint="eastAsia"/>
                <w:color w:val="auto"/>
              </w:rPr>
              <w:t>原</w:t>
            </w:r>
            <w:r>
              <w:rPr>
                <w:color w:val="auto"/>
              </w:rPr>
              <w:t>安徽省环保厅</w:t>
            </w:r>
            <w:r>
              <w:rPr>
                <w:rFonts w:hint="eastAsia"/>
                <w:color w:val="auto"/>
              </w:rPr>
              <w:t>发布的文件</w:t>
            </w:r>
            <w:r>
              <w:rPr>
                <w:color w:val="auto"/>
              </w:rPr>
              <w:t>《关于进一步加强建设项目新增大气主要污染物总量指标管理工作的通知》</w:t>
            </w:r>
            <w:r>
              <w:rPr>
                <w:rFonts w:hint="eastAsia"/>
                <w:color w:val="auto"/>
              </w:rPr>
              <w:t>（</w:t>
            </w:r>
            <w:r>
              <w:rPr>
                <w:color w:val="auto"/>
              </w:rPr>
              <w:t>皖环发〔2017〕19号</w:t>
            </w:r>
            <w:r>
              <w:rPr>
                <w:rFonts w:hint="eastAsia"/>
                <w:color w:val="auto"/>
              </w:rPr>
              <w:t>），</w:t>
            </w:r>
            <w:r>
              <w:rPr>
                <w:color w:val="auto"/>
              </w:rPr>
              <w:t>大气主要污染物总量指标实行区域内等量或倍量削减替代。上年度空气质量不达标的城市，相应污染物指标应执行</w:t>
            </w:r>
            <w:r>
              <w:rPr>
                <w:rFonts w:hint="eastAsia"/>
                <w:color w:val="auto"/>
              </w:rPr>
              <w:t>“</w:t>
            </w:r>
            <w:r>
              <w:rPr>
                <w:color w:val="auto"/>
              </w:rPr>
              <w:t>倍量替代</w:t>
            </w:r>
            <w:r>
              <w:rPr>
                <w:rFonts w:hint="eastAsia"/>
                <w:color w:val="auto"/>
              </w:rPr>
              <w:t>”</w:t>
            </w:r>
            <w:r>
              <w:rPr>
                <w:color w:val="auto"/>
              </w:rPr>
              <w:t>。其中，上年度PM</w:t>
            </w:r>
            <w:r>
              <w:rPr>
                <w:color w:val="auto"/>
                <w:vertAlign w:val="subscript"/>
              </w:rPr>
              <w:t>2.5</w:t>
            </w:r>
            <w:r>
              <w:rPr>
                <w:color w:val="auto"/>
              </w:rPr>
              <w:t>不达标的城市，新增SO</w:t>
            </w:r>
            <w:r>
              <w:rPr>
                <w:color w:val="auto"/>
                <w:vertAlign w:val="subscript"/>
              </w:rPr>
              <w:t>2</w:t>
            </w:r>
            <w:r>
              <w:rPr>
                <w:color w:val="auto"/>
              </w:rPr>
              <w:t>、NOx和VOCs指标均要执行</w:t>
            </w:r>
            <w:r>
              <w:rPr>
                <w:rFonts w:hint="eastAsia"/>
                <w:color w:val="auto"/>
              </w:rPr>
              <w:t>“</w:t>
            </w:r>
            <w:r>
              <w:rPr>
                <w:color w:val="auto"/>
              </w:rPr>
              <w:t>倍量替代</w:t>
            </w:r>
            <w:r>
              <w:rPr>
                <w:rFonts w:hint="eastAsia"/>
                <w:color w:val="auto"/>
              </w:rPr>
              <w:t>”</w:t>
            </w:r>
            <w:r>
              <w:rPr>
                <w:color w:val="auto"/>
              </w:rPr>
              <w:t>。上年度PM</w:t>
            </w:r>
            <w:r>
              <w:rPr>
                <w:color w:val="auto"/>
                <w:vertAlign w:val="subscript"/>
              </w:rPr>
              <w:t>10</w:t>
            </w:r>
            <w:r>
              <w:rPr>
                <w:color w:val="auto"/>
              </w:rPr>
              <w:t>不达标的城市，新增烟（粉）尘指标要执行</w:t>
            </w:r>
            <w:r>
              <w:rPr>
                <w:rFonts w:hint="eastAsia"/>
                <w:color w:val="auto"/>
              </w:rPr>
              <w:t>“</w:t>
            </w:r>
            <w:r>
              <w:rPr>
                <w:color w:val="auto"/>
              </w:rPr>
              <w:t>倍量替代</w:t>
            </w:r>
            <w:r>
              <w:rPr>
                <w:rFonts w:hint="eastAsia"/>
                <w:color w:val="auto"/>
              </w:rPr>
              <w:t>”</w:t>
            </w:r>
            <w:r>
              <w:rPr>
                <w:color w:val="auto"/>
              </w:rPr>
              <w:t>。达到超低排放标准的新建火电项目无需执行</w:t>
            </w:r>
            <w:r>
              <w:rPr>
                <w:rFonts w:hint="eastAsia"/>
                <w:color w:val="auto"/>
              </w:rPr>
              <w:t>“</w:t>
            </w:r>
            <w:r>
              <w:rPr>
                <w:color w:val="auto"/>
              </w:rPr>
              <w:t>倍量替代</w:t>
            </w:r>
            <w:r>
              <w:rPr>
                <w:rFonts w:hint="eastAsia"/>
                <w:color w:val="auto"/>
              </w:rPr>
              <w:t>”</w:t>
            </w:r>
            <w:r>
              <w:rPr>
                <w:color w:val="auto"/>
              </w:rPr>
              <w:t>。</w:t>
            </w:r>
          </w:p>
          <w:p w14:paraId="1AD02159">
            <w:pPr>
              <w:ind w:firstLine="480"/>
              <w:rPr>
                <w:color w:val="auto"/>
              </w:rPr>
            </w:pPr>
            <w:r>
              <w:rPr>
                <w:rFonts w:hint="eastAsia"/>
                <w:color w:val="auto"/>
              </w:rPr>
              <w:t>项目所在区域为淮北市，上年度环境空气质量不达标，新增大气污染物指标</w:t>
            </w:r>
            <w:r>
              <w:rPr>
                <w:rFonts w:hint="eastAsia"/>
                <w:color w:val="auto"/>
                <w:lang w:val="en-US" w:eastAsia="zh-CN"/>
              </w:rPr>
              <w:t>应执行</w:t>
            </w:r>
            <w:r>
              <w:rPr>
                <w:rFonts w:hint="eastAsia"/>
                <w:color w:val="auto"/>
              </w:rPr>
              <w:t>“倍量替代”。</w:t>
            </w:r>
          </w:p>
          <w:p w14:paraId="5453594C">
            <w:pPr>
              <w:ind w:firstLine="480"/>
              <w:rPr>
                <w:color w:val="auto"/>
              </w:rPr>
            </w:pPr>
            <w:r>
              <w:rPr>
                <w:rFonts w:hint="eastAsia" w:cs="宋体"/>
                <w:color w:val="auto"/>
                <w:lang w:val="en-US" w:eastAsia="zh-CN"/>
              </w:rPr>
              <w:t>营运期实行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r>
              <w:rPr>
                <w:rFonts w:hint="eastAsia"/>
                <w:color w:val="auto"/>
              </w:rPr>
              <w:t>。因此，本项目水污染物总量，</w:t>
            </w:r>
            <w:r>
              <w:rPr>
                <w:color w:val="auto"/>
              </w:rPr>
              <w:t>无需申请总量控制指标。</w:t>
            </w:r>
          </w:p>
          <w:p w14:paraId="2993B55D">
            <w:pPr>
              <w:keepNext w:val="0"/>
              <w:keepLines w:val="0"/>
              <w:pageBreakBefore w:val="0"/>
              <w:kinsoku/>
              <w:wordWrap/>
              <w:overflowPunct/>
              <w:topLinePunct w:val="0"/>
              <w:autoSpaceDE/>
              <w:autoSpaceDN/>
              <w:bidi w:val="0"/>
              <w:adjustRightInd/>
              <w:snapToGrid/>
              <w:textAlignment w:val="auto"/>
              <w:rPr>
                <w:rFonts w:hint="default" w:ascii="宋体" w:hAnsi="宋体" w:eastAsia="宋体" w:cs="宋体"/>
                <w:color w:val="auto"/>
                <w:kern w:val="0"/>
                <w:szCs w:val="21"/>
                <w:lang w:val="en-US" w:eastAsia="zh-CN"/>
              </w:rPr>
            </w:pPr>
            <w:r>
              <w:rPr>
                <w:rFonts w:hint="default"/>
              </w:rPr>
              <w:t>根据安徽省环保厅《关于进一步加强建设项目新增大气主要污染物总量指标管理工作的通知》（皖环发</w:t>
            </w:r>
            <w:r>
              <w:rPr>
                <w:rFonts w:hint="eastAsia" w:ascii="宋体" w:hAnsi="宋体" w:eastAsia="宋体" w:cs="宋体"/>
              </w:rPr>
              <w:t>〔</w:t>
            </w:r>
            <w:r>
              <w:rPr>
                <w:rFonts w:hint="default"/>
              </w:rPr>
              <w:t>2017</w:t>
            </w:r>
            <w:r>
              <w:rPr>
                <w:rFonts w:hint="eastAsia" w:ascii="宋体" w:hAnsi="宋体" w:eastAsia="宋体" w:cs="宋体"/>
              </w:rPr>
              <w:t>〕</w:t>
            </w:r>
            <w:r>
              <w:rPr>
                <w:rFonts w:hint="default"/>
              </w:rPr>
              <w:t>19号），国家对SO</w:t>
            </w:r>
            <w:r>
              <w:rPr>
                <w:rFonts w:hint="default"/>
                <w:vertAlign w:val="subscript"/>
              </w:rPr>
              <w:t>2</w:t>
            </w:r>
            <w:r>
              <w:rPr>
                <w:rFonts w:hint="default"/>
              </w:rPr>
              <w:t>、NOx、COD、NH</w:t>
            </w:r>
            <w:r>
              <w:rPr>
                <w:rFonts w:hint="default"/>
                <w:vertAlign w:val="subscript"/>
              </w:rPr>
              <w:t>3</w:t>
            </w:r>
            <w:r>
              <w:rPr>
                <w:rFonts w:hint="default"/>
              </w:rPr>
              <w:t>-N、</w:t>
            </w:r>
            <w:r>
              <w:rPr>
                <w:rFonts w:hint="eastAsia"/>
                <w:lang w:val="en-US" w:eastAsia="zh-CN"/>
              </w:rPr>
              <w:t>颗粒物</w:t>
            </w:r>
            <w:r>
              <w:rPr>
                <w:rFonts w:hint="default"/>
              </w:rPr>
              <w:t>、VOCs实施总量控制。</w:t>
            </w:r>
          </w:p>
        </w:tc>
      </w:tr>
    </w:tbl>
    <w:p w14:paraId="6ADD7727">
      <w:pPr>
        <w:pStyle w:val="24"/>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6"/>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427"/>
      </w:tblGrid>
      <w:tr w14:paraId="3D10B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81" w:type="dxa"/>
            <w:tcMar>
              <w:left w:w="28" w:type="dxa"/>
              <w:right w:w="28" w:type="dxa"/>
            </w:tcMar>
            <w:vAlign w:val="center"/>
          </w:tcPr>
          <w:p w14:paraId="4E952FD4">
            <w:pPr>
              <w:ind w:firstLine="0" w:firstLineChars="0"/>
              <w:jc w:val="center"/>
              <w:rPr>
                <w:rFonts w:cs="宋体"/>
                <w:bCs/>
                <w:color w:val="auto"/>
                <w:szCs w:val="21"/>
              </w:rPr>
            </w:pPr>
            <w:r>
              <w:rPr>
                <w:rFonts w:hint="eastAsia"/>
                <w:color w:val="auto"/>
              </w:rPr>
              <w:t>施工期环境保护措施</w:t>
            </w:r>
          </w:p>
        </w:tc>
        <w:tc>
          <w:tcPr>
            <w:tcW w:w="8427" w:type="dxa"/>
            <w:vAlign w:val="center"/>
          </w:tcPr>
          <w:p w14:paraId="57458C7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auto"/>
                <w:sz w:val="24"/>
              </w:rPr>
            </w:pPr>
            <w:r>
              <w:rPr>
                <w:rFonts w:hint="eastAsia"/>
                <w:b/>
                <w:bCs/>
                <w:color w:val="auto"/>
                <w:sz w:val="24"/>
                <w:lang w:val="en-US" w:eastAsia="zh-CN"/>
              </w:rPr>
              <w:t>1 、</w:t>
            </w:r>
            <w:r>
              <w:rPr>
                <w:rFonts w:hint="default" w:ascii="Times New Roman" w:hAnsi="Times New Roman" w:eastAsia="宋体" w:cs="Times New Roman"/>
                <w:b/>
                <w:bCs/>
                <w:color w:val="auto"/>
                <w:sz w:val="24"/>
                <w:lang w:val="en-US" w:eastAsia="zh-CN"/>
              </w:rPr>
              <w:t>施工</w:t>
            </w:r>
            <w:r>
              <w:rPr>
                <w:rFonts w:hint="eastAsia" w:cs="Times New Roman"/>
                <w:b/>
                <w:bCs/>
                <w:color w:val="auto"/>
                <w:sz w:val="24"/>
                <w:lang w:val="en-US" w:eastAsia="zh-CN"/>
              </w:rPr>
              <w:t>大气污染及保护</w:t>
            </w:r>
            <w:r>
              <w:rPr>
                <w:rFonts w:hint="default" w:ascii="Times New Roman" w:hAnsi="Times New Roman" w:eastAsia="宋体" w:cs="Times New Roman"/>
                <w:b/>
                <w:bCs/>
                <w:color w:val="auto"/>
                <w:sz w:val="24"/>
                <w:lang w:val="en-US" w:eastAsia="zh-CN"/>
              </w:rPr>
              <w:t xml:space="preserve">措施 </w:t>
            </w:r>
          </w:p>
          <w:p w14:paraId="48751713">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1.1</w:t>
            </w:r>
            <w:r>
              <w:rPr>
                <w:rFonts w:hint="default" w:ascii="Times New Roman" w:hAnsi="Times New Roman" w:eastAsia="宋体" w:cs="Times New Roman"/>
                <w:b/>
                <w:bCs/>
                <w:color w:val="auto"/>
                <w:sz w:val="24"/>
                <w:szCs w:val="24"/>
              </w:rPr>
              <w:t>施工期</w:t>
            </w:r>
            <w:r>
              <w:rPr>
                <w:rFonts w:hint="eastAsia" w:cs="Times New Roman"/>
                <w:b/>
                <w:bCs/>
                <w:color w:val="auto"/>
                <w:sz w:val="24"/>
                <w:lang w:val="en-US" w:eastAsia="zh-CN"/>
              </w:rPr>
              <w:t>大气污染</w:t>
            </w:r>
          </w:p>
          <w:p w14:paraId="71C3D6FE">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本项目的施工期大气污染源主要为施工扬尘、</w:t>
            </w:r>
            <w:r>
              <w:rPr>
                <w:rFonts w:hint="eastAsia"/>
                <w:bCs/>
                <w:color w:val="auto"/>
                <w:sz w:val="24"/>
              </w:rPr>
              <w:t>施工机械和运输车辆废气</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焊接烟尘</w:t>
            </w:r>
            <w:r>
              <w:rPr>
                <w:rFonts w:hint="default" w:ascii="Times New Roman" w:hAnsi="Times New Roman" w:eastAsia="宋体" w:cs="Times New Roman"/>
                <w:color w:val="auto"/>
                <w:sz w:val="24"/>
                <w:szCs w:val="24"/>
              </w:rPr>
              <w:t>。</w:t>
            </w:r>
          </w:p>
          <w:p w14:paraId="211F15EC">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施工扬尘</w:t>
            </w:r>
          </w:p>
          <w:p w14:paraId="68C3E659">
            <w:pPr>
              <w:keepNext w:val="0"/>
              <w:keepLines w:val="0"/>
              <w:pageBreakBefore w:val="0"/>
              <w:widowControl w:val="0"/>
              <w:kinsoku/>
              <w:wordWrap w:val="0"/>
              <w:overflowPunct/>
              <w:topLinePunct/>
              <w:autoSpaceDE/>
              <w:autoSpaceDN/>
              <w:bidi w:val="0"/>
              <w:adjustRightInd/>
              <w:snapToGrid/>
              <w:spacing w:line="360" w:lineRule="auto"/>
              <w:ind w:firstLine="480" w:firstLineChars="200"/>
              <w:contextualSpacing/>
              <w:textAlignment w:val="auto"/>
              <w:rPr>
                <w:rFonts w:hint="eastAsia"/>
                <w:bCs/>
                <w:color w:val="auto"/>
                <w:sz w:val="24"/>
              </w:rPr>
            </w:pPr>
            <w:r>
              <w:rPr>
                <w:rFonts w:hint="eastAsia"/>
                <w:bCs/>
                <w:color w:val="auto"/>
                <w:sz w:val="24"/>
              </w:rPr>
              <w:t>施工扬尘来自建筑材料的搬运及堆放、土方开挖、回填和施工材料的堆放及清理、施工运输车辆等活动，包括渣土扬尘、基建材料运输引起的装卸扬尘以及施工车辆行驶于泥土路面产生的灰土、泥土地面风吹扬尘等，其扬尘量与施工现场条件，施工管理水平，施工机械化程度、施工季节、建设地区土质及天气等诸多因素有关。类比调查研究结果表明，在不采取防护措施和土壤较为干燥时，开挖的最大扬尘量约为装卸量的1%，在采取一定的防护措施和土壤较湿时，开挖的扬尘量约为装卸量的0.1%。类别同类型施工场地，扬尘浓度</w:t>
            </w:r>
            <w:r>
              <w:rPr>
                <w:rFonts w:hint="eastAsia"/>
                <w:bCs/>
                <w:color w:val="auto"/>
                <w:kern w:val="24"/>
                <w:sz w:val="24"/>
              </w:rPr>
              <w:t>在1.5</w:t>
            </w:r>
            <w:r>
              <w:rPr>
                <w:rFonts w:hint="eastAsia"/>
                <w:bCs/>
                <w:color w:val="auto"/>
                <w:kern w:val="24"/>
                <w:sz w:val="24"/>
                <w:lang w:val="en-US" w:eastAsia="zh-CN"/>
              </w:rPr>
              <w:t>-</w:t>
            </w:r>
            <w:r>
              <w:rPr>
                <w:rFonts w:hint="eastAsia"/>
                <w:bCs/>
                <w:color w:val="auto"/>
                <w:kern w:val="24"/>
                <w:sz w:val="24"/>
              </w:rPr>
              <w:t>30mg/m</w:t>
            </w:r>
            <w:r>
              <w:rPr>
                <w:rFonts w:hint="eastAsia"/>
                <w:bCs/>
                <w:color w:val="auto"/>
                <w:kern w:val="24"/>
                <w:sz w:val="24"/>
                <w:vertAlign w:val="superscript"/>
              </w:rPr>
              <w:t>3</w:t>
            </w:r>
            <w:r>
              <w:rPr>
                <w:rFonts w:hint="eastAsia"/>
                <w:bCs/>
                <w:color w:val="auto"/>
                <w:kern w:val="24"/>
                <w:sz w:val="24"/>
              </w:rPr>
              <w:t>之间。</w:t>
            </w:r>
          </w:p>
          <w:p w14:paraId="60111850">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left"/>
              <w:textAlignment w:val="auto"/>
              <w:rPr>
                <w:rFonts w:hint="eastAsia"/>
                <w:bCs/>
                <w:color w:val="auto"/>
                <w:sz w:val="24"/>
              </w:rPr>
            </w:pPr>
            <w:r>
              <w:rPr>
                <w:rFonts w:hint="eastAsia"/>
                <w:bCs/>
                <w:color w:val="auto"/>
                <w:sz w:val="24"/>
              </w:rPr>
              <w:t>本项目的供热管线</w:t>
            </w:r>
            <w:r>
              <w:rPr>
                <w:rFonts w:hint="eastAsia"/>
                <w:bCs/>
                <w:color w:val="auto"/>
                <w:sz w:val="24"/>
                <w:lang w:val="en-US" w:eastAsia="zh-CN"/>
              </w:rPr>
              <w:t>全线采取直埋的施工方式，过道路采用直埋施工方式</w:t>
            </w:r>
            <w:r>
              <w:rPr>
                <w:rFonts w:hint="eastAsia"/>
                <w:bCs/>
                <w:color w:val="auto"/>
                <w:sz w:val="24"/>
              </w:rPr>
              <w:t>，且建设场地较为平整，土石方量不大，施工期间采取文明施工等方式可降低扬尘影响。</w:t>
            </w:r>
          </w:p>
          <w:p w14:paraId="49DDCD5C">
            <w:pPr>
              <w:keepNext w:val="0"/>
              <w:keepLines w:val="0"/>
              <w:pageBreakBefore w:val="0"/>
              <w:widowControl w:val="0"/>
              <w:kinsoku/>
              <w:wordWrap w:val="0"/>
              <w:overflowPunct/>
              <w:topLinePunct/>
              <w:autoSpaceDE/>
              <w:autoSpaceDN/>
              <w:bidi w:val="0"/>
              <w:adjustRightInd/>
              <w:snapToGrid/>
              <w:spacing w:line="360" w:lineRule="auto"/>
              <w:ind w:firstLine="480" w:firstLineChars="200"/>
              <w:contextualSpacing/>
              <w:textAlignment w:val="auto"/>
              <w:rPr>
                <w:rFonts w:hint="eastAsia"/>
                <w:bCs/>
                <w:color w:val="auto"/>
                <w:sz w:val="24"/>
              </w:rPr>
            </w:pPr>
            <w:r>
              <w:rPr>
                <w:rFonts w:hint="eastAsia"/>
                <w:bCs/>
                <w:color w:val="auto"/>
                <w:sz w:val="24"/>
                <w:lang w:eastAsia="zh-CN"/>
              </w:rPr>
              <w:t>（</w:t>
            </w:r>
            <w:r>
              <w:rPr>
                <w:rFonts w:hint="eastAsia"/>
                <w:bCs/>
                <w:color w:val="auto"/>
                <w:sz w:val="24"/>
                <w:lang w:val="en-US" w:eastAsia="zh-CN"/>
              </w:rPr>
              <w:t>2</w:t>
            </w:r>
            <w:r>
              <w:rPr>
                <w:rFonts w:hint="eastAsia"/>
                <w:bCs/>
                <w:color w:val="auto"/>
                <w:sz w:val="24"/>
                <w:lang w:eastAsia="zh-CN"/>
              </w:rPr>
              <w:t>）</w:t>
            </w:r>
            <w:r>
              <w:rPr>
                <w:rFonts w:hint="eastAsia"/>
                <w:bCs/>
                <w:color w:val="auto"/>
                <w:sz w:val="24"/>
              </w:rPr>
              <w:t>施工机械和运输车辆废气</w:t>
            </w:r>
          </w:p>
          <w:p w14:paraId="67888E01">
            <w:pPr>
              <w:keepNext w:val="0"/>
              <w:keepLines w:val="0"/>
              <w:pageBreakBefore w:val="0"/>
              <w:widowControl w:val="0"/>
              <w:kinsoku/>
              <w:wordWrap w:val="0"/>
              <w:overflowPunct/>
              <w:topLinePunct/>
              <w:autoSpaceDE/>
              <w:autoSpaceDN/>
              <w:bidi w:val="0"/>
              <w:adjustRightInd/>
              <w:snapToGrid/>
              <w:spacing w:line="360" w:lineRule="auto"/>
              <w:ind w:firstLine="480" w:firstLineChars="200"/>
              <w:contextualSpacing/>
              <w:textAlignment w:val="auto"/>
              <w:rPr>
                <w:rFonts w:hint="eastAsia"/>
                <w:bCs/>
                <w:color w:val="auto"/>
                <w:sz w:val="24"/>
                <w:lang w:eastAsia="zh-CN"/>
              </w:rPr>
            </w:pPr>
            <w:r>
              <w:rPr>
                <w:rFonts w:hint="eastAsia"/>
                <w:bCs/>
                <w:color w:val="auto"/>
                <w:sz w:val="24"/>
              </w:rPr>
              <w:t>施工期，工地上施工机械设备和运输车辆运行时会排放一定量的燃油废气，污染物主要是CO、NO</w:t>
            </w:r>
            <w:r>
              <w:rPr>
                <w:rFonts w:hint="eastAsia"/>
                <w:bCs/>
                <w:color w:val="auto"/>
                <w:sz w:val="24"/>
                <w:lang w:val="en-US" w:eastAsia="zh-CN"/>
              </w:rPr>
              <w:t>x</w:t>
            </w:r>
            <w:r>
              <w:rPr>
                <w:rFonts w:hint="eastAsia"/>
                <w:bCs/>
                <w:color w:val="auto"/>
                <w:sz w:val="24"/>
              </w:rPr>
              <w:t>和未完全燃烧的碳氢化合物（CHx）。按照大型车辆尾气污染物排放量CO：5.25g/辆·km、CHx：20.8g/辆·km、NOx：10.44g/辆·km，工程各施工设备折合成大型车辆约</w:t>
            </w:r>
            <w:r>
              <w:rPr>
                <w:rFonts w:hint="eastAsia"/>
                <w:bCs/>
                <w:color w:val="auto"/>
                <w:sz w:val="24"/>
                <w:lang w:val="en-US" w:eastAsia="zh-CN"/>
              </w:rPr>
              <w:t>5</w:t>
            </w:r>
            <w:r>
              <w:rPr>
                <w:rFonts w:hint="eastAsia"/>
                <w:bCs/>
                <w:color w:val="auto"/>
                <w:sz w:val="24"/>
              </w:rPr>
              <w:t>辆，运行距离平均每天</w:t>
            </w:r>
            <w:r>
              <w:rPr>
                <w:rFonts w:hint="eastAsia"/>
                <w:bCs/>
                <w:color w:val="auto"/>
                <w:sz w:val="24"/>
                <w:lang w:val="en-US" w:eastAsia="zh-CN"/>
              </w:rPr>
              <w:t>1</w:t>
            </w:r>
            <w:r>
              <w:rPr>
                <w:rFonts w:hint="eastAsia"/>
                <w:bCs/>
                <w:color w:val="auto"/>
                <w:sz w:val="24"/>
              </w:rPr>
              <w:t>km计，则污染物排放量分别为CO</w:t>
            </w:r>
            <w:r>
              <w:rPr>
                <w:rFonts w:hint="eastAsia"/>
                <w:bCs/>
                <w:color w:val="auto"/>
                <w:sz w:val="24"/>
                <w:lang w:eastAsia="zh-CN"/>
              </w:rPr>
              <w:t>：</w:t>
            </w:r>
            <w:r>
              <w:rPr>
                <w:rFonts w:hint="eastAsia"/>
                <w:bCs/>
                <w:color w:val="auto"/>
                <w:sz w:val="24"/>
                <w:lang w:val="en-US" w:eastAsia="zh-CN"/>
              </w:rPr>
              <w:t>0.026</w:t>
            </w:r>
            <w:r>
              <w:rPr>
                <w:rFonts w:hint="eastAsia"/>
                <w:bCs/>
                <w:color w:val="auto"/>
                <w:sz w:val="24"/>
              </w:rPr>
              <w:t>kg/d、CHx</w:t>
            </w:r>
            <w:r>
              <w:rPr>
                <w:rFonts w:hint="eastAsia"/>
                <w:bCs/>
                <w:color w:val="auto"/>
                <w:sz w:val="24"/>
                <w:lang w:eastAsia="zh-CN"/>
              </w:rPr>
              <w:t>：</w:t>
            </w:r>
            <w:r>
              <w:rPr>
                <w:rFonts w:hint="eastAsia"/>
                <w:bCs/>
                <w:color w:val="auto"/>
                <w:sz w:val="24"/>
                <w:lang w:val="en-US" w:eastAsia="zh-CN"/>
              </w:rPr>
              <w:t>0.104</w:t>
            </w:r>
            <w:r>
              <w:rPr>
                <w:rFonts w:hint="eastAsia"/>
                <w:bCs/>
                <w:color w:val="auto"/>
                <w:sz w:val="24"/>
              </w:rPr>
              <w:t>kg/d、NOx</w:t>
            </w:r>
            <w:r>
              <w:rPr>
                <w:rFonts w:hint="eastAsia"/>
                <w:bCs/>
                <w:color w:val="auto"/>
                <w:sz w:val="24"/>
                <w:lang w:eastAsia="zh-CN"/>
              </w:rPr>
              <w:t>：</w:t>
            </w:r>
            <w:r>
              <w:rPr>
                <w:rFonts w:hint="eastAsia"/>
                <w:bCs/>
                <w:color w:val="auto"/>
                <w:sz w:val="24"/>
                <w:lang w:val="en-US" w:eastAsia="zh-CN"/>
              </w:rPr>
              <w:t>0.052</w:t>
            </w:r>
            <w:r>
              <w:rPr>
                <w:rFonts w:hint="eastAsia"/>
                <w:bCs/>
                <w:color w:val="auto"/>
                <w:sz w:val="24"/>
              </w:rPr>
              <w:t>kg/d，</w:t>
            </w:r>
            <w:r>
              <w:rPr>
                <w:rFonts w:hint="eastAsia"/>
                <w:bCs/>
                <w:color w:val="auto"/>
                <w:sz w:val="24"/>
                <w:lang w:val="en-US" w:eastAsia="zh-CN"/>
              </w:rPr>
              <w:t>工作时间为2个月（60天）则总排放量为</w:t>
            </w:r>
            <w:r>
              <w:rPr>
                <w:rFonts w:hint="eastAsia"/>
                <w:bCs/>
                <w:color w:val="auto"/>
                <w:sz w:val="24"/>
              </w:rPr>
              <w:t>为CO</w:t>
            </w:r>
            <w:r>
              <w:rPr>
                <w:rFonts w:hint="eastAsia"/>
                <w:bCs/>
                <w:color w:val="auto"/>
                <w:sz w:val="24"/>
                <w:lang w:eastAsia="zh-CN"/>
              </w:rPr>
              <w:t>：</w:t>
            </w:r>
            <w:r>
              <w:rPr>
                <w:rFonts w:hint="eastAsia"/>
                <w:bCs/>
                <w:color w:val="auto"/>
                <w:sz w:val="24"/>
                <w:lang w:val="en-US" w:eastAsia="zh-CN"/>
              </w:rPr>
              <w:t>0.002t</w:t>
            </w:r>
            <w:r>
              <w:rPr>
                <w:rFonts w:hint="eastAsia"/>
                <w:bCs/>
                <w:color w:val="auto"/>
                <w:sz w:val="24"/>
              </w:rPr>
              <w:t xml:space="preserve">、CHx </w:t>
            </w:r>
            <w:r>
              <w:rPr>
                <w:rFonts w:hint="eastAsia"/>
                <w:bCs/>
                <w:color w:val="auto"/>
                <w:sz w:val="24"/>
                <w:lang w:eastAsia="zh-CN"/>
              </w:rPr>
              <w:t>：</w:t>
            </w:r>
            <w:r>
              <w:rPr>
                <w:rFonts w:hint="eastAsia"/>
                <w:bCs/>
                <w:color w:val="auto"/>
                <w:sz w:val="24"/>
                <w:lang w:val="en-US" w:eastAsia="zh-CN"/>
              </w:rPr>
              <w:t>0.006t</w:t>
            </w:r>
            <w:r>
              <w:rPr>
                <w:rFonts w:hint="eastAsia"/>
                <w:bCs/>
                <w:color w:val="auto"/>
                <w:sz w:val="24"/>
              </w:rPr>
              <w:t>、NOx</w:t>
            </w:r>
            <w:r>
              <w:rPr>
                <w:rFonts w:hint="eastAsia"/>
                <w:bCs/>
                <w:color w:val="auto"/>
                <w:sz w:val="24"/>
                <w:lang w:eastAsia="zh-CN"/>
              </w:rPr>
              <w:t>：</w:t>
            </w:r>
            <w:r>
              <w:rPr>
                <w:rFonts w:hint="eastAsia"/>
                <w:bCs/>
                <w:color w:val="auto"/>
                <w:sz w:val="24"/>
                <w:lang w:val="en-US" w:eastAsia="zh-CN"/>
              </w:rPr>
              <w:t>0.003t</w:t>
            </w:r>
            <w:r>
              <w:rPr>
                <w:rFonts w:hint="eastAsia"/>
                <w:bCs/>
                <w:color w:val="auto"/>
                <w:sz w:val="24"/>
                <w:lang w:eastAsia="zh-CN"/>
              </w:rPr>
              <w:t>。</w:t>
            </w:r>
          </w:p>
          <w:p w14:paraId="19BCC54B">
            <w:pPr>
              <w:keepNext w:val="0"/>
              <w:keepLines w:val="0"/>
              <w:pageBreakBefore w:val="0"/>
              <w:widowControl w:val="0"/>
              <w:kinsoku/>
              <w:wordWrap w:val="0"/>
              <w:overflowPunct/>
              <w:topLinePunct/>
              <w:autoSpaceDE/>
              <w:autoSpaceDN/>
              <w:bidi w:val="0"/>
              <w:adjustRightInd/>
              <w:snapToGrid/>
              <w:spacing w:line="360" w:lineRule="auto"/>
              <w:ind w:firstLine="480" w:firstLineChars="200"/>
              <w:contextualSpacing/>
              <w:textAlignment w:val="auto"/>
              <w:rPr>
                <w:rFonts w:hint="eastAsia"/>
                <w:bCs/>
                <w:color w:val="auto"/>
                <w:sz w:val="24"/>
              </w:rPr>
            </w:pPr>
            <w:r>
              <w:rPr>
                <w:rFonts w:hint="eastAsia"/>
                <w:bCs/>
                <w:color w:val="auto"/>
                <w:sz w:val="24"/>
              </w:rPr>
              <w:t>影响对象</w:t>
            </w:r>
            <w:r>
              <w:rPr>
                <w:rFonts w:hint="eastAsia"/>
                <w:bCs/>
                <w:color w:val="auto"/>
                <w:sz w:val="24"/>
                <w:lang w:val="en-US" w:eastAsia="zh-CN"/>
              </w:rPr>
              <w:t>为</w:t>
            </w:r>
            <w:r>
              <w:rPr>
                <w:rFonts w:hint="eastAsia"/>
                <w:bCs/>
                <w:color w:val="auto"/>
                <w:sz w:val="24"/>
              </w:rPr>
              <w:t>施工场现场作业人员和运输路线两侧敏感目标（包括</w:t>
            </w:r>
            <w:r>
              <w:rPr>
                <w:rFonts w:hint="eastAsia"/>
                <w:bCs/>
                <w:color w:val="auto"/>
                <w:sz w:val="24"/>
                <w:lang w:val="en-US" w:eastAsia="zh-CN"/>
              </w:rPr>
              <w:t>学校</w:t>
            </w:r>
            <w:r>
              <w:rPr>
                <w:rFonts w:hint="eastAsia"/>
                <w:bCs/>
                <w:color w:val="auto"/>
                <w:sz w:val="24"/>
              </w:rPr>
              <w:t>、居民点等）。</w:t>
            </w:r>
          </w:p>
          <w:p w14:paraId="5A3B56CB">
            <w:pPr>
              <w:keepNext w:val="0"/>
              <w:keepLines w:val="0"/>
              <w:pageBreakBefore w:val="0"/>
              <w:widowControl w:val="0"/>
              <w:suppressLineNumbers w:val="0"/>
              <w:kinsoku/>
              <w:wordWrap w:val="0"/>
              <w:overflowPunct/>
              <w:topLinePunct/>
              <w:autoSpaceDE/>
              <w:autoSpaceDN/>
              <w:bidi w:val="0"/>
              <w:adjustRightInd/>
              <w:snapToGrid/>
              <w:spacing w:line="360" w:lineRule="auto"/>
              <w:ind w:leftChars="0"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3</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kern w:val="0"/>
                <w:sz w:val="24"/>
                <w:szCs w:val="24"/>
                <w:lang w:val="en-US" w:eastAsia="zh-CN" w:bidi="ar"/>
              </w:rPr>
              <w:t>焊接烟尘</w:t>
            </w:r>
          </w:p>
          <w:p w14:paraId="72CEA262">
            <w:pPr>
              <w:keepNext w:val="0"/>
              <w:keepLines w:val="0"/>
              <w:pageBreakBefore w:val="0"/>
              <w:widowControl w:val="0"/>
              <w:suppressLineNumbers w:val="0"/>
              <w:kinsoku/>
              <w:wordWrap w:val="0"/>
              <w:overflowPunct/>
              <w:topLinePunct/>
              <w:autoSpaceDE/>
              <w:autoSpaceDN/>
              <w:bidi w:val="0"/>
              <w:adjustRightInd/>
              <w:snapToGrid/>
              <w:spacing w:line="360" w:lineRule="auto"/>
              <w:ind w:leftChars="0" w:firstLine="480" w:firstLineChars="200"/>
              <w:jc w:val="left"/>
              <w:textAlignment w:val="auto"/>
              <w:rPr>
                <w:rFonts w:hint="eastAsia"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本项目在设备安装、管道连接等均使用焊接，在焊接过程中将有一部分焊接烟气产生。</w:t>
            </w:r>
            <w:r>
              <w:rPr>
                <w:rFonts w:hint="eastAsia" w:cs="Times New Roman"/>
                <w:color w:val="auto"/>
                <w:kern w:val="0"/>
                <w:sz w:val="24"/>
                <w:szCs w:val="24"/>
                <w:lang w:val="en-US" w:eastAsia="zh-CN" w:bidi="ar"/>
              </w:rPr>
              <w:t>本项目焊接采用氩弧焊和手工焊，焊接烟气中金属氧化物粉尘等污染物均为无组织排放。</w:t>
            </w:r>
          </w:p>
          <w:p w14:paraId="1F1AAF2E">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cs="Times New Roman"/>
                <w:b/>
                <w:bCs/>
                <w:color w:val="auto"/>
                <w:sz w:val="24"/>
                <w:szCs w:val="24"/>
                <w:lang w:val="en-US" w:eastAsia="zh-CN"/>
              </w:rPr>
            </w:pPr>
            <w:r>
              <w:rPr>
                <w:rFonts w:hint="default" w:ascii="Times New Roman" w:hAnsi="Times New Roman" w:cs="Times New Roman"/>
                <w:color w:val="auto"/>
                <w:sz w:val="24"/>
                <w:szCs w:val="24"/>
                <w:lang w:val="en-US" w:eastAsia="zh-CN"/>
              </w:rPr>
              <w:t>根据《排放源统计调查产排污核算方法和系数手册》（环保部2021年6月11日印发）中</w:t>
            </w:r>
            <w:r>
              <w:rPr>
                <w:rFonts w:hint="eastAsia" w:ascii="Times New Roman" w:hAnsi="Times New Roman" w:cs="Times New Roman"/>
                <w:color w:val="auto"/>
                <w:sz w:val="24"/>
                <w:lang w:val="en-GB" w:eastAsia="zh-CN"/>
              </w:rPr>
              <w:t>“</w:t>
            </w:r>
            <w:r>
              <w:rPr>
                <w:rFonts w:hint="default" w:ascii="Times New Roman" w:hAnsi="Times New Roman" w:cs="Times New Roman"/>
                <w:color w:val="auto"/>
                <w:sz w:val="24"/>
                <w:lang w:val="en-GB"/>
              </w:rPr>
              <w:t>机械行业系数手册</w:t>
            </w:r>
            <w:r>
              <w:rPr>
                <w:rFonts w:hint="eastAsia" w:ascii="Times New Roman" w:hAnsi="Times New Roman" w:cs="Times New Roman"/>
                <w:color w:val="auto"/>
                <w:sz w:val="24"/>
                <w:lang w:val="en-GB" w:eastAsia="zh-CN"/>
              </w:rPr>
              <w:t>”</w:t>
            </w:r>
            <w:r>
              <w:rPr>
                <w:rFonts w:hint="default" w:ascii="Times New Roman" w:hAnsi="Times New Roman" w:eastAsia="宋体" w:cs="Times New Roman"/>
                <w:color w:val="auto"/>
                <w:sz w:val="24"/>
                <w:szCs w:val="24"/>
                <w:lang w:val="en-GB" w:eastAsia="zh-CN"/>
              </w:rPr>
              <w:t>，</w:t>
            </w:r>
            <w:r>
              <w:rPr>
                <w:rFonts w:hint="default" w:ascii="Times New Roman" w:hAnsi="Times New Roman" w:eastAsia="宋体" w:cs="Times New Roman"/>
                <w:color w:val="auto"/>
                <w:sz w:val="24"/>
                <w:szCs w:val="24"/>
                <w:lang w:val="en-US" w:eastAsia="zh-CN"/>
              </w:rPr>
              <w:t>焊接工序系数见下表。</w:t>
            </w:r>
          </w:p>
          <w:p w14:paraId="72185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bCs/>
                <w:color w:val="auto"/>
                <w:sz w:val="24"/>
                <w:szCs w:val="24"/>
                <w:lang w:val="en-US" w:eastAsia="zh-CN"/>
              </w:rPr>
            </w:pPr>
            <w:r>
              <w:rPr>
                <w:rFonts w:hint="eastAsia" w:cs="Times New Roman"/>
                <w:b/>
                <w:bCs/>
                <w:color w:val="auto"/>
                <w:sz w:val="24"/>
                <w:szCs w:val="24"/>
                <w:lang w:val="en-US" w:eastAsia="zh-CN"/>
              </w:rPr>
              <w:t>表4-1</w:t>
            </w:r>
            <w:r>
              <w:rPr>
                <w:rFonts w:hint="default" w:cs="Times New Roman"/>
                <w:b/>
                <w:bCs/>
                <w:color w:val="auto"/>
                <w:sz w:val="24"/>
                <w:szCs w:val="24"/>
                <w:lang w:val="en-US" w:eastAsia="zh-CN"/>
              </w:rPr>
              <w:t xml:space="preserve">  </w:t>
            </w:r>
            <w:r>
              <w:rPr>
                <w:rFonts w:hint="eastAsia" w:cs="Times New Roman"/>
                <w:b/>
                <w:bCs/>
                <w:color w:val="auto"/>
                <w:sz w:val="24"/>
                <w:szCs w:val="24"/>
                <w:lang w:val="en-US" w:eastAsia="zh-CN"/>
              </w:rPr>
              <w:t>焊接</w:t>
            </w:r>
            <w:r>
              <w:rPr>
                <w:rFonts w:hint="default" w:cs="Times New Roman"/>
                <w:b/>
                <w:bCs/>
                <w:color w:val="auto"/>
                <w:sz w:val="24"/>
                <w:szCs w:val="24"/>
                <w:lang w:val="en-US" w:eastAsia="zh-CN"/>
              </w:rPr>
              <w:t>工序产污系数</w:t>
            </w:r>
            <w:r>
              <w:rPr>
                <w:rFonts w:hint="eastAsia" w:cs="Times New Roman"/>
                <w:b/>
                <w:bCs/>
                <w:color w:val="auto"/>
                <w:sz w:val="24"/>
                <w:szCs w:val="24"/>
                <w:lang w:val="en-US" w:eastAsia="zh-CN"/>
              </w:rPr>
              <w:t>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996"/>
              <w:gridCol w:w="1192"/>
              <w:gridCol w:w="622"/>
              <w:gridCol w:w="909"/>
              <w:gridCol w:w="1155"/>
              <w:gridCol w:w="1181"/>
            </w:tblGrid>
            <w:tr w14:paraId="7BC3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pct"/>
                  <w:noWrap w:val="0"/>
                  <w:vAlign w:val="center"/>
                </w:tcPr>
                <w:p w14:paraId="331C8DE3">
                  <w:pPr>
                    <w:pStyle w:val="36"/>
                    <w:keepNext w:val="0"/>
                    <w:keepLines w:val="0"/>
                    <w:pageBreakBefore w:val="0"/>
                    <w:widowControl/>
                    <w:kinsoku/>
                    <w:wordWrap/>
                    <w:overflowPunct/>
                    <w:topLinePunct w:val="0"/>
                    <w:autoSpaceDE/>
                    <w:autoSpaceDN/>
                    <w:bidi w:val="0"/>
                    <w:adjustRightInd/>
                    <w:snapToGrid/>
                    <w:textAlignment w:val="auto"/>
                    <w:rPr>
                      <w:rFonts w:hint="default"/>
                      <w:b/>
                      <w:bCs/>
                      <w:color w:val="auto"/>
                      <w:lang w:val="en-US" w:eastAsia="zh-CN"/>
                    </w:rPr>
                  </w:pPr>
                  <w:r>
                    <w:rPr>
                      <w:rFonts w:hint="eastAsia"/>
                      <w:b/>
                      <w:bCs/>
                      <w:color w:val="auto"/>
                      <w:lang w:val="en-US" w:eastAsia="zh-CN"/>
                    </w:rPr>
                    <w:t>原料名称</w:t>
                  </w:r>
                </w:p>
              </w:tc>
              <w:tc>
                <w:tcPr>
                  <w:tcW w:w="1216" w:type="pct"/>
                  <w:noWrap w:val="0"/>
                  <w:vAlign w:val="center"/>
                </w:tcPr>
                <w:p w14:paraId="173EC976">
                  <w:pPr>
                    <w:pStyle w:val="36"/>
                    <w:keepNext w:val="0"/>
                    <w:keepLines w:val="0"/>
                    <w:pageBreakBefore w:val="0"/>
                    <w:widowControl/>
                    <w:kinsoku/>
                    <w:wordWrap/>
                    <w:overflowPunct/>
                    <w:topLinePunct w:val="0"/>
                    <w:autoSpaceDE/>
                    <w:autoSpaceDN/>
                    <w:bidi w:val="0"/>
                    <w:adjustRightInd/>
                    <w:snapToGrid/>
                    <w:textAlignment w:val="auto"/>
                    <w:rPr>
                      <w:rFonts w:hint="eastAsia"/>
                      <w:b/>
                      <w:bCs/>
                      <w:color w:val="auto"/>
                      <w:lang w:val="en-US" w:eastAsia="zh-CN"/>
                    </w:rPr>
                  </w:pPr>
                  <w:r>
                    <w:rPr>
                      <w:rFonts w:hint="eastAsia"/>
                      <w:b/>
                      <w:bCs/>
                      <w:color w:val="auto"/>
                      <w:lang w:val="en-US" w:eastAsia="zh-CN"/>
                    </w:rPr>
                    <w:t>工艺名称</w:t>
                  </w:r>
                </w:p>
              </w:tc>
              <w:tc>
                <w:tcPr>
                  <w:tcW w:w="726" w:type="pct"/>
                  <w:noWrap w:val="0"/>
                  <w:vAlign w:val="center"/>
                </w:tcPr>
                <w:p w14:paraId="2111FD43">
                  <w:pPr>
                    <w:pStyle w:val="36"/>
                    <w:keepNext w:val="0"/>
                    <w:keepLines w:val="0"/>
                    <w:pageBreakBefore w:val="0"/>
                    <w:widowControl/>
                    <w:kinsoku/>
                    <w:wordWrap/>
                    <w:overflowPunct/>
                    <w:topLinePunct w:val="0"/>
                    <w:autoSpaceDE/>
                    <w:autoSpaceDN/>
                    <w:bidi w:val="0"/>
                    <w:adjustRightInd/>
                    <w:snapToGrid/>
                    <w:textAlignment w:val="auto"/>
                    <w:rPr>
                      <w:rFonts w:hint="eastAsia"/>
                      <w:b/>
                      <w:bCs/>
                      <w:color w:val="auto"/>
                    </w:rPr>
                  </w:pPr>
                  <w:r>
                    <w:rPr>
                      <w:rFonts w:hint="eastAsia"/>
                      <w:b/>
                      <w:bCs/>
                      <w:color w:val="auto"/>
                      <w:lang w:val="en-US" w:eastAsia="zh-CN"/>
                    </w:rPr>
                    <w:t>规模等级</w:t>
                  </w:r>
                </w:p>
              </w:tc>
              <w:tc>
                <w:tcPr>
                  <w:tcW w:w="933" w:type="pct"/>
                  <w:gridSpan w:val="2"/>
                  <w:noWrap w:val="0"/>
                  <w:vAlign w:val="center"/>
                </w:tcPr>
                <w:p w14:paraId="48F84B63">
                  <w:pPr>
                    <w:pStyle w:val="36"/>
                    <w:keepNext w:val="0"/>
                    <w:keepLines w:val="0"/>
                    <w:pageBreakBefore w:val="0"/>
                    <w:widowControl/>
                    <w:kinsoku/>
                    <w:wordWrap/>
                    <w:overflowPunct/>
                    <w:topLinePunct w:val="0"/>
                    <w:autoSpaceDE/>
                    <w:autoSpaceDN/>
                    <w:bidi w:val="0"/>
                    <w:adjustRightInd/>
                    <w:snapToGrid/>
                    <w:textAlignment w:val="auto"/>
                    <w:rPr>
                      <w:rFonts w:hint="eastAsia"/>
                      <w:b/>
                      <w:bCs/>
                      <w:color w:val="auto"/>
                      <w:lang w:val="en-US" w:eastAsia="zh-CN"/>
                    </w:rPr>
                  </w:pPr>
                  <w:r>
                    <w:rPr>
                      <w:rFonts w:hint="eastAsia"/>
                      <w:b/>
                      <w:bCs/>
                      <w:color w:val="auto"/>
                      <w:lang w:val="en-US" w:eastAsia="zh-CN"/>
                    </w:rPr>
                    <w:t>污染物指标</w:t>
                  </w:r>
                </w:p>
              </w:tc>
              <w:tc>
                <w:tcPr>
                  <w:tcW w:w="704" w:type="pct"/>
                  <w:noWrap w:val="0"/>
                  <w:vAlign w:val="center"/>
                </w:tcPr>
                <w:p w14:paraId="76C3F733">
                  <w:pPr>
                    <w:pStyle w:val="36"/>
                    <w:keepNext w:val="0"/>
                    <w:keepLines w:val="0"/>
                    <w:pageBreakBefore w:val="0"/>
                    <w:widowControl/>
                    <w:kinsoku/>
                    <w:wordWrap/>
                    <w:overflowPunct/>
                    <w:topLinePunct w:val="0"/>
                    <w:autoSpaceDE/>
                    <w:autoSpaceDN/>
                    <w:bidi w:val="0"/>
                    <w:adjustRightInd/>
                    <w:snapToGrid/>
                    <w:textAlignment w:val="auto"/>
                    <w:rPr>
                      <w:rFonts w:hint="eastAsia"/>
                      <w:b/>
                      <w:bCs/>
                      <w:color w:val="auto"/>
                      <w:lang w:val="en-US" w:eastAsia="zh-CN"/>
                    </w:rPr>
                  </w:pPr>
                  <w:r>
                    <w:rPr>
                      <w:rFonts w:hint="eastAsia"/>
                      <w:b/>
                      <w:bCs/>
                      <w:color w:val="auto"/>
                      <w:lang w:val="en-US" w:eastAsia="zh-CN"/>
                    </w:rPr>
                    <w:t>单位</w:t>
                  </w:r>
                </w:p>
              </w:tc>
              <w:tc>
                <w:tcPr>
                  <w:tcW w:w="720" w:type="pct"/>
                  <w:noWrap w:val="0"/>
                  <w:vAlign w:val="center"/>
                </w:tcPr>
                <w:p w14:paraId="7C96D3AA">
                  <w:pPr>
                    <w:pStyle w:val="36"/>
                    <w:keepNext w:val="0"/>
                    <w:keepLines w:val="0"/>
                    <w:pageBreakBefore w:val="0"/>
                    <w:widowControl/>
                    <w:kinsoku/>
                    <w:wordWrap/>
                    <w:overflowPunct/>
                    <w:topLinePunct w:val="0"/>
                    <w:autoSpaceDE/>
                    <w:autoSpaceDN/>
                    <w:bidi w:val="0"/>
                    <w:adjustRightInd/>
                    <w:snapToGrid/>
                    <w:textAlignment w:val="auto"/>
                    <w:rPr>
                      <w:rFonts w:hint="eastAsia"/>
                      <w:b/>
                      <w:bCs/>
                      <w:color w:val="auto"/>
                      <w:lang w:val="en-US" w:eastAsia="zh-CN"/>
                    </w:rPr>
                  </w:pPr>
                  <w:r>
                    <w:rPr>
                      <w:rFonts w:hint="eastAsia"/>
                      <w:b/>
                      <w:bCs/>
                      <w:color w:val="auto"/>
                      <w:lang w:val="en-US" w:eastAsia="zh-CN"/>
                    </w:rPr>
                    <w:t>产污系数</w:t>
                  </w:r>
                </w:p>
              </w:tc>
            </w:tr>
            <w:tr w14:paraId="4317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pct"/>
                  <w:noWrap w:val="0"/>
                  <w:vAlign w:val="center"/>
                </w:tcPr>
                <w:p w14:paraId="462B8EE8">
                  <w:pPr>
                    <w:pStyle w:val="36"/>
                    <w:keepNext w:val="0"/>
                    <w:keepLines w:val="0"/>
                    <w:pageBreakBefore w:val="0"/>
                    <w:widowControl/>
                    <w:kinsoku/>
                    <w:wordWrap/>
                    <w:overflowPunct/>
                    <w:topLinePunct w:val="0"/>
                    <w:autoSpaceDE/>
                    <w:autoSpaceDN/>
                    <w:bidi w:val="0"/>
                    <w:adjustRightInd/>
                    <w:snapToGrid/>
                    <w:textAlignment w:val="auto"/>
                    <w:rPr>
                      <w:rFonts w:hint="eastAsia"/>
                      <w:color w:val="auto"/>
                      <w:lang w:eastAsia="zh-CN"/>
                    </w:rPr>
                  </w:pPr>
                  <w:r>
                    <w:rPr>
                      <w:rFonts w:hint="eastAsia"/>
                      <w:color w:val="auto"/>
                      <w:lang w:val="en-US" w:eastAsia="zh-CN"/>
                    </w:rPr>
                    <w:t>实芯焊丝</w:t>
                  </w:r>
                </w:p>
              </w:tc>
              <w:tc>
                <w:tcPr>
                  <w:tcW w:w="1216" w:type="pct"/>
                  <w:noWrap w:val="0"/>
                  <w:vAlign w:val="center"/>
                </w:tcPr>
                <w:p w14:paraId="602899BD">
                  <w:pPr>
                    <w:pStyle w:val="36"/>
                    <w:keepNext w:val="0"/>
                    <w:keepLines w:val="0"/>
                    <w:pageBreakBefore w:val="0"/>
                    <w:widowControl/>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二氧化碳保护焊、埋弧焊、氩弧焊</w:t>
                  </w:r>
                </w:p>
              </w:tc>
              <w:tc>
                <w:tcPr>
                  <w:tcW w:w="726" w:type="pct"/>
                  <w:noWrap w:val="0"/>
                  <w:vAlign w:val="center"/>
                </w:tcPr>
                <w:p w14:paraId="3D06573D">
                  <w:pPr>
                    <w:pStyle w:val="36"/>
                    <w:keepNext w:val="0"/>
                    <w:keepLines w:val="0"/>
                    <w:pageBreakBefore w:val="0"/>
                    <w:widowControl/>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所有规模</w:t>
                  </w:r>
                </w:p>
              </w:tc>
              <w:tc>
                <w:tcPr>
                  <w:tcW w:w="379" w:type="pct"/>
                  <w:noWrap w:val="0"/>
                  <w:vAlign w:val="center"/>
                </w:tcPr>
                <w:p w14:paraId="2B1DF44A">
                  <w:pPr>
                    <w:pStyle w:val="36"/>
                    <w:keepNext w:val="0"/>
                    <w:keepLines w:val="0"/>
                    <w:pageBreakBefore w:val="0"/>
                    <w:widowControl/>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废气</w:t>
                  </w:r>
                </w:p>
              </w:tc>
              <w:tc>
                <w:tcPr>
                  <w:tcW w:w="554" w:type="pct"/>
                  <w:noWrap w:val="0"/>
                  <w:vAlign w:val="center"/>
                </w:tcPr>
                <w:p w14:paraId="0A544575">
                  <w:pPr>
                    <w:pStyle w:val="36"/>
                    <w:keepNext w:val="0"/>
                    <w:keepLines w:val="0"/>
                    <w:pageBreakBefore w:val="0"/>
                    <w:widowControl/>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颗粒物</w:t>
                  </w:r>
                </w:p>
              </w:tc>
              <w:tc>
                <w:tcPr>
                  <w:tcW w:w="704" w:type="pct"/>
                  <w:noWrap w:val="0"/>
                  <w:vAlign w:val="center"/>
                </w:tcPr>
                <w:p w14:paraId="7F4744BE">
                  <w:pPr>
                    <w:pStyle w:val="36"/>
                    <w:keepNext w:val="0"/>
                    <w:keepLines w:val="0"/>
                    <w:pageBreakBefore w:val="0"/>
                    <w:widowControl/>
                    <w:kinsoku/>
                    <w:wordWrap/>
                    <w:overflowPunct/>
                    <w:topLinePunct w:val="0"/>
                    <w:autoSpaceDE/>
                    <w:autoSpaceDN/>
                    <w:bidi w:val="0"/>
                    <w:adjustRightInd/>
                    <w:snapToGrid/>
                    <w:textAlignment w:val="auto"/>
                    <w:rPr>
                      <w:rFonts w:hint="eastAsia"/>
                      <w:color w:val="auto"/>
                    </w:rPr>
                  </w:pPr>
                  <w:r>
                    <w:rPr>
                      <w:rFonts w:hint="eastAsia"/>
                      <w:color w:val="auto"/>
                      <w:lang w:val="en-US" w:eastAsia="zh-CN"/>
                    </w:rPr>
                    <w:t>kg/t·原料</w:t>
                  </w:r>
                </w:p>
              </w:tc>
              <w:tc>
                <w:tcPr>
                  <w:tcW w:w="720" w:type="pct"/>
                  <w:noWrap w:val="0"/>
                  <w:vAlign w:val="center"/>
                </w:tcPr>
                <w:p w14:paraId="01C1076D">
                  <w:pPr>
                    <w:pStyle w:val="36"/>
                    <w:keepNext w:val="0"/>
                    <w:keepLines w:val="0"/>
                    <w:pageBreakBefore w:val="0"/>
                    <w:widowControl/>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9.19</w:t>
                  </w:r>
                </w:p>
              </w:tc>
            </w:tr>
          </w:tbl>
          <w:p w14:paraId="7D7F3D73">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eastAsia="宋体" w:cs="宋体"/>
                <w:color w:val="auto"/>
                <w:sz w:val="24"/>
                <w:szCs w:val="24"/>
                <w:lang w:val="en-US" w:eastAsia="zh-CN"/>
              </w:rPr>
            </w:pPr>
            <w:r>
              <w:rPr>
                <w:rFonts w:hint="eastAsia" w:cs="Times New Roman"/>
                <w:color w:val="auto"/>
                <w:kern w:val="0"/>
                <w:sz w:val="24"/>
                <w:szCs w:val="24"/>
                <w:lang w:val="en-US" w:eastAsia="zh-CN" w:bidi="ar"/>
              </w:rPr>
              <w:t>根据建设单位提供资料，</w:t>
            </w:r>
            <w:r>
              <w:rPr>
                <w:rFonts w:hint="eastAsia" w:eastAsia="宋体" w:cs="宋体"/>
                <w:color w:val="auto"/>
                <w:sz w:val="24"/>
                <w:szCs w:val="24"/>
                <w:lang w:val="en-US" w:eastAsia="zh-CN"/>
              </w:rPr>
              <w:t>实芯</w:t>
            </w:r>
            <w:r>
              <w:rPr>
                <w:rFonts w:hint="eastAsia" w:eastAsia="宋体" w:cs="宋体"/>
                <w:color w:val="auto"/>
                <w:sz w:val="24"/>
                <w:szCs w:val="24"/>
              </w:rPr>
              <w:t>焊</w:t>
            </w:r>
            <w:r>
              <w:rPr>
                <w:rFonts w:hint="eastAsia" w:cs="宋体"/>
                <w:color w:val="auto"/>
                <w:sz w:val="24"/>
                <w:szCs w:val="24"/>
              </w:rPr>
              <w:t>丝</w:t>
            </w:r>
            <w:r>
              <w:rPr>
                <w:rFonts w:hint="eastAsia" w:cs="宋体"/>
                <w:color w:val="auto"/>
                <w:sz w:val="24"/>
                <w:szCs w:val="24"/>
                <w:lang w:val="en-US" w:eastAsia="zh-CN"/>
              </w:rPr>
              <w:t>总</w:t>
            </w:r>
            <w:r>
              <w:rPr>
                <w:rFonts w:hint="eastAsia" w:cs="宋体"/>
                <w:color w:val="auto"/>
                <w:sz w:val="24"/>
                <w:szCs w:val="24"/>
              </w:rPr>
              <w:t>用量为</w:t>
            </w:r>
            <w:r>
              <w:rPr>
                <w:rFonts w:hint="eastAsia"/>
                <w:color w:val="auto"/>
                <w:sz w:val="24"/>
                <w:szCs w:val="24"/>
                <w:lang w:val="en-US" w:eastAsia="zh-CN"/>
              </w:rPr>
              <w:t>3</w:t>
            </w:r>
            <w:r>
              <w:rPr>
                <w:rFonts w:hint="default"/>
                <w:color w:val="auto"/>
                <w:sz w:val="24"/>
                <w:szCs w:val="24"/>
              </w:rPr>
              <w:t>t</w:t>
            </w:r>
            <w:r>
              <w:rPr>
                <w:rFonts w:hint="eastAsia" w:cs="宋体"/>
                <w:color w:val="auto"/>
                <w:sz w:val="24"/>
                <w:szCs w:val="24"/>
              </w:rPr>
              <w:t>。</w:t>
            </w:r>
            <w:r>
              <w:rPr>
                <w:rFonts w:hint="eastAsia" w:cs="Times New Roman"/>
                <w:color w:val="auto"/>
                <w:kern w:val="0"/>
                <w:sz w:val="24"/>
                <w:szCs w:val="24"/>
                <w:lang w:val="en-US" w:eastAsia="zh-CN" w:bidi="ar"/>
              </w:rPr>
              <w:t>据此计算本项目焊接烟尘产生量约为0.028t。</w:t>
            </w:r>
            <w:r>
              <w:rPr>
                <w:rFonts w:hint="eastAsia" w:eastAsia="宋体" w:cs="宋体"/>
                <w:color w:val="auto"/>
                <w:sz w:val="24"/>
                <w:szCs w:val="24"/>
                <w:lang w:val="en-US" w:eastAsia="zh-CN"/>
              </w:rPr>
              <w:t>本项目焊接位置分散，单个产污点污染物产生量较小，且属于间歇排放，对周边污染物较小。</w:t>
            </w:r>
          </w:p>
          <w:p w14:paraId="4DDDE109">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环评要求企业在施工期限内尽快完成，</w:t>
            </w:r>
            <w:r>
              <w:rPr>
                <w:rFonts w:hint="eastAsia" w:cs="宋体"/>
                <w:color w:val="auto"/>
                <w:sz w:val="24"/>
                <w:szCs w:val="24"/>
                <w:lang w:val="en-US" w:eastAsia="zh-CN"/>
              </w:rPr>
              <w:t>减少</w:t>
            </w:r>
            <w:r>
              <w:rPr>
                <w:rFonts w:hint="eastAsia" w:eastAsia="宋体" w:cs="宋体"/>
                <w:color w:val="auto"/>
                <w:sz w:val="24"/>
                <w:szCs w:val="24"/>
                <w:lang w:val="en-US" w:eastAsia="zh-CN"/>
              </w:rPr>
              <w:t>对周边环境影响较小。</w:t>
            </w:r>
          </w:p>
          <w:p w14:paraId="108BAF6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s="Times New Roman"/>
                <w:b/>
                <w:bCs w:val="0"/>
                <w:color w:val="auto"/>
                <w:spacing w:val="10"/>
                <w:sz w:val="24"/>
                <w:szCs w:val="24"/>
                <w:lang w:val="en-US" w:eastAsia="zh-CN"/>
              </w:rPr>
            </w:pPr>
            <w:r>
              <w:rPr>
                <w:rFonts w:hint="eastAsia" w:cs="Times New Roman"/>
                <w:b/>
                <w:bCs w:val="0"/>
                <w:color w:val="auto"/>
                <w:spacing w:val="10"/>
                <w:sz w:val="24"/>
                <w:szCs w:val="24"/>
                <w:lang w:val="en-US" w:eastAsia="zh-CN"/>
              </w:rPr>
              <w:t>1.2施工期</w:t>
            </w:r>
            <w:r>
              <w:rPr>
                <w:rFonts w:hint="eastAsia" w:ascii="Times New Roman" w:hAnsi="Times New Roman" w:eastAsia="宋体" w:cs="Times New Roman"/>
                <w:b/>
                <w:bCs/>
                <w:color w:val="auto"/>
                <w:sz w:val="24"/>
                <w:szCs w:val="24"/>
                <w:lang w:val="en-US" w:eastAsia="zh-CN"/>
              </w:rPr>
              <w:t>大气</w:t>
            </w:r>
            <w:r>
              <w:rPr>
                <w:rFonts w:hint="default" w:ascii="Times New Roman" w:hAnsi="Times New Roman" w:eastAsia="宋体" w:cs="Times New Roman"/>
                <w:b/>
                <w:bCs/>
                <w:color w:val="auto"/>
                <w:sz w:val="24"/>
                <w:szCs w:val="24"/>
              </w:rPr>
              <w:t>污染防治措施</w:t>
            </w:r>
          </w:p>
          <w:p w14:paraId="1FF205D9">
            <w:pPr>
              <w:keepNext w:val="0"/>
              <w:keepLines w:val="0"/>
              <w:pageBreakBefore w:val="0"/>
              <w:widowControl w:val="0"/>
              <w:kinsoku/>
              <w:wordWrap/>
              <w:overflowPunct/>
              <w:topLinePunct w:val="0"/>
              <w:autoSpaceDE/>
              <w:autoSpaceDN/>
              <w:bidi w:val="0"/>
              <w:adjustRightInd/>
              <w:snapToGrid/>
              <w:spacing w:line="360" w:lineRule="auto"/>
              <w:ind w:left="0" w:leftChars="0" w:firstLine="522" w:firstLineChars="200"/>
              <w:jc w:val="left"/>
              <w:textAlignment w:val="auto"/>
              <w:rPr>
                <w:rFonts w:hint="default" w:ascii="Times New Roman" w:hAnsi="Times New Roman" w:eastAsia="宋体" w:cs="Times New Roman"/>
                <w:b/>
                <w:bCs w:val="0"/>
                <w:color w:val="auto"/>
                <w:spacing w:val="10"/>
                <w:sz w:val="24"/>
                <w:szCs w:val="24"/>
                <w:lang w:val="en-US" w:eastAsia="zh-CN"/>
              </w:rPr>
            </w:pPr>
            <w:r>
              <w:rPr>
                <w:rFonts w:hint="eastAsia" w:cs="Times New Roman"/>
                <w:b/>
                <w:bCs w:val="0"/>
                <w:color w:val="auto"/>
                <w:spacing w:val="10"/>
                <w:sz w:val="24"/>
                <w:szCs w:val="24"/>
                <w:lang w:val="en-US" w:eastAsia="zh-CN"/>
              </w:rPr>
              <w:t>（1）施工扬尘</w:t>
            </w:r>
          </w:p>
          <w:p w14:paraId="66A22203">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default"/>
                <w:color w:val="auto"/>
              </w:rPr>
              <w:t>根据现场调查，</w:t>
            </w:r>
            <w:r>
              <w:rPr>
                <w:rFonts w:hint="eastAsia"/>
                <w:color w:val="auto"/>
                <w:lang w:val="en-US" w:eastAsia="zh-CN"/>
              </w:rPr>
              <w:t>管网</w:t>
            </w:r>
            <w:r>
              <w:rPr>
                <w:rFonts w:hint="default"/>
                <w:color w:val="auto"/>
              </w:rPr>
              <w:t>沿线</w:t>
            </w:r>
            <w:r>
              <w:rPr>
                <w:rFonts w:hint="eastAsia"/>
                <w:color w:val="auto"/>
                <w:lang w:val="en-US" w:eastAsia="zh-CN"/>
              </w:rPr>
              <w:t>2</w:t>
            </w:r>
            <w:r>
              <w:rPr>
                <w:rFonts w:hint="default"/>
                <w:color w:val="auto"/>
              </w:rPr>
              <w:t>00m范围内分布有敏感点，施工扬尘对环境敏感目标具有一定影响。因此</w:t>
            </w:r>
            <w:r>
              <w:rPr>
                <w:rFonts w:hint="eastAsia"/>
                <w:color w:val="auto"/>
                <w:lang w:eastAsia="zh-CN"/>
              </w:rPr>
              <w:t>，</w:t>
            </w:r>
            <w:r>
              <w:rPr>
                <w:rFonts w:hint="default"/>
                <w:color w:val="auto"/>
              </w:rPr>
              <w:t>项目在施工过程中，为最大限度降低施工扬尘的影响，建设单位应加强对施工现场可能产生扬尘的每个环节的严格管理，严格按照《安徽省大气污染防治行动计划实施方案》、《</w:t>
            </w:r>
            <w:r>
              <w:rPr>
                <w:rFonts w:hint="default"/>
                <w:color w:val="auto"/>
                <w:lang w:val="en-US" w:eastAsia="zh-CN"/>
              </w:rPr>
              <w:t>淮北市扬尘污染</w:t>
            </w:r>
            <w:r>
              <w:rPr>
                <w:rFonts w:hint="eastAsia"/>
                <w:color w:val="auto"/>
                <w:lang w:val="en-US" w:eastAsia="zh-CN"/>
              </w:rPr>
              <w:t>防治</w:t>
            </w:r>
            <w:r>
              <w:rPr>
                <w:rFonts w:hint="default"/>
                <w:color w:val="auto"/>
                <w:lang w:val="en-US" w:eastAsia="zh-CN"/>
              </w:rPr>
              <w:t>管理办法</w:t>
            </w:r>
            <w:r>
              <w:rPr>
                <w:rFonts w:hint="default"/>
                <w:color w:val="auto"/>
              </w:rPr>
              <w:t>》、《安徽省建筑工程施工和预拌混凝土生产扬尘污染防治标准（试行）》（皖环发〔20</w:t>
            </w:r>
            <w:r>
              <w:rPr>
                <w:rFonts w:hint="eastAsia"/>
                <w:color w:val="auto"/>
                <w:lang w:val="en-US" w:eastAsia="zh-CN"/>
              </w:rPr>
              <w:t>19</w:t>
            </w:r>
            <w:r>
              <w:rPr>
                <w:rFonts w:hint="default"/>
                <w:color w:val="auto"/>
              </w:rPr>
              <w:t>〕17号）等对施工期扬尘的防治要求，本项目按如下要求进行施工操作：</w:t>
            </w:r>
          </w:p>
          <w:p w14:paraId="35C5E4CF">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施工工地周围应当设置连续、密闭的围挡，施工工地设置不低于2米的硬质密闭围挡。</w:t>
            </w:r>
          </w:p>
          <w:p w14:paraId="05AA55BB">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施工工地内车行道路应当进行硬化等防尘处理。应有专人负责逸散性材料、垃圾、渣土、裸地等密闭、覆盖、洒水作业以及车辆清洗作业等，并记录扬尘控制措施的实施情况。</w:t>
            </w:r>
          </w:p>
          <w:p w14:paraId="669F4D56">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施工作业环境要整洁干净，应设置洒水或雾化降尘设施，安排专人定时洒水降尘；硬化后的地面，不得有浮土、积灰，大风天气不应有可见的扬尘浮灰；严禁现场焚烧沥青、塑料、油毡、橡胶、垃圾等各类物品。</w:t>
            </w:r>
          </w:p>
          <w:p w14:paraId="560DD614">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弃土、弃料、建筑垃圾等无法在48小时内清运完毕的，应当在施工工地内设置临时堆放场；临时堆放场应当采取围挡、遮盖等防尘措施。</w:t>
            </w:r>
          </w:p>
          <w:p w14:paraId="7879DB2D">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运输车辆应当在除泥、冲洗干净后方可驶出作业场所，清洗平台等应按照相关规范要求设置。不得使用空气压缩机等易产生扬尘污染的设备清理车辆、设备和物料的尘埃；项目施工临时便道应有专人负责洒水作业，加强管理。</w:t>
            </w:r>
          </w:p>
          <w:p w14:paraId="2317660F">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按照规定使用预拌混凝土和预拌砂浆。</w:t>
            </w:r>
          </w:p>
          <w:p w14:paraId="436BB21C">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s="宋体"/>
                <w:color w:val="auto"/>
                <w:sz w:val="24"/>
                <w:szCs w:val="24"/>
              </w:rPr>
              <w:t>●</w:t>
            </w:r>
            <w:r>
              <w:rPr>
                <w:rFonts w:hint="default"/>
                <w:color w:val="auto"/>
                <w:sz w:val="24"/>
                <w:szCs w:val="24"/>
              </w:rPr>
              <w:t xml:space="preserve"> </w:t>
            </w:r>
            <w:r>
              <w:rPr>
                <w:rFonts w:hint="default"/>
                <w:color w:val="auto"/>
              </w:rPr>
              <w:t>堆放水泥或者其他易飞扬的细颗粒建筑材料，应当密闭存放或者采</w:t>
            </w:r>
            <w:r>
              <w:rPr>
                <w:rFonts w:hint="default"/>
                <w:color w:val="auto"/>
                <w:lang w:val="en-US" w:eastAsia="zh-CN"/>
              </w:rPr>
              <w:t>取覆盖等措施。</w:t>
            </w:r>
          </w:p>
          <w:p w14:paraId="5B6C0B1B">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建（构）筑物内施工材料及垃圾清运，应当采用容器或者管道运输，禁止凌空抛撒。</w:t>
            </w:r>
          </w:p>
          <w:p w14:paraId="184E35A4">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施工结束时，应及时对施工占用场地恢复地面道路及植被。</w:t>
            </w:r>
          </w:p>
          <w:p w14:paraId="0E3A4389">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施工现场要设立扬尘污染防治公示牌，公布责任单位、责任人和监督举报电话，自觉接受社会监督。</w:t>
            </w:r>
          </w:p>
          <w:p w14:paraId="1B8C91EC">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开展施工工地扬尘综合整治、确保工地规范封闭围挡、易扬尘物料堆放覆盖、出入车辆冲洗、出入口路面硬化工地湿法作业、渣土车辆密闭运输</w:t>
            </w:r>
            <w:r>
              <w:rPr>
                <w:rFonts w:hint="eastAsia"/>
                <w:color w:val="auto"/>
                <w:lang w:eastAsia="zh-CN"/>
              </w:rPr>
              <w:t>“</w:t>
            </w:r>
            <w:r>
              <w:rPr>
                <w:rFonts w:hint="default"/>
                <w:color w:val="auto"/>
              </w:rPr>
              <w:t>六个百分之百</w:t>
            </w:r>
            <w:r>
              <w:rPr>
                <w:rFonts w:hint="eastAsia"/>
                <w:color w:val="auto"/>
                <w:lang w:eastAsia="zh-CN"/>
              </w:rPr>
              <w:t>”</w:t>
            </w:r>
            <w:r>
              <w:rPr>
                <w:rFonts w:hint="default"/>
                <w:color w:val="auto"/>
              </w:rPr>
              <w:t>。建议建设单位可以在施工工地周边安装在线监测和视频监控设备，并与城乡建设、生态环境保护主管部门联网。</w:t>
            </w:r>
          </w:p>
          <w:p w14:paraId="6BDD0619">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施工现场出入口、施工道路要采取硬化处理措施。优先使用能重复使用的预制砖、铺砌块等材料。施工场地内裸露场地和临时堆放的土方要采用防尘网覆盖。施工现场地表水和地下管沟保持排水通畅，场地无积水。严禁将污水直接排入雨水管网。</w:t>
            </w:r>
          </w:p>
          <w:p w14:paraId="37E30A98">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施工现场保证土方开挖湿作业，遇到能产生扬尘的干燥土时必须</w:t>
            </w:r>
            <w:r>
              <w:rPr>
                <w:rFonts w:hint="eastAsia"/>
                <w:color w:val="auto"/>
                <w:lang w:val="en-US" w:eastAsia="zh-CN"/>
              </w:rPr>
              <w:t>边</w:t>
            </w:r>
            <w:r>
              <w:rPr>
                <w:rFonts w:hint="default"/>
                <w:color w:val="auto"/>
              </w:rPr>
              <w:t>喷淋边进行开挖、回填或转运作业。</w:t>
            </w:r>
          </w:p>
          <w:p w14:paraId="551AA80A">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砂石回填时保持湿润。基层、基础施工要及时做好铺筑、压实、养护和覆盖。基础摊铺后及时养护，及时铺设面层；不能铺设面层的，要采取措施，确保不起灰，不扬尘。路面基层清扫不得采用鼓风机吹扫，采用吸尘设备吸尘，或采用洒水、高压清洗车清扫。</w:t>
            </w:r>
          </w:p>
          <w:p w14:paraId="019F73E4">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土石方工程采取降尘措施，不能连续施工的土方作业面裸土（含堆土）场地应采用防尘网进行覆盖，使用土方时禁止将所有遮盖的防尘网全部打开。土方作业面临时道路采用垫钢板。</w:t>
            </w:r>
          </w:p>
          <w:p w14:paraId="096C608B">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s="宋体"/>
                <w:color w:val="auto"/>
                <w:sz w:val="24"/>
                <w:szCs w:val="24"/>
              </w:rPr>
              <w:t>●</w:t>
            </w:r>
            <w:r>
              <w:rPr>
                <w:rFonts w:hint="default"/>
                <w:color w:val="auto"/>
                <w:sz w:val="24"/>
                <w:szCs w:val="24"/>
              </w:rPr>
              <w:t xml:space="preserve"> </w:t>
            </w:r>
            <w:r>
              <w:rPr>
                <w:rFonts w:hint="default"/>
                <w:color w:val="auto"/>
              </w:rPr>
              <w:t>施工现场临时土方堆放时，采取覆盖防尘网的防尘措施，并定时洒水。同时，土方堆放高度不超过相邻围挡；使用土方时禁止将所有遮盖的防尘网全部打开；雨季时要采取措施</w:t>
            </w:r>
            <w:bookmarkStart w:id="13" w:name="_GoBack"/>
            <w:bookmarkEnd w:id="13"/>
            <w:r>
              <w:rPr>
                <w:rFonts w:hint="default"/>
                <w:color w:val="auto"/>
              </w:rPr>
              <w:t>防止随雨水冲刷进入水体或市政雨水管道。钢材、周转材料等物料分类分区存放，场地采取硬化或碎石铺装等防尘措施。</w:t>
            </w:r>
            <w:r>
              <w:rPr>
                <w:rFonts w:hint="default"/>
                <w:color w:val="auto"/>
                <w:lang w:val="en-US" w:eastAsia="zh-CN"/>
              </w:rPr>
              <w:t>严禁在施工现场围挡外堆放建筑材料和建筑垃圾。</w:t>
            </w:r>
          </w:p>
          <w:p w14:paraId="066D2088">
            <w:pPr>
              <w:keepNext w:val="0"/>
              <w:keepLines w:val="0"/>
              <w:pageBreakBefore w:val="0"/>
              <w:widowControl w:val="0"/>
              <w:kinsoku/>
              <w:wordWrap/>
              <w:overflowPunct/>
              <w:topLinePunct w:val="0"/>
              <w:autoSpaceDE/>
              <w:autoSpaceDN/>
              <w:bidi w:val="0"/>
              <w:adjustRightInd/>
              <w:snapToGrid/>
              <w:textAlignment w:val="auto"/>
              <w:rPr>
                <w:rFonts w:hint="default"/>
                <w:color w:val="auto"/>
              </w:rPr>
            </w:pPr>
            <w:r>
              <w:rPr>
                <w:rFonts w:hint="eastAsia" w:cs="宋体"/>
                <w:color w:val="auto"/>
                <w:sz w:val="24"/>
                <w:szCs w:val="24"/>
              </w:rPr>
              <w:t>●</w:t>
            </w:r>
            <w:r>
              <w:rPr>
                <w:rFonts w:hint="default"/>
                <w:color w:val="auto"/>
                <w:sz w:val="24"/>
                <w:szCs w:val="24"/>
              </w:rPr>
              <w:t xml:space="preserve"> </w:t>
            </w:r>
            <w:r>
              <w:rPr>
                <w:rFonts w:hint="default"/>
                <w:color w:val="auto"/>
              </w:rPr>
              <w:t>弃土、堆土运输：运输车辆运输中必须采取密闭措施，切实达到无外露、无遗撒、无高尖、无扬尘的要求，按规定的时间、地点、线路运输和装卸。禁止夜间运输。</w:t>
            </w:r>
          </w:p>
          <w:p w14:paraId="59C94E67">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s="宋体"/>
                <w:color w:val="auto"/>
                <w:sz w:val="24"/>
                <w:szCs w:val="24"/>
              </w:rPr>
              <w:t>●</w:t>
            </w:r>
            <w:r>
              <w:rPr>
                <w:rFonts w:hint="default"/>
                <w:color w:val="auto"/>
                <w:sz w:val="24"/>
                <w:szCs w:val="24"/>
              </w:rPr>
              <w:t xml:space="preserve"> </w:t>
            </w:r>
            <w:r>
              <w:rPr>
                <w:rFonts w:hint="default"/>
                <w:color w:val="auto"/>
              </w:rPr>
              <w:t>根据《安徽省重污染天气应急预案》启动Ⅲ级（黄色）预警以上或气象预报风速达到四级以上时，不得进行土方挖填和转运、拆除、道路路面</w:t>
            </w:r>
            <w:r>
              <w:rPr>
                <w:rFonts w:hint="default"/>
                <w:color w:val="auto"/>
                <w:lang w:val="en-US" w:eastAsia="zh-CN"/>
              </w:rPr>
              <w:t>鼓风机吹灰等易产生扬尘的作业。</w:t>
            </w:r>
          </w:p>
          <w:p w14:paraId="6C5C7FC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auto"/>
                <w:sz w:val="24"/>
                <w:szCs w:val="24"/>
                <w:lang w:eastAsia="zh-CN"/>
              </w:rPr>
            </w:pPr>
            <w:r>
              <w:rPr>
                <w:rFonts w:hint="eastAsia" w:cs="宋体"/>
                <w:color w:val="auto"/>
                <w:sz w:val="24"/>
                <w:szCs w:val="24"/>
              </w:rPr>
              <w:t>●</w:t>
            </w:r>
            <w:r>
              <w:rPr>
                <w:rFonts w:hint="default"/>
                <w:color w:val="auto"/>
                <w:sz w:val="24"/>
                <w:szCs w:val="24"/>
              </w:rPr>
              <w:t xml:space="preserve"> </w:t>
            </w:r>
            <w:r>
              <w:rPr>
                <w:rFonts w:hint="eastAsia"/>
              </w:rPr>
              <w:t>临时堆场必须设置在指定位置,材料分类、分批堆放,整齐、整洁、安全</w:t>
            </w:r>
            <w:r>
              <w:rPr>
                <w:rFonts w:hint="eastAsia"/>
                <w:lang w:eastAsia="zh-CN"/>
              </w:rPr>
              <w:t>，</w:t>
            </w:r>
            <w:r>
              <w:rPr>
                <w:rFonts w:hint="eastAsia"/>
              </w:rPr>
              <w:t>临时存放的土堆应采用防尘网进行覆盖，或采取绿化、固化措施</w:t>
            </w:r>
            <w:r>
              <w:rPr>
                <w:rFonts w:hint="eastAsia"/>
                <w:lang w:eastAsia="zh-CN"/>
              </w:rPr>
              <w:t>。</w:t>
            </w:r>
          </w:p>
          <w:p w14:paraId="7D62C7E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根据当前对建筑施工现场扬尘治理的要求，施工现场须做到</w:t>
            </w:r>
            <w:r>
              <w:rPr>
                <w:rFonts w:hint="eastAsia" w:cs="宋体"/>
                <w:b/>
                <w:bCs/>
                <w:color w:val="auto"/>
                <w:sz w:val="24"/>
                <w:szCs w:val="24"/>
              </w:rPr>
              <w:t>扬尘污染“六个百分百”</w:t>
            </w:r>
            <w:r>
              <w:rPr>
                <w:rFonts w:hint="eastAsia" w:cs="宋体"/>
                <w:color w:val="auto"/>
                <w:sz w:val="24"/>
                <w:szCs w:val="24"/>
              </w:rPr>
              <w:t>：</w:t>
            </w:r>
          </w:p>
          <w:p w14:paraId="3517462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w:t>
            </w:r>
            <w:r>
              <w:rPr>
                <w:rFonts w:hint="default"/>
                <w:color w:val="auto"/>
                <w:sz w:val="24"/>
                <w:szCs w:val="24"/>
              </w:rPr>
              <w:t xml:space="preserve"> </w:t>
            </w:r>
            <w:r>
              <w:rPr>
                <w:rFonts w:hint="eastAsia" w:cs="宋体"/>
                <w:color w:val="auto"/>
                <w:sz w:val="24"/>
                <w:szCs w:val="24"/>
              </w:rPr>
              <w:t>工地周边</w:t>
            </w:r>
            <w:r>
              <w:rPr>
                <w:rFonts w:hint="default"/>
                <w:color w:val="auto"/>
                <w:sz w:val="24"/>
                <w:szCs w:val="24"/>
              </w:rPr>
              <w:t>100%</w:t>
            </w:r>
            <w:r>
              <w:rPr>
                <w:rFonts w:hint="eastAsia" w:cs="宋体"/>
                <w:color w:val="auto"/>
                <w:sz w:val="24"/>
                <w:szCs w:val="24"/>
              </w:rPr>
              <w:t>围挡</w:t>
            </w:r>
          </w:p>
          <w:p w14:paraId="5F8968B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施工现场硬质围挡应连续设置，城区主要路段工地围挡高度不低于</w:t>
            </w:r>
            <w:r>
              <w:rPr>
                <w:rFonts w:hint="default"/>
                <w:color w:val="auto"/>
                <w:sz w:val="24"/>
                <w:szCs w:val="24"/>
              </w:rPr>
              <w:t>2.5m</w:t>
            </w:r>
            <w:r>
              <w:rPr>
                <w:rFonts w:hint="eastAsia" w:cs="宋体"/>
                <w:color w:val="auto"/>
                <w:sz w:val="24"/>
                <w:szCs w:val="24"/>
              </w:rPr>
              <w:t>，一般路段的工地不低于</w:t>
            </w:r>
            <w:r>
              <w:rPr>
                <w:rFonts w:hint="default"/>
                <w:color w:val="auto"/>
                <w:sz w:val="24"/>
                <w:szCs w:val="24"/>
              </w:rPr>
              <w:t>1.8m</w:t>
            </w:r>
            <w:r>
              <w:rPr>
                <w:rFonts w:hint="eastAsia" w:cs="宋体"/>
                <w:color w:val="auto"/>
                <w:sz w:val="24"/>
                <w:szCs w:val="24"/>
              </w:rPr>
              <w:t>，做到坚固、平稳、整洁、美观。在建工程外立面应用安全网实现全封闭围护。</w:t>
            </w:r>
          </w:p>
          <w:p w14:paraId="4EC932A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w:t>
            </w:r>
            <w:r>
              <w:rPr>
                <w:rFonts w:hint="default"/>
                <w:color w:val="auto"/>
                <w:sz w:val="24"/>
                <w:szCs w:val="24"/>
              </w:rPr>
              <w:t xml:space="preserve"> </w:t>
            </w:r>
            <w:r>
              <w:rPr>
                <w:rFonts w:hint="eastAsia" w:cs="宋体"/>
                <w:color w:val="auto"/>
                <w:sz w:val="24"/>
                <w:szCs w:val="24"/>
              </w:rPr>
              <w:t>物料堆放</w:t>
            </w:r>
            <w:r>
              <w:rPr>
                <w:rFonts w:hint="default"/>
                <w:color w:val="auto"/>
                <w:sz w:val="24"/>
                <w:szCs w:val="24"/>
              </w:rPr>
              <w:t>100%</w:t>
            </w:r>
            <w:r>
              <w:rPr>
                <w:rFonts w:hint="eastAsia" w:cs="宋体"/>
                <w:color w:val="auto"/>
                <w:sz w:val="24"/>
                <w:szCs w:val="24"/>
              </w:rPr>
              <w:t>覆盖</w:t>
            </w:r>
          </w:p>
          <w:p w14:paraId="7C04AB8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易产生扬尘的建筑材料、渣土应采取密闭搬运、存储或采用防尘布苫盖等防尘措施。严禁熔融沥青、焚烧垃圾等有毒有害物质，禁止无牌无证车辆进入施工现场。</w:t>
            </w:r>
          </w:p>
          <w:p w14:paraId="59B9A92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w:t>
            </w:r>
            <w:r>
              <w:rPr>
                <w:rFonts w:hint="default"/>
                <w:color w:val="auto"/>
                <w:sz w:val="24"/>
                <w:szCs w:val="24"/>
              </w:rPr>
              <w:t xml:space="preserve"> </w:t>
            </w:r>
            <w:r>
              <w:rPr>
                <w:rFonts w:hint="eastAsia" w:cs="宋体"/>
                <w:color w:val="auto"/>
                <w:sz w:val="24"/>
                <w:szCs w:val="24"/>
              </w:rPr>
              <w:t>出入车辆</w:t>
            </w:r>
            <w:r>
              <w:rPr>
                <w:rFonts w:hint="default"/>
                <w:color w:val="auto"/>
                <w:sz w:val="24"/>
                <w:szCs w:val="24"/>
              </w:rPr>
              <w:t>100%</w:t>
            </w:r>
            <w:r>
              <w:rPr>
                <w:rFonts w:hint="eastAsia" w:cs="宋体"/>
                <w:color w:val="auto"/>
                <w:sz w:val="24"/>
                <w:szCs w:val="24"/>
              </w:rPr>
              <w:t>冲洗</w:t>
            </w:r>
          </w:p>
          <w:p w14:paraId="6D21914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施工现场出入口处设置自动车辆冲洗装置和沉淀池，运输车辆底盘和车轮冲洗干净后方可驶离施工现场。</w:t>
            </w:r>
          </w:p>
          <w:p w14:paraId="302BF26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w:t>
            </w:r>
            <w:r>
              <w:rPr>
                <w:rFonts w:hint="default"/>
                <w:color w:val="auto"/>
                <w:sz w:val="24"/>
                <w:szCs w:val="24"/>
              </w:rPr>
              <w:t xml:space="preserve"> </w:t>
            </w:r>
            <w:r>
              <w:rPr>
                <w:rFonts w:hint="eastAsia" w:cs="宋体"/>
                <w:color w:val="auto"/>
                <w:sz w:val="24"/>
                <w:szCs w:val="24"/>
              </w:rPr>
              <w:t>施工现场地面</w:t>
            </w:r>
            <w:r>
              <w:rPr>
                <w:rFonts w:hint="default"/>
                <w:color w:val="auto"/>
                <w:sz w:val="24"/>
                <w:szCs w:val="24"/>
              </w:rPr>
              <w:t>100%</w:t>
            </w:r>
            <w:r>
              <w:rPr>
                <w:rFonts w:hint="eastAsia" w:cs="宋体"/>
                <w:color w:val="auto"/>
                <w:sz w:val="24"/>
                <w:szCs w:val="24"/>
              </w:rPr>
              <w:t>硬化</w:t>
            </w:r>
          </w:p>
          <w:p w14:paraId="6F9C31D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主要通道、进出道路、材料加工区及办公生活区地面进行硬化处理。</w:t>
            </w:r>
          </w:p>
          <w:p w14:paraId="106E24A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w:t>
            </w:r>
            <w:r>
              <w:rPr>
                <w:rFonts w:hint="default"/>
                <w:color w:val="auto"/>
                <w:sz w:val="24"/>
                <w:szCs w:val="24"/>
              </w:rPr>
              <w:t xml:space="preserve"> </w:t>
            </w:r>
            <w:r>
              <w:rPr>
                <w:rFonts w:hint="eastAsia" w:cs="宋体"/>
                <w:color w:val="auto"/>
                <w:sz w:val="24"/>
                <w:szCs w:val="24"/>
              </w:rPr>
              <w:t>拆迁工地</w:t>
            </w:r>
            <w:r>
              <w:rPr>
                <w:rFonts w:hint="default"/>
                <w:color w:val="auto"/>
                <w:sz w:val="24"/>
                <w:szCs w:val="24"/>
              </w:rPr>
              <w:t>100%</w:t>
            </w:r>
            <w:r>
              <w:rPr>
                <w:rFonts w:hint="eastAsia" w:cs="宋体"/>
                <w:color w:val="auto"/>
                <w:sz w:val="24"/>
                <w:szCs w:val="24"/>
              </w:rPr>
              <w:t>湿法作业</w:t>
            </w:r>
          </w:p>
          <w:p w14:paraId="0C713FC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施工现场设专人负责卫生保洁，每天上午、下午各进行二次洒水降尘，遇到干旱和大风天气时，应增加洒水降尘次数，确保无浮土扬尘。开挖、回填等土方作业时，要辅以洒水压尘等措施。工程竣工后，施工现场的临设、围挡、垃圾等必须及时清理完毕，清理时必须采取有效的降尘措施。</w:t>
            </w:r>
          </w:p>
          <w:p w14:paraId="2646B1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sz w:val="24"/>
                <w:szCs w:val="24"/>
              </w:rPr>
            </w:pPr>
            <w:r>
              <w:rPr>
                <w:rFonts w:hint="eastAsia" w:cs="宋体"/>
                <w:color w:val="auto"/>
                <w:sz w:val="24"/>
                <w:szCs w:val="24"/>
              </w:rPr>
              <w:t>●</w:t>
            </w:r>
            <w:r>
              <w:rPr>
                <w:rFonts w:hint="default"/>
                <w:color w:val="auto"/>
                <w:sz w:val="24"/>
                <w:szCs w:val="24"/>
              </w:rPr>
              <w:t xml:space="preserve"> </w:t>
            </w:r>
            <w:r>
              <w:rPr>
                <w:rFonts w:hint="eastAsia" w:cs="宋体"/>
                <w:color w:val="auto"/>
                <w:sz w:val="24"/>
                <w:szCs w:val="24"/>
              </w:rPr>
              <w:t>渣土车辆</w:t>
            </w:r>
            <w:r>
              <w:rPr>
                <w:rFonts w:hint="default"/>
                <w:color w:val="auto"/>
                <w:sz w:val="24"/>
                <w:szCs w:val="24"/>
              </w:rPr>
              <w:t>100%</w:t>
            </w:r>
            <w:r>
              <w:rPr>
                <w:rFonts w:hint="eastAsia" w:cs="宋体"/>
                <w:color w:val="auto"/>
                <w:sz w:val="24"/>
                <w:szCs w:val="24"/>
              </w:rPr>
              <w:t>密闭运输</w:t>
            </w:r>
          </w:p>
          <w:p w14:paraId="19B0F90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施工现场内裸露的场地和集中堆放的土方应采取覆盖、固化或绿化等防尘措施。易产生扬尘的物料要篷盖。</w:t>
            </w:r>
          </w:p>
          <w:p w14:paraId="7C447880">
            <w:pPr>
              <w:keepNext w:val="0"/>
              <w:keepLines w:val="0"/>
              <w:pageBreakBefore w:val="0"/>
              <w:widowControl w:val="0"/>
              <w:kinsoku/>
              <w:wordWrap/>
              <w:overflowPunct/>
              <w:topLinePunct w:val="0"/>
              <w:autoSpaceDE/>
              <w:autoSpaceDN/>
              <w:bidi w:val="0"/>
              <w:adjustRightInd/>
              <w:snapToGrid/>
              <w:jc w:val="left"/>
              <w:textAlignment w:val="auto"/>
              <w:rPr>
                <w:rFonts w:hint="eastAsia" w:cs="Times New Roman"/>
                <w:b/>
                <w:bCs/>
                <w:color w:val="auto"/>
                <w:sz w:val="24"/>
                <w:szCs w:val="24"/>
                <w:lang w:val="en-US" w:eastAsia="zh-CN"/>
              </w:rPr>
            </w:pPr>
            <w:r>
              <w:rPr>
                <w:rFonts w:hint="default" w:ascii="Times New Roman" w:hAnsi="Times New Roman" w:cs="Times New Roman"/>
                <w:color w:val="auto"/>
                <w:lang w:val="en-US" w:eastAsia="zh-CN"/>
              </w:rPr>
              <w:t>针对工程距离敏感点较近处施工期设置围挡，对裸露的地面和堆置的土方适量洒水抑尘，距离居民较近处采取遮盖和围护等措施。</w:t>
            </w:r>
          </w:p>
          <w:p w14:paraId="3616925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cs="Times New Roman"/>
                <w:b/>
                <w:bCs/>
                <w:color w:val="auto"/>
                <w:sz w:val="24"/>
              </w:rPr>
            </w:pPr>
            <w:r>
              <w:rPr>
                <w:rFonts w:hint="eastAsia" w:cs="Times New Roman"/>
                <w:b/>
                <w:bCs/>
                <w:color w:val="auto"/>
                <w:sz w:val="24"/>
                <w:szCs w:val="24"/>
                <w:lang w:val="en-US" w:eastAsia="zh-CN"/>
              </w:rPr>
              <w:t>（2）施工机械和汽车运输废气</w:t>
            </w:r>
          </w:p>
          <w:p w14:paraId="65E3D4F0">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eastAsia="宋体"/>
                <w:bCs/>
                <w:color w:val="auto"/>
                <w:kern w:val="24"/>
                <w:sz w:val="24"/>
                <w:lang w:eastAsia="zh-CN"/>
              </w:rPr>
            </w:pPr>
            <w:r>
              <w:rPr>
                <w:rFonts w:hint="eastAsia"/>
                <w:bCs/>
                <w:color w:val="auto"/>
                <w:kern w:val="24"/>
                <w:sz w:val="24"/>
              </w:rPr>
              <w:t>施工中各种工程机械和运输车辆在燃汽油、柴油时排放的尾气含有HC颗粒物、CO、NOx等大气污染物，排放后会对施工现场有一定影响。施工机械尾气产生浓度与车辆型号、燃料类型、车况等有很大的关系。为降低施工设备尾气的排放，减缓对周边环境空气和敏感点的影响，施工期拟采取以下污染防治措施</w:t>
            </w:r>
            <w:r>
              <w:rPr>
                <w:rFonts w:hint="eastAsia"/>
                <w:bCs/>
                <w:color w:val="auto"/>
                <w:kern w:val="24"/>
                <w:sz w:val="24"/>
                <w:lang w:eastAsia="zh-CN"/>
              </w:rPr>
              <w:t>：</w:t>
            </w:r>
          </w:p>
          <w:p w14:paraId="2CAFEDBA">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fldChar w:fldCharType="begin"/>
            </w:r>
            <w:r>
              <w:rPr>
                <w:rFonts w:hint="eastAsia"/>
                <w:bCs/>
                <w:color w:val="auto"/>
                <w:kern w:val="24"/>
                <w:sz w:val="24"/>
              </w:rPr>
              <w:instrText xml:space="preserve"> = 1 \* GB3 \* MERGEFORMAT </w:instrText>
            </w:r>
            <w:r>
              <w:rPr>
                <w:rFonts w:hint="eastAsia"/>
                <w:bCs/>
                <w:color w:val="auto"/>
                <w:kern w:val="24"/>
                <w:sz w:val="24"/>
              </w:rPr>
              <w:fldChar w:fldCharType="separate"/>
            </w:r>
            <w:r>
              <w:rPr>
                <w:color w:val="auto"/>
              </w:rPr>
              <w:t>①</w:t>
            </w:r>
            <w:r>
              <w:rPr>
                <w:rFonts w:hint="eastAsia"/>
                <w:bCs/>
                <w:color w:val="auto"/>
                <w:kern w:val="24"/>
                <w:sz w:val="24"/>
              </w:rPr>
              <w:fldChar w:fldCharType="end"/>
            </w:r>
            <w:r>
              <w:rPr>
                <w:rFonts w:hint="eastAsia"/>
                <w:bCs/>
                <w:color w:val="auto"/>
                <w:kern w:val="24"/>
                <w:sz w:val="24"/>
              </w:rPr>
              <w:t>施工中选择污染物排放稳定且达到国家规定排放标准的施工机械，加强对施工机械的科学管理，合理安排运行时间，发挥其最大效率。</w:t>
            </w:r>
          </w:p>
          <w:p w14:paraId="708E5433">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fldChar w:fldCharType="begin"/>
            </w:r>
            <w:r>
              <w:rPr>
                <w:rFonts w:hint="eastAsia"/>
                <w:bCs/>
                <w:color w:val="auto"/>
                <w:kern w:val="24"/>
                <w:sz w:val="24"/>
              </w:rPr>
              <w:instrText xml:space="preserve"> = 2 \* GB3 \* MERGEFORMAT </w:instrText>
            </w:r>
            <w:r>
              <w:rPr>
                <w:rFonts w:hint="eastAsia"/>
                <w:bCs/>
                <w:color w:val="auto"/>
                <w:kern w:val="24"/>
                <w:sz w:val="24"/>
              </w:rPr>
              <w:fldChar w:fldCharType="separate"/>
            </w:r>
            <w:r>
              <w:rPr>
                <w:color w:val="auto"/>
              </w:rPr>
              <w:t>②</w:t>
            </w:r>
            <w:r>
              <w:rPr>
                <w:rFonts w:hint="eastAsia"/>
                <w:bCs/>
                <w:color w:val="auto"/>
                <w:kern w:val="24"/>
                <w:sz w:val="24"/>
              </w:rPr>
              <w:fldChar w:fldCharType="end"/>
            </w:r>
            <w:r>
              <w:rPr>
                <w:rFonts w:hint="eastAsia"/>
                <w:bCs/>
                <w:color w:val="auto"/>
                <w:kern w:val="24"/>
                <w:sz w:val="24"/>
              </w:rPr>
              <w:t>加强对机械设备和运输车辆的保养与维修，禁止以柴油为燃料的施工机械超负荷工作，保证其尾气达标排放，减少污染物的排放量。</w:t>
            </w:r>
          </w:p>
          <w:p w14:paraId="25CE4563">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fldChar w:fldCharType="begin"/>
            </w:r>
            <w:r>
              <w:rPr>
                <w:rFonts w:hint="eastAsia"/>
                <w:bCs/>
                <w:color w:val="auto"/>
                <w:kern w:val="24"/>
                <w:sz w:val="24"/>
              </w:rPr>
              <w:instrText xml:space="preserve"> = 3 \* GB3 \* MERGEFORMAT </w:instrText>
            </w:r>
            <w:r>
              <w:rPr>
                <w:rFonts w:hint="eastAsia"/>
                <w:bCs/>
                <w:color w:val="auto"/>
                <w:kern w:val="24"/>
                <w:sz w:val="24"/>
              </w:rPr>
              <w:fldChar w:fldCharType="separate"/>
            </w:r>
            <w:r>
              <w:rPr>
                <w:color w:val="auto"/>
              </w:rPr>
              <w:t>③</w:t>
            </w:r>
            <w:r>
              <w:rPr>
                <w:rFonts w:hint="eastAsia"/>
                <w:bCs/>
                <w:color w:val="auto"/>
                <w:kern w:val="24"/>
                <w:sz w:val="24"/>
              </w:rPr>
              <w:fldChar w:fldCharType="end"/>
            </w:r>
            <w:r>
              <w:rPr>
                <w:rFonts w:hint="eastAsia"/>
                <w:bCs/>
                <w:color w:val="auto"/>
                <w:kern w:val="24"/>
                <w:sz w:val="24"/>
              </w:rPr>
              <w:t>做好施工周围道路交通组织工作，保障周围道路顺畅，避免因施工而造成交通堵塞，防止因此而产生的废气怠速排放量。</w:t>
            </w:r>
          </w:p>
          <w:p w14:paraId="718E5D6F">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fldChar w:fldCharType="begin"/>
            </w:r>
            <w:r>
              <w:rPr>
                <w:rFonts w:hint="eastAsia"/>
                <w:bCs/>
                <w:color w:val="auto"/>
                <w:kern w:val="24"/>
                <w:sz w:val="24"/>
              </w:rPr>
              <w:instrText xml:space="preserve"> = 4 \* GB3 \* MERGEFORMAT </w:instrText>
            </w:r>
            <w:r>
              <w:rPr>
                <w:rFonts w:hint="eastAsia"/>
                <w:bCs/>
                <w:color w:val="auto"/>
                <w:kern w:val="24"/>
                <w:sz w:val="24"/>
              </w:rPr>
              <w:fldChar w:fldCharType="separate"/>
            </w:r>
            <w:r>
              <w:rPr>
                <w:color w:val="auto"/>
              </w:rPr>
              <w:t>④</w:t>
            </w:r>
            <w:r>
              <w:rPr>
                <w:rFonts w:hint="eastAsia"/>
                <w:bCs/>
                <w:color w:val="auto"/>
                <w:kern w:val="24"/>
                <w:sz w:val="24"/>
              </w:rPr>
              <w:fldChar w:fldCharType="end"/>
            </w:r>
            <w:r>
              <w:rPr>
                <w:rFonts w:hint="eastAsia"/>
                <w:bCs/>
                <w:color w:val="auto"/>
                <w:kern w:val="24"/>
                <w:sz w:val="24"/>
              </w:rPr>
              <w:t>加强施工现场烟尘控制，严禁在施工现场排放有毒烟尘和气体，不得在施工现场洗石灰、熔融沥青，禁止使用燃煤，采用清洁能源，可有效控制大气污染。</w:t>
            </w:r>
          </w:p>
          <w:p w14:paraId="6ACC545C">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fldChar w:fldCharType="begin"/>
            </w:r>
            <w:r>
              <w:rPr>
                <w:rFonts w:hint="eastAsia"/>
                <w:bCs/>
                <w:color w:val="auto"/>
                <w:kern w:val="24"/>
                <w:sz w:val="24"/>
              </w:rPr>
              <w:instrText xml:space="preserve"> = 5 \* GB3 \* MERGEFORMAT </w:instrText>
            </w:r>
            <w:r>
              <w:rPr>
                <w:rFonts w:hint="eastAsia"/>
                <w:bCs/>
                <w:color w:val="auto"/>
                <w:kern w:val="24"/>
                <w:sz w:val="24"/>
              </w:rPr>
              <w:fldChar w:fldCharType="separate"/>
            </w:r>
            <w:r>
              <w:rPr>
                <w:color w:val="auto"/>
              </w:rPr>
              <w:t>⑤</w:t>
            </w:r>
            <w:r>
              <w:rPr>
                <w:rFonts w:hint="eastAsia"/>
                <w:bCs/>
                <w:color w:val="auto"/>
                <w:kern w:val="24"/>
                <w:sz w:val="24"/>
              </w:rPr>
              <w:fldChar w:fldCharType="end"/>
            </w:r>
            <w:r>
              <w:rPr>
                <w:rFonts w:hint="eastAsia"/>
                <w:bCs/>
                <w:color w:val="auto"/>
                <w:kern w:val="24"/>
                <w:sz w:val="24"/>
              </w:rPr>
              <w:t>对燃柴油的大型运输车辆、推土机、挖掘机等要安装尾气净化装置，不得使用劣质燃料，保证尾气达标排放。</w:t>
            </w:r>
          </w:p>
          <w:p w14:paraId="298C51FC">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fldChar w:fldCharType="begin"/>
            </w:r>
            <w:r>
              <w:rPr>
                <w:rFonts w:hint="eastAsia"/>
                <w:bCs/>
                <w:color w:val="auto"/>
                <w:kern w:val="24"/>
                <w:sz w:val="24"/>
              </w:rPr>
              <w:instrText xml:space="preserve"> = 6 \* GB3 \* MERGEFORMAT </w:instrText>
            </w:r>
            <w:r>
              <w:rPr>
                <w:rFonts w:hint="eastAsia"/>
                <w:bCs/>
                <w:color w:val="auto"/>
                <w:kern w:val="24"/>
                <w:sz w:val="24"/>
              </w:rPr>
              <w:fldChar w:fldCharType="separate"/>
            </w:r>
            <w:r>
              <w:rPr>
                <w:color w:val="auto"/>
              </w:rPr>
              <w:t>⑥</w:t>
            </w:r>
            <w:r>
              <w:rPr>
                <w:rFonts w:hint="eastAsia"/>
                <w:bCs/>
                <w:color w:val="auto"/>
                <w:kern w:val="24"/>
                <w:sz w:val="24"/>
              </w:rPr>
              <w:fldChar w:fldCharType="end"/>
            </w:r>
            <w:r>
              <w:rPr>
                <w:rFonts w:hint="eastAsia"/>
                <w:bCs/>
                <w:color w:val="auto"/>
                <w:kern w:val="24"/>
                <w:sz w:val="24"/>
              </w:rPr>
              <w:t>加强对施工人员的环保教育，提高全体施工人员的环保意识，坚持文明施工、清洁施工、科学施工，减少施工期施工设备尾气排放量。</w:t>
            </w:r>
          </w:p>
          <w:p w14:paraId="1AB47B5E">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default" w:eastAsia="宋体"/>
                <w:bCs/>
                <w:color w:val="auto"/>
                <w:kern w:val="24"/>
                <w:sz w:val="24"/>
                <w:lang w:val="en-US" w:eastAsia="zh-CN"/>
              </w:rPr>
            </w:pPr>
            <w:r>
              <w:rPr>
                <w:rFonts w:hint="eastAsia"/>
                <w:bCs/>
                <w:color w:val="auto"/>
                <w:kern w:val="24"/>
                <w:sz w:val="24"/>
              </w:rPr>
              <w:t>施工车辆在施工现场范围内活动，尾气呈面源污染形式，尾气扩散范围有限，车辆为非连续行驶状态，施工采用分段进行，在每段施工时间有限，污染物排放时间和排放量相</w:t>
            </w:r>
            <w:r>
              <w:rPr>
                <w:rFonts w:hint="eastAsia"/>
                <w:bCs/>
                <w:color w:val="auto"/>
                <w:kern w:val="24"/>
                <w:sz w:val="24"/>
                <w:lang w:val="en-US" w:eastAsia="zh-CN"/>
              </w:rPr>
              <w:t>对较小。</w:t>
            </w:r>
          </w:p>
          <w:p w14:paraId="11A53952">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default" w:ascii="Times New Roman" w:hAnsi="Times New Roman" w:eastAsia="宋体" w:cs="Times New Roman"/>
                <w:bCs/>
                <w:color w:val="auto"/>
                <w:kern w:val="24"/>
                <w:sz w:val="24"/>
                <w:lang w:eastAsia="zh-CN"/>
              </w:rPr>
            </w:pPr>
            <w:r>
              <w:rPr>
                <w:rFonts w:hint="default" w:ascii="Times New Roman" w:hAnsi="Times New Roman" w:cs="Times New Roman"/>
                <w:bCs/>
                <w:color w:val="auto"/>
                <w:kern w:val="24"/>
                <w:sz w:val="24"/>
                <w:lang w:val="en-US" w:eastAsia="zh-CN"/>
              </w:rPr>
              <w:t>针对距离敏感目标较近工程施工采取距离衰减、优化燃料、安装尾气净化器等的措施，减少对敏感点的影响。</w:t>
            </w:r>
          </w:p>
          <w:p w14:paraId="1A5A9CDF">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t>总之，只要加强管理、切实落实好相关防范措施，施工扬尘、施工机械和运输车辆废气对环境产生影响小，随着施工的结束，该影响随之结束。</w:t>
            </w:r>
          </w:p>
          <w:p w14:paraId="3D0E003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auto"/>
                <w:sz w:val="24"/>
                <w:lang w:val="en-US" w:eastAsia="zh-CN"/>
              </w:rPr>
            </w:pPr>
            <w:r>
              <w:rPr>
                <w:rFonts w:hint="eastAsia" w:cs="Times New Roman"/>
                <w:b/>
                <w:bCs/>
                <w:color w:val="auto"/>
                <w:sz w:val="24"/>
                <w:lang w:val="en-US" w:eastAsia="zh-CN"/>
              </w:rPr>
              <w:t>（3）</w:t>
            </w:r>
            <w:r>
              <w:rPr>
                <w:rFonts w:hint="default" w:ascii="Times New Roman" w:hAnsi="Times New Roman" w:cs="Times New Roman"/>
                <w:b/>
                <w:bCs/>
                <w:color w:val="auto"/>
                <w:sz w:val="24"/>
                <w:lang w:val="en-US" w:eastAsia="zh-CN"/>
              </w:rPr>
              <w:t>焊接烟尘</w:t>
            </w:r>
          </w:p>
          <w:p w14:paraId="032EDE30">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t>管道工程焊接过程中的焊接烟尘属于间断的无组织排放，烟尘产生部位分散在管道沿线，且产生量较小，影响范围集中在施工作业带两侧区域。当施工结束后，该影响将随之消失，因此施工期间的焊接烟尘属于短期影响。为了尽可能降低这一过程的影响程度，</w:t>
            </w:r>
            <w:r>
              <w:rPr>
                <w:rFonts w:hint="eastAsia"/>
                <w:bCs/>
                <w:color w:val="auto"/>
                <w:kern w:val="24"/>
                <w:sz w:val="24"/>
                <w:lang w:val="en-US" w:eastAsia="zh-CN"/>
              </w:rPr>
              <w:t>环评要求焊接工序在施工期内尽快完成，以减小对周边环境的影响时间</w:t>
            </w:r>
            <w:r>
              <w:rPr>
                <w:rFonts w:hint="eastAsia"/>
                <w:bCs/>
                <w:color w:val="auto"/>
                <w:kern w:val="24"/>
                <w:sz w:val="24"/>
              </w:rPr>
              <w:t>。</w:t>
            </w:r>
          </w:p>
          <w:p w14:paraId="2503C95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b/>
                <w:bCs/>
                <w:color w:val="auto"/>
                <w:sz w:val="24"/>
                <w:szCs w:val="24"/>
                <w:lang w:val="en-US" w:eastAsia="zh-CN"/>
              </w:rPr>
              <w:t>施工期</w:t>
            </w:r>
            <w:r>
              <w:rPr>
                <w:rFonts w:hint="eastAsia" w:cs="Times New Roman"/>
                <w:b/>
                <w:bCs/>
                <w:color w:val="auto"/>
                <w:sz w:val="24"/>
                <w:szCs w:val="24"/>
                <w:lang w:val="en-US" w:eastAsia="zh-CN"/>
              </w:rPr>
              <w:t>水污染及保护措施</w:t>
            </w:r>
          </w:p>
          <w:p w14:paraId="37384674">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left"/>
              <w:textAlignment w:val="auto"/>
              <w:rPr>
                <w:rFonts w:hint="eastAsia" w:cs="Times New Roman"/>
                <w:b/>
                <w:bCs/>
                <w:color w:val="auto"/>
                <w:sz w:val="24"/>
                <w:szCs w:val="24"/>
                <w:lang w:val="en-US" w:eastAsia="zh-CN"/>
              </w:rPr>
            </w:pPr>
            <w:r>
              <w:rPr>
                <w:rFonts w:hint="eastAsia" w:cs="Times New Roman"/>
                <w:b/>
                <w:bCs/>
                <w:color w:val="auto"/>
                <w:sz w:val="24"/>
                <w:szCs w:val="24"/>
                <w:lang w:val="en-US" w:eastAsia="zh-CN"/>
              </w:rPr>
              <w:t>2.1施工期水污染</w:t>
            </w:r>
          </w:p>
          <w:p w14:paraId="3460A2A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本项目施工期间产生的废水主要来自：施</w:t>
            </w:r>
            <w:r>
              <w:rPr>
                <w:rFonts w:hint="eastAsia" w:cs="Times New Roman"/>
                <w:color w:val="auto"/>
                <w:sz w:val="24"/>
                <w:szCs w:val="24"/>
                <w:lang w:val="en-US" w:eastAsia="zh-CN"/>
              </w:rPr>
              <w:t>工生产废水、生活污水、管道试压水</w:t>
            </w:r>
            <w:r>
              <w:rPr>
                <w:rFonts w:hint="default" w:ascii="Times New Roman" w:hAnsi="Times New Roman" w:eastAsia="宋体" w:cs="Times New Roman"/>
                <w:color w:val="auto"/>
                <w:sz w:val="24"/>
                <w:szCs w:val="24"/>
              </w:rPr>
              <w:t>。</w:t>
            </w:r>
          </w:p>
          <w:p w14:paraId="08955919">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bCs/>
                <w:color w:val="auto"/>
                <w:sz w:val="24"/>
              </w:rPr>
            </w:pPr>
            <w:r>
              <w:rPr>
                <w:rFonts w:hint="eastAsia"/>
                <w:bCs/>
                <w:color w:val="auto"/>
                <w:sz w:val="24"/>
                <w:lang w:eastAsia="zh-CN"/>
              </w:rPr>
              <w:t>（</w:t>
            </w:r>
            <w:r>
              <w:rPr>
                <w:rFonts w:hint="eastAsia"/>
                <w:bCs/>
                <w:color w:val="auto"/>
                <w:sz w:val="24"/>
                <w:lang w:val="en-US" w:eastAsia="zh-CN"/>
              </w:rPr>
              <w:t>1</w:t>
            </w:r>
            <w:r>
              <w:rPr>
                <w:rFonts w:hint="eastAsia"/>
                <w:bCs/>
                <w:color w:val="auto"/>
                <w:sz w:val="24"/>
                <w:lang w:eastAsia="zh-CN"/>
              </w:rPr>
              <w:t>）</w:t>
            </w:r>
            <w:r>
              <w:rPr>
                <w:rFonts w:hint="eastAsia"/>
                <w:bCs/>
                <w:color w:val="auto"/>
                <w:sz w:val="24"/>
              </w:rPr>
              <w:t>施工生产废水</w:t>
            </w:r>
          </w:p>
          <w:p w14:paraId="4842EFAD">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bCs/>
                <w:color w:val="auto"/>
                <w:sz w:val="24"/>
              </w:rPr>
            </w:pPr>
            <w:r>
              <w:rPr>
                <w:rFonts w:hint="eastAsia"/>
                <w:bCs/>
                <w:color w:val="auto"/>
                <w:sz w:val="24"/>
              </w:rPr>
              <w:t>施工生产废水来自</w:t>
            </w:r>
            <w:r>
              <w:rPr>
                <w:rFonts w:hint="eastAsia"/>
                <w:bCs/>
                <w:color w:val="auto"/>
                <w:sz w:val="24"/>
                <w:lang w:val="en-US" w:eastAsia="zh-CN"/>
              </w:rPr>
              <w:t>运输车辆进出场</w:t>
            </w:r>
            <w:r>
              <w:rPr>
                <w:rFonts w:hint="eastAsia"/>
                <w:bCs/>
                <w:color w:val="auto"/>
                <w:sz w:val="24"/>
              </w:rPr>
              <w:t>清洗活动，污染物主要是SS类。根据类比分析，施工期（</w:t>
            </w:r>
            <w:r>
              <w:rPr>
                <w:rFonts w:hint="eastAsia"/>
                <w:bCs/>
                <w:color w:val="auto"/>
                <w:sz w:val="24"/>
                <w:lang w:val="en-US" w:eastAsia="zh-CN"/>
              </w:rPr>
              <w:t>2</w:t>
            </w:r>
            <w:r>
              <w:rPr>
                <w:rFonts w:hint="eastAsia"/>
                <w:bCs/>
                <w:color w:val="auto"/>
                <w:sz w:val="24"/>
              </w:rPr>
              <w:t>个月）生产</w:t>
            </w:r>
            <w:r>
              <w:rPr>
                <w:rFonts w:hint="eastAsia"/>
                <w:bCs/>
                <w:color w:val="auto"/>
                <w:sz w:val="24"/>
                <w:lang w:val="en-US" w:eastAsia="zh-CN"/>
              </w:rPr>
              <w:t>用水量为40</w:t>
            </w:r>
            <w:r>
              <w:rPr>
                <w:rFonts w:hint="eastAsia"/>
                <w:bCs/>
                <w:color w:val="auto"/>
                <w:sz w:val="24"/>
              </w:rPr>
              <w:t>m</w:t>
            </w:r>
            <w:r>
              <w:rPr>
                <w:rFonts w:hint="eastAsia"/>
                <w:bCs/>
                <w:color w:val="auto"/>
                <w:sz w:val="24"/>
                <w:vertAlign w:val="superscript"/>
              </w:rPr>
              <w:t>3</w:t>
            </w:r>
            <w:r>
              <w:rPr>
                <w:rFonts w:hint="eastAsia"/>
                <w:bCs/>
                <w:color w:val="auto"/>
                <w:sz w:val="24"/>
                <w:lang w:eastAsia="zh-CN"/>
              </w:rPr>
              <w:t>，</w:t>
            </w:r>
            <w:r>
              <w:rPr>
                <w:rFonts w:hint="eastAsia"/>
                <w:bCs/>
                <w:color w:val="auto"/>
                <w:sz w:val="24"/>
                <w:lang w:val="en-US" w:eastAsia="zh-CN"/>
              </w:rPr>
              <w:t>废水</w:t>
            </w:r>
            <w:r>
              <w:rPr>
                <w:rFonts w:hint="default" w:ascii="Times New Roman" w:hAnsi="Times New Roman" w:cs="Times New Roman"/>
                <w:color w:val="auto"/>
                <w:lang w:val="en-US" w:eastAsia="zh-CN"/>
              </w:rPr>
              <w:t>按用水量的</w:t>
            </w:r>
            <w:r>
              <w:rPr>
                <w:rFonts w:hint="eastAsia" w:cs="Times New Roman"/>
                <w:color w:val="auto"/>
                <w:lang w:val="en-US" w:eastAsia="zh-CN"/>
              </w:rPr>
              <w:t>8</w:t>
            </w:r>
            <w:r>
              <w:rPr>
                <w:rFonts w:hint="eastAsia"/>
                <w:bCs/>
                <w:color w:val="auto"/>
                <w:sz w:val="24"/>
                <w:lang w:val="en-US" w:eastAsia="zh-CN"/>
              </w:rPr>
              <w:t>0%计，废水</w:t>
            </w:r>
            <w:r>
              <w:rPr>
                <w:rFonts w:hint="eastAsia"/>
                <w:bCs/>
                <w:color w:val="auto"/>
                <w:sz w:val="24"/>
              </w:rPr>
              <w:t>量约</w:t>
            </w:r>
            <w:r>
              <w:rPr>
                <w:rFonts w:hint="eastAsia"/>
                <w:bCs/>
                <w:color w:val="auto"/>
                <w:sz w:val="24"/>
                <w:lang w:val="en-US" w:eastAsia="zh-CN"/>
              </w:rPr>
              <w:t>32</w:t>
            </w:r>
            <w:r>
              <w:rPr>
                <w:rFonts w:hint="eastAsia"/>
                <w:bCs/>
                <w:color w:val="auto"/>
                <w:sz w:val="24"/>
              </w:rPr>
              <w:t>m</w:t>
            </w:r>
            <w:r>
              <w:rPr>
                <w:rFonts w:hint="eastAsia"/>
                <w:bCs/>
                <w:color w:val="auto"/>
                <w:sz w:val="24"/>
                <w:vertAlign w:val="superscript"/>
              </w:rPr>
              <w:t>3</w:t>
            </w:r>
            <w:r>
              <w:rPr>
                <w:rFonts w:hint="eastAsia"/>
                <w:bCs/>
                <w:color w:val="auto"/>
                <w:sz w:val="24"/>
              </w:rPr>
              <w:t>。施工期</w:t>
            </w:r>
            <w:r>
              <w:rPr>
                <w:rFonts w:hint="eastAsia"/>
                <w:bCs/>
                <w:color w:val="auto"/>
                <w:sz w:val="24"/>
                <w:lang w:val="en-US" w:eastAsia="zh-CN"/>
              </w:rPr>
              <w:t>废水经临时沉淀池沉淀后，循环使用，不外排</w:t>
            </w:r>
            <w:r>
              <w:rPr>
                <w:rFonts w:hint="eastAsia"/>
                <w:bCs/>
                <w:color w:val="auto"/>
                <w:sz w:val="24"/>
              </w:rPr>
              <w:t>。</w:t>
            </w:r>
          </w:p>
          <w:p w14:paraId="2D8B6067">
            <w:pPr>
              <w:pStyle w:val="2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（2）</w:t>
            </w:r>
            <w:r>
              <w:rPr>
                <w:rFonts w:hint="default" w:ascii="Times New Roman" w:hAnsi="Times New Roman" w:cs="Times New Roman"/>
                <w:color w:val="auto"/>
                <w:lang w:val="en-US" w:eastAsia="zh-CN"/>
              </w:rPr>
              <w:t>生活污水</w:t>
            </w:r>
          </w:p>
          <w:p w14:paraId="74A4301F">
            <w:pPr>
              <w:pStyle w:val="2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主要含 COD、BOD</w:t>
            </w:r>
            <w:r>
              <w:rPr>
                <w:rFonts w:hint="default" w:ascii="Times New Roman" w:hAnsi="Times New Roman" w:cs="Times New Roman"/>
                <w:color w:val="auto"/>
                <w:vertAlign w:val="subscript"/>
                <w:lang w:val="en-US" w:eastAsia="zh-CN"/>
              </w:rPr>
              <w:t>5</w:t>
            </w:r>
            <w:r>
              <w:rPr>
                <w:rFonts w:hint="default" w:ascii="Times New Roman" w:hAnsi="Times New Roman" w:cs="Times New Roman"/>
                <w:color w:val="auto"/>
                <w:lang w:val="en-US" w:eastAsia="zh-CN"/>
              </w:rPr>
              <w:t>、SS 等，本项目</w:t>
            </w:r>
            <w:r>
              <w:rPr>
                <w:rFonts w:hint="eastAsia" w:cs="Times New Roman"/>
                <w:color w:val="auto"/>
                <w:lang w:val="en-US" w:eastAsia="zh-CN"/>
              </w:rPr>
              <w:t>最大</w:t>
            </w:r>
            <w:r>
              <w:rPr>
                <w:rFonts w:hint="default" w:ascii="Times New Roman" w:hAnsi="Times New Roman" w:cs="Times New Roman"/>
                <w:color w:val="auto"/>
                <w:lang w:val="en-US" w:eastAsia="zh-CN"/>
              </w:rPr>
              <w:t>施工人员</w:t>
            </w:r>
            <w:r>
              <w:rPr>
                <w:rFonts w:hint="eastAsia" w:cs="Times New Roman"/>
                <w:color w:val="auto"/>
                <w:lang w:val="en-US" w:eastAsia="zh-CN"/>
              </w:rPr>
              <w:t>20</w:t>
            </w:r>
            <w:r>
              <w:rPr>
                <w:rFonts w:hint="default" w:ascii="Times New Roman" w:hAnsi="Times New Roman" w:cs="Times New Roman"/>
                <w:color w:val="auto"/>
                <w:lang w:val="en-US" w:eastAsia="zh-CN"/>
              </w:rPr>
              <w:t>人，施工期按</w:t>
            </w:r>
            <w:r>
              <w:rPr>
                <w:rFonts w:hint="eastAsia" w:cs="Times New Roman"/>
                <w:color w:val="auto"/>
                <w:lang w:val="en-US" w:eastAsia="zh-CN"/>
              </w:rPr>
              <w:t>60</w:t>
            </w:r>
            <w:r>
              <w:rPr>
                <w:rFonts w:hint="default" w:ascii="Times New Roman" w:hAnsi="Times New Roman" w:cs="Times New Roman"/>
                <w:color w:val="auto"/>
                <w:lang w:val="en-US" w:eastAsia="zh-CN"/>
              </w:rPr>
              <w:t>天计，生活用水量约</w:t>
            </w:r>
            <w:r>
              <w:rPr>
                <w:rFonts w:hint="eastAsia" w:cs="Times New Roman"/>
                <w:color w:val="auto"/>
                <w:lang w:val="en-US" w:eastAsia="zh-CN"/>
              </w:rPr>
              <w:t>6</w:t>
            </w:r>
            <w:r>
              <w:rPr>
                <w:rFonts w:hint="default" w:ascii="Times New Roman" w:hAnsi="Times New Roman" w:cs="Times New Roman"/>
                <w:color w:val="auto"/>
                <w:lang w:val="en-US" w:eastAsia="zh-CN"/>
              </w:rPr>
              <w:t>0L/d·人，</w:t>
            </w:r>
            <w:r>
              <w:rPr>
                <w:rFonts w:hint="eastAsia" w:cs="Times New Roman"/>
                <w:color w:val="auto"/>
                <w:lang w:val="en-US" w:eastAsia="zh-CN"/>
              </w:rPr>
              <w:t>则总用水量72</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w:t>
            </w:r>
            <w:r>
              <w:rPr>
                <w:rFonts w:hint="default" w:ascii="Times New Roman" w:hAnsi="Times New Roman" w:cs="Times New Roman"/>
                <w:color w:val="auto"/>
                <w:lang w:val="en-US" w:eastAsia="zh-CN"/>
              </w:rPr>
              <w:t>生活污水按用水量的80%计，生活污水总量为</w:t>
            </w:r>
            <w:r>
              <w:rPr>
                <w:rFonts w:hint="eastAsia" w:cs="Times New Roman"/>
                <w:color w:val="auto"/>
                <w:lang w:val="en-US" w:eastAsia="zh-CN"/>
              </w:rPr>
              <w:t>57.6</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。生活污水依托附近公厕的化粪池处理</w:t>
            </w:r>
            <w:r>
              <w:rPr>
                <w:rFonts w:hint="eastAsia" w:cs="Times New Roman"/>
                <w:color w:val="auto"/>
                <w:lang w:val="en-US" w:eastAsia="zh-CN"/>
              </w:rPr>
              <w:t>后，接管网进入市政管网</w:t>
            </w:r>
            <w:r>
              <w:rPr>
                <w:rFonts w:hint="default" w:ascii="Times New Roman" w:hAnsi="Times New Roman" w:cs="Times New Roman"/>
                <w:color w:val="auto"/>
                <w:lang w:val="en-US" w:eastAsia="zh-CN"/>
              </w:rPr>
              <w:t>。</w:t>
            </w:r>
          </w:p>
          <w:p w14:paraId="1CECAA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lang w:val="en-US" w:eastAsia="zh-CN"/>
              </w:rPr>
            </w:pPr>
            <w:r>
              <w:rPr>
                <w:rFonts w:hint="eastAsia" w:cs="Times New Roman"/>
                <w:color w:val="auto"/>
                <w:lang w:val="en-US" w:eastAsia="zh-CN"/>
              </w:rPr>
              <w:t>（3）管道试压</w:t>
            </w:r>
            <w:r>
              <w:rPr>
                <w:rFonts w:hint="default" w:ascii="Times New Roman" w:hAnsi="Times New Roman" w:cs="Times New Roman"/>
                <w:color w:val="auto"/>
                <w:lang w:val="en-US" w:eastAsia="zh-CN"/>
              </w:rPr>
              <w:t>水</w:t>
            </w:r>
          </w:p>
          <w:p w14:paraId="5369E7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本项目对管道进行分段试压，整体工程结束后进行整体试压。</w:t>
            </w:r>
          </w:p>
          <w:p w14:paraId="5C3FD3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根据施工单位提供的资料，直埋</w:t>
            </w:r>
            <w:r>
              <w:rPr>
                <w:rFonts w:hint="default" w:ascii="Times New Roman" w:hAnsi="Times New Roman" w:eastAsia="宋体" w:cs="Times New Roman"/>
                <w:color w:val="auto"/>
                <w:kern w:val="0"/>
                <w:sz w:val="24"/>
                <w:szCs w:val="24"/>
                <w:lang w:val="en-US" w:eastAsia="zh-CN" w:bidi="ar"/>
              </w:rPr>
              <w:t>分段试压共分为</w:t>
            </w:r>
            <w:r>
              <w:rPr>
                <w:rFonts w:hint="eastAsia"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段</w:t>
            </w:r>
            <w:r>
              <w:rPr>
                <w:rFonts w:hint="eastAsia" w:cs="Times New Roman"/>
                <w:color w:val="auto"/>
                <w:kern w:val="0"/>
                <w:sz w:val="24"/>
                <w:szCs w:val="24"/>
                <w:lang w:val="en-US" w:eastAsia="zh-CN" w:bidi="ar"/>
              </w:rPr>
              <w:t>，按照管线1.5倍容积，栗园路~新北路段试压水量约为236m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，望湖路段试压用水量约为106m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w:t>
            </w:r>
            <w:r>
              <w:rPr>
                <w:rFonts w:hint="eastAsia" w:cs="Times New Roman"/>
                <w:color w:val="auto"/>
                <w:sz w:val="24"/>
                <w:lang w:val="en-US" w:eastAsia="zh-CN"/>
              </w:rPr>
              <w:t>雷河路</w:t>
            </w:r>
            <w:r>
              <w:rPr>
                <w:rFonts w:hint="eastAsia" w:cs="Times New Roman"/>
                <w:color w:val="auto"/>
                <w:kern w:val="0"/>
                <w:sz w:val="24"/>
                <w:szCs w:val="24"/>
                <w:lang w:val="en-US" w:eastAsia="zh-CN" w:bidi="ar"/>
              </w:rPr>
              <w:t>段试压用水量约为736m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。则分段试压</w:t>
            </w:r>
            <w:r>
              <w:rPr>
                <w:rFonts w:hint="default" w:ascii="Times New Roman" w:hAnsi="Times New Roman" w:eastAsia="宋体" w:cs="Times New Roman"/>
                <w:color w:val="auto"/>
                <w:kern w:val="0"/>
                <w:sz w:val="24"/>
                <w:szCs w:val="24"/>
                <w:lang w:val="en-US" w:eastAsia="zh-CN" w:bidi="ar"/>
              </w:rPr>
              <w:t>用水</w:t>
            </w:r>
            <w:r>
              <w:rPr>
                <w:rFonts w:hint="eastAsia" w:cs="Times New Roman"/>
                <w:color w:val="auto"/>
                <w:kern w:val="0"/>
                <w:sz w:val="24"/>
                <w:szCs w:val="24"/>
                <w:lang w:val="en-US" w:eastAsia="zh-CN" w:bidi="ar"/>
              </w:rPr>
              <w:t>总</w:t>
            </w:r>
            <w:r>
              <w:rPr>
                <w:rFonts w:hint="default" w:ascii="Times New Roman" w:hAnsi="Times New Roman" w:eastAsia="宋体" w:cs="Times New Roman"/>
                <w:color w:val="auto"/>
                <w:kern w:val="0"/>
                <w:sz w:val="24"/>
                <w:szCs w:val="24"/>
                <w:lang w:val="en-US" w:eastAsia="zh-CN" w:bidi="ar"/>
              </w:rPr>
              <w:t>量约</w:t>
            </w:r>
            <w:r>
              <w:rPr>
                <w:rFonts w:hint="eastAsia" w:cs="Times New Roman"/>
                <w:color w:val="auto"/>
                <w:kern w:val="0"/>
                <w:sz w:val="24"/>
                <w:szCs w:val="24"/>
                <w:lang w:val="en-US" w:eastAsia="zh-CN" w:bidi="ar"/>
              </w:rPr>
              <w:t>1078m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w:t>
            </w:r>
          </w:p>
          <w:p w14:paraId="03A6B0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管网整体组装完成后对管道进行整体试压，整体试压水来自</w:t>
            </w:r>
            <w:r>
              <w:rPr>
                <w:rFonts w:hint="eastAsia" w:cs="Times New Roman"/>
                <w:color w:val="auto"/>
                <w:sz w:val="24"/>
                <w:lang w:val="en-US" w:eastAsia="zh-CN"/>
              </w:rPr>
              <w:t>淮北旺能环保能源有限公司</w:t>
            </w:r>
            <w:r>
              <w:rPr>
                <w:rFonts w:hint="eastAsia" w:cs="Times New Roman"/>
                <w:color w:val="auto"/>
                <w:kern w:val="0"/>
                <w:sz w:val="24"/>
                <w:szCs w:val="24"/>
                <w:lang w:val="en-US" w:eastAsia="zh-CN" w:bidi="ar"/>
              </w:rPr>
              <w:t>试压结束后用于地埋段回填过程洒水抑尘，不外排。整体试压水按照总管线2倍容积，管道总体容积为720m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，则整体试压水用量为1440m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w:t>
            </w:r>
          </w:p>
          <w:p w14:paraId="094C6B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kern w:val="0"/>
                <w:sz w:val="24"/>
                <w:szCs w:val="24"/>
                <w:lang w:val="en-US" w:eastAsia="zh-CN" w:bidi="ar"/>
              </w:rPr>
            </w:pPr>
            <w:r>
              <w:rPr>
                <w:rFonts w:hint="eastAsia" w:cs="Times New Roman"/>
                <w:color w:val="auto"/>
                <w:kern w:val="0"/>
                <w:sz w:val="24"/>
                <w:szCs w:val="24"/>
                <w:lang w:val="en-US" w:eastAsia="zh-CN" w:bidi="ar"/>
              </w:rPr>
              <w:t>因此，本项目管道试压用水</w:t>
            </w:r>
            <w:r>
              <w:rPr>
                <w:rFonts w:hint="eastAsia"/>
                <w:color w:val="auto"/>
                <w:lang w:val="en-US" w:eastAsia="zh-CN"/>
              </w:rPr>
              <w:t>2518</w:t>
            </w:r>
            <w:r>
              <w:rPr>
                <w:rFonts w:hint="eastAsia" w:cs="Times New Roman"/>
                <w:color w:val="auto"/>
                <w:kern w:val="0"/>
                <w:sz w:val="24"/>
                <w:szCs w:val="24"/>
                <w:lang w:val="en-US" w:eastAsia="zh-CN" w:bidi="ar"/>
              </w:rPr>
              <w:t>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，管道试压废水接管网进入淮北蓝海水处理有限公司进一步处理，部分作为平山电厂冷却循环水，剩余部分排入萧濉新河。</w:t>
            </w:r>
          </w:p>
          <w:p w14:paraId="503F8F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2.2</w:t>
            </w:r>
            <w:r>
              <w:rPr>
                <w:rFonts w:hint="default" w:ascii="Times New Roman" w:hAnsi="Times New Roman" w:eastAsia="宋体" w:cs="Times New Roman"/>
                <w:b/>
                <w:bCs/>
                <w:color w:val="auto"/>
                <w:sz w:val="24"/>
                <w:szCs w:val="24"/>
              </w:rPr>
              <w:t>施工期水污染防治措施</w:t>
            </w:r>
          </w:p>
          <w:p w14:paraId="250A1F60">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t>（1）施工生产废水</w:t>
            </w:r>
          </w:p>
          <w:p w14:paraId="64C4BE71">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t>施工生产废水来</w:t>
            </w:r>
            <w:r>
              <w:rPr>
                <w:rFonts w:hint="eastAsia"/>
                <w:bCs/>
                <w:color w:val="auto"/>
                <w:kern w:val="24"/>
                <w:sz w:val="24"/>
                <w:lang w:val="en-US" w:eastAsia="zh-CN"/>
              </w:rPr>
              <w:t>自厂区运输车辆进出场</w:t>
            </w:r>
            <w:r>
              <w:rPr>
                <w:rFonts w:hint="eastAsia"/>
                <w:bCs/>
                <w:color w:val="auto"/>
                <w:kern w:val="24"/>
                <w:sz w:val="24"/>
              </w:rPr>
              <w:t>清洗</w:t>
            </w:r>
            <w:r>
              <w:rPr>
                <w:rFonts w:hint="eastAsia"/>
                <w:bCs/>
                <w:color w:val="auto"/>
                <w:kern w:val="24"/>
                <w:sz w:val="24"/>
                <w:lang w:val="en-US" w:eastAsia="zh-CN"/>
              </w:rPr>
              <w:t>产生的废水</w:t>
            </w:r>
            <w:r>
              <w:rPr>
                <w:rFonts w:hint="eastAsia"/>
                <w:bCs/>
                <w:color w:val="auto"/>
                <w:kern w:val="24"/>
                <w:sz w:val="24"/>
              </w:rPr>
              <w:t>，污染物主要是SS。</w:t>
            </w:r>
            <w:r>
              <w:rPr>
                <w:rFonts w:hint="eastAsia"/>
                <w:bCs/>
                <w:color w:val="auto"/>
                <w:sz w:val="24"/>
                <w:lang w:val="en-US" w:eastAsia="zh-CN"/>
              </w:rPr>
              <w:t>施工废水经临时沉淀池沉淀后，循环使用</w:t>
            </w:r>
            <w:r>
              <w:rPr>
                <w:rFonts w:hint="eastAsia"/>
                <w:bCs/>
                <w:color w:val="auto"/>
                <w:sz w:val="24"/>
              </w:rPr>
              <w:t>。</w:t>
            </w:r>
            <w:r>
              <w:rPr>
                <w:rFonts w:hint="eastAsia"/>
                <w:bCs/>
                <w:color w:val="auto"/>
                <w:kern w:val="24"/>
                <w:sz w:val="24"/>
              </w:rPr>
              <w:t xml:space="preserve">                                                                                              </w:t>
            </w:r>
          </w:p>
          <w:p w14:paraId="3281F9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textAlignment w:val="auto"/>
              <w:rPr>
                <w:rFonts w:hint="eastAsia" w:eastAsia="宋体"/>
                <w:bCs/>
                <w:color w:val="auto"/>
                <w:kern w:val="24"/>
                <w:sz w:val="24"/>
                <w:lang w:eastAsia="zh-CN"/>
              </w:rPr>
            </w:pPr>
            <w:r>
              <w:rPr>
                <w:rFonts w:hint="eastAsia"/>
                <w:bCs/>
                <w:color w:val="auto"/>
                <w:kern w:val="24"/>
                <w:sz w:val="24"/>
              </w:rPr>
              <w:t>（2）</w:t>
            </w:r>
            <w:r>
              <w:rPr>
                <w:rFonts w:hint="eastAsia"/>
                <w:bCs/>
                <w:color w:val="auto"/>
                <w:sz w:val="24"/>
                <w:lang w:eastAsia="zh-CN"/>
              </w:rPr>
              <w:t>管道试压水</w:t>
            </w:r>
          </w:p>
          <w:p w14:paraId="5C2117D1">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sz w:val="24"/>
                <w:lang w:val="en-US" w:eastAsia="zh-CN"/>
              </w:rPr>
            </w:pPr>
            <w:r>
              <w:rPr>
                <w:rFonts w:hint="eastAsia"/>
                <w:bCs/>
                <w:color w:val="auto"/>
                <w:sz w:val="24"/>
                <w:lang w:val="en-US" w:eastAsia="zh-CN"/>
              </w:rPr>
              <w:t>管道试压过程产生试压水</w:t>
            </w:r>
            <w:r>
              <w:rPr>
                <w:rFonts w:hint="eastAsia"/>
                <w:bCs/>
                <w:color w:val="auto"/>
                <w:sz w:val="24"/>
              </w:rPr>
              <w:t>，</w:t>
            </w:r>
            <w:r>
              <w:rPr>
                <w:rFonts w:hint="eastAsia"/>
                <w:bCs/>
                <w:color w:val="auto"/>
                <w:sz w:val="24"/>
                <w:lang w:val="en-US" w:eastAsia="zh-CN"/>
              </w:rPr>
              <w:t>管道试压废水接管网进入淮北蓝海水处理有限公司进一步处理，部分作为平山电厂冷却循环水，剩余部分排入萧濉新河。</w:t>
            </w:r>
          </w:p>
          <w:p w14:paraId="586AE6F7">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bCs/>
                <w:color w:val="auto"/>
                <w:kern w:val="24"/>
                <w:sz w:val="24"/>
              </w:rPr>
              <w:t>（3）施工生活污水</w:t>
            </w:r>
          </w:p>
          <w:p w14:paraId="0022250E">
            <w:pPr>
              <w:bidi w:val="0"/>
              <w:rPr>
                <w:rFonts w:hint="eastAsia"/>
                <w:bCs/>
                <w:color w:val="auto"/>
                <w:sz w:val="24"/>
              </w:rPr>
            </w:pPr>
            <w:r>
              <w:rPr>
                <w:rFonts w:hint="eastAsia"/>
                <w:bCs/>
                <w:color w:val="auto"/>
                <w:kern w:val="24"/>
                <w:sz w:val="24"/>
              </w:rPr>
              <w:t>施工生活污水来自工人日常洗涤废水、冲厕废水等，产生量</w:t>
            </w:r>
            <w:r>
              <w:rPr>
                <w:rFonts w:hint="eastAsia"/>
                <w:bCs/>
                <w:color w:val="auto"/>
                <w:kern w:val="24"/>
                <w:sz w:val="24"/>
                <w:lang w:val="en-US" w:eastAsia="zh-CN"/>
              </w:rPr>
              <w:t>72</w:t>
            </w:r>
            <w:r>
              <w:rPr>
                <w:rFonts w:hint="eastAsia"/>
                <w:bCs/>
                <w:color w:val="auto"/>
                <w:kern w:val="24"/>
                <w:sz w:val="24"/>
              </w:rPr>
              <w:t>m</w:t>
            </w:r>
            <w:r>
              <w:rPr>
                <w:rFonts w:hint="eastAsia"/>
                <w:bCs/>
                <w:color w:val="auto"/>
                <w:kern w:val="24"/>
                <w:sz w:val="24"/>
                <w:vertAlign w:val="superscript"/>
              </w:rPr>
              <w:t>3</w:t>
            </w:r>
            <w:r>
              <w:rPr>
                <w:rFonts w:hint="eastAsia"/>
                <w:bCs/>
                <w:color w:val="auto"/>
                <w:kern w:val="24"/>
                <w:sz w:val="24"/>
              </w:rPr>
              <w:t>，污染物主要是COD、BOD</w:t>
            </w:r>
            <w:r>
              <w:rPr>
                <w:rFonts w:hint="eastAsia"/>
                <w:bCs/>
                <w:color w:val="auto"/>
                <w:kern w:val="24"/>
                <w:sz w:val="24"/>
                <w:vertAlign w:val="subscript"/>
              </w:rPr>
              <w:t>5</w:t>
            </w:r>
            <w:r>
              <w:rPr>
                <w:rFonts w:hint="eastAsia"/>
                <w:bCs/>
                <w:color w:val="auto"/>
                <w:kern w:val="24"/>
                <w:sz w:val="24"/>
              </w:rPr>
              <w:t>、SS和NH</w:t>
            </w:r>
            <w:r>
              <w:rPr>
                <w:rFonts w:hint="eastAsia"/>
                <w:bCs/>
                <w:color w:val="auto"/>
                <w:kern w:val="24"/>
                <w:sz w:val="24"/>
                <w:vertAlign w:val="subscript"/>
              </w:rPr>
              <w:t>3</w:t>
            </w:r>
            <w:r>
              <w:rPr>
                <w:rFonts w:hint="eastAsia"/>
                <w:bCs/>
                <w:color w:val="auto"/>
                <w:kern w:val="24"/>
                <w:sz w:val="24"/>
              </w:rPr>
              <w:t>-N等。</w:t>
            </w:r>
            <w:r>
              <w:rPr>
                <w:rFonts w:hint="eastAsia"/>
                <w:bCs/>
                <w:color w:val="auto"/>
                <w:kern w:val="24"/>
                <w:sz w:val="24"/>
                <w:lang w:val="en-US" w:eastAsia="zh-CN"/>
              </w:rPr>
              <w:t>生活污水依托附近公厕的化粪池处理</w:t>
            </w:r>
            <w:r>
              <w:rPr>
                <w:rFonts w:hint="eastAsia" w:cs="Times New Roman"/>
                <w:color w:val="auto"/>
                <w:lang w:val="en-US" w:eastAsia="zh-CN"/>
              </w:rPr>
              <w:t>后，接市政管网</w:t>
            </w:r>
            <w:r>
              <w:rPr>
                <w:rFonts w:hint="eastAsia"/>
                <w:bCs/>
                <w:color w:val="auto"/>
                <w:sz w:val="24"/>
              </w:rPr>
              <w:t>。</w:t>
            </w:r>
          </w:p>
          <w:p w14:paraId="66B11E8F">
            <w:pPr>
              <w:bidi w:val="0"/>
              <w:rPr>
                <w:rFonts w:hint="default"/>
                <w:color w:val="auto"/>
                <w:lang w:val="en-US" w:eastAsia="zh-CN"/>
              </w:rPr>
            </w:pPr>
            <w:r>
              <w:rPr>
                <w:rFonts w:hint="eastAsia"/>
                <w:color w:val="auto"/>
                <w:lang w:val="en-US" w:eastAsia="zh-CN"/>
              </w:rPr>
              <w:t>针对施工区废水应采取如下防治措施：</w:t>
            </w:r>
          </w:p>
          <w:p w14:paraId="49035853">
            <w:pPr>
              <w:bidi w:val="0"/>
              <w:rPr>
                <w:rFonts w:hint="default"/>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default"/>
                <w:color w:val="auto"/>
              </w:rPr>
              <w:t>严格执行建筑工程文明施工管理的有关要求，建设单位和施工单位应根据地形，对地面水的排放进行组织设计施工场所排水系统。</w:t>
            </w:r>
          </w:p>
          <w:p w14:paraId="49C6545D">
            <w:pPr>
              <w:bidi w:val="0"/>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default"/>
                <w:color w:val="auto"/>
              </w:rPr>
              <w:t>生活污水</w:t>
            </w:r>
            <w:r>
              <w:rPr>
                <w:rFonts w:hint="eastAsia"/>
                <w:color w:val="auto"/>
                <w:lang w:val="en-US" w:eastAsia="zh-CN"/>
              </w:rPr>
              <w:t>综合利用</w:t>
            </w:r>
            <w:r>
              <w:rPr>
                <w:rFonts w:hint="default"/>
                <w:color w:val="auto"/>
              </w:rPr>
              <w:t>，禁止随意排入地表水体</w:t>
            </w:r>
            <w:r>
              <w:rPr>
                <w:rFonts w:hint="eastAsia"/>
                <w:color w:val="auto"/>
                <w:lang w:eastAsia="zh-CN"/>
              </w:rPr>
              <w:t>。</w:t>
            </w:r>
          </w:p>
          <w:p w14:paraId="2E342F14">
            <w:pPr>
              <w:bidi w:val="0"/>
              <w:rPr>
                <w:rFonts w:hint="default"/>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default"/>
                <w:color w:val="auto"/>
              </w:rPr>
              <w:t>施工场地四周采用一定高度的实体围挡设施，防止污水外流排入地表水体，或污染道路、周围环境。</w:t>
            </w:r>
          </w:p>
          <w:p w14:paraId="46127529">
            <w:pPr>
              <w:bidi w:val="0"/>
              <w:rPr>
                <w:rFonts w:hint="default"/>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default"/>
                <w:color w:val="auto"/>
              </w:rPr>
              <w:t>通过建设沉淀污水处理设施进行处理，施工废水</w:t>
            </w:r>
            <w:r>
              <w:rPr>
                <w:rFonts w:hint="eastAsia"/>
                <w:color w:val="auto"/>
                <w:lang w:val="en-US" w:eastAsia="zh-CN"/>
              </w:rPr>
              <w:t>经沉淀后循环使用</w:t>
            </w:r>
            <w:r>
              <w:rPr>
                <w:rFonts w:hint="eastAsia"/>
                <w:color w:val="auto"/>
                <w:lang w:eastAsia="zh-CN"/>
              </w:rPr>
              <w:t>、</w:t>
            </w:r>
            <w:r>
              <w:rPr>
                <w:rFonts w:hint="default"/>
                <w:color w:val="auto"/>
              </w:rPr>
              <w:t>运输车轮冲洗、绿化等，提高水资源利用率。不能回用部分委环卫部门进行清运，不得排入周边水体。</w:t>
            </w:r>
          </w:p>
          <w:p w14:paraId="3CCAA7E3">
            <w:pPr>
              <w:bidi w:val="0"/>
              <w:rPr>
                <w:rFonts w:hint="default"/>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default"/>
                <w:color w:val="auto"/>
              </w:rPr>
              <w:t>加强施工期生态环境保护监理。要求专设施工生态环境保护管理人员以加强具体的生态环境保护措施的执行，做到预防为主，防止对水体造成的污染。</w:t>
            </w:r>
          </w:p>
          <w:p w14:paraId="16A6A3BB">
            <w:pPr>
              <w:bidi w:val="0"/>
              <w:rPr>
                <w:rFonts w:hint="default"/>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rFonts w:hint="default"/>
                <w:color w:val="auto"/>
              </w:rPr>
              <w:t>施工中应做到井然有序地实施施工组织设计，严禁暴雨时进行挖方和填方施工。雨天时必须在临时弃土、堆料表面覆盖布等覆盖物，以防止弃土在暴雨的冲刷下进入附近水体。</w:t>
            </w:r>
          </w:p>
          <w:p w14:paraId="7DAA3B58">
            <w:pPr>
              <w:bidi w:val="0"/>
              <w:rPr>
                <w:rFonts w:hint="eastAsia"/>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w:t>
            </w:r>
            <w:r>
              <w:rPr>
                <w:rFonts w:hint="default"/>
                <w:color w:val="auto"/>
              </w:rPr>
              <w:t>含有害物质的建筑材料等不得露天堆放，设蓬盖和围栏，防止雨水冲刷进入水体。</w:t>
            </w:r>
            <w:r>
              <w:rPr>
                <w:rFonts w:hint="eastAsia"/>
                <w:color w:val="auto"/>
                <w:lang w:val="en-US" w:eastAsia="zh-CN"/>
              </w:rPr>
              <w:t xml:space="preserve">  </w:t>
            </w:r>
          </w:p>
          <w:p w14:paraId="4516A874">
            <w:pPr>
              <w:bidi w:val="0"/>
              <w:rPr>
                <w:rFonts w:hint="default"/>
                <w:color w:val="auto"/>
                <w:lang w:val="en-US" w:eastAsia="zh-CN"/>
              </w:rPr>
            </w:pPr>
            <w:r>
              <w:rPr>
                <w:rFonts w:hint="eastAsia"/>
                <w:color w:val="auto"/>
                <w:lang w:val="en-US" w:eastAsia="zh-CN"/>
              </w:rPr>
              <w:t>采取如上措施后，施工区废水对周边环境影响较小。</w:t>
            </w:r>
          </w:p>
          <w:p w14:paraId="0AFA98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3、施工期声环境</w:t>
            </w:r>
            <w:r>
              <w:rPr>
                <w:rFonts w:hint="default" w:ascii="Times New Roman" w:hAnsi="Times New Roman" w:cs="Times New Roman"/>
                <w:b/>
                <w:bCs/>
                <w:color w:val="auto"/>
                <w:sz w:val="24"/>
              </w:rPr>
              <w:t>染</w:t>
            </w:r>
            <w:r>
              <w:rPr>
                <w:rFonts w:hint="eastAsia" w:cs="Times New Roman"/>
                <w:b/>
                <w:bCs/>
                <w:color w:val="auto"/>
                <w:sz w:val="24"/>
                <w:szCs w:val="24"/>
                <w:lang w:val="en-US" w:eastAsia="zh-CN"/>
              </w:rPr>
              <w:t>及</w:t>
            </w:r>
            <w:r>
              <w:rPr>
                <w:rFonts w:hint="default" w:ascii="Times New Roman" w:hAnsi="Times New Roman" w:eastAsia="宋体" w:cs="Times New Roman"/>
                <w:b/>
                <w:bCs/>
                <w:color w:val="auto"/>
                <w:sz w:val="24"/>
                <w:szCs w:val="24"/>
              </w:rPr>
              <w:t>防治措施</w:t>
            </w:r>
          </w:p>
          <w:p w14:paraId="1E47F5AE">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default" w:ascii="Times New Roman" w:hAnsi="Times New Roman" w:cs="Times New Roman"/>
                <w:b/>
                <w:bCs/>
                <w:color w:val="auto"/>
                <w:sz w:val="24"/>
              </w:rPr>
            </w:pPr>
            <w:r>
              <w:rPr>
                <w:rFonts w:hint="eastAsia" w:cs="Times New Roman"/>
                <w:b/>
                <w:bCs/>
                <w:color w:val="auto"/>
                <w:sz w:val="24"/>
                <w:lang w:val="en-US" w:eastAsia="zh-CN"/>
              </w:rPr>
              <w:t>3.1</w:t>
            </w:r>
            <w:r>
              <w:rPr>
                <w:rFonts w:hint="default" w:ascii="Times New Roman" w:hAnsi="Times New Roman" w:eastAsia="宋体" w:cs="Times New Roman"/>
                <w:b/>
                <w:bCs/>
                <w:color w:val="auto"/>
                <w:sz w:val="24"/>
                <w:szCs w:val="24"/>
              </w:rPr>
              <w:t>施工期声环境</w:t>
            </w:r>
            <w:r>
              <w:rPr>
                <w:rFonts w:hint="default" w:ascii="Times New Roman" w:hAnsi="Times New Roman" w:cs="Times New Roman"/>
                <w:b/>
                <w:bCs/>
                <w:color w:val="auto"/>
                <w:sz w:val="24"/>
              </w:rPr>
              <w:t>染</w:t>
            </w:r>
          </w:p>
          <w:p w14:paraId="2488AC6B">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default" w:ascii="Times New Roman" w:hAnsi="Times New Roman" w:cs="Times New Roman"/>
                <w:b/>
                <w:color w:val="auto"/>
                <w:sz w:val="24"/>
              </w:rPr>
            </w:pPr>
            <w:r>
              <w:rPr>
                <w:rFonts w:hint="default" w:ascii="Times New Roman" w:hAnsi="Times New Roman" w:cs="Times New Roman"/>
                <w:color w:val="auto"/>
                <w:sz w:val="24"/>
              </w:rPr>
              <w:t>施工期间，作业机械主要是推土机、挖掘机等施工机械的噪声影响，运行时噪声较高，根据</w:t>
            </w:r>
            <w:r>
              <w:rPr>
                <w:rFonts w:hint="default" w:ascii="Times New Roman" w:hAnsi="Times New Roman" w:cs="Times New Roman"/>
                <w:color w:val="auto"/>
                <w:sz w:val="24"/>
                <w:lang w:val="en-US" w:eastAsia="zh-CN"/>
              </w:rPr>
              <w:t>机械铭牌标识</w:t>
            </w:r>
            <w:r>
              <w:rPr>
                <w:rFonts w:hint="default" w:ascii="Times New Roman" w:hAnsi="Times New Roman" w:cs="Times New Roman"/>
                <w:color w:val="auto"/>
                <w:sz w:val="24"/>
              </w:rPr>
              <w:t>，各机械噪声级见</w:t>
            </w:r>
            <w:r>
              <w:rPr>
                <w:rFonts w:hint="eastAsia" w:cs="Times New Roman"/>
                <w:color w:val="auto"/>
                <w:sz w:val="24"/>
                <w:lang w:val="en-US" w:eastAsia="zh-CN"/>
              </w:rPr>
              <w:t>下表</w:t>
            </w:r>
            <w:r>
              <w:rPr>
                <w:rFonts w:hint="default" w:ascii="Times New Roman" w:hAnsi="Times New Roman" w:cs="Times New Roman"/>
                <w:color w:val="auto"/>
                <w:sz w:val="24"/>
              </w:rPr>
              <w:t>，这些非稳态噪声源将对周围环境产生暂时的影响。依据《环境噪声与振动控制工程技术导则》</w:t>
            </w:r>
            <w:r>
              <w:rPr>
                <w:rFonts w:hint="eastAsia" w:cs="Times New Roman"/>
                <w:color w:val="auto"/>
                <w:sz w:val="24"/>
                <w:lang w:eastAsia="zh-CN"/>
              </w:rPr>
              <w:t>（</w:t>
            </w:r>
            <w:r>
              <w:rPr>
                <w:rFonts w:hint="default" w:ascii="Times New Roman" w:hAnsi="Times New Roman" w:cs="Times New Roman"/>
                <w:color w:val="auto"/>
                <w:sz w:val="24"/>
              </w:rPr>
              <w:t>HJ2034-2013）附录A表A2的常见施工机械噪声源及源强</w:t>
            </w:r>
            <w:r>
              <w:rPr>
                <w:rFonts w:hint="eastAsia" w:cs="Times New Roman"/>
                <w:color w:val="auto"/>
                <w:sz w:val="24"/>
                <w:lang w:val="en-US" w:eastAsia="zh-CN"/>
              </w:rPr>
              <w:t>及相关资料。按照最大值确定工程施工设备噪声级详见下表。</w:t>
            </w:r>
          </w:p>
          <w:p w14:paraId="5E2940D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hAnsi="宋体"/>
                <w:color w:val="auto"/>
                <w:szCs w:val="24"/>
              </w:rPr>
            </w:pPr>
            <w:r>
              <w:rPr>
                <w:rFonts w:hint="default" w:ascii="Times New Roman" w:hAnsi="Times New Roman" w:cs="Times New Roman"/>
                <w:b/>
                <w:color w:val="auto"/>
                <w:sz w:val="24"/>
              </w:rPr>
              <w:t>表</w:t>
            </w:r>
            <w:r>
              <w:rPr>
                <w:rFonts w:hint="eastAsia" w:cs="Times New Roman"/>
                <w:b/>
                <w:color w:val="auto"/>
                <w:sz w:val="24"/>
                <w:lang w:val="en-US" w:eastAsia="zh-CN"/>
              </w:rPr>
              <w:t>4</w:t>
            </w:r>
            <w:r>
              <w:rPr>
                <w:rFonts w:hint="default" w:ascii="Times New Roman" w:hAnsi="Times New Roman" w:cs="Times New Roman"/>
                <w:b/>
                <w:color w:val="auto"/>
                <w:sz w:val="24"/>
              </w:rPr>
              <w:t>-</w:t>
            </w:r>
            <w:r>
              <w:rPr>
                <w:rFonts w:hint="eastAsia" w:cs="Times New Roman"/>
                <w:b/>
                <w:color w:val="auto"/>
                <w:sz w:val="24"/>
                <w:lang w:val="en-US" w:eastAsia="zh-CN"/>
              </w:rPr>
              <w:t>2</w:t>
            </w:r>
            <w:r>
              <w:rPr>
                <w:rFonts w:hint="default" w:ascii="Times New Roman" w:hAnsi="Times New Roman" w:cs="Times New Roman"/>
                <w:b/>
                <w:color w:val="auto"/>
                <w:sz w:val="24"/>
              </w:rPr>
              <w:t xml:space="preserve">  主要施工设备噪声值</w:t>
            </w:r>
            <w:r>
              <w:rPr>
                <w:rFonts w:hint="eastAsia" w:cs="Times New Roman"/>
                <w:color w:val="auto"/>
                <w:sz w:val="24"/>
                <w:lang w:val="en-US" w:eastAsia="zh-CN"/>
              </w:rPr>
              <w:t xml:space="preserve">  </w:t>
            </w:r>
            <w:r>
              <w:rPr>
                <w:rFonts w:hint="default" w:ascii="Times New Roman" w:hAnsi="Times New Roman" w:cs="Times New Roman"/>
                <w:b/>
                <w:bCs/>
                <w:color w:val="auto"/>
                <w:sz w:val="24"/>
              </w:rPr>
              <w:t>单位：dB（A）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81"/>
              <w:gridCol w:w="796"/>
              <w:gridCol w:w="910"/>
              <w:gridCol w:w="653"/>
              <w:gridCol w:w="1524"/>
              <w:gridCol w:w="667"/>
              <w:gridCol w:w="902"/>
            </w:tblGrid>
            <w:tr w14:paraId="773A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31A903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序号</w:t>
                  </w:r>
                </w:p>
              </w:tc>
              <w:tc>
                <w:tcPr>
                  <w:tcW w:w="2175" w:type="dxa"/>
                  <w:vAlign w:val="center"/>
                </w:tcPr>
                <w:p w14:paraId="131E3D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名称/规格</w:t>
                  </w:r>
                </w:p>
              </w:tc>
              <w:tc>
                <w:tcPr>
                  <w:tcW w:w="825" w:type="dxa"/>
                  <w:vAlign w:val="center"/>
                </w:tcPr>
                <w:p w14:paraId="2A524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数量</w:t>
                  </w:r>
                </w:p>
              </w:tc>
              <w:tc>
                <w:tcPr>
                  <w:tcW w:w="945" w:type="dxa"/>
                  <w:vAlign w:val="center"/>
                </w:tcPr>
                <w:p w14:paraId="198082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声压级</w:t>
                  </w:r>
                </w:p>
              </w:tc>
              <w:tc>
                <w:tcPr>
                  <w:tcW w:w="675" w:type="dxa"/>
                  <w:vAlign w:val="center"/>
                </w:tcPr>
                <w:p w14:paraId="089825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b/>
                      <w:bCs/>
                      <w:color w:val="auto"/>
                      <w:sz w:val="21"/>
                      <w:szCs w:val="21"/>
                    </w:rPr>
                    <w:t>序号</w:t>
                  </w:r>
                </w:p>
              </w:tc>
              <w:tc>
                <w:tcPr>
                  <w:tcW w:w="1590" w:type="dxa"/>
                  <w:vAlign w:val="center"/>
                </w:tcPr>
                <w:p w14:paraId="1B5359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b/>
                      <w:bCs/>
                      <w:color w:val="auto"/>
                      <w:sz w:val="21"/>
                      <w:szCs w:val="21"/>
                    </w:rPr>
                    <w:t>名称/规格</w:t>
                  </w:r>
                </w:p>
              </w:tc>
              <w:tc>
                <w:tcPr>
                  <w:tcW w:w="690" w:type="dxa"/>
                  <w:vAlign w:val="center"/>
                </w:tcPr>
                <w:p w14:paraId="6EAD03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b/>
                      <w:bCs/>
                      <w:color w:val="auto"/>
                      <w:sz w:val="21"/>
                      <w:szCs w:val="21"/>
                    </w:rPr>
                    <w:t>数量</w:t>
                  </w:r>
                </w:p>
              </w:tc>
              <w:tc>
                <w:tcPr>
                  <w:tcW w:w="936" w:type="dxa"/>
                  <w:vAlign w:val="center"/>
                </w:tcPr>
                <w:p w14:paraId="64D8F2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eastAsia="宋体"/>
                      <w:b/>
                      <w:bCs/>
                      <w:color w:val="auto"/>
                      <w:sz w:val="21"/>
                      <w:szCs w:val="21"/>
                      <w:lang w:val="en-US" w:eastAsia="zh-CN"/>
                    </w:rPr>
                    <w:t>声压级</w:t>
                  </w:r>
                </w:p>
              </w:tc>
            </w:tr>
            <w:tr w14:paraId="645B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0A145268">
                  <w:pPr>
                    <w:pStyle w:val="36"/>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r>
                    <w:rPr>
                      <w:rFonts w:hint="default"/>
                      <w:color w:val="auto"/>
                      <w:sz w:val="21"/>
                      <w:szCs w:val="21"/>
                      <w:lang w:val="en-US" w:eastAsia="zh-CN"/>
                    </w:rPr>
                    <w:t>1</w:t>
                  </w:r>
                </w:p>
              </w:tc>
              <w:tc>
                <w:tcPr>
                  <w:tcW w:w="2175" w:type="dxa"/>
                  <w:shd w:val="clear" w:color="auto" w:fill="auto"/>
                  <w:vAlign w:val="center"/>
                </w:tcPr>
                <w:p w14:paraId="1D156285">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挖掘机</w:t>
                  </w:r>
                </w:p>
              </w:tc>
              <w:tc>
                <w:tcPr>
                  <w:tcW w:w="825" w:type="dxa"/>
                  <w:shd w:val="clear" w:color="auto" w:fill="auto"/>
                  <w:vAlign w:val="center"/>
                </w:tcPr>
                <w:p w14:paraId="7AA2533F">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w:t>
                  </w:r>
                </w:p>
              </w:tc>
              <w:tc>
                <w:tcPr>
                  <w:tcW w:w="945" w:type="dxa"/>
                  <w:shd w:val="clear" w:color="auto" w:fill="auto"/>
                  <w:vAlign w:val="center"/>
                </w:tcPr>
                <w:p w14:paraId="7F2A9015">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90</w:t>
                  </w:r>
                </w:p>
              </w:tc>
              <w:tc>
                <w:tcPr>
                  <w:tcW w:w="675" w:type="dxa"/>
                  <w:vAlign w:val="center"/>
                </w:tcPr>
                <w:p w14:paraId="33C8CC54">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w:t>
                  </w:r>
                </w:p>
              </w:tc>
              <w:tc>
                <w:tcPr>
                  <w:tcW w:w="1590" w:type="dxa"/>
                  <w:shd w:val="clear" w:color="auto" w:fill="auto"/>
                  <w:vAlign w:val="center"/>
                </w:tcPr>
                <w:p w14:paraId="580E1A53">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光轮压路机</w:t>
                  </w:r>
                </w:p>
              </w:tc>
              <w:tc>
                <w:tcPr>
                  <w:tcW w:w="690" w:type="dxa"/>
                  <w:shd w:val="clear" w:color="auto" w:fill="auto"/>
                  <w:vAlign w:val="center"/>
                </w:tcPr>
                <w:p w14:paraId="678202F0">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p>
              </w:tc>
              <w:tc>
                <w:tcPr>
                  <w:tcW w:w="936" w:type="dxa"/>
                  <w:shd w:val="clear" w:color="auto" w:fill="auto"/>
                  <w:vAlign w:val="center"/>
                </w:tcPr>
                <w:p w14:paraId="6AC41BF5">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100</w:t>
                  </w:r>
                </w:p>
              </w:tc>
            </w:tr>
            <w:tr w14:paraId="725A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2E810CCB">
                  <w:pPr>
                    <w:pStyle w:val="36"/>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r>
                    <w:rPr>
                      <w:rFonts w:hint="default"/>
                      <w:color w:val="auto"/>
                      <w:sz w:val="21"/>
                      <w:szCs w:val="21"/>
                      <w:lang w:val="en-US" w:eastAsia="zh-CN"/>
                    </w:rPr>
                    <w:t>2</w:t>
                  </w:r>
                </w:p>
              </w:tc>
              <w:tc>
                <w:tcPr>
                  <w:tcW w:w="2175" w:type="dxa"/>
                  <w:shd w:val="clear" w:color="auto" w:fill="auto"/>
                  <w:vAlign w:val="center"/>
                </w:tcPr>
                <w:p w14:paraId="72E62762">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振动锤打桩机</w:t>
                  </w:r>
                </w:p>
              </w:tc>
              <w:tc>
                <w:tcPr>
                  <w:tcW w:w="825" w:type="dxa"/>
                  <w:shd w:val="clear" w:color="auto" w:fill="auto"/>
                  <w:vAlign w:val="center"/>
                </w:tcPr>
                <w:p w14:paraId="110AAEA2">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color w:val="auto"/>
                      <w:sz w:val="21"/>
                      <w:szCs w:val="21"/>
                    </w:rPr>
                    <w:t>1</w:t>
                  </w:r>
                </w:p>
              </w:tc>
              <w:tc>
                <w:tcPr>
                  <w:tcW w:w="945" w:type="dxa"/>
                  <w:shd w:val="clear" w:color="auto" w:fill="auto"/>
                  <w:vAlign w:val="center"/>
                </w:tcPr>
                <w:p w14:paraId="3032E7F4">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110</w:t>
                  </w:r>
                </w:p>
              </w:tc>
              <w:tc>
                <w:tcPr>
                  <w:tcW w:w="675" w:type="dxa"/>
                  <w:vAlign w:val="center"/>
                </w:tcPr>
                <w:p w14:paraId="35A53AD0">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13</w:t>
                  </w:r>
                </w:p>
              </w:tc>
              <w:tc>
                <w:tcPr>
                  <w:tcW w:w="1590" w:type="dxa"/>
                  <w:shd w:val="clear" w:color="auto" w:fill="auto"/>
                  <w:vAlign w:val="center"/>
                </w:tcPr>
                <w:p w14:paraId="20BE631E">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洒水车</w:t>
                  </w:r>
                </w:p>
              </w:tc>
              <w:tc>
                <w:tcPr>
                  <w:tcW w:w="690" w:type="dxa"/>
                  <w:shd w:val="clear" w:color="auto" w:fill="auto"/>
                  <w:vAlign w:val="center"/>
                </w:tcPr>
                <w:p w14:paraId="7E017790">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936" w:type="dxa"/>
                  <w:shd w:val="clear" w:color="auto" w:fill="auto"/>
                  <w:vAlign w:val="center"/>
                </w:tcPr>
                <w:p w14:paraId="6F23E5BA">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w:t>
                  </w:r>
                </w:p>
              </w:tc>
            </w:tr>
            <w:tr w14:paraId="382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7FA5740E">
                  <w:pPr>
                    <w:pStyle w:val="36"/>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r>
                    <w:rPr>
                      <w:rFonts w:hint="default"/>
                      <w:color w:val="auto"/>
                      <w:sz w:val="21"/>
                      <w:szCs w:val="21"/>
                      <w:lang w:val="en-US" w:eastAsia="zh-CN"/>
                    </w:rPr>
                    <w:t>3</w:t>
                  </w:r>
                </w:p>
              </w:tc>
              <w:tc>
                <w:tcPr>
                  <w:tcW w:w="2175" w:type="dxa"/>
                  <w:shd w:val="clear" w:color="auto" w:fill="auto"/>
                  <w:vAlign w:val="center"/>
                </w:tcPr>
                <w:p w14:paraId="4A37D1A2">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压桩机</w:t>
                  </w:r>
                </w:p>
              </w:tc>
              <w:tc>
                <w:tcPr>
                  <w:tcW w:w="825" w:type="dxa"/>
                  <w:shd w:val="clear" w:color="auto" w:fill="auto"/>
                  <w:vAlign w:val="center"/>
                </w:tcPr>
                <w:p w14:paraId="576F48B1">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color w:val="auto"/>
                      <w:sz w:val="21"/>
                      <w:szCs w:val="21"/>
                    </w:rPr>
                    <w:t>1</w:t>
                  </w:r>
                </w:p>
              </w:tc>
              <w:tc>
                <w:tcPr>
                  <w:tcW w:w="945" w:type="dxa"/>
                  <w:shd w:val="clear" w:color="auto" w:fill="auto"/>
                  <w:vAlign w:val="center"/>
                </w:tcPr>
                <w:p w14:paraId="0BED1DBD">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75</w:t>
                  </w:r>
                </w:p>
              </w:tc>
              <w:tc>
                <w:tcPr>
                  <w:tcW w:w="675" w:type="dxa"/>
                  <w:vAlign w:val="center"/>
                </w:tcPr>
                <w:p w14:paraId="51418374">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14</w:t>
                  </w:r>
                </w:p>
              </w:tc>
              <w:tc>
                <w:tcPr>
                  <w:tcW w:w="1590" w:type="dxa"/>
                  <w:shd w:val="clear" w:color="auto" w:fill="auto"/>
                  <w:vAlign w:val="center"/>
                </w:tcPr>
                <w:p w14:paraId="4039A0C0">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电动切割机</w:t>
                  </w:r>
                </w:p>
              </w:tc>
              <w:tc>
                <w:tcPr>
                  <w:tcW w:w="690" w:type="dxa"/>
                  <w:shd w:val="clear" w:color="auto" w:fill="auto"/>
                  <w:vAlign w:val="center"/>
                </w:tcPr>
                <w:p w14:paraId="7CA1E21F">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color w:val="auto"/>
                      <w:sz w:val="21"/>
                      <w:szCs w:val="21"/>
                    </w:rPr>
                    <w:t>2</w:t>
                  </w:r>
                </w:p>
              </w:tc>
              <w:tc>
                <w:tcPr>
                  <w:tcW w:w="936" w:type="dxa"/>
                  <w:shd w:val="clear" w:color="auto" w:fill="auto"/>
                  <w:vAlign w:val="center"/>
                </w:tcPr>
                <w:p w14:paraId="6AA39368">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100</w:t>
                  </w:r>
                </w:p>
              </w:tc>
            </w:tr>
            <w:tr w14:paraId="32A0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383EBFD7">
                  <w:pPr>
                    <w:pStyle w:val="36"/>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r>
                    <w:rPr>
                      <w:rFonts w:hint="default"/>
                      <w:color w:val="auto"/>
                      <w:sz w:val="21"/>
                      <w:szCs w:val="21"/>
                      <w:lang w:val="en-US" w:eastAsia="zh-CN"/>
                    </w:rPr>
                    <w:t>4</w:t>
                  </w:r>
                </w:p>
              </w:tc>
              <w:tc>
                <w:tcPr>
                  <w:tcW w:w="2175" w:type="dxa"/>
                  <w:shd w:val="clear" w:color="auto" w:fill="auto"/>
                  <w:vAlign w:val="center"/>
                </w:tcPr>
                <w:p w14:paraId="7F33951F">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旋喷桩机</w:t>
                  </w:r>
                </w:p>
              </w:tc>
              <w:tc>
                <w:tcPr>
                  <w:tcW w:w="825" w:type="dxa"/>
                  <w:shd w:val="clear" w:color="auto" w:fill="auto"/>
                  <w:vAlign w:val="center"/>
                </w:tcPr>
                <w:p w14:paraId="7EDA8EB1">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color w:val="auto"/>
                      <w:sz w:val="21"/>
                      <w:szCs w:val="21"/>
                    </w:rPr>
                    <w:t>1</w:t>
                  </w:r>
                </w:p>
              </w:tc>
              <w:tc>
                <w:tcPr>
                  <w:tcW w:w="945" w:type="dxa"/>
                  <w:shd w:val="clear" w:color="auto" w:fill="auto"/>
                  <w:vAlign w:val="center"/>
                </w:tcPr>
                <w:p w14:paraId="7808332B">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80</w:t>
                  </w:r>
                </w:p>
              </w:tc>
              <w:tc>
                <w:tcPr>
                  <w:tcW w:w="675" w:type="dxa"/>
                  <w:shd w:val="clear" w:color="auto" w:fill="auto"/>
                  <w:vAlign w:val="center"/>
                </w:tcPr>
                <w:p w14:paraId="42F89B6F">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15</w:t>
                  </w:r>
                </w:p>
              </w:tc>
              <w:tc>
                <w:tcPr>
                  <w:tcW w:w="1590" w:type="dxa"/>
                  <w:shd w:val="clear" w:color="auto" w:fill="auto"/>
                  <w:vAlign w:val="center"/>
                </w:tcPr>
                <w:p w14:paraId="08E31E78">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钢筋切断机</w:t>
                  </w:r>
                </w:p>
              </w:tc>
              <w:tc>
                <w:tcPr>
                  <w:tcW w:w="690" w:type="dxa"/>
                  <w:shd w:val="clear" w:color="auto" w:fill="auto"/>
                  <w:vAlign w:val="center"/>
                </w:tcPr>
                <w:p w14:paraId="331C3135">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936" w:type="dxa"/>
                  <w:shd w:val="clear" w:color="auto" w:fill="auto"/>
                  <w:vAlign w:val="center"/>
                </w:tcPr>
                <w:p w14:paraId="7D183350">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100</w:t>
                  </w:r>
                </w:p>
              </w:tc>
            </w:tr>
            <w:tr w14:paraId="3E80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629FD75E">
                  <w:pPr>
                    <w:pStyle w:val="36"/>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r>
                    <w:rPr>
                      <w:rFonts w:hint="default"/>
                      <w:color w:val="auto"/>
                      <w:sz w:val="21"/>
                      <w:szCs w:val="21"/>
                      <w:lang w:val="en-US" w:eastAsia="zh-CN"/>
                    </w:rPr>
                    <w:t>5</w:t>
                  </w:r>
                </w:p>
              </w:tc>
              <w:tc>
                <w:tcPr>
                  <w:tcW w:w="2175" w:type="dxa"/>
                  <w:shd w:val="clear" w:color="auto" w:fill="auto"/>
                  <w:vAlign w:val="center"/>
                </w:tcPr>
                <w:p w14:paraId="48FC9862">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钻机</w:t>
                  </w:r>
                </w:p>
              </w:tc>
              <w:tc>
                <w:tcPr>
                  <w:tcW w:w="825" w:type="dxa"/>
                  <w:shd w:val="clear" w:color="auto" w:fill="auto"/>
                  <w:vAlign w:val="center"/>
                </w:tcPr>
                <w:p w14:paraId="57C74414">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color w:val="auto"/>
                      <w:sz w:val="21"/>
                      <w:szCs w:val="21"/>
                    </w:rPr>
                    <w:t>1</w:t>
                  </w:r>
                </w:p>
              </w:tc>
              <w:tc>
                <w:tcPr>
                  <w:tcW w:w="945" w:type="dxa"/>
                  <w:shd w:val="clear" w:color="auto" w:fill="auto"/>
                  <w:vAlign w:val="center"/>
                </w:tcPr>
                <w:p w14:paraId="3669B9DD">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100</w:t>
                  </w:r>
                </w:p>
              </w:tc>
              <w:tc>
                <w:tcPr>
                  <w:tcW w:w="675" w:type="dxa"/>
                  <w:shd w:val="clear" w:color="auto" w:fill="auto"/>
                  <w:vAlign w:val="center"/>
                </w:tcPr>
                <w:p w14:paraId="71EE288E">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16</w:t>
                  </w:r>
                </w:p>
              </w:tc>
              <w:tc>
                <w:tcPr>
                  <w:tcW w:w="1590" w:type="dxa"/>
                  <w:shd w:val="clear" w:color="auto" w:fill="auto"/>
                  <w:vAlign w:val="center"/>
                </w:tcPr>
                <w:p w14:paraId="5F5EA15F">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木工压刨床</w:t>
                  </w:r>
                </w:p>
              </w:tc>
              <w:tc>
                <w:tcPr>
                  <w:tcW w:w="690" w:type="dxa"/>
                  <w:shd w:val="clear" w:color="auto" w:fill="auto"/>
                  <w:vAlign w:val="center"/>
                </w:tcPr>
                <w:p w14:paraId="122C50BD">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936" w:type="dxa"/>
                  <w:shd w:val="clear" w:color="auto" w:fill="auto"/>
                  <w:vAlign w:val="center"/>
                </w:tcPr>
                <w:p w14:paraId="27B15D31">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80</w:t>
                  </w:r>
                </w:p>
              </w:tc>
            </w:tr>
            <w:tr w14:paraId="715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3AD3FF2F">
                  <w:pPr>
                    <w:pStyle w:val="36"/>
                    <w:keepNext w:val="0"/>
                    <w:keepLines w:val="0"/>
                    <w:pageBreakBefore w:val="0"/>
                    <w:kinsoku/>
                    <w:wordWrap/>
                    <w:overflowPunct/>
                    <w:topLinePunct w:val="0"/>
                    <w:autoSpaceDE/>
                    <w:autoSpaceDN/>
                    <w:bidi w:val="0"/>
                    <w:adjustRightInd/>
                    <w:snapToGrid/>
                    <w:textAlignment w:val="auto"/>
                    <w:rPr>
                      <w:rFonts w:hint="default"/>
                      <w:color w:val="auto"/>
                      <w:sz w:val="21"/>
                      <w:szCs w:val="21"/>
                      <w:lang w:val="en-US" w:eastAsia="zh-CN"/>
                    </w:rPr>
                  </w:pPr>
                  <w:r>
                    <w:rPr>
                      <w:rFonts w:hint="default"/>
                      <w:color w:val="auto"/>
                      <w:sz w:val="21"/>
                      <w:szCs w:val="21"/>
                      <w:lang w:val="en-US" w:eastAsia="zh-CN"/>
                    </w:rPr>
                    <w:t>6</w:t>
                  </w:r>
                </w:p>
              </w:tc>
              <w:tc>
                <w:tcPr>
                  <w:tcW w:w="2175" w:type="dxa"/>
                  <w:shd w:val="clear" w:color="auto" w:fill="auto"/>
                  <w:vAlign w:val="center"/>
                </w:tcPr>
                <w:p w14:paraId="57900CA2">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轮胎式装载机</w:t>
                  </w:r>
                </w:p>
              </w:tc>
              <w:tc>
                <w:tcPr>
                  <w:tcW w:w="825" w:type="dxa"/>
                  <w:shd w:val="clear" w:color="auto" w:fill="auto"/>
                  <w:vAlign w:val="center"/>
                </w:tcPr>
                <w:p w14:paraId="5BDD225E">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945" w:type="dxa"/>
                  <w:shd w:val="clear" w:color="auto" w:fill="auto"/>
                  <w:vAlign w:val="center"/>
                </w:tcPr>
                <w:p w14:paraId="552D3084">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95</w:t>
                  </w:r>
                </w:p>
              </w:tc>
              <w:tc>
                <w:tcPr>
                  <w:tcW w:w="675" w:type="dxa"/>
                  <w:shd w:val="clear" w:color="auto" w:fill="auto"/>
                  <w:vAlign w:val="center"/>
                </w:tcPr>
                <w:p w14:paraId="21380BFA">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17</w:t>
                  </w:r>
                </w:p>
              </w:tc>
              <w:tc>
                <w:tcPr>
                  <w:tcW w:w="1590" w:type="dxa"/>
                  <w:shd w:val="clear" w:color="auto" w:fill="auto"/>
                  <w:vAlign w:val="center"/>
                </w:tcPr>
                <w:p w14:paraId="0A4107CC">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木工圆锯机</w:t>
                  </w:r>
                </w:p>
              </w:tc>
              <w:tc>
                <w:tcPr>
                  <w:tcW w:w="690" w:type="dxa"/>
                  <w:shd w:val="clear" w:color="auto" w:fill="auto"/>
                  <w:vAlign w:val="center"/>
                </w:tcPr>
                <w:p w14:paraId="6E12C8FF">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936" w:type="dxa"/>
                  <w:shd w:val="clear" w:color="auto" w:fill="auto"/>
                  <w:vAlign w:val="center"/>
                </w:tcPr>
                <w:p w14:paraId="2590137E">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95</w:t>
                  </w:r>
                </w:p>
              </w:tc>
            </w:tr>
            <w:tr w14:paraId="0AA7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48634846">
                  <w:pPr>
                    <w:pStyle w:val="36"/>
                    <w:keepNext w:val="0"/>
                    <w:keepLines w:val="0"/>
                    <w:pageBreakBefore w:val="0"/>
                    <w:kinsoku/>
                    <w:wordWrap/>
                    <w:overflowPunct/>
                    <w:topLinePunct w:val="0"/>
                    <w:autoSpaceDE/>
                    <w:autoSpaceDN/>
                    <w:bidi w:val="0"/>
                    <w:adjustRightInd/>
                    <w:snapToGrid/>
                    <w:textAlignment w:val="auto"/>
                    <w:rPr>
                      <w:rFonts w:hint="default"/>
                      <w:color w:val="auto"/>
                      <w:sz w:val="21"/>
                      <w:szCs w:val="21"/>
                      <w:lang w:val="en-US" w:eastAsia="zh-CN"/>
                    </w:rPr>
                  </w:pPr>
                  <w:r>
                    <w:rPr>
                      <w:rFonts w:hint="default"/>
                      <w:color w:val="auto"/>
                      <w:sz w:val="21"/>
                      <w:szCs w:val="21"/>
                      <w:lang w:val="en-US" w:eastAsia="zh-CN"/>
                    </w:rPr>
                    <w:t>7</w:t>
                  </w:r>
                </w:p>
              </w:tc>
              <w:tc>
                <w:tcPr>
                  <w:tcW w:w="2175" w:type="dxa"/>
                  <w:shd w:val="clear" w:color="auto" w:fill="auto"/>
                  <w:vAlign w:val="center"/>
                </w:tcPr>
                <w:p w14:paraId="1C10F8D9">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汽车吊</w:t>
                  </w:r>
                </w:p>
              </w:tc>
              <w:tc>
                <w:tcPr>
                  <w:tcW w:w="825" w:type="dxa"/>
                  <w:shd w:val="clear" w:color="auto" w:fill="auto"/>
                  <w:vAlign w:val="center"/>
                </w:tcPr>
                <w:p w14:paraId="1F892E80">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color w:val="auto"/>
                      <w:sz w:val="21"/>
                      <w:szCs w:val="21"/>
                    </w:rPr>
                    <w:t>1</w:t>
                  </w:r>
                </w:p>
              </w:tc>
              <w:tc>
                <w:tcPr>
                  <w:tcW w:w="945" w:type="dxa"/>
                  <w:shd w:val="clear" w:color="auto" w:fill="auto"/>
                  <w:vAlign w:val="center"/>
                </w:tcPr>
                <w:p w14:paraId="1A33EF43">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w:t>
                  </w:r>
                </w:p>
              </w:tc>
              <w:tc>
                <w:tcPr>
                  <w:tcW w:w="675" w:type="dxa"/>
                  <w:shd w:val="clear" w:color="auto" w:fill="auto"/>
                  <w:vAlign w:val="center"/>
                </w:tcPr>
                <w:p w14:paraId="2ADDCEBD">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18</w:t>
                  </w:r>
                </w:p>
              </w:tc>
              <w:tc>
                <w:tcPr>
                  <w:tcW w:w="1590" w:type="dxa"/>
                  <w:shd w:val="clear" w:color="auto" w:fill="auto"/>
                  <w:vAlign w:val="center"/>
                </w:tcPr>
                <w:p w14:paraId="2122D6DF">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振捣器</w:t>
                  </w:r>
                </w:p>
              </w:tc>
              <w:tc>
                <w:tcPr>
                  <w:tcW w:w="690" w:type="dxa"/>
                  <w:shd w:val="clear" w:color="auto" w:fill="auto"/>
                  <w:vAlign w:val="center"/>
                </w:tcPr>
                <w:p w14:paraId="11AD0147">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936" w:type="dxa"/>
                  <w:shd w:val="clear" w:color="auto" w:fill="auto"/>
                  <w:vAlign w:val="center"/>
                </w:tcPr>
                <w:p w14:paraId="45AB421E">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w:t>
                  </w:r>
                </w:p>
              </w:tc>
            </w:tr>
            <w:tr w14:paraId="7916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0F3FFBB1">
                  <w:pPr>
                    <w:pStyle w:val="36"/>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r>
                    <w:rPr>
                      <w:rFonts w:hint="default"/>
                      <w:color w:val="auto"/>
                      <w:sz w:val="21"/>
                      <w:szCs w:val="21"/>
                      <w:lang w:val="en-US" w:eastAsia="zh-CN"/>
                    </w:rPr>
                    <w:t>8</w:t>
                  </w:r>
                </w:p>
              </w:tc>
              <w:tc>
                <w:tcPr>
                  <w:tcW w:w="2175" w:type="dxa"/>
                  <w:shd w:val="clear" w:color="auto" w:fill="auto"/>
                  <w:vAlign w:val="center"/>
                </w:tcPr>
                <w:p w14:paraId="1A4152AC">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履带式起重机</w:t>
                  </w:r>
                </w:p>
              </w:tc>
              <w:tc>
                <w:tcPr>
                  <w:tcW w:w="825" w:type="dxa"/>
                  <w:shd w:val="clear" w:color="auto" w:fill="auto"/>
                  <w:vAlign w:val="center"/>
                </w:tcPr>
                <w:p w14:paraId="01F698AA">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color w:val="auto"/>
                      <w:sz w:val="21"/>
                      <w:szCs w:val="21"/>
                    </w:rPr>
                    <w:t>1</w:t>
                  </w:r>
                </w:p>
              </w:tc>
              <w:tc>
                <w:tcPr>
                  <w:tcW w:w="945" w:type="dxa"/>
                  <w:shd w:val="clear" w:color="auto" w:fill="auto"/>
                  <w:vAlign w:val="center"/>
                </w:tcPr>
                <w:p w14:paraId="7E6DEAA9">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w:t>
                  </w:r>
                </w:p>
              </w:tc>
              <w:tc>
                <w:tcPr>
                  <w:tcW w:w="675" w:type="dxa"/>
                  <w:shd w:val="clear" w:color="auto" w:fill="auto"/>
                  <w:vAlign w:val="center"/>
                </w:tcPr>
                <w:p w14:paraId="64E65674">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19</w:t>
                  </w:r>
                </w:p>
              </w:tc>
              <w:tc>
                <w:tcPr>
                  <w:tcW w:w="1590" w:type="dxa"/>
                  <w:shd w:val="clear" w:color="auto" w:fill="auto"/>
                  <w:vAlign w:val="center"/>
                </w:tcPr>
                <w:p w14:paraId="6C1296B9">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轻夯机</w:t>
                  </w:r>
                </w:p>
              </w:tc>
              <w:tc>
                <w:tcPr>
                  <w:tcW w:w="690" w:type="dxa"/>
                  <w:shd w:val="clear" w:color="auto" w:fill="auto"/>
                  <w:vAlign w:val="center"/>
                </w:tcPr>
                <w:p w14:paraId="6485769A">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936" w:type="dxa"/>
                  <w:shd w:val="clear" w:color="auto" w:fill="auto"/>
                  <w:vAlign w:val="center"/>
                </w:tcPr>
                <w:p w14:paraId="30F4A7AC">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95</w:t>
                  </w:r>
                </w:p>
              </w:tc>
            </w:tr>
            <w:tr w14:paraId="7FD3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6A5CACFE">
                  <w:pPr>
                    <w:pStyle w:val="36"/>
                    <w:keepNext w:val="0"/>
                    <w:keepLines w:val="0"/>
                    <w:pageBreakBefore w:val="0"/>
                    <w:kinsoku/>
                    <w:wordWrap/>
                    <w:overflowPunct/>
                    <w:topLinePunct w:val="0"/>
                    <w:autoSpaceDE/>
                    <w:autoSpaceDN/>
                    <w:bidi w:val="0"/>
                    <w:adjustRightInd/>
                    <w:snapToGrid/>
                    <w:textAlignment w:val="auto"/>
                    <w:rPr>
                      <w:rFonts w:hint="default"/>
                      <w:color w:val="auto"/>
                      <w:sz w:val="21"/>
                      <w:szCs w:val="21"/>
                      <w:lang w:val="en-US" w:eastAsia="zh-CN"/>
                    </w:rPr>
                  </w:pPr>
                  <w:r>
                    <w:rPr>
                      <w:rFonts w:hint="default"/>
                      <w:color w:val="auto"/>
                      <w:sz w:val="21"/>
                      <w:szCs w:val="21"/>
                      <w:lang w:val="en-US" w:eastAsia="zh-CN"/>
                    </w:rPr>
                    <w:t>9</w:t>
                  </w:r>
                </w:p>
              </w:tc>
              <w:tc>
                <w:tcPr>
                  <w:tcW w:w="2175" w:type="dxa"/>
                  <w:shd w:val="clear" w:color="auto" w:fill="auto"/>
                  <w:vAlign w:val="center"/>
                </w:tcPr>
                <w:p w14:paraId="1B0C158B">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自卸汽车</w:t>
                  </w:r>
                </w:p>
              </w:tc>
              <w:tc>
                <w:tcPr>
                  <w:tcW w:w="825" w:type="dxa"/>
                  <w:shd w:val="clear" w:color="auto" w:fill="auto"/>
                  <w:vAlign w:val="center"/>
                </w:tcPr>
                <w:p w14:paraId="335F6283">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945" w:type="dxa"/>
                  <w:shd w:val="clear" w:color="auto" w:fill="auto"/>
                  <w:vAlign w:val="center"/>
                </w:tcPr>
                <w:p w14:paraId="0A3DA19C">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w:t>
                  </w:r>
                </w:p>
              </w:tc>
              <w:tc>
                <w:tcPr>
                  <w:tcW w:w="675" w:type="dxa"/>
                  <w:shd w:val="clear" w:color="auto" w:fill="auto"/>
                  <w:vAlign w:val="center"/>
                </w:tcPr>
                <w:p w14:paraId="17657A12">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20</w:t>
                  </w:r>
                </w:p>
              </w:tc>
              <w:tc>
                <w:tcPr>
                  <w:tcW w:w="1590" w:type="dxa"/>
                  <w:shd w:val="clear" w:color="auto" w:fill="auto"/>
                  <w:vAlign w:val="center"/>
                </w:tcPr>
                <w:p w14:paraId="2B0DA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color w:val="auto"/>
                      <w:sz w:val="21"/>
                      <w:szCs w:val="21"/>
                    </w:rPr>
                    <w:t>井底抽水泵</w:t>
                  </w:r>
                </w:p>
              </w:tc>
              <w:tc>
                <w:tcPr>
                  <w:tcW w:w="690" w:type="dxa"/>
                  <w:shd w:val="clear" w:color="auto" w:fill="auto"/>
                  <w:vAlign w:val="center"/>
                </w:tcPr>
                <w:p w14:paraId="0122D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w:t>
                  </w:r>
                </w:p>
              </w:tc>
              <w:tc>
                <w:tcPr>
                  <w:tcW w:w="936" w:type="dxa"/>
                  <w:shd w:val="clear" w:color="auto" w:fill="auto"/>
                  <w:vAlign w:val="center"/>
                </w:tcPr>
                <w:p w14:paraId="0EDDDE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80</w:t>
                  </w:r>
                </w:p>
              </w:tc>
            </w:tr>
            <w:tr w14:paraId="2838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2094C920">
                  <w:pPr>
                    <w:pStyle w:val="36"/>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r>
                    <w:rPr>
                      <w:rFonts w:hint="default"/>
                      <w:color w:val="auto"/>
                      <w:sz w:val="21"/>
                      <w:szCs w:val="21"/>
                      <w:lang w:val="en-US" w:eastAsia="zh-CN"/>
                    </w:rPr>
                    <w:t>10</w:t>
                  </w:r>
                </w:p>
              </w:tc>
              <w:tc>
                <w:tcPr>
                  <w:tcW w:w="2175" w:type="dxa"/>
                  <w:shd w:val="clear" w:color="auto" w:fill="auto"/>
                  <w:vAlign w:val="center"/>
                </w:tcPr>
                <w:p w14:paraId="7AEB0B6E">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焊接机</w:t>
                  </w:r>
                </w:p>
              </w:tc>
              <w:tc>
                <w:tcPr>
                  <w:tcW w:w="825" w:type="dxa"/>
                  <w:shd w:val="clear" w:color="auto" w:fill="auto"/>
                  <w:vAlign w:val="center"/>
                </w:tcPr>
                <w:p w14:paraId="0FA17198">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945" w:type="dxa"/>
                  <w:shd w:val="clear" w:color="auto" w:fill="auto"/>
                  <w:vAlign w:val="center"/>
                </w:tcPr>
                <w:p w14:paraId="7CFDA930">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95</w:t>
                  </w:r>
                </w:p>
              </w:tc>
              <w:tc>
                <w:tcPr>
                  <w:tcW w:w="675" w:type="dxa"/>
                  <w:shd w:val="clear" w:color="auto" w:fill="auto"/>
                  <w:vAlign w:val="center"/>
                </w:tcPr>
                <w:p w14:paraId="28B16F91">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21</w:t>
                  </w:r>
                </w:p>
              </w:tc>
              <w:tc>
                <w:tcPr>
                  <w:tcW w:w="1590" w:type="dxa"/>
                  <w:shd w:val="clear" w:color="auto" w:fill="auto"/>
                  <w:vAlign w:val="center"/>
                </w:tcPr>
                <w:p w14:paraId="3E5549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color w:val="auto"/>
                      <w:sz w:val="21"/>
                      <w:szCs w:val="21"/>
                    </w:rPr>
                    <w:t>罗茨风机</w:t>
                  </w:r>
                </w:p>
              </w:tc>
              <w:tc>
                <w:tcPr>
                  <w:tcW w:w="690" w:type="dxa"/>
                  <w:shd w:val="clear" w:color="auto" w:fill="auto"/>
                  <w:vAlign w:val="center"/>
                </w:tcPr>
                <w:p w14:paraId="4BCDBA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936" w:type="dxa"/>
                  <w:shd w:val="clear" w:color="auto" w:fill="auto"/>
                  <w:vAlign w:val="center"/>
                </w:tcPr>
                <w:p w14:paraId="20954B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90</w:t>
                  </w:r>
                </w:p>
              </w:tc>
            </w:tr>
            <w:tr w14:paraId="6170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06900169">
                  <w:pPr>
                    <w:pStyle w:val="36"/>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r>
                    <w:rPr>
                      <w:rFonts w:hint="default"/>
                      <w:color w:val="auto"/>
                      <w:sz w:val="21"/>
                      <w:szCs w:val="21"/>
                      <w:lang w:val="en-US" w:eastAsia="zh-CN"/>
                    </w:rPr>
                    <w:t>11</w:t>
                  </w:r>
                </w:p>
              </w:tc>
              <w:tc>
                <w:tcPr>
                  <w:tcW w:w="2175" w:type="dxa"/>
                  <w:shd w:val="clear" w:color="auto" w:fill="auto"/>
                  <w:vAlign w:val="center"/>
                </w:tcPr>
                <w:p w14:paraId="332716A2">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发电机组</w:t>
                  </w:r>
                </w:p>
              </w:tc>
              <w:tc>
                <w:tcPr>
                  <w:tcW w:w="825" w:type="dxa"/>
                  <w:shd w:val="clear" w:color="auto" w:fill="auto"/>
                  <w:vAlign w:val="center"/>
                </w:tcPr>
                <w:p w14:paraId="5AADC14B">
                  <w:pPr>
                    <w:pStyle w:val="36"/>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945" w:type="dxa"/>
                  <w:shd w:val="clear" w:color="auto" w:fill="auto"/>
                  <w:vAlign w:val="center"/>
                </w:tcPr>
                <w:p w14:paraId="750FBFFF">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100</w:t>
                  </w:r>
                </w:p>
              </w:tc>
              <w:tc>
                <w:tcPr>
                  <w:tcW w:w="675" w:type="dxa"/>
                  <w:shd w:val="clear" w:color="auto" w:fill="auto"/>
                  <w:vAlign w:val="center"/>
                </w:tcPr>
                <w:p w14:paraId="2F7F89BC">
                  <w:pPr>
                    <w:pStyle w:val="36"/>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22</w:t>
                  </w:r>
                </w:p>
              </w:tc>
              <w:tc>
                <w:tcPr>
                  <w:tcW w:w="1590" w:type="dxa"/>
                  <w:shd w:val="clear" w:color="auto" w:fill="auto"/>
                  <w:vAlign w:val="center"/>
                </w:tcPr>
                <w:p w14:paraId="016D1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抓斗机</w:t>
                  </w:r>
                </w:p>
              </w:tc>
              <w:tc>
                <w:tcPr>
                  <w:tcW w:w="690" w:type="dxa"/>
                  <w:shd w:val="clear" w:color="auto" w:fill="auto"/>
                  <w:vAlign w:val="center"/>
                </w:tcPr>
                <w:p w14:paraId="77A29E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936" w:type="dxa"/>
                  <w:shd w:val="clear" w:color="auto" w:fill="auto"/>
                  <w:vAlign w:val="center"/>
                </w:tcPr>
                <w:p w14:paraId="50244A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75</w:t>
                  </w:r>
                </w:p>
              </w:tc>
            </w:tr>
          </w:tbl>
          <w:p w14:paraId="74577D64">
            <w:pPr>
              <w:keepNext w:val="0"/>
              <w:keepLines w:val="0"/>
              <w:pageBreakBefore w:val="0"/>
              <w:widowControl w:val="0"/>
              <w:kinsoku/>
              <w:wordWrap/>
              <w:overflowPunct/>
              <w:topLinePunct w:val="0"/>
              <w:autoSpaceDE/>
              <w:autoSpaceDN/>
              <w:bidi w:val="0"/>
              <w:adjustRightInd/>
              <w:snapToGrid/>
              <w:spacing w:line="360" w:lineRule="auto"/>
              <w:ind w:left="0" w:leftChars="0" w:firstLine="560"/>
              <w:contextualSpacing/>
              <w:textAlignment w:val="auto"/>
              <w:rPr>
                <w:rFonts w:hint="eastAsia"/>
                <w:bCs/>
                <w:color w:val="auto"/>
                <w:kern w:val="24"/>
                <w:sz w:val="24"/>
              </w:rPr>
            </w:pPr>
            <w:r>
              <w:rPr>
                <w:rFonts w:hint="eastAsia" w:hAnsi="宋体"/>
                <w:color w:val="auto"/>
                <w:szCs w:val="24"/>
              </w:rPr>
              <w:t>根据对管道施工过程噪音分析，</w:t>
            </w:r>
            <w:r>
              <w:rPr>
                <w:rFonts w:hint="eastAsia" w:hAnsi="宋体"/>
                <w:color w:val="auto"/>
                <w:szCs w:val="24"/>
                <w:lang w:val="en-US" w:eastAsia="zh-CN"/>
              </w:rPr>
              <w:t>直埋</w:t>
            </w:r>
            <w:r>
              <w:rPr>
                <w:rFonts w:hint="eastAsia" w:hAnsi="宋体"/>
                <w:color w:val="auto"/>
                <w:szCs w:val="24"/>
              </w:rPr>
              <w:t>施工噪音主要来自三个施工阶段：</w:t>
            </w:r>
            <w:r>
              <w:rPr>
                <w:rFonts w:hint="eastAsia" w:hAnsi="宋体"/>
                <w:color w:val="auto"/>
                <w:szCs w:val="24"/>
                <w:lang w:val="en-US" w:eastAsia="zh-CN"/>
              </w:rPr>
              <w:t>基坑开挖</w:t>
            </w:r>
            <w:r>
              <w:rPr>
                <w:rFonts w:hint="eastAsia" w:hAnsi="宋体"/>
                <w:color w:val="auto"/>
                <w:szCs w:val="24"/>
              </w:rPr>
              <w:t>阶段、管道铺设阶段、</w:t>
            </w:r>
            <w:r>
              <w:rPr>
                <w:rFonts w:hint="eastAsia" w:hAnsi="宋体"/>
                <w:color w:val="auto"/>
                <w:szCs w:val="24"/>
                <w:lang w:val="en-US" w:eastAsia="zh-CN"/>
              </w:rPr>
              <w:t>管沟回填夯实</w:t>
            </w:r>
            <w:r>
              <w:rPr>
                <w:rFonts w:hint="eastAsia" w:hAnsi="宋体"/>
                <w:color w:val="auto"/>
                <w:szCs w:val="24"/>
              </w:rPr>
              <w:t>阶段。在</w:t>
            </w:r>
            <w:r>
              <w:rPr>
                <w:rFonts w:hint="eastAsia" w:hAnsi="宋体"/>
                <w:color w:val="auto"/>
                <w:szCs w:val="24"/>
                <w:lang w:val="en-US" w:eastAsia="zh-CN"/>
              </w:rPr>
              <w:t>基坑开挖</w:t>
            </w:r>
            <w:r>
              <w:rPr>
                <w:rFonts w:hint="eastAsia" w:hAnsi="宋体"/>
                <w:color w:val="auto"/>
                <w:szCs w:val="24"/>
              </w:rPr>
              <w:t>阶段尽量采用人工挖掘，以减少对地下其它设施的损坏，但是在硬的路面上要使用挖掘机，会产生噪音</w:t>
            </w:r>
            <w:r>
              <w:rPr>
                <w:rFonts w:hint="eastAsia" w:hAnsi="宋体"/>
                <w:color w:val="auto"/>
                <w:szCs w:val="24"/>
                <w:lang w:eastAsia="zh-CN"/>
              </w:rPr>
              <w:t>；</w:t>
            </w:r>
            <w:r>
              <w:rPr>
                <w:rFonts w:hint="eastAsia" w:hAnsi="宋体"/>
                <w:color w:val="auto"/>
                <w:szCs w:val="24"/>
              </w:rPr>
              <w:t>管道铺设阶段切割管道，因摩擦产生刺耳的撞击声，启动电焊机进行焊接，产生噪音；</w:t>
            </w:r>
            <w:r>
              <w:rPr>
                <w:rFonts w:hint="eastAsia" w:hAnsi="宋体"/>
                <w:color w:val="auto"/>
                <w:szCs w:val="24"/>
                <w:lang w:val="en-US" w:eastAsia="zh-CN"/>
              </w:rPr>
              <w:t>管沟回填夯实</w:t>
            </w:r>
            <w:r>
              <w:rPr>
                <w:rFonts w:hint="eastAsia" w:hAnsi="宋体"/>
                <w:color w:val="auto"/>
                <w:szCs w:val="24"/>
              </w:rPr>
              <w:t>阶段有推土机、运输车辆等发出的噪音</w:t>
            </w:r>
            <w:r>
              <w:rPr>
                <w:rFonts w:hint="eastAsia" w:hAnsi="宋体"/>
                <w:color w:val="auto"/>
                <w:szCs w:val="24"/>
                <w:lang w:eastAsia="zh-CN"/>
              </w:rPr>
              <w:t>。</w:t>
            </w:r>
            <w:r>
              <w:rPr>
                <w:rFonts w:hint="eastAsia" w:hAnsi="宋体"/>
                <w:color w:val="auto"/>
                <w:szCs w:val="24"/>
              </w:rPr>
              <w:t>以上施工过程的噪声级在</w:t>
            </w:r>
            <w:r>
              <w:rPr>
                <w:rFonts w:hint="eastAsia" w:hAnsi="宋体"/>
                <w:color w:val="auto"/>
                <w:szCs w:val="24"/>
                <w:lang w:val="en-US" w:eastAsia="zh-CN"/>
              </w:rPr>
              <w:t>75~110</w:t>
            </w:r>
            <w:r>
              <w:rPr>
                <w:rFonts w:hint="eastAsia" w:hAnsi="宋体"/>
                <w:color w:val="auto"/>
                <w:szCs w:val="24"/>
              </w:rPr>
              <w:t>dB（A）范围内</w:t>
            </w:r>
            <w:r>
              <w:rPr>
                <w:rFonts w:hint="eastAsia" w:hAnsi="宋体"/>
                <w:color w:val="auto"/>
                <w:szCs w:val="24"/>
                <w:lang w:eastAsia="zh-CN"/>
              </w:rPr>
              <w:t>。</w:t>
            </w:r>
          </w:p>
          <w:p w14:paraId="490DC83F">
            <w:pPr>
              <w:adjustRightInd w:val="0"/>
              <w:snapToGrid w:val="0"/>
              <w:ind w:left="0" w:leftChars="0" w:firstLine="0" w:firstLineChars="0"/>
              <w:rPr>
                <w:rFonts w:hint="default" w:ascii="宋体" w:hAnsi="宋体" w:eastAsia="宋体" w:cs="宋体"/>
                <w:bCs/>
                <w:color w:val="auto"/>
                <w:spacing w:val="-10"/>
                <w:szCs w:val="21"/>
                <w:lang w:val="en-US" w:eastAsia="zh-CN"/>
              </w:rPr>
            </w:pPr>
          </w:p>
        </w:tc>
      </w:tr>
      <w:tr w14:paraId="0948C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1" w:hRule="atLeast"/>
          <w:jc w:val="center"/>
        </w:trPr>
        <w:tc>
          <w:tcPr>
            <w:tcW w:w="481" w:type="dxa"/>
            <w:tcMar>
              <w:left w:w="28" w:type="dxa"/>
              <w:right w:w="28" w:type="dxa"/>
            </w:tcMar>
            <w:vAlign w:val="center"/>
          </w:tcPr>
          <w:p w14:paraId="4739CD8E">
            <w:pPr>
              <w:adjustRightInd w:val="0"/>
              <w:snapToGrid w:val="0"/>
              <w:ind w:firstLine="0" w:firstLineChars="0"/>
              <w:jc w:val="center"/>
              <w:rPr>
                <w:rFonts w:ascii="宋体" w:hAnsi="宋体" w:cs="宋体"/>
                <w:bCs/>
                <w:color w:val="auto"/>
                <w:szCs w:val="21"/>
              </w:rPr>
            </w:pPr>
            <w:r>
              <w:rPr>
                <w:rFonts w:hint="eastAsia" w:ascii="宋体" w:hAnsi="宋体" w:cs="宋体"/>
                <w:bCs/>
                <w:color w:val="auto"/>
                <w:szCs w:val="21"/>
              </w:rPr>
              <w:t>运营期环境影响和保护</w:t>
            </w:r>
          </w:p>
          <w:p w14:paraId="79D475B9">
            <w:pPr>
              <w:adjustRightInd w:val="0"/>
              <w:snapToGrid w:val="0"/>
              <w:ind w:firstLine="0" w:firstLineChars="0"/>
              <w:jc w:val="center"/>
              <w:rPr>
                <w:rFonts w:ascii="宋体" w:hAnsi="宋体" w:cs="宋体"/>
                <w:bCs/>
                <w:color w:val="auto"/>
                <w:szCs w:val="21"/>
              </w:rPr>
            </w:pPr>
            <w:r>
              <w:rPr>
                <w:rFonts w:hint="eastAsia" w:ascii="宋体" w:hAnsi="宋体" w:cs="宋体"/>
                <w:bCs/>
                <w:color w:val="auto"/>
                <w:szCs w:val="21"/>
              </w:rPr>
              <w:t>措施</w:t>
            </w:r>
          </w:p>
        </w:tc>
        <w:tc>
          <w:tcPr>
            <w:tcW w:w="8427" w:type="dxa"/>
          </w:tcPr>
          <w:p w14:paraId="4341E267">
            <w:pPr>
              <w:widowControl w:val="0"/>
              <w:wordWrap/>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宋体" w:cs="Times New Roman"/>
                <w:b/>
                <w:bCs w:val="0"/>
                <w:spacing w:val="-10"/>
                <w:kern w:val="2"/>
                <w:sz w:val="24"/>
                <w:szCs w:val="24"/>
                <w:lang w:val="en-US" w:eastAsia="zh-CN"/>
              </w:rPr>
            </w:pPr>
            <w:r>
              <w:rPr>
                <w:rFonts w:hint="eastAsia" w:cs="Times New Roman"/>
                <w:b/>
                <w:bCs w:val="0"/>
                <w:spacing w:val="-10"/>
                <w:kern w:val="2"/>
                <w:sz w:val="24"/>
                <w:szCs w:val="24"/>
                <w:lang w:val="en-US" w:eastAsia="zh-CN"/>
              </w:rPr>
              <w:t>2 能源站营运期情况</w:t>
            </w:r>
          </w:p>
          <w:p w14:paraId="73D344B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val="0"/>
                <w:spacing w:val="-10"/>
                <w:kern w:val="2"/>
                <w:sz w:val="24"/>
                <w:szCs w:val="24"/>
                <w:lang w:val="en-US" w:eastAsia="zh-CN"/>
              </w:rPr>
            </w:pPr>
            <w:r>
              <w:rPr>
                <w:rFonts w:hint="eastAsia"/>
                <w:b/>
                <w:bCs/>
                <w:color w:val="auto"/>
                <w:lang w:val="en-US" w:eastAsia="zh-CN"/>
              </w:rPr>
              <w:t>2.1</w:t>
            </w:r>
            <w:r>
              <w:rPr>
                <w:rFonts w:hint="default" w:ascii="Times New Roman" w:hAnsi="Times New Roman" w:eastAsia="宋体" w:cs="Times New Roman"/>
                <w:b/>
                <w:bCs w:val="0"/>
                <w:spacing w:val="-10"/>
                <w:kern w:val="2"/>
                <w:sz w:val="24"/>
                <w:szCs w:val="24"/>
                <w:lang w:val="en-US" w:eastAsia="zh-CN"/>
              </w:rPr>
              <w:t>废气产排情况</w:t>
            </w:r>
          </w:p>
          <w:p w14:paraId="372BA1E9">
            <w:pPr>
              <w:ind w:firstLine="480"/>
              <w:rPr>
                <w:color w:val="auto"/>
              </w:rPr>
            </w:pPr>
            <w:r>
              <w:rPr>
                <w:rFonts w:hint="eastAsia"/>
                <w:color w:val="auto"/>
              </w:rPr>
              <w:t>本项目</w:t>
            </w:r>
            <w:r>
              <w:rPr>
                <w:rFonts w:hint="eastAsia"/>
                <w:color w:val="auto"/>
                <w:lang w:val="en-US" w:eastAsia="zh-CN"/>
              </w:rPr>
              <w:t>废气主要为锅炉燃烧废气、储罐呼吸废气</w:t>
            </w:r>
            <w:r>
              <w:rPr>
                <w:rFonts w:hint="eastAsia"/>
                <w:color w:val="auto"/>
              </w:rPr>
              <w:t>。</w:t>
            </w:r>
          </w:p>
          <w:p w14:paraId="1CD405F4">
            <w:pPr>
              <w:numPr>
                <w:ilvl w:val="0"/>
                <w:numId w:val="6"/>
              </w:numPr>
              <w:adjustRightInd w:val="0"/>
              <w:snapToGrid w:val="0"/>
              <w:ind w:firstLine="442"/>
              <w:jc w:val="both"/>
              <w:rPr>
                <w:b/>
                <w:color w:val="auto"/>
                <w:spacing w:val="-10"/>
                <w:szCs w:val="21"/>
              </w:rPr>
            </w:pPr>
            <w:r>
              <w:rPr>
                <w:rFonts w:hint="eastAsia"/>
                <w:b/>
                <w:bCs/>
                <w:lang w:val="en-US" w:eastAsia="zh-CN"/>
              </w:rPr>
              <w:t>锅炉燃烧</w:t>
            </w:r>
            <w:r>
              <w:rPr>
                <w:b/>
                <w:color w:val="auto"/>
                <w:spacing w:val="-10"/>
                <w:szCs w:val="21"/>
              </w:rPr>
              <w:t>废气</w:t>
            </w:r>
          </w:p>
          <w:p w14:paraId="2ECD25C2">
            <w:pPr>
              <w:adjustRightInd w:val="0"/>
              <w:snapToGrid w:val="0"/>
              <w:ind w:firstLine="480"/>
              <w:jc w:val="both"/>
              <w:rPr>
                <w:rFonts w:hint="eastAsia"/>
                <w:color w:val="auto"/>
              </w:rPr>
            </w:pPr>
            <w:r>
              <w:rPr>
                <w:rFonts w:hint="eastAsia"/>
                <w:color w:val="auto"/>
              </w:rPr>
              <w:t>本项目设置</w:t>
            </w:r>
            <w:r>
              <w:rPr>
                <w:rFonts w:hint="eastAsia"/>
                <w:color w:val="auto"/>
                <w:lang w:val="en-US" w:eastAsia="zh-CN"/>
              </w:rPr>
              <w:t>4</w:t>
            </w:r>
            <w:r>
              <w:rPr>
                <w:rFonts w:hint="eastAsia"/>
                <w:color w:val="auto"/>
              </w:rPr>
              <w:t>台锅炉</w:t>
            </w:r>
            <w:r>
              <w:rPr>
                <w:rFonts w:hint="eastAsia"/>
                <w:lang w:val="en-US" w:eastAsia="zh-CN"/>
              </w:rPr>
              <w:t>为管网供热</w:t>
            </w:r>
            <w:r>
              <w:rPr>
                <w:rFonts w:hint="eastAsia"/>
                <w:color w:val="auto"/>
              </w:rPr>
              <w:t>提供</w:t>
            </w:r>
            <w:r>
              <w:rPr>
                <w:rFonts w:hint="eastAsia"/>
                <w:color w:val="auto"/>
                <w:lang w:val="en-US" w:eastAsia="zh-CN"/>
              </w:rPr>
              <w:t>能源</w:t>
            </w:r>
            <w:r>
              <w:rPr>
                <w:rFonts w:hint="eastAsia"/>
                <w:color w:val="auto"/>
              </w:rPr>
              <w:t>，</w:t>
            </w:r>
            <w:r>
              <w:rPr>
                <w:rFonts w:hint="eastAsia"/>
                <w:color w:val="auto"/>
                <w:lang w:val="en-US" w:eastAsia="zh-CN"/>
              </w:rPr>
              <w:t>锅炉仅在极寒天气下（零下10</w:t>
            </w:r>
            <w:r>
              <w:rPr>
                <w:rFonts w:hint="default" w:ascii="Times New Roman" w:hAnsi="Times New Roman" w:cs="Times New Roman"/>
                <w:color w:val="auto"/>
                <w:lang w:val="en-US" w:eastAsia="zh-CN"/>
              </w:rPr>
              <w:t>℃</w:t>
            </w:r>
            <w:r>
              <w:rPr>
                <w:rFonts w:hint="eastAsia"/>
                <w:color w:val="auto"/>
                <w:lang w:val="en-US" w:eastAsia="zh-CN"/>
              </w:rPr>
              <w:t>）进行备用，根据淮北市近30年气候特征，全年极寒天气最多为10天。</w:t>
            </w:r>
          </w:p>
          <w:p w14:paraId="3DC729BD">
            <w:pPr>
              <w:adjustRightInd w:val="0"/>
              <w:snapToGrid w:val="0"/>
              <w:ind w:firstLine="480"/>
              <w:jc w:val="both"/>
              <w:rPr>
                <w:rFonts w:hint="eastAsia"/>
                <w:color w:val="000000"/>
              </w:rPr>
            </w:pPr>
            <w:r>
              <w:rPr>
                <w:rFonts w:hint="eastAsia"/>
                <w:color w:val="auto"/>
                <w:lang w:val="en-US" w:eastAsia="zh-CN"/>
              </w:rPr>
              <w:t>根据企业提供资料，单台</w:t>
            </w:r>
            <w:r>
              <w:rPr>
                <w:rFonts w:hint="eastAsia"/>
                <w:color w:val="auto"/>
              </w:rPr>
              <w:t>锅炉</w:t>
            </w:r>
            <w:r>
              <w:rPr>
                <w:rFonts w:hint="eastAsia"/>
                <w:color w:val="auto"/>
                <w:lang w:val="en-US" w:eastAsia="zh-CN"/>
              </w:rPr>
              <w:t>使用液体戊烷燃料平均为3.75m</w:t>
            </w:r>
            <w:r>
              <w:rPr>
                <w:rFonts w:hint="eastAsia"/>
                <w:color w:val="auto"/>
                <w:vertAlign w:val="superscript"/>
                <w:lang w:val="en-US" w:eastAsia="zh-CN"/>
              </w:rPr>
              <w:t>3</w:t>
            </w:r>
            <w:r>
              <w:rPr>
                <w:rFonts w:hint="eastAsia"/>
                <w:color w:val="auto"/>
                <w:lang w:val="en-US" w:eastAsia="zh-CN"/>
              </w:rPr>
              <w:t>/h、</w:t>
            </w:r>
            <w:r>
              <w:rPr>
                <w:rFonts w:hint="eastAsia"/>
                <w:color w:val="auto"/>
              </w:rPr>
              <w:t>运行时间为</w:t>
            </w:r>
            <w:r>
              <w:rPr>
                <w:rFonts w:hint="eastAsia"/>
                <w:color w:val="auto"/>
                <w:lang w:val="en-US" w:eastAsia="zh-CN"/>
              </w:rPr>
              <w:t>4</w:t>
            </w:r>
            <w:r>
              <w:rPr>
                <w:rFonts w:hint="eastAsia"/>
                <w:color w:val="auto"/>
              </w:rPr>
              <w:t>h/d、</w:t>
            </w:r>
            <w:r>
              <w:rPr>
                <w:rFonts w:hint="eastAsia"/>
                <w:color w:val="auto"/>
                <w:lang w:val="en-US" w:eastAsia="zh-CN"/>
              </w:rPr>
              <w:t>10d</w:t>
            </w:r>
            <w:r>
              <w:rPr>
                <w:rFonts w:hint="eastAsia"/>
                <w:color w:val="auto"/>
              </w:rPr>
              <w:t>/a。</w:t>
            </w:r>
            <w:r>
              <w:rPr>
                <w:rFonts w:hint="eastAsia"/>
                <w:color w:val="auto"/>
                <w:lang w:val="en-US" w:eastAsia="zh-CN"/>
              </w:rPr>
              <w:t>戊烷燃料利用</w:t>
            </w:r>
            <w:r>
              <w:rPr>
                <w:rFonts w:hint="eastAsia"/>
                <w:color w:val="auto"/>
              </w:rPr>
              <w:t>气化机组</w:t>
            </w:r>
            <w:r>
              <w:rPr>
                <w:rFonts w:hint="eastAsia"/>
                <w:color w:val="auto"/>
                <w:lang w:val="en-US" w:eastAsia="zh-CN"/>
              </w:rPr>
              <w:t>将液态戊烷转化为气态戊烷，以便作为燃料使用，锅炉</w:t>
            </w:r>
            <w:r>
              <w:rPr>
                <w:rFonts w:hint="eastAsia"/>
                <w:color w:val="auto"/>
              </w:rPr>
              <w:t>燃料使用量为</w:t>
            </w:r>
            <w:r>
              <w:rPr>
                <w:rFonts w:hint="eastAsia"/>
                <w:color w:val="auto"/>
                <w:lang w:val="en-US" w:eastAsia="zh-CN"/>
              </w:rPr>
              <w:t>150m</w:t>
            </w:r>
            <w:r>
              <w:rPr>
                <w:rFonts w:hint="eastAsia"/>
                <w:color w:val="auto"/>
                <w:vertAlign w:val="superscript"/>
                <w:lang w:val="en-US" w:eastAsia="zh-CN"/>
              </w:rPr>
              <w:t>3</w:t>
            </w:r>
            <w:r>
              <w:rPr>
                <w:rFonts w:hint="eastAsia"/>
                <w:color w:val="auto"/>
                <w:lang w:eastAsia="zh-CN"/>
              </w:rPr>
              <w:t>，</w:t>
            </w:r>
            <w:r>
              <w:rPr>
                <w:rFonts w:hint="eastAsia"/>
                <w:color w:val="auto"/>
                <w:lang w:val="en-US" w:eastAsia="zh-CN"/>
              </w:rPr>
              <w:t>热值为40428大卡/立方米，总热值6064200大卡，天然气热值为8000大卡，本项目锅炉为燃气锅炉，因此原料量折算成天然气用量对进行计算</w:t>
            </w:r>
            <w:r>
              <w:rPr>
                <w:rFonts w:hint="eastAsia"/>
                <w:color w:val="auto"/>
              </w:rPr>
              <w:t>。</w:t>
            </w:r>
            <w:r>
              <w:rPr>
                <w:rFonts w:hint="eastAsia"/>
                <w:color w:val="auto"/>
                <w:lang w:val="en-US" w:eastAsia="zh-CN"/>
              </w:rPr>
              <w:t>天然气用量约为760m</w:t>
            </w:r>
            <w:r>
              <w:rPr>
                <w:rFonts w:hint="eastAsia"/>
                <w:color w:val="auto"/>
                <w:vertAlign w:val="superscript"/>
                <w:lang w:val="en-US" w:eastAsia="zh-CN"/>
              </w:rPr>
              <w:t>3</w:t>
            </w:r>
            <w:r>
              <w:rPr>
                <w:rFonts w:hint="eastAsia"/>
                <w:color w:val="auto"/>
                <w:lang w:val="en-US" w:eastAsia="zh-CN"/>
              </w:rPr>
              <w:t>，</w:t>
            </w:r>
            <w:r>
              <w:rPr>
                <w:rFonts w:hint="eastAsia"/>
                <w:color w:val="000000"/>
              </w:rPr>
              <w:t>颗粒物排放系数参照《工业污染源产排污系数手册》（4411 天然气发电）中数据，天然气燃烧产生颗粒物：103.9mg/</w:t>
            </w:r>
            <w:r>
              <w:rPr>
                <w:rFonts w:hint="eastAsia"/>
                <w:color w:val="000000"/>
                <w:lang w:val="en-US" w:eastAsia="zh-CN"/>
              </w:rPr>
              <w:t>m</w:t>
            </w:r>
            <w:r>
              <w:rPr>
                <w:rFonts w:hint="eastAsia"/>
                <w:color w:val="000000"/>
                <w:vertAlign w:val="superscript"/>
                <w:lang w:val="en-US" w:eastAsia="zh-CN"/>
              </w:rPr>
              <w:t>3</w:t>
            </w:r>
            <w:r>
              <w:rPr>
                <w:rFonts w:hint="eastAsia"/>
                <w:color w:val="000000"/>
              </w:rPr>
              <w:t>-原料计算，则颗粒物的产生量为</w:t>
            </w:r>
            <w:r>
              <w:rPr>
                <w:rFonts w:hint="eastAsia"/>
                <w:color w:val="000000"/>
                <w:lang w:val="en-US" w:eastAsia="zh-CN"/>
              </w:rPr>
              <w:t>0.079kg</w:t>
            </w:r>
            <w:r>
              <w:rPr>
                <w:rFonts w:hint="eastAsia"/>
                <w:color w:val="000000"/>
              </w:rPr>
              <w:t>/a。</w:t>
            </w:r>
          </w:p>
          <w:p w14:paraId="1978217D">
            <w:pPr>
              <w:pStyle w:val="14"/>
              <w:rPr>
                <w:color w:val="auto"/>
              </w:rPr>
            </w:pPr>
            <w:r>
              <w:rPr>
                <w:rFonts w:hint="eastAsia"/>
                <w:color w:val="auto"/>
              </w:rPr>
              <w:t>参照《排放源统计调查产排污核实方法和系数手册》4430工业锅炉（热力生产和供应行业）产污系数表-燃</w:t>
            </w:r>
            <w:r>
              <w:rPr>
                <w:rFonts w:hint="eastAsia"/>
                <w:color w:val="auto"/>
                <w:lang w:val="en-US" w:eastAsia="zh-CN"/>
              </w:rPr>
              <w:t>气</w:t>
            </w:r>
            <w:r>
              <w:rPr>
                <w:rFonts w:hint="eastAsia"/>
                <w:color w:val="auto"/>
              </w:rPr>
              <w:t>工业锅炉，</w:t>
            </w:r>
            <w:r>
              <w:rPr>
                <w:rFonts w:eastAsia="Times New Roman"/>
                <w:color w:val="auto"/>
                <w:lang w:val="zh-CN"/>
              </w:rPr>
              <w:t>产</w:t>
            </w:r>
            <w:r>
              <w:rPr>
                <w:rFonts w:hint="eastAsia"/>
                <w:color w:val="auto"/>
              </w:rPr>
              <w:t>污</w:t>
            </w:r>
            <w:r>
              <w:rPr>
                <w:rFonts w:eastAsia="Times New Roman"/>
                <w:color w:val="auto"/>
                <w:lang w:val="zh-CN"/>
              </w:rPr>
              <w:t>系数见</w:t>
            </w:r>
            <w:r>
              <w:rPr>
                <w:rFonts w:hint="eastAsia"/>
                <w:color w:val="auto"/>
              </w:rPr>
              <w:t>下表。</w:t>
            </w:r>
          </w:p>
          <w:p w14:paraId="01B8948D">
            <w:pPr>
              <w:spacing w:line="240" w:lineRule="auto"/>
              <w:ind w:firstLine="0" w:firstLineChars="0"/>
              <w:jc w:val="center"/>
              <w:rPr>
                <w:b/>
                <w:bCs/>
                <w:color w:val="auto"/>
                <w:lang w:val="zh-CN"/>
              </w:rPr>
            </w:pPr>
            <w:r>
              <w:rPr>
                <w:b/>
                <w:bCs/>
                <w:color w:val="auto"/>
                <w:lang w:val="zh-CN"/>
              </w:rPr>
              <w:t>表</w:t>
            </w:r>
            <w:r>
              <w:rPr>
                <w:rFonts w:hint="eastAsia"/>
                <w:b/>
                <w:bCs/>
                <w:color w:val="auto"/>
              </w:rPr>
              <w:t>4-</w:t>
            </w:r>
            <w:r>
              <w:rPr>
                <w:rFonts w:hint="eastAsia"/>
                <w:b/>
                <w:bCs/>
                <w:color w:val="auto"/>
                <w:lang w:val="en-US" w:eastAsia="zh-CN"/>
              </w:rPr>
              <w:t>7</w:t>
            </w:r>
            <w:r>
              <w:rPr>
                <w:b/>
                <w:bCs/>
                <w:color w:val="auto"/>
              </w:rPr>
              <w:t xml:space="preserve"> 《</w:t>
            </w:r>
            <w:r>
              <w:rPr>
                <w:b/>
                <w:bCs/>
                <w:color w:val="auto"/>
                <w:lang w:val="zh-CN"/>
              </w:rPr>
              <w:t>工业污染源产排污系数手册》排污系数表</w:t>
            </w:r>
          </w:p>
          <w:tbl>
            <w:tblPr>
              <w:tblStyle w:val="27"/>
              <w:tblW w:w="5000" w:type="pct"/>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554"/>
              <w:gridCol w:w="1514"/>
              <w:gridCol w:w="2108"/>
              <w:gridCol w:w="1895"/>
            </w:tblGrid>
            <w:tr w14:paraId="6DE5A67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0" w:type="dxa"/>
                  <w:noWrap w:val="0"/>
                  <w:vAlign w:val="center"/>
                </w:tcPr>
                <w:p w14:paraId="5177E710">
                  <w:pPr>
                    <w:pStyle w:val="4"/>
                    <w:outlineLvl w:val="0"/>
                    <w:rPr>
                      <w:b/>
                      <w:bCs/>
                      <w:color w:val="auto"/>
                      <w:lang w:val="zh-CN"/>
                    </w:rPr>
                  </w:pPr>
                  <w:r>
                    <w:rPr>
                      <w:b/>
                      <w:bCs/>
                      <w:color w:val="auto"/>
                      <w:lang w:val="zh-CN"/>
                    </w:rPr>
                    <w:t>原料名称</w:t>
                  </w:r>
                </w:p>
              </w:tc>
              <w:tc>
                <w:tcPr>
                  <w:tcW w:w="1554" w:type="dxa"/>
                  <w:noWrap w:val="0"/>
                  <w:vAlign w:val="center"/>
                </w:tcPr>
                <w:p w14:paraId="100AA7A4">
                  <w:pPr>
                    <w:pStyle w:val="4"/>
                    <w:outlineLvl w:val="0"/>
                    <w:rPr>
                      <w:b/>
                      <w:bCs/>
                      <w:color w:val="auto"/>
                      <w:lang w:val="zh-CN"/>
                    </w:rPr>
                  </w:pPr>
                  <w:r>
                    <w:rPr>
                      <w:b/>
                      <w:bCs/>
                      <w:color w:val="auto"/>
                      <w:lang w:val="zh-CN"/>
                    </w:rPr>
                    <w:t>规模等级</w:t>
                  </w:r>
                </w:p>
              </w:tc>
              <w:tc>
                <w:tcPr>
                  <w:tcW w:w="1514" w:type="dxa"/>
                  <w:noWrap w:val="0"/>
                  <w:vAlign w:val="center"/>
                </w:tcPr>
                <w:p w14:paraId="5B5E8CF8">
                  <w:pPr>
                    <w:pStyle w:val="4"/>
                    <w:outlineLvl w:val="0"/>
                    <w:rPr>
                      <w:b/>
                      <w:bCs/>
                      <w:color w:val="auto"/>
                      <w:lang w:val="zh-CN"/>
                    </w:rPr>
                  </w:pPr>
                  <w:r>
                    <w:rPr>
                      <w:b/>
                      <w:bCs/>
                      <w:color w:val="auto"/>
                      <w:lang w:val="zh-CN"/>
                    </w:rPr>
                    <w:t>污染物指标</w:t>
                  </w:r>
                </w:p>
              </w:tc>
              <w:tc>
                <w:tcPr>
                  <w:tcW w:w="2108" w:type="dxa"/>
                  <w:noWrap w:val="0"/>
                  <w:vAlign w:val="center"/>
                </w:tcPr>
                <w:p w14:paraId="3C1EFEBE">
                  <w:pPr>
                    <w:pStyle w:val="4"/>
                    <w:outlineLvl w:val="0"/>
                    <w:rPr>
                      <w:b/>
                      <w:bCs/>
                      <w:color w:val="auto"/>
                      <w:lang w:val="zh-CN"/>
                    </w:rPr>
                  </w:pPr>
                  <w:r>
                    <w:rPr>
                      <w:b/>
                      <w:bCs/>
                      <w:color w:val="auto"/>
                      <w:lang w:val="zh-CN"/>
                    </w:rPr>
                    <w:t>单位</w:t>
                  </w:r>
                </w:p>
              </w:tc>
              <w:tc>
                <w:tcPr>
                  <w:tcW w:w="1895" w:type="dxa"/>
                  <w:noWrap w:val="0"/>
                  <w:vAlign w:val="center"/>
                </w:tcPr>
                <w:p w14:paraId="5F7A9DED">
                  <w:pPr>
                    <w:pStyle w:val="4"/>
                    <w:outlineLvl w:val="0"/>
                    <w:rPr>
                      <w:b/>
                      <w:bCs/>
                      <w:color w:val="auto"/>
                      <w:lang w:val="zh-CN"/>
                    </w:rPr>
                  </w:pPr>
                  <w:r>
                    <w:rPr>
                      <w:b/>
                      <w:bCs/>
                      <w:color w:val="auto"/>
                      <w:lang w:val="zh-CN"/>
                    </w:rPr>
                    <w:t>产污系数</w:t>
                  </w:r>
                </w:p>
              </w:tc>
            </w:tr>
            <w:tr w14:paraId="6A492E9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0" w:type="dxa"/>
                  <w:vMerge w:val="restart"/>
                  <w:noWrap w:val="0"/>
                  <w:vAlign w:val="center"/>
                </w:tcPr>
                <w:p w14:paraId="161A3082">
                  <w:pPr>
                    <w:pStyle w:val="4"/>
                    <w:outlineLvl w:val="0"/>
                    <w:rPr>
                      <w:rFonts w:hint="default" w:eastAsia="宋体"/>
                      <w:color w:val="auto"/>
                      <w:lang w:val="en-US" w:eastAsia="zh-CN"/>
                    </w:rPr>
                  </w:pPr>
                  <w:r>
                    <w:rPr>
                      <w:rFonts w:hint="eastAsia"/>
                      <w:color w:val="auto"/>
                      <w:lang w:val="en-US" w:eastAsia="zh-CN"/>
                    </w:rPr>
                    <w:t>戊烷气体</w:t>
                  </w:r>
                </w:p>
              </w:tc>
              <w:tc>
                <w:tcPr>
                  <w:tcW w:w="1554" w:type="dxa"/>
                  <w:vMerge w:val="restart"/>
                  <w:noWrap w:val="0"/>
                  <w:vAlign w:val="center"/>
                </w:tcPr>
                <w:p w14:paraId="616E81E4">
                  <w:pPr>
                    <w:pStyle w:val="4"/>
                    <w:outlineLvl w:val="0"/>
                    <w:rPr>
                      <w:color w:val="auto"/>
                      <w:lang w:val="zh-CN"/>
                    </w:rPr>
                  </w:pPr>
                  <w:r>
                    <w:rPr>
                      <w:color w:val="auto"/>
                      <w:lang w:val="zh-CN"/>
                    </w:rPr>
                    <w:t>所有规模</w:t>
                  </w:r>
                </w:p>
              </w:tc>
              <w:tc>
                <w:tcPr>
                  <w:tcW w:w="1514" w:type="dxa"/>
                  <w:noWrap w:val="0"/>
                  <w:vAlign w:val="center"/>
                </w:tcPr>
                <w:p w14:paraId="4DF62DCA">
                  <w:pPr>
                    <w:pStyle w:val="4"/>
                    <w:outlineLvl w:val="0"/>
                    <w:rPr>
                      <w:color w:val="auto"/>
                      <w:lang w:val="zh-CN"/>
                    </w:rPr>
                  </w:pPr>
                  <w:r>
                    <w:rPr>
                      <w:color w:val="auto"/>
                      <w:lang w:val="zh-CN"/>
                    </w:rPr>
                    <w:t>工业废气量</w:t>
                  </w:r>
                </w:p>
              </w:tc>
              <w:tc>
                <w:tcPr>
                  <w:tcW w:w="2108" w:type="dxa"/>
                  <w:noWrap w:val="0"/>
                  <w:vAlign w:val="center"/>
                </w:tcPr>
                <w:p w14:paraId="08BFC73B">
                  <w:pPr>
                    <w:pStyle w:val="4"/>
                    <w:outlineLvl w:val="0"/>
                    <w:rPr>
                      <w:color w:val="auto"/>
                      <w:lang w:val="zh-CN"/>
                    </w:rPr>
                  </w:pPr>
                  <w:r>
                    <w:rPr>
                      <w:rFonts w:hint="eastAsia"/>
                      <w:color w:val="auto"/>
                      <w:lang w:val="zh-CN" w:eastAsia="zh-CN"/>
                    </w:rPr>
                    <w:t>标立方米</w:t>
                  </w:r>
                  <w:r>
                    <w:rPr>
                      <w:rFonts w:hint="default"/>
                      <w:color w:val="auto"/>
                      <w:lang w:val="zh-CN" w:eastAsia="zh-CN"/>
                    </w:rPr>
                    <w:t>/</w:t>
                  </w:r>
                  <w:r>
                    <w:rPr>
                      <w:rFonts w:hint="eastAsia"/>
                      <w:color w:val="auto"/>
                      <w:lang w:val="zh-CN" w:eastAsia="zh-CN"/>
                    </w:rPr>
                    <w:t xml:space="preserve">万立方 </w:t>
                  </w:r>
                </w:p>
                <w:p w14:paraId="32132438">
                  <w:pPr>
                    <w:pStyle w:val="4"/>
                    <w:outlineLvl w:val="0"/>
                    <w:rPr>
                      <w:color w:val="auto"/>
                      <w:lang w:val="zh-CN"/>
                    </w:rPr>
                  </w:pPr>
                  <w:r>
                    <w:rPr>
                      <w:rFonts w:hint="eastAsia"/>
                      <w:color w:val="auto"/>
                      <w:lang w:val="zh-CN" w:eastAsia="zh-CN"/>
                    </w:rPr>
                    <w:t>米</w:t>
                  </w:r>
                  <w:r>
                    <w:rPr>
                      <w:rFonts w:hint="default"/>
                      <w:color w:val="auto"/>
                      <w:lang w:val="zh-CN" w:eastAsia="zh-CN"/>
                    </w:rPr>
                    <w:t>-</w:t>
                  </w:r>
                  <w:r>
                    <w:rPr>
                      <w:rFonts w:hint="eastAsia"/>
                      <w:color w:val="auto"/>
                      <w:lang w:val="zh-CN" w:eastAsia="zh-CN"/>
                    </w:rPr>
                    <w:t>原料</w:t>
                  </w:r>
                </w:p>
              </w:tc>
              <w:tc>
                <w:tcPr>
                  <w:tcW w:w="1895" w:type="dxa"/>
                  <w:noWrap w:val="0"/>
                  <w:vAlign w:val="center"/>
                </w:tcPr>
                <w:p w14:paraId="71C5BC36">
                  <w:pPr>
                    <w:pStyle w:val="4"/>
                    <w:outlineLvl w:val="0"/>
                    <w:rPr>
                      <w:rFonts w:hint="default" w:eastAsia="宋体"/>
                      <w:color w:val="auto"/>
                      <w:lang w:val="en-US" w:eastAsia="zh-CN"/>
                    </w:rPr>
                  </w:pPr>
                  <w:r>
                    <w:rPr>
                      <w:rFonts w:hint="eastAsia"/>
                      <w:color w:val="auto"/>
                      <w:lang w:val="en-US" w:eastAsia="zh-CN"/>
                    </w:rPr>
                    <w:t>107753</w:t>
                  </w:r>
                </w:p>
              </w:tc>
            </w:tr>
            <w:tr w14:paraId="329461B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0" w:type="dxa"/>
                  <w:vMerge w:val="continue"/>
                  <w:noWrap w:val="0"/>
                  <w:vAlign w:val="center"/>
                </w:tcPr>
                <w:p w14:paraId="1A2F4576">
                  <w:pPr>
                    <w:pStyle w:val="4"/>
                    <w:outlineLvl w:val="0"/>
                    <w:rPr>
                      <w:color w:val="auto"/>
                      <w:lang w:val="zh-CN"/>
                    </w:rPr>
                  </w:pPr>
                </w:p>
              </w:tc>
              <w:tc>
                <w:tcPr>
                  <w:tcW w:w="1554" w:type="dxa"/>
                  <w:vMerge w:val="continue"/>
                  <w:noWrap w:val="0"/>
                  <w:vAlign w:val="center"/>
                </w:tcPr>
                <w:p w14:paraId="731DCAFA">
                  <w:pPr>
                    <w:pStyle w:val="4"/>
                    <w:outlineLvl w:val="0"/>
                    <w:rPr>
                      <w:color w:val="auto"/>
                      <w:lang w:val="zh-CN"/>
                    </w:rPr>
                  </w:pPr>
                </w:p>
              </w:tc>
              <w:tc>
                <w:tcPr>
                  <w:tcW w:w="1514" w:type="dxa"/>
                  <w:noWrap w:val="0"/>
                  <w:vAlign w:val="center"/>
                </w:tcPr>
                <w:p w14:paraId="35D2A936">
                  <w:pPr>
                    <w:pStyle w:val="4"/>
                    <w:outlineLvl w:val="0"/>
                    <w:rPr>
                      <w:color w:val="auto"/>
                      <w:lang w:val="zh-CN"/>
                    </w:rPr>
                  </w:pPr>
                  <w:r>
                    <w:rPr>
                      <w:color w:val="auto"/>
                      <w:lang w:val="zh-CN"/>
                    </w:rPr>
                    <w:t>二氧化硫</w:t>
                  </w:r>
                </w:p>
              </w:tc>
              <w:tc>
                <w:tcPr>
                  <w:tcW w:w="2108" w:type="dxa"/>
                  <w:noWrap w:val="0"/>
                  <w:vAlign w:val="center"/>
                </w:tcPr>
                <w:p w14:paraId="04536A12">
                  <w:pPr>
                    <w:pStyle w:val="4"/>
                    <w:outlineLvl w:val="0"/>
                    <w:rPr>
                      <w:color w:val="auto"/>
                      <w:lang w:val="zh-CN"/>
                    </w:rPr>
                  </w:pPr>
                  <w:r>
                    <w:rPr>
                      <w:color w:val="auto"/>
                      <w:lang w:val="zh-CN"/>
                    </w:rPr>
                    <w:t>千克</w:t>
                  </w:r>
                  <w:r>
                    <w:rPr>
                      <w:color w:val="auto"/>
                    </w:rPr>
                    <w:t>/</w:t>
                  </w:r>
                  <w:r>
                    <w:rPr>
                      <w:rFonts w:hint="eastAsia"/>
                      <w:color w:val="auto"/>
                      <w:lang w:val="en-US" w:eastAsia="zh-CN"/>
                    </w:rPr>
                    <w:t>万立方米</w:t>
                  </w:r>
                  <w:r>
                    <w:rPr>
                      <w:color w:val="auto"/>
                      <w:lang w:val="zh-CN"/>
                    </w:rPr>
                    <w:t>-原料</w:t>
                  </w:r>
                </w:p>
              </w:tc>
              <w:tc>
                <w:tcPr>
                  <w:tcW w:w="1895" w:type="dxa"/>
                  <w:noWrap w:val="0"/>
                  <w:vAlign w:val="center"/>
                </w:tcPr>
                <w:p w14:paraId="0223EE59">
                  <w:pPr>
                    <w:pStyle w:val="4"/>
                    <w:outlineLvl w:val="0"/>
                    <w:rPr>
                      <w:rFonts w:hint="eastAsia" w:eastAsia="宋体"/>
                      <w:color w:val="auto"/>
                      <w:lang w:val="en-US" w:eastAsia="zh-CN"/>
                    </w:rPr>
                  </w:pPr>
                  <w:r>
                    <w:rPr>
                      <w:rFonts w:hint="eastAsia"/>
                      <w:color w:val="auto"/>
                      <w:lang w:val="en-US" w:eastAsia="zh-CN"/>
                    </w:rPr>
                    <w:t>0.02</w:t>
                  </w:r>
                  <w:r>
                    <w:rPr>
                      <w:color w:val="auto"/>
                    </w:rPr>
                    <w:t>S</w:t>
                  </w:r>
                </w:p>
              </w:tc>
            </w:tr>
            <w:tr w14:paraId="274D3F2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0" w:type="dxa"/>
                  <w:vMerge w:val="continue"/>
                  <w:noWrap w:val="0"/>
                  <w:vAlign w:val="center"/>
                </w:tcPr>
                <w:p w14:paraId="534D7FF7">
                  <w:pPr>
                    <w:pStyle w:val="4"/>
                    <w:outlineLvl w:val="0"/>
                    <w:rPr>
                      <w:color w:val="auto"/>
                      <w:lang w:val="zh-CN"/>
                    </w:rPr>
                  </w:pPr>
                </w:p>
              </w:tc>
              <w:tc>
                <w:tcPr>
                  <w:tcW w:w="1554" w:type="dxa"/>
                  <w:vMerge w:val="continue"/>
                  <w:noWrap w:val="0"/>
                  <w:vAlign w:val="center"/>
                </w:tcPr>
                <w:p w14:paraId="006A883E">
                  <w:pPr>
                    <w:pStyle w:val="4"/>
                    <w:outlineLvl w:val="0"/>
                    <w:rPr>
                      <w:color w:val="auto"/>
                      <w:lang w:val="zh-CN"/>
                    </w:rPr>
                  </w:pPr>
                </w:p>
              </w:tc>
              <w:tc>
                <w:tcPr>
                  <w:tcW w:w="1514" w:type="dxa"/>
                  <w:noWrap w:val="0"/>
                  <w:vAlign w:val="center"/>
                </w:tcPr>
                <w:p w14:paraId="0DAA49D8">
                  <w:pPr>
                    <w:pStyle w:val="4"/>
                    <w:outlineLvl w:val="0"/>
                    <w:rPr>
                      <w:rFonts w:hint="default" w:eastAsia="宋体"/>
                      <w:color w:val="auto"/>
                      <w:lang w:val="en-US" w:eastAsia="zh-CN"/>
                    </w:rPr>
                  </w:pPr>
                  <w:r>
                    <w:rPr>
                      <w:rFonts w:hint="eastAsia"/>
                      <w:color w:val="auto"/>
                      <w:lang w:val="en-US" w:eastAsia="zh-CN"/>
                    </w:rPr>
                    <w:t>氮氧化物</w:t>
                  </w:r>
                </w:p>
              </w:tc>
              <w:tc>
                <w:tcPr>
                  <w:tcW w:w="2108" w:type="dxa"/>
                  <w:noWrap w:val="0"/>
                  <w:vAlign w:val="center"/>
                </w:tcPr>
                <w:p w14:paraId="784AF489">
                  <w:pPr>
                    <w:pStyle w:val="4"/>
                    <w:outlineLvl w:val="0"/>
                    <w:rPr>
                      <w:color w:val="auto"/>
                      <w:lang w:val="zh-CN"/>
                    </w:rPr>
                  </w:pPr>
                  <w:r>
                    <w:rPr>
                      <w:color w:val="auto"/>
                      <w:lang w:val="zh-CN"/>
                    </w:rPr>
                    <w:t>千克</w:t>
                  </w:r>
                  <w:r>
                    <w:rPr>
                      <w:color w:val="auto"/>
                    </w:rPr>
                    <w:t>/</w:t>
                  </w:r>
                  <w:r>
                    <w:rPr>
                      <w:rFonts w:hint="eastAsia"/>
                      <w:color w:val="auto"/>
                      <w:lang w:val="en-US" w:eastAsia="zh-CN"/>
                    </w:rPr>
                    <w:t>万立方米</w:t>
                  </w:r>
                  <w:r>
                    <w:rPr>
                      <w:color w:val="auto"/>
                      <w:lang w:val="zh-CN"/>
                    </w:rPr>
                    <w:t>-原料</w:t>
                  </w:r>
                </w:p>
              </w:tc>
              <w:tc>
                <w:tcPr>
                  <w:tcW w:w="1895" w:type="dxa"/>
                  <w:noWrap w:val="0"/>
                  <w:vAlign w:val="center"/>
                </w:tcPr>
                <w:p w14:paraId="0A4DC379">
                  <w:pPr>
                    <w:pStyle w:val="4"/>
                    <w:outlineLvl w:val="0"/>
                    <w:rPr>
                      <w:rFonts w:hint="default" w:eastAsia="宋体"/>
                      <w:color w:val="auto"/>
                      <w:lang w:val="en-US" w:eastAsia="zh-CN"/>
                    </w:rPr>
                  </w:pPr>
                  <w:r>
                    <w:rPr>
                      <w:rFonts w:hint="eastAsia"/>
                      <w:color w:val="auto"/>
                      <w:lang w:val="en-US" w:eastAsia="zh-CN"/>
                    </w:rPr>
                    <w:t>15.87（低氮燃烧-国内一般）</w:t>
                  </w:r>
                </w:p>
              </w:tc>
            </w:tr>
            <w:tr w14:paraId="6FBAB14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0" w:type="dxa"/>
                  <w:vMerge w:val="continue"/>
                  <w:noWrap w:val="0"/>
                  <w:vAlign w:val="center"/>
                </w:tcPr>
                <w:p w14:paraId="172B716B">
                  <w:pPr>
                    <w:pStyle w:val="4"/>
                    <w:outlineLvl w:val="0"/>
                    <w:rPr>
                      <w:color w:val="auto"/>
                      <w:lang w:val="zh-CN"/>
                    </w:rPr>
                  </w:pPr>
                </w:p>
              </w:tc>
              <w:tc>
                <w:tcPr>
                  <w:tcW w:w="1554" w:type="dxa"/>
                  <w:vMerge w:val="continue"/>
                  <w:noWrap w:val="0"/>
                  <w:vAlign w:val="center"/>
                </w:tcPr>
                <w:p w14:paraId="0C39B8D1">
                  <w:pPr>
                    <w:pStyle w:val="4"/>
                    <w:outlineLvl w:val="0"/>
                    <w:rPr>
                      <w:color w:val="auto"/>
                      <w:lang w:val="zh-CN"/>
                    </w:rPr>
                  </w:pPr>
                </w:p>
              </w:tc>
              <w:tc>
                <w:tcPr>
                  <w:tcW w:w="1514" w:type="dxa"/>
                  <w:noWrap w:val="0"/>
                  <w:vAlign w:val="center"/>
                </w:tcPr>
                <w:p w14:paraId="7B45EA74">
                  <w:pPr>
                    <w:pStyle w:val="4"/>
                    <w:outlineLvl w:val="0"/>
                    <w:rPr>
                      <w:rFonts w:hint="eastAsia"/>
                      <w:color w:val="auto"/>
                      <w:lang w:val="en-US" w:eastAsia="zh-CN"/>
                    </w:rPr>
                  </w:pPr>
                  <w:r>
                    <w:rPr>
                      <w:rFonts w:hint="eastAsia"/>
                      <w:color w:val="auto"/>
                      <w:lang w:val="en-US" w:eastAsia="zh-CN"/>
                    </w:rPr>
                    <w:t>氮氧化物</w:t>
                  </w:r>
                </w:p>
              </w:tc>
              <w:tc>
                <w:tcPr>
                  <w:tcW w:w="2108" w:type="dxa"/>
                  <w:noWrap w:val="0"/>
                  <w:vAlign w:val="center"/>
                </w:tcPr>
                <w:p w14:paraId="6C1AEF89">
                  <w:pPr>
                    <w:pStyle w:val="4"/>
                    <w:outlineLvl w:val="0"/>
                    <w:rPr>
                      <w:color w:val="auto"/>
                      <w:lang w:val="zh-CN"/>
                    </w:rPr>
                  </w:pPr>
                  <w:r>
                    <w:rPr>
                      <w:color w:val="auto"/>
                      <w:lang w:val="zh-CN"/>
                    </w:rPr>
                    <w:t>千克</w:t>
                  </w:r>
                  <w:r>
                    <w:rPr>
                      <w:color w:val="auto"/>
                    </w:rPr>
                    <w:t>/</w:t>
                  </w:r>
                  <w:r>
                    <w:rPr>
                      <w:rFonts w:hint="eastAsia"/>
                      <w:color w:val="auto"/>
                      <w:lang w:val="en-US" w:eastAsia="zh-CN"/>
                    </w:rPr>
                    <w:t>万立方米</w:t>
                  </w:r>
                  <w:r>
                    <w:rPr>
                      <w:color w:val="auto"/>
                      <w:lang w:val="zh-CN"/>
                    </w:rPr>
                    <w:t>-原料</w:t>
                  </w:r>
                </w:p>
              </w:tc>
              <w:tc>
                <w:tcPr>
                  <w:tcW w:w="1895" w:type="dxa"/>
                  <w:noWrap w:val="0"/>
                  <w:vAlign w:val="center"/>
                </w:tcPr>
                <w:p w14:paraId="4907123F">
                  <w:pPr>
                    <w:pStyle w:val="4"/>
                    <w:outlineLvl w:val="0"/>
                    <w:rPr>
                      <w:rFonts w:hint="eastAsia"/>
                      <w:color w:val="auto"/>
                      <w:lang w:val="en-US" w:eastAsia="zh-CN"/>
                    </w:rPr>
                  </w:pPr>
                  <w:r>
                    <w:rPr>
                      <w:rFonts w:hint="eastAsia"/>
                      <w:color w:val="auto"/>
                      <w:lang w:val="en-US" w:eastAsia="zh-CN"/>
                    </w:rPr>
                    <w:t>6.97（低氮燃烧-国内领先）</w:t>
                  </w:r>
                </w:p>
              </w:tc>
            </w:tr>
            <w:tr w14:paraId="2B642FF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0" w:type="dxa"/>
                  <w:vMerge w:val="continue"/>
                  <w:noWrap w:val="0"/>
                  <w:vAlign w:val="center"/>
                </w:tcPr>
                <w:p w14:paraId="03266B87">
                  <w:pPr>
                    <w:pStyle w:val="4"/>
                    <w:outlineLvl w:val="0"/>
                    <w:rPr>
                      <w:color w:val="auto"/>
                      <w:lang w:val="zh-CN"/>
                    </w:rPr>
                  </w:pPr>
                </w:p>
              </w:tc>
              <w:tc>
                <w:tcPr>
                  <w:tcW w:w="1554" w:type="dxa"/>
                  <w:vMerge w:val="continue"/>
                  <w:noWrap w:val="0"/>
                  <w:vAlign w:val="center"/>
                </w:tcPr>
                <w:p w14:paraId="2D46EF4F">
                  <w:pPr>
                    <w:pStyle w:val="4"/>
                    <w:outlineLvl w:val="0"/>
                    <w:rPr>
                      <w:color w:val="auto"/>
                      <w:lang w:val="zh-CN"/>
                    </w:rPr>
                  </w:pPr>
                </w:p>
              </w:tc>
              <w:tc>
                <w:tcPr>
                  <w:tcW w:w="1514" w:type="dxa"/>
                  <w:noWrap w:val="0"/>
                  <w:vAlign w:val="center"/>
                </w:tcPr>
                <w:p w14:paraId="4C624C70">
                  <w:pPr>
                    <w:pStyle w:val="4"/>
                    <w:outlineLvl w:val="0"/>
                    <w:rPr>
                      <w:rFonts w:hint="eastAsia"/>
                      <w:color w:val="auto"/>
                      <w:lang w:val="en-US" w:eastAsia="zh-CN"/>
                    </w:rPr>
                  </w:pPr>
                  <w:r>
                    <w:rPr>
                      <w:rFonts w:hint="eastAsia"/>
                      <w:color w:val="auto"/>
                      <w:lang w:val="en-US" w:eastAsia="zh-CN"/>
                    </w:rPr>
                    <w:t>氮氧化物</w:t>
                  </w:r>
                </w:p>
              </w:tc>
              <w:tc>
                <w:tcPr>
                  <w:tcW w:w="2108" w:type="dxa"/>
                  <w:noWrap w:val="0"/>
                  <w:vAlign w:val="center"/>
                </w:tcPr>
                <w:p w14:paraId="72AF1EE8">
                  <w:pPr>
                    <w:pStyle w:val="4"/>
                    <w:outlineLvl w:val="0"/>
                    <w:rPr>
                      <w:color w:val="auto"/>
                      <w:lang w:val="zh-CN"/>
                    </w:rPr>
                  </w:pPr>
                  <w:r>
                    <w:rPr>
                      <w:color w:val="auto"/>
                      <w:lang w:val="zh-CN"/>
                    </w:rPr>
                    <w:t>千克</w:t>
                  </w:r>
                  <w:r>
                    <w:rPr>
                      <w:color w:val="auto"/>
                    </w:rPr>
                    <w:t>/</w:t>
                  </w:r>
                  <w:r>
                    <w:rPr>
                      <w:rFonts w:hint="eastAsia"/>
                      <w:color w:val="auto"/>
                      <w:lang w:val="en-US" w:eastAsia="zh-CN"/>
                    </w:rPr>
                    <w:t>万立方米</w:t>
                  </w:r>
                  <w:r>
                    <w:rPr>
                      <w:color w:val="auto"/>
                      <w:lang w:val="zh-CN"/>
                    </w:rPr>
                    <w:t>-原料</w:t>
                  </w:r>
                </w:p>
              </w:tc>
              <w:tc>
                <w:tcPr>
                  <w:tcW w:w="1895" w:type="dxa"/>
                  <w:noWrap w:val="0"/>
                  <w:vAlign w:val="center"/>
                </w:tcPr>
                <w:p w14:paraId="1EC32AD6">
                  <w:pPr>
                    <w:pStyle w:val="4"/>
                    <w:outlineLvl w:val="0"/>
                    <w:rPr>
                      <w:rFonts w:hint="eastAsia"/>
                      <w:color w:val="auto"/>
                      <w:lang w:val="en-US" w:eastAsia="zh-CN"/>
                    </w:rPr>
                  </w:pPr>
                  <w:r>
                    <w:rPr>
                      <w:rFonts w:hint="eastAsia"/>
                      <w:color w:val="auto"/>
                      <w:lang w:val="en-US" w:eastAsia="zh-CN"/>
                    </w:rPr>
                    <w:t>3.03（低氮燃烧-国际领先）</w:t>
                  </w:r>
                </w:p>
              </w:tc>
            </w:tr>
            <w:tr w14:paraId="3B471CF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91" w:type="dxa"/>
                  <w:gridSpan w:val="5"/>
                  <w:noWrap w:val="0"/>
                  <w:vAlign w:val="center"/>
                </w:tcPr>
                <w:p w14:paraId="7AF34387">
                  <w:pPr>
                    <w:pStyle w:val="4"/>
                    <w:jc w:val="left"/>
                    <w:rPr>
                      <w:rFonts w:hint="default" w:eastAsia="宋体"/>
                      <w:color w:val="auto"/>
                      <w:lang w:val="en-US" w:eastAsia="zh-CN"/>
                    </w:rPr>
                  </w:pPr>
                  <w:r>
                    <w:rPr>
                      <w:rFonts w:hint="default" w:ascii="Times New Roman" w:hAnsi="Times New Roman" w:cs="Times New Roman"/>
                      <w:color w:val="auto"/>
                    </w:rPr>
                    <w:t>注：</w:t>
                  </w:r>
                  <w:r>
                    <w:rPr>
                      <w:rFonts w:hint="default" w:ascii="Times New Roman" w:hAnsi="Times New Roman" w:cs="Times New Roman"/>
                      <w:color w:val="auto"/>
                      <w:lang w:val="zh-CN"/>
                    </w:rPr>
                    <w:t>产污系数表中二氧化硫的产污系数是以含硫量（S</w:t>
                  </w:r>
                  <w:r>
                    <w:rPr>
                      <w:rFonts w:hint="eastAsia" w:cs="Times New Roman"/>
                      <w:color w:val="auto"/>
                      <w:lang w:val="en-US" w:eastAsia="zh-CN"/>
                    </w:rPr>
                    <w:t>%</w:t>
                  </w:r>
                  <w:r>
                    <w:rPr>
                      <w:rFonts w:hint="default" w:ascii="Times New Roman" w:hAnsi="Times New Roman" w:cs="Times New Roman"/>
                      <w:color w:val="auto"/>
                      <w:lang w:val="zh-CN"/>
                    </w:rPr>
                    <w:t>）的形式表示的，其中含硫量（S</w:t>
                  </w:r>
                  <w:r>
                    <w:rPr>
                      <w:rFonts w:hint="eastAsia" w:cs="Times New Roman"/>
                      <w:color w:val="auto"/>
                      <w:lang w:val="en-US" w:eastAsia="zh-CN"/>
                    </w:rPr>
                    <w:t>%</w:t>
                  </w:r>
                  <w:r>
                    <w:rPr>
                      <w:rFonts w:hint="default" w:ascii="Times New Roman" w:hAnsi="Times New Roman" w:cs="Times New Roman"/>
                      <w:color w:val="auto"/>
                      <w:lang w:val="zh-CN"/>
                    </w:rPr>
                    <w:t>）是指燃油收到基硫分含量，以质量百分数的形式表示。</w:t>
                  </w:r>
                  <w:r>
                    <w:rPr>
                      <w:rFonts w:hint="eastAsia" w:cs="Times New Roman"/>
                      <w:color w:val="auto"/>
                      <w:lang w:val="en-US" w:eastAsia="zh-CN"/>
                    </w:rPr>
                    <w:t>根据本项目企业提供的成分单中戊烷中含量为99.86、C4及以下组分为0.01、C6及以下组分为0.01、硫含量为0.12。因此</w:t>
                  </w:r>
                  <w:r>
                    <w:rPr>
                      <w:rFonts w:hint="default" w:ascii="Times New Roman" w:hAnsi="Times New Roman" w:cs="Times New Roman"/>
                      <w:color w:val="auto"/>
                      <w:lang w:val="zh-CN"/>
                    </w:rPr>
                    <w:t>S=0.</w:t>
                  </w:r>
                  <w:r>
                    <w:rPr>
                      <w:rFonts w:hint="eastAsia" w:cs="Times New Roman"/>
                      <w:color w:val="auto"/>
                      <w:lang w:val="en-US" w:eastAsia="zh-CN"/>
                    </w:rPr>
                    <w:t>12。</w:t>
                  </w:r>
                </w:p>
              </w:tc>
            </w:tr>
          </w:tbl>
          <w:p w14:paraId="3F08EB66">
            <w:pPr>
              <w:pStyle w:val="3"/>
              <w:spacing w:line="240" w:lineRule="auto"/>
              <w:ind w:firstLine="0" w:firstLineChars="0"/>
              <w:jc w:val="center"/>
              <w:rPr>
                <w:rFonts w:ascii="Times New Roman" w:hAnsi="Times New Roman"/>
                <w:b/>
                <w:bCs w:val="0"/>
                <w:color w:val="auto"/>
              </w:rPr>
            </w:pPr>
            <w:r>
              <w:rPr>
                <w:rFonts w:hint="eastAsia" w:ascii="Times New Roman" w:hAnsi="Times New Roman"/>
                <w:b/>
                <w:bCs w:val="0"/>
                <w:color w:val="auto"/>
              </w:rPr>
              <w:t>表4-</w:t>
            </w:r>
            <w:r>
              <w:rPr>
                <w:rFonts w:hint="eastAsia"/>
                <w:b/>
                <w:bCs w:val="0"/>
                <w:color w:val="auto"/>
                <w:lang w:val="en-US" w:eastAsia="zh-CN"/>
              </w:rPr>
              <w:t>8</w:t>
            </w:r>
            <w:r>
              <w:rPr>
                <w:rFonts w:hint="eastAsia" w:ascii="Times New Roman" w:hAnsi="Times New Roman"/>
                <w:b/>
                <w:bCs w:val="0"/>
                <w:color w:val="auto"/>
              </w:rPr>
              <w:t xml:space="preserve"> 锅炉燃烧废气污染物产生及排放情况表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52"/>
              <w:gridCol w:w="1232"/>
              <w:gridCol w:w="821"/>
              <w:gridCol w:w="1175"/>
              <w:gridCol w:w="1129"/>
              <w:gridCol w:w="1031"/>
              <w:gridCol w:w="1131"/>
            </w:tblGrid>
            <w:tr w14:paraId="51E3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noWrap w:val="0"/>
                  <w:vAlign w:val="center"/>
                </w:tcPr>
                <w:p w14:paraId="6AB99942">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152" w:type="dxa"/>
                  <w:noWrap w:val="0"/>
                  <w:vAlign w:val="center"/>
                </w:tcPr>
                <w:p w14:paraId="00B05A9A">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1232" w:type="dxa"/>
                  <w:noWrap w:val="0"/>
                  <w:vAlign w:val="center"/>
                </w:tcPr>
                <w:p w14:paraId="1D41F0E8">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w:t>
                  </w:r>
                </w:p>
              </w:tc>
              <w:tc>
                <w:tcPr>
                  <w:tcW w:w="821" w:type="dxa"/>
                  <w:noWrap w:val="0"/>
                  <w:vAlign w:val="center"/>
                </w:tcPr>
                <w:p w14:paraId="2FC6EF02">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产生浓度（mg/m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1175" w:type="dxa"/>
                  <w:noWrap w:val="0"/>
                  <w:vAlign w:val="center"/>
                </w:tcPr>
                <w:p w14:paraId="30B46165">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处理装置</w:t>
                  </w:r>
                </w:p>
              </w:tc>
              <w:tc>
                <w:tcPr>
                  <w:tcW w:w="1129" w:type="dxa"/>
                  <w:noWrap w:val="0"/>
                  <w:vAlign w:val="center"/>
                </w:tcPr>
                <w:p w14:paraId="35F26F6D">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排放量t/a）</w:t>
                  </w:r>
                </w:p>
              </w:tc>
              <w:tc>
                <w:tcPr>
                  <w:tcW w:w="1031" w:type="dxa"/>
                  <w:noWrap w:val="0"/>
                  <w:vAlign w:val="center"/>
                </w:tcPr>
                <w:p w14:paraId="58A8399B">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排放浓度（mg/m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1131" w:type="dxa"/>
                  <w:noWrap w:val="0"/>
                  <w:vAlign w:val="center"/>
                </w:tcPr>
                <w:p w14:paraId="258470F3">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《锅炉大气污染物排放标准》（GB13271-2014）</w:t>
                  </w:r>
                </w:p>
              </w:tc>
            </w:tr>
            <w:tr w14:paraId="3A1B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restart"/>
                  <w:noWrap w:val="0"/>
                  <w:vAlign w:val="center"/>
                </w:tcPr>
                <w:p w14:paraId="47CEE166">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64t/h</w:t>
                  </w:r>
                </w:p>
              </w:tc>
              <w:tc>
                <w:tcPr>
                  <w:tcW w:w="1152" w:type="dxa"/>
                  <w:noWrap w:val="0"/>
                  <w:vAlign w:val="center"/>
                </w:tcPr>
                <w:p w14:paraId="5D64BC8A">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工业废气量（Nm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1232" w:type="dxa"/>
                  <w:noWrap w:val="0"/>
                  <w:vAlign w:val="center"/>
                </w:tcPr>
                <w:p w14:paraId="6663D47C">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107753</w:t>
                  </w:r>
                </w:p>
              </w:tc>
              <w:tc>
                <w:tcPr>
                  <w:tcW w:w="821" w:type="dxa"/>
                  <w:noWrap w:val="0"/>
                  <w:vAlign w:val="center"/>
                </w:tcPr>
                <w:p w14:paraId="4F276861">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75" w:type="dxa"/>
                  <w:noWrap w:val="0"/>
                  <w:vAlign w:val="center"/>
                </w:tcPr>
                <w:p w14:paraId="7DA585B2">
                  <w:pPr>
                    <w:pStyle w:val="4"/>
                    <w:pageBreakBefore w:val="0"/>
                    <w:kinsoku/>
                    <w:wordWrap/>
                    <w:overflowPunct/>
                    <w:topLinePunct w:val="0"/>
                    <w:autoSpaceDE/>
                    <w:autoSpaceDN/>
                    <w:bidi w:val="0"/>
                    <w:adjustRightInd/>
                    <w:snapToGrid/>
                    <w:spacing w:line="240" w:lineRule="auto"/>
                    <w:ind w:firstLine="0" w:firstLineChars="0"/>
                    <w:outlineLvl w:val="0"/>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129" w:type="dxa"/>
                  <w:noWrap w:val="0"/>
                  <w:vAlign w:val="center"/>
                </w:tcPr>
                <w:p w14:paraId="0583A965">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31" w:type="dxa"/>
                  <w:noWrap w:val="0"/>
                  <w:vAlign w:val="center"/>
                </w:tcPr>
                <w:p w14:paraId="2C74D5A0">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31" w:type="dxa"/>
                  <w:noWrap w:val="0"/>
                  <w:vAlign w:val="center"/>
                </w:tcPr>
                <w:p w14:paraId="53F575BC">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2FB7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noWrap w:val="0"/>
                  <w:vAlign w:val="center"/>
                </w:tcPr>
                <w:p w14:paraId="608EAD13">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p>
              </w:tc>
              <w:tc>
                <w:tcPr>
                  <w:tcW w:w="1152" w:type="dxa"/>
                  <w:noWrap w:val="0"/>
                  <w:vAlign w:val="center"/>
                </w:tcPr>
                <w:p w14:paraId="3EBDCDD8">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232" w:type="dxa"/>
                  <w:noWrap w:val="0"/>
                  <w:vAlign w:val="center"/>
                </w:tcPr>
                <w:p w14:paraId="5F55DB54">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0.0002kg</w:t>
                  </w:r>
                  <w:r>
                    <w:rPr>
                      <w:rFonts w:hint="default" w:ascii="Times New Roman" w:hAnsi="Times New Roman" w:cs="Times New Roman"/>
                      <w:b w:val="0"/>
                      <w:bCs w:val="0"/>
                      <w:color w:val="auto"/>
                      <w:sz w:val="21"/>
                      <w:szCs w:val="21"/>
                    </w:rPr>
                    <w:t>/a</w:t>
                  </w:r>
                </w:p>
              </w:tc>
              <w:tc>
                <w:tcPr>
                  <w:tcW w:w="821" w:type="dxa"/>
                  <w:noWrap w:val="0"/>
                  <w:vAlign w:val="center"/>
                </w:tcPr>
                <w:p w14:paraId="10D7A3BE">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0.023</w:t>
                  </w:r>
                </w:p>
              </w:tc>
              <w:tc>
                <w:tcPr>
                  <w:tcW w:w="1175" w:type="dxa"/>
                  <w:noWrap w:val="0"/>
                  <w:vAlign w:val="center"/>
                </w:tcPr>
                <w:p w14:paraId="2A56959D">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1129" w:type="dxa"/>
                  <w:noWrap w:val="0"/>
                  <w:vAlign w:val="center"/>
                </w:tcPr>
                <w:p w14:paraId="3254E0FF">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lang w:val="en-US"/>
                    </w:rPr>
                  </w:pPr>
                  <w:r>
                    <w:rPr>
                      <w:rFonts w:hint="eastAsia" w:cs="Times New Roman"/>
                      <w:b w:val="0"/>
                      <w:bCs w:val="0"/>
                      <w:color w:val="auto"/>
                      <w:sz w:val="21"/>
                      <w:szCs w:val="21"/>
                      <w:lang w:val="en-US" w:eastAsia="zh-CN"/>
                    </w:rPr>
                    <w:t>0.0002kg</w:t>
                  </w:r>
                  <w:r>
                    <w:rPr>
                      <w:rFonts w:hint="default" w:ascii="Times New Roman" w:hAnsi="Times New Roman" w:cs="Times New Roman"/>
                      <w:b w:val="0"/>
                      <w:bCs w:val="0"/>
                      <w:color w:val="auto"/>
                      <w:sz w:val="21"/>
                      <w:szCs w:val="21"/>
                    </w:rPr>
                    <w:t>/a</w:t>
                  </w:r>
                </w:p>
              </w:tc>
              <w:tc>
                <w:tcPr>
                  <w:tcW w:w="1031" w:type="dxa"/>
                  <w:noWrap w:val="0"/>
                  <w:vAlign w:val="center"/>
                </w:tcPr>
                <w:p w14:paraId="3DC241FF">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0.023</w:t>
                  </w:r>
                </w:p>
              </w:tc>
              <w:tc>
                <w:tcPr>
                  <w:tcW w:w="1131" w:type="dxa"/>
                  <w:noWrap w:val="0"/>
                  <w:vAlign w:val="center"/>
                </w:tcPr>
                <w:p w14:paraId="718C31AE">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w:t>
                  </w:r>
                </w:p>
              </w:tc>
            </w:tr>
            <w:tr w14:paraId="497B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noWrap w:val="0"/>
                  <w:vAlign w:val="center"/>
                </w:tcPr>
                <w:p w14:paraId="1B694C86">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p>
              </w:tc>
              <w:tc>
                <w:tcPr>
                  <w:tcW w:w="1152" w:type="dxa"/>
                  <w:noWrap w:val="0"/>
                  <w:vAlign w:val="center"/>
                </w:tcPr>
                <w:p w14:paraId="56B125DE">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颗粒物</w:t>
                  </w:r>
                </w:p>
              </w:tc>
              <w:tc>
                <w:tcPr>
                  <w:tcW w:w="1232" w:type="dxa"/>
                  <w:noWrap w:val="0"/>
                  <w:vAlign w:val="center"/>
                </w:tcPr>
                <w:p w14:paraId="4437B895">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b w:val="0"/>
                      <w:bCs w:val="0"/>
                      <w:color w:val="auto"/>
                      <w:sz w:val="21"/>
                      <w:szCs w:val="21"/>
                      <w:lang w:val="en-US" w:eastAsia="zh-CN"/>
                    </w:rPr>
                  </w:pPr>
                  <w:r>
                    <w:rPr>
                      <w:rFonts w:hint="eastAsia"/>
                      <w:b w:val="0"/>
                      <w:bCs w:val="0"/>
                      <w:color w:val="000000"/>
                      <w:lang w:val="en-US" w:eastAsia="zh-CN"/>
                    </w:rPr>
                    <w:t>0.079</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p>
              </w:tc>
              <w:tc>
                <w:tcPr>
                  <w:tcW w:w="821" w:type="dxa"/>
                  <w:noWrap w:val="0"/>
                  <w:vAlign w:val="center"/>
                </w:tcPr>
                <w:p w14:paraId="0E3FB329">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9.642</w:t>
                  </w:r>
                </w:p>
              </w:tc>
              <w:tc>
                <w:tcPr>
                  <w:tcW w:w="1175" w:type="dxa"/>
                  <w:noWrap w:val="0"/>
                  <w:vAlign w:val="center"/>
                </w:tcPr>
                <w:p w14:paraId="077C113C">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1129" w:type="dxa"/>
                  <w:noWrap w:val="0"/>
                  <w:vAlign w:val="center"/>
                </w:tcPr>
                <w:p w14:paraId="3B553BF6">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lang w:val="en-US"/>
                    </w:rPr>
                  </w:pPr>
                  <w:r>
                    <w:rPr>
                      <w:rFonts w:hint="eastAsia"/>
                      <w:b w:val="0"/>
                      <w:bCs w:val="0"/>
                      <w:color w:val="000000"/>
                      <w:lang w:val="en-US" w:eastAsia="zh-CN"/>
                    </w:rPr>
                    <w:t>0.079</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p>
              </w:tc>
              <w:tc>
                <w:tcPr>
                  <w:tcW w:w="1031" w:type="dxa"/>
                  <w:noWrap w:val="0"/>
                  <w:vAlign w:val="center"/>
                </w:tcPr>
                <w:p w14:paraId="503C567F">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9.642</w:t>
                  </w:r>
                </w:p>
              </w:tc>
              <w:tc>
                <w:tcPr>
                  <w:tcW w:w="1131" w:type="dxa"/>
                  <w:noWrap w:val="0"/>
                  <w:vAlign w:val="center"/>
                </w:tcPr>
                <w:p w14:paraId="1DC2FC8D">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r>
            <w:tr w14:paraId="725F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noWrap w:val="0"/>
                  <w:vAlign w:val="center"/>
                </w:tcPr>
                <w:p w14:paraId="5A20B190">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52" w:type="dxa"/>
                  <w:noWrap w:val="0"/>
                  <w:vAlign w:val="center"/>
                </w:tcPr>
                <w:p w14:paraId="0370FA43">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X</w:t>
                  </w:r>
                </w:p>
              </w:tc>
              <w:tc>
                <w:tcPr>
                  <w:tcW w:w="1232" w:type="dxa"/>
                  <w:noWrap w:val="0"/>
                  <w:vAlign w:val="center"/>
                </w:tcPr>
                <w:p w14:paraId="68AB992C">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 xml:space="preserve">0.4 </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p>
              </w:tc>
              <w:tc>
                <w:tcPr>
                  <w:tcW w:w="821" w:type="dxa"/>
                  <w:noWrap w:val="0"/>
                  <w:vAlign w:val="center"/>
                </w:tcPr>
                <w:p w14:paraId="22FE35BF">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default" w:ascii="Times New Roman" w:hAnsi="Times New Roman" w:cs="Times New Roman"/>
                      <w:color w:val="auto"/>
                      <w:sz w:val="21"/>
                      <w:szCs w:val="21"/>
                    </w:rPr>
                  </w:pPr>
                  <w:r>
                    <w:rPr>
                      <w:rFonts w:hint="eastAsia" w:cs="Times New Roman"/>
                      <w:color w:val="auto"/>
                      <w:sz w:val="21"/>
                      <w:szCs w:val="21"/>
                      <w:lang w:val="en-US" w:eastAsia="zh-CN"/>
                    </w:rPr>
                    <w:t>50</w:t>
                  </w:r>
                </w:p>
              </w:tc>
              <w:tc>
                <w:tcPr>
                  <w:tcW w:w="1175" w:type="dxa"/>
                  <w:noWrap w:val="0"/>
                  <w:vAlign w:val="center"/>
                </w:tcPr>
                <w:p w14:paraId="02690491">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设备自带的低氮燃烧器</w:t>
                  </w:r>
                </w:p>
              </w:tc>
              <w:tc>
                <w:tcPr>
                  <w:tcW w:w="1129" w:type="dxa"/>
                  <w:noWrap w:val="0"/>
                  <w:vAlign w:val="center"/>
                </w:tcPr>
                <w:p w14:paraId="71A1AF08">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 xml:space="preserve">0.4 </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r>
                    <w:rPr>
                      <w:rFonts w:hint="eastAsia" w:cs="Times New Roman"/>
                      <w:color w:val="auto"/>
                      <w:sz w:val="21"/>
                      <w:szCs w:val="21"/>
                      <w:lang w:val="en-US" w:eastAsia="zh-CN"/>
                    </w:rPr>
                    <w:t xml:space="preserve"> </w:t>
                  </w:r>
                </w:p>
              </w:tc>
              <w:tc>
                <w:tcPr>
                  <w:tcW w:w="1031" w:type="dxa"/>
                  <w:noWrap w:val="0"/>
                  <w:vAlign w:val="center"/>
                </w:tcPr>
                <w:p w14:paraId="436993F5">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w:t>
                  </w:r>
                </w:p>
              </w:tc>
              <w:tc>
                <w:tcPr>
                  <w:tcW w:w="1131" w:type="dxa"/>
                  <w:noWrap w:val="0"/>
                  <w:vAlign w:val="center"/>
                </w:tcPr>
                <w:p w14:paraId="564A3E66">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w:t>
                  </w:r>
                </w:p>
              </w:tc>
            </w:tr>
            <w:tr w14:paraId="5253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1" w:type="dxa"/>
                  <w:gridSpan w:val="8"/>
                  <w:noWrap w:val="0"/>
                  <w:vAlign w:val="center"/>
                </w:tcPr>
                <w:p w14:paraId="0C9717D8">
                  <w:pPr>
                    <w:spacing w:line="240" w:lineRule="auto"/>
                    <w:ind w:firstLine="0" w:firstLineChars="0"/>
                    <w:rPr>
                      <w:rFonts w:hint="eastAsia" w:cs="Times New Roman"/>
                      <w:color w:val="auto"/>
                      <w:sz w:val="21"/>
                      <w:szCs w:val="21"/>
                      <w:lang w:val="en-US" w:eastAsia="zh-CN"/>
                    </w:rPr>
                  </w:pPr>
                  <w:r>
                    <w:rPr>
                      <w:rFonts w:hint="eastAsia"/>
                      <w:sz w:val="20"/>
                      <w:szCs w:val="20"/>
                    </w:rPr>
                    <w:t>注：</w:t>
                  </w:r>
                  <w:r>
                    <w:rPr>
                      <w:sz w:val="20"/>
                      <w:szCs w:val="20"/>
                    </w:rPr>
                    <w:t>*皖大气办〔2020〕2号：安徽省大气办关于印发《安徽省2020年大气污染防治重点工作任务》中明确，2020年底前，城市建成区燃气锅炉基本完成低氮燃烧改造，原则上改造后氮氧化物排放浓度不高于50毫克/立方米，故本项目燃气锅炉氮氧化物排放标准要求为50mg/m</w:t>
                  </w:r>
                  <w:r>
                    <w:rPr>
                      <w:sz w:val="20"/>
                      <w:szCs w:val="20"/>
                      <w:vertAlign w:val="superscript"/>
                    </w:rPr>
                    <w:t>3</w:t>
                  </w:r>
                  <w:r>
                    <w:rPr>
                      <w:sz w:val="20"/>
                      <w:szCs w:val="20"/>
                    </w:rPr>
                    <w:t>。</w:t>
                  </w:r>
                </w:p>
              </w:tc>
            </w:tr>
          </w:tbl>
          <w:p w14:paraId="38615224">
            <w:pPr>
              <w:ind w:firstLine="480"/>
              <w:rPr>
                <w:rFonts w:hint="eastAsia"/>
                <w:color w:val="auto"/>
              </w:rPr>
            </w:pPr>
            <w:r>
              <w:rPr>
                <w:rFonts w:hint="eastAsia"/>
                <w:color w:val="auto"/>
                <w:lang w:val="en-US" w:eastAsia="zh-CN"/>
              </w:rPr>
              <w:t>锅炉燃烧</w:t>
            </w:r>
            <w:r>
              <w:rPr>
                <w:rFonts w:hint="eastAsia"/>
                <w:color w:val="auto"/>
              </w:rPr>
              <w:t>废</w:t>
            </w:r>
            <w:r>
              <w:rPr>
                <w:rFonts w:hint="eastAsia"/>
                <w:color w:val="auto"/>
                <w:lang w:val="en-US" w:eastAsia="zh-CN"/>
              </w:rPr>
              <w:t>气经设备自带的低氮燃烧器燃烧后，通过</w:t>
            </w:r>
            <w:r>
              <w:rPr>
                <w:rFonts w:hint="eastAsia"/>
                <w:color w:val="auto"/>
              </w:rPr>
              <w:t>DA001排气筒排放（排放高度1</w:t>
            </w:r>
            <w:r>
              <w:rPr>
                <w:rFonts w:hint="eastAsia"/>
                <w:color w:val="auto"/>
                <w:lang w:val="en-US" w:eastAsia="zh-CN"/>
              </w:rPr>
              <w:t>8</w:t>
            </w:r>
            <w:r>
              <w:rPr>
                <w:rFonts w:hint="eastAsia"/>
                <w:color w:val="auto"/>
              </w:rPr>
              <w:t>m）。</w:t>
            </w:r>
          </w:p>
          <w:p w14:paraId="5F9C19A5">
            <w:pPr>
              <w:ind w:left="480" w:leftChars="200" w:firstLine="0" w:firstLineChars="0"/>
              <w:rPr>
                <w:rFonts w:hint="eastAsia"/>
                <w:b/>
                <w:bCs/>
                <w:color w:val="auto"/>
              </w:rPr>
            </w:pPr>
            <w:r>
              <w:rPr>
                <w:rFonts w:hint="eastAsia"/>
                <w:b/>
                <w:bCs/>
                <w:color w:val="auto"/>
              </w:rPr>
              <w:t>（</w:t>
            </w:r>
            <w:r>
              <w:rPr>
                <w:rFonts w:hint="eastAsia"/>
                <w:b/>
                <w:bCs/>
                <w:color w:val="auto"/>
                <w:lang w:val="en-US" w:eastAsia="zh-CN"/>
              </w:rPr>
              <w:t>2</w:t>
            </w:r>
            <w:r>
              <w:rPr>
                <w:rFonts w:hint="eastAsia"/>
                <w:b/>
                <w:bCs/>
                <w:color w:val="auto"/>
              </w:rPr>
              <w:t>）</w:t>
            </w:r>
            <w:r>
              <w:rPr>
                <w:rFonts w:hint="eastAsia"/>
                <w:b/>
                <w:bCs/>
                <w:color w:val="auto"/>
                <w:lang w:val="en-US" w:eastAsia="zh-CN"/>
              </w:rPr>
              <w:t>储罐</w:t>
            </w:r>
            <w:r>
              <w:rPr>
                <w:rFonts w:hint="eastAsia"/>
                <w:b/>
                <w:bCs/>
                <w:color w:val="auto"/>
              </w:rPr>
              <w:t>呼吸废气</w:t>
            </w:r>
          </w:p>
          <w:p w14:paraId="5C6EE3A6">
            <w:pPr>
              <w:ind w:firstLine="480"/>
              <w:rPr>
                <w:rFonts w:hint="eastAsia"/>
                <w:color w:val="auto"/>
              </w:rPr>
            </w:pPr>
            <w:r>
              <w:rPr>
                <w:rFonts w:hint="eastAsia"/>
                <w:color w:val="auto"/>
                <w:lang w:val="en-US" w:eastAsia="zh-CN"/>
              </w:rPr>
              <w:t>地埋式储罐</w:t>
            </w:r>
            <w:r>
              <w:rPr>
                <w:rFonts w:hint="eastAsia"/>
                <w:color w:val="auto"/>
              </w:rPr>
              <w:t>区</w:t>
            </w:r>
            <w:r>
              <w:rPr>
                <w:rFonts w:hint="eastAsia"/>
                <w:color w:val="auto"/>
                <w:lang w:val="en-US" w:eastAsia="zh-CN"/>
              </w:rPr>
              <w:t>在厂区暂存时产生</w:t>
            </w:r>
            <w:r>
              <w:rPr>
                <w:rFonts w:hint="eastAsia"/>
                <w:color w:val="auto"/>
              </w:rPr>
              <w:t>少量</w:t>
            </w:r>
            <w:r>
              <w:rPr>
                <w:rFonts w:hint="eastAsia"/>
                <w:color w:val="auto"/>
                <w:lang w:val="en-US" w:eastAsia="zh-CN"/>
              </w:rPr>
              <w:t>的有机废气</w:t>
            </w:r>
            <w:r>
              <w:rPr>
                <w:rFonts w:hint="eastAsia"/>
                <w:lang w:eastAsia="zh-CN"/>
              </w:rPr>
              <w:t>（</w:t>
            </w:r>
            <w:r>
              <w:rPr>
                <w:rFonts w:hint="eastAsia"/>
                <w:lang w:val="en-US" w:eastAsia="zh-CN"/>
              </w:rPr>
              <w:t>以非甲烷总烃计</w:t>
            </w:r>
            <w:r>
              <w:rPr>
                <w:rFonts w:hint="eastAsia"/>
                <w:lang w:eastAsia="zh-CN"/>
              </w:rPr>
              <w:t>）</w:t>
            </w:r>
            <w:r>
              <w:rPr>
                <w:rFonts w:hint="eastAsia"/>
                <w:color w:val="auto"/>
              </w:rPr>
              <w:t>，主要来自储罐的呼吸损失和工作损失。</w:t>
            </w:r>
          </w:p>
          <w:p w14:paraId="31E381A7">
            <w:pPr>
              <w:ind w:firstLine="482"/>
              <w:rPr>
                <w:rFonts w:hint="eastAsia"/>
                <w:color w:val="auto"/>
              </w:rPr>
            </w:pPr>
            <w:r>
              <w:rPr>
                <w:rFonts w:hint="eastAsia"/>
                <w:b/>
                <w:bCs/>
                <w:color w:val="auto"/>
              </w:rPr>
              <w:t>小呼吸排放</w:t>
            </w:r>
            <w:r>
              <w:rPr>
                <w:rFonts w:hint="eastAsia"/>
                <w:color w:val="auto"/>
              </w:rPr>
              <w:t>：呼吸损失是由于温度和大气压力的变化，引起蒸汽的膨胀和收缩而产生的蒸气排出，出现在罐内无任何液面变化的情况。固定顶罐的呼吸排放可用下式估算其污染物的排放量：</w:t>
            </w:r>
          </w:p>
          <w:p w14:paraId="728BE6A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rFonts w:hint="eastAsia"/>
                <w:color w:val="auto"/>
              </w:rPr>
              <w:t>LB=0.191×M（P/（100910-P））</w:t>
            </w:r>
            <w:r>
              <w:rPr>
                <w:rFonts w:hint="eastAsia"/>
                <w:color w:val="auto"/>
                <w:vertAlign w:val="superscript"/>
              </w:rPr>
              <w:t>0.68</w:t>
            </w:r>
            <w:r>
              <w:rPr>
                <w:rFonts w:hint="eastAsia"/>
                <w:color w:val="auto"/>
              </w:rPr>
              <w:t>×D</w:t>
            </w:r>
            <w:r>
              <w:rPr>
                <w:rFonts w:hint="eastAsia"/>
                <w:color w:val="auto"/>
                <w:vertAlign w:val="superscript"/>
              </w:rPr>
              <w:t>1.73</w:t>
            </w:r>
            <w:r>
              <w:rPr>
                <w:rFonts w:hint="eastAsia"/>
                <w:color w:val="auto"/>
              </w:rPr>
              <w:t>×H</w:t>
            </w:r>
            <w:r>
              <w:rPr>
                <w:rFonts w:hint="eastAsia"/>
                <w:color w:val="auto"/>
                <w:vertAlign w:val="superscript"/>
              </w:rPr>
              <w:t>0.51</w:t>
            </w:r>
            <w:r>
              <w:rPr>
                <w:rFonts w:hint="eastAsia"/>
                <w:color w:val="auto"/>
              </w:rPr>
              <w:t>×△T</w:t>
            </w:r>
            <w:r>
              <w:rPr>
                <w:rFonts w:hint="eastAsia"/>
                <w:color w:val="auto"/>
                <w:vertAlign w:val="superscript"/>
              </w:rPr>
              <w:t>0.45</w:t>
            </w:r>
            <w:r>
              <w:rPr>
                <w:rFonts w:hint="eastAsia"/>
                <w:color w:val="auto"/>
              </w:rPr>
              <w:t xml:space="preserve"> ×Fp×C×Kc</w:t>
            </w:r>
            <w:r>
              <w:rPr>
                <w:rFonts w:hint="eastAsia"/>
                <w:color w:val="auto"/>
              </w:rPr>
              <w:tab/>
            </w:r>
            <w:r>
              <w:rPr>
                <w:rFonts w:hint="eastAsia"/>
                <w:color w:val="auto"/>
              </w:rPr>
              <w:t>式中：</w:t>
            </w:r>
            <w:r>
              <w:rPr>
                <w:color w:val="auto"/>
              </w:rPr>
              <w:t>LB——固定顶罐的呼吸排放量（kg/a）；</w:t>
            </w:r>
          </w:p>
          <w:p w14:paraId="6ACCFC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color w:val="auto"/>
              </w:rPr>
              <w:t>M——储罐内蒸气的分子量；</w:t>
            </w:r>
          </w:p>
          <w:p w14:paraId="7ECA5C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color w:val="auto"/>
              </w:rPr>
              <w:t>P——在大量液体状态下，真实的蒸气压力（Pa）；</w:t>
            </w:r>
          </w:p>
          <w:p w14:paraId="1D51B0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color w:val="auto"/>
              </w:rPr>
              <w:t>D——罐的直径（m）；</w:t>
            </w:r>
          </w:p>
          <w:p w14:paraId="4CDA01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color w:val="auto"/>
              </w:rPr>
              <w:t>H——平均蒸气空间高度（m）；</w:t>
            </w:r>
          </w:p>
          <w:p w14:paraId="0BFCF13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color w:val="auto"/>
              </w:rPr>
              <w:t>△T——一天之内的平均温度差（℃）；</w:t>
            </w:r>
          </w:p>
          <w:p w14:paraId="55B3FD7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color w:val="auto"/>
              </w:rPr>
              <w:t>F</w:t>
            </w:r>
            <w:r>
              <w:rPr>
                <w:rFonts w:hint="eastAsia"/>
                <w:color w:val="auto"/>
              </w:rPr>
              <w:t>p</w:t>
            </w:r>
            <w:r>
              <w:rPr>
                <w:color w:val="auto"/>
              </w:rPr>
              <w:t>——涂层因子（无量纲），根据油漆状况取值在1~1.5之间；</w:t>
            </w:r>
          </w:p>
          <w:p w14:paraId="4003A6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color w:val="auto"/>
              </w:rPr>
              <w:t>C——用于小直径罐的调节因子（无量纲）；直径在0~9m之间的罐体，C=1- 0.0123</w:t>
            </w:r>
            <w:r>
              <w:rPr>
                <w:rFonts w:hint="eastAsia"/>
                <w:color w:val="auto"/>
              </w:rPr>
              <w:t>（</w:t>
            </w:r>
            <w:r>
              <w:rPr>
                <w:color w:val="auto"/>
              </w:rPr>
              <w:t>D-9</w:t>
            </w:r>
            <w:r>
              <w:rPr>
                <w:rFonts w:hint="eastAsia"/>
                <w:color w:val="auto"/>
              </w:rPr>
              <w:t>）</w:t>
            </w:r>
            <w:r>
              <w:rPr>
                <w:color w:val="auto"/>
                <w:vertAlign w:val="superscript"/>
              </w:rPr>
              <w:t>2</w:t>
            </w:r>
            <w:r>
              <w:rPr>
                <w:color w:val="auto"/>
              </w:rPr>
              <w:t>；罐径大于9m的C=1。</w:t>
            </w:r>
          </w:p>
          <w:p w14:paraId="2EE997B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color w:val="auto"/>
              </w:rPr>
            </w:pPr>
            <w:r>
              <w:rPr>
                <w:color w:val="auto"/>
              </w:rPr>
              <w:t>KC——产品因子（石油原油K</w:t>
            </w:r>
            <w:r>
              <w:rPr>
                <w:rFonts w:hint="eastAsia"/>
                <w:color w:val="auto"/>
              </w:rPr>
              <w:t>c</w:t>
            </w:r>
            <w:r>
              <w:rPr>
                <w:color w:val="auto"/>
              </w:rPr>
              <w:t>取0.65，其他的液体取1.0）。</w:t>
            </w:r>
          </w:p>
          <w:p w14:paraId="34B99F49">
            <w:pPr>
              <w:ind w:firstLine="482"/>
              <w:rPr>
                <w:color w:val="auto"/>
              </w:rPr>
            </w:pPr>
            <w:r>
              <w:rPr>
                <w:b/>
                <w:bCs/>
                <w:color w:val="auto"/>
              </w:rPr>
              <w:t>大呼吸排放</w:t>
            </w:r>
            <w:r>
              <w:rPr>
                <w:color w:val="auto"/>
              </w:rPr>
              <w:t>：由装料和卸料联合产生的损失被称为工作损失，也即大呼吸排放。装料损失与罐内液面的增加有关。由于装料的结果，罐内压力超过释放压力时，蒸气从罐内压出。卸料损失发生于液体排出，空气被抽入罐内时，由于空气变成有机蒸气饱和的气体而膨胀，因此超过蒸气空间容纳的能力。可由下式估算固定顶罐的工作排放</w:t>
            </w:r>
          </w:p>
          <w:p w14:paraId="1D6E6B3A">
            <w:pPr>
              <w:keepNext w:val="0"/>
              <w:keepLines w:val="0"/>
              <w:pageBreakBefore w:val="0"/>
              <w:widowControl w:val="0"/>
              <w:kinsoku/>
              <w:wordWrap/>
              <w:overflowPunct/>
              <w:topLinePunct w:val="0"/>
              <w:autoSpaceDE/>
              <w:autoSpaceDN/>
              <w:bidi w:val="0"/>
              <w:adjustRightInd/>
              <w:snapToGrid/>
              <w:ind w:firstLine="480"/>
              <w:textAlignment w:val="auto"/>
              <w:rPr>
                <w:rFonts w:hint="eastAsia"/>
                <w:color w:val="auto"/>
              </w:rPr>
            </w:pPr>
            <w:r>
              <w:rPr>
                <w:rFonts w:hint="eastAsia"/>
                <w:color w:val="auto"/>
              </w:rPr>
              <w:t>LW=4.188×10</w:t>
            </w:r>
            <w:r>
              <w:rPr>
                <w:rFonts w:hint="eastAsia"/>
                <w:color w:val="auto"/>
                <w:vertAlign w:val="superscript"/>
              </w:rPr>
              <w:t>-7</w:t>
            </w:r>
            <w:r>
              <w:rPr>
                <w:rFonts w:hint="eastAsia"/>
                <w:color w:val="auto"/>
              </w:rPr>
              <w:t xml:space="preserve"> ×M×P×Kn×Kc</w:t>
            </w:r>
            <w:r>
              <w:rPr>
                <w:rFonts w:hint="eastAsia"/>
                <w:color w:val="auto"/>
              </w:rPr>
              <w:tab/>
            </w:r>
            <w:r>
              <w:rPr>
                <w:rFonts w:hint="eastAsia"/>
                <w:color w:val="auto"/>
              </w:rPr>
              <w:t>（2）</w:t>
            </w:r>
          </w:p>
          <w:p w14:paraId="12321D6D">
            <w:pPr>
              <w:keepNext w:val="0"/>
              <w:keepLines w:val="0"/>
              <w:pageBreakBefore w:val="0"/>
              <w:widowControl w:val="0"/>
              <w:kinsoku/>
              <w:wordWrap/>
              <w:overflowPunct/>
              <w:topLinePunct w:val="0"/>
              <w:autoSpaceDE/>
              <w:autoSpaceDN/>
              <w:bidi w:val="0"/>
              <w:adjustRightInd/>
              <w:snapToGrid/>
              <w:ind w:firstLine="480"/>
              <w:textAlignment w:val="auto"/>
              <w:rPr>
                <w:rFonts w:hint="eastAsia"/>
                <w:color w:val="auto"/>
              </w:rPr>
            </w:pPr>
            <w:r>
              <w:rPr>
                <w:rFonts w:hint="eastAsia"/>
                <w:color w:val="auto"/>
              </w:rPr>
              <w:t>式中：LW</w:t>
            </w:r>
            <w:r>
              <w:rPr>
                <w:color w:val="auto"/>
              </w:rPr>
              <w:t>——</w:t>
            </w:r>
            <w:r>
              <w:rPr>
                <w:rFonts w:hint="eastAsia"/>
                <w:color w:val="auto"/>
              </w:rPr>
              <w:t>固定顶罐的工作损失（kg/m</w:t>
            </w:r>
            <w:r>
              <w:rPr>
                <w:rFonts w:hint="eastAsia"/>
                <w:color w:val="auto"/>
                <w:vertAlign w:val="superscript"/>
              </w:rPr>
              <w:t>3</w:t>
            </w:r>
            <w:r>
              <w:rPr>
                <w:rFonts w:hint="eastAsia"/>
                <w:color w:val="auto"/>
              </w:rPr>
              <w:t>投入量）；</w:t>
            </w:r>
          </w:p>
          <w:p w14:paraId="78E218E4">
            <w:pPr>
              <w:keepNext w:val="0"/>
              <w:keepLines w:val="0"/>
              <w:pageBreakBefore w:val="0"/>
              <w:widowControl w:val="0"/>
              <w:kinsoku/>
              <w:wordWrap/>
              <w:overflowPunct/>
              <w:topLinePunct w:val="0"/>
              <w:autoSpaceDE/>
              <w:autoSpaceDN/>
              <w:bidi w:val="0"/>
              <w:adjustRightInd/>
              <w:snapToGrid/>
              <w:ind w:firstLine="480"/>
              <w:textAlignment w:val="auto"/>
              <w:rPr>
                <w:rFonts w:hint="eastAsia"/>
                <w:color w:val="auto"/>
              </w:rPr>
            </w:pPr>
            <w:r>
              <w:rPr>
                <w:rFonts w:hint="eastAsia"/>
                <w:color w:val="auto"/>
              </w:rPr>
              <w:t>Kn</w:t>
            </w:r>
            <w:r>
              <w:rPr>
                <w:color w:val="auto"/>
              </w:rPr>
              <w:t>——</w:t>
            </w:r>
            <w:r>
              <w:rPr>
                <w:rFonts w:hint="eastAsia"/>
                <w:color w:val="auto"/>
              </w:rPr>
              <w:t>周转因子（无量纲），取值按年周转次数（K）确定。K</w:t>
            </w:r>
            <w:r>
              <w:rPr>
                <w:rFonts w:ascii="Arial" w:hAnsi="Arial" w:cs="Arial"/>
                <w:color w:val="auto"/>
              </w:rPr>
              <w:t>≤</w:t>
            </w:r>
            <w:r>
              <w:rPr>
                <w:rFonts w:hint="eastAsia"/>
                <w:color w:val="auto"/>
              </w:rPr>
              <w:t>36， Kn=1， 36&lt;K</w:t>
            </w:r>
            <w:r>
              <w:rPr>
                <w:rFonts w:ascii="Arial" w:hAnsi="Arial" w:cs="Arial"/>
                <w:color w:val="auto"/>
              </w:rPr>
              <w:t>≤</w:t>
            </w:r>
            <w:r>
              <w:rPr>
                <w:rFonts w:hint="eastAsia"/>
                <w:color w:val="auto"/>
              </w:rPr>
              <w:t>220，Kn=11.467×K</w:t>
            </w:r>
            <w:r>
              <w:rPr>
                <w:rFonts w:hint="eastAsia"/>
                <w:color w:val="auto"/>
                <w:vertAlign w:val="superscript"/>
              </w:rPr>
              <w:t>0.7026</w:t>
            </w:r>
            <w:r>
              <w:rPr>
                <w:rFonts w:hint="eastAsia"/>
                <w:color w:val="auto"/>
              </w:rPr>
              <w:t>，K&gt;220，Kn=0.26；</w:t>
            </w:r>
          </w:p>
          <w:p w14:paraId="127BBDC5">
            <w:pPr>
              <w:pStyle w:val="8"/>
              <w:spacing w:line="360" w:lineRule="auto"/>
              <w:ind w:firstLine="480"/>
              <w:rPr>
                <w:rFonts w:hint="eastAsia" w:hAnsi="宋体" w:eastAsia="宋体"/>
                <w:color w:val="000000"/>
                <w:sz w:val="24"/>
                <w:szCs w:val="24"/>
                <w:lang w:val="en-US" w:eastAsia="zh-CN"/>
              </w:rPr>
            </w:pPr>
            <w:r>
              <w:rPr>
                <w:rFonts w:hint="eastAsia" w:hAnsi="宋体"/>
                <w:color w:val="000000"/>
                <w:sz w:val="24"/>
                <w:szCs w:val="24"/>
              </w:rPr>
              <w:t>根据上述公式计算，本项目</w:t>
            </w:r>
            <w:r>
              <w:rPr>
                <w:rFonts w:hint="eastAsia" w:hAnsi="宋体"/>
                <w:color w:val="000000"/>
                <w:sz w:val="24"/>
                <w:szCs w:val="24"/>
                <w:lang w:val="en-US" w:eastAsia="zh-CN"/>
              </w:rPr>
              <w:t>戊烷</w:t>
            </w:r>
            <w:r>
              <w:rPr>
                <w:rFonts w:hint="eastAsia" w:hAnsi="宋体"/>
                <w:color w:val="000000"/>
                <w:sz w:val="24"/>
                <w:szCs w:val="24"/>
              </w:rPr>
              <w:t>装卸工作过程（大呼吸过程）中挥发性有机物</w:t>
            </w:r>
            <w:r>
              <w:rPr>
                <w:rFonts w:hint="eastAsia"/>
                <w:color w:val="000000"/>
                <w:sz w:val="24"/>
                <w:szCs w:val="24"/>
              </w:rPr>
              <w:t>工作损失</w:t>
            </w:r>
            <w:r>
              <w:rPr>
                <w:rFonts w:hint="eastAsia"/>
                <w:color w:val="000000"/>
                <w:sz w:val="24"/>
                <w:szCs w:val="24"/>
                <w:lang w:val="en-US" w:eastAsia="zh-CN"/>
              </w:rPr>
              <w:t>0.016</w:t>
            </w:r>
            <w:r>
              <w:rPr>
                <w:rFonts w:hint="eastAsia"/>
                <w:color w:val="000000"/>
                <w:sz w:val="24"/>
                <w:szCs w:val="24"/>
              </w:rPr>
              <w:t>kg/m</w:t>
            </w:r>
            <w:r>
              <w:rPr>
                <w:rFonts w:hint="eastAsia"/>
                <w:color w:val="000000"/>
                <w:sz w:val="24"/>
                <w:szCs w:val="24"/>
                <w:vertAlign w:val="superscript"/>
              </w:rPr>
              <w:t>3</w:t>
            </w:r>
            <w:r>
              <w:rPr>
                <w:rFonts w:hint="eastAsia"/>
                <w:color w:val="000000"/>
                <w:sz w:val="24"/>
                <w:szCs w:val="24"/>
              </w:rPr>
              <w:t>投入量。项目年装卸</w:t>
            </w:r>
            <w:r>
              <w:rPr>
                <w:rFonts w:hint="eastAsia"/>
                <w:color w:val="000000"/>
                <w:sz w:val="24"/>
                <w:szCs w:val="24"/>
                <w:lang w:val="en-US" w:eastAsia="zh-CN"/>
              </w:rPr>
              <w:t>戊烷燃料150</w:t>
            </w:r>
            <w:r>
              <w:rPr>
                <w:rFonts w:hint="eastAsia"/>
                <w:lang w:val="en-US" w:eastAsia="zh-CN"/>
              </w:rPr>
              <w:t>t/a</w:t>
            </w:r>
            <w:r>
              <w:rPr>
                <w:rFonts w:hint="eastAsia"/>
                <w:color w:val="000000"/>
                <w:sz w:val="24"/>
                <w:szCs w:val="24"/>
              </w:rPr>
              <w:t>，密度约为</w:t>
            </w:r>
            <w:r>
              <w:rPr>
                <w:rFonts w:hint="eastAsia"/>
                <w:sz w:val="24"/>
                <w:szCs w:val="24"/>
                <w:lang w:val="en-US" w:eastAsia="zh-CN"/>
              </w:rPr>
              <w:t>0.626</w:t>
            </w:r>
            <w:r>
              <w:rPr>
                <w:rFonts w:hint="eastAsia"/>
                <w:sz w:val="24"/>
                <w:szCs w:val="24"/>
              </w:rPr>
              <w:t>t/m</w:t>
            </w:r>
            <w:r>
              <w:rPr>
                <w:rFonts w:hint="eastAsia"/>
                <w:sz w:val="24"/>
                <w:szCs w:val="24"/>
                <w:vertAlign w:val="superscript"/>
                <w:lang w:val="en-US" w:eastAsia="zh-CN"/>
              </w:rPr>
              <w:t>3</w:t>
            </w:r>
            <w:r>
              <w:rPr>
                <w:rFonts w:hint="eastAsia"/>
                <w:color w:val="000000"/>
                <w:sz w:val="24"/>
                <w:szCs w:val="24"/>
              </w:rPr>
              <w:t>，装卸年工作时间约为</w:t>
            </w:r>
            <w:r>
              <w:rPr>
                <w:rFonts w:hint="eastAsia"/>
                <w:color w:val="000000"/>
                <w:sz w:val="24"/>
                <w:szCs w:val="24"/>
                <w:lang w:val="en-US" w:eastAsia="zh-CN"/>
              </w:rPr>
              <w:t>20</w:t>
            </w:r>
            <w:r>
              <w:rPr>
                <w:rFonts w:hint="eastAsia"/>
                <w:color w:val="000000"/>
                <w:sz w:val="24"/>
                <w:szCs w:val="24"/>
              </w:rPr>
              <w:t>h，计算可知，大呼吸产生的挥发性有机物</w:t>
            </w:r>
            <w:r>
              <w:rPr>
                <w:rFonts w:hint="eastAsia" w:hAnsi="宋体"/>
                <w:color w:val="000000"/>
                <w:sz w:val="24"/>
                <w:szCs w:val="24"/>
                <w:lang w:val="en-US" w:eastAsia="zh-CN"/>
              </w:rPr>
              <w:t>产生量</w:t>
            </w:r>
            <w:r>
              <w:rPr>
                <w:rFonts w:hint="eastAsia" w:hAnsi="宋体"/>
                <w:color w:val="000000"/>
                <w:sz w:val="24"/>
                <w:szCs w:val="24"/>
              </w:rPr>
              <w:t>为</w:t>
            </w:r>
            <w:r>
              <w:rPr>
                <w:rFonts w:hint="eastAsia" w:hAnsi="宋体"/>
                <w:color w:val="000000"/>
                <w:sz w:val="24"/>
                <w:szCs w:val="24"/>
                <w:lang w:val="en-US" w:eastAsia="zh-CN"/>
              </w:rPr>
              <w:t>0.676t</w:t>
            </w:r>
            <w:r>
              <w:rPr>
                <w:rFonts w:hint="eastAsia" w:hAnsi="宋体"/>
                <w:color w:val="000000"/>
                <w:sz w:val="24"/>
                <w:szCs w:val="24"/>
              </w:rPr>
              <w:t>/a</w:t>
            </w:r>
            <w:r>
              <w:rPr>
                <w:rFonts w:hint="eastAsia" w:hAnsi="宋体"/>
                <w:color w:val="000000"/>
                <w:sz w:val="24"/>
                <w:szCs w:val="24"/>
                <w:lang w:eastAsia="zh-CN"/>
              </w:rPr>
              <w:t>。</w:t>
            </w:r>
          </w:p>
          <w:p w14:paraId="18464D27">
            <w:pPr>
              <w:ind w:firstLine="480"/>
              <w:rPr>
                <w:rFonts w:hint="eastAsia" w:eastAsia="宋体"/>
                <w:color w:val="auto"/>
                <w:lang w:eastAsia="zh-CN"/>
              </w:rPr>
            </w:pPr>
            <w:r>
              <w:rPr>
                <w:rFonts w:hint="eastAsia"/>
                <w:color w:val="auto"/>
                <w:lang w:val="en-US" w:eastAsia="zh-CN"/>
              </w:rPr>
              <w:t>储罐</w:t>
            </w:r>
            <w:r>
              <w:rPr>
                <w:rFonts w:hint="eastAsia"/>
                <w:color w:val="auto"/>
              </w:rPr>
              <w:t>无组织废气排放情况见下表</w:t>
            </w:r>
            <w:r>
              <w:rPr>
                <w:rFonts w:hint="eastAsia"/>
                <w:color w:val="auto"/>
                <w:lang w:eastAsia="zh-CN"/>
              </w:rPr>
              <w:t>。</w:t>
            </w:r>
          </w:p>
          <w:p w14:paraId="267CFB27">
            <w:pPr>
              <w:spacing w:line="240" w:lineRule="auto"/>
              <w:ind w:firstLine="0" w:firstLineChars="0"/>
              <w:jc w:val="center"/>
              <w:rPr>
                <w:rFonts w:hint="eastAsia"/>
                <w:b/>
                <w:bCs/>
                <w:color w:val="auto"/>
              </w:rPr>
            </w:pPr>
            <w:r>
              <w:rPr>
                <w:rFonts w:hint="eastAsia"/>
                <w:b/>
                <w:bCs/>
                <w:color w:val="auto"/>
              </w:rPr>
              <w:t>表4-</w:t>
            </w:r>
            <w:r>
              <w:rPr>
                <w:rFonts w:hint="eastAsia"/>
                <w:b/>
                <w:bCs/>
                <w:color w:val="auto"/>
                <w:lang w:val="en-US" w:eastAsia="zh-CN"/>
              </w:rPr>
              <w:t>9</w:t>
            </w:r>
            <w:r>
              <w:rPr>
                <w:rFonts w:hint="eastAsia"/>
                <w:b/>
                <w:bCs/>
                <w:color w:val="auto"/>
              </w:rPr>
              <w:t xml:space="preserve">  </w:t>
            </w:r>
            <w:r>
              <w:rPr>
                <w:rFonts w:hint="eastAsia"/>
                <w:b/>
                <w:bCs/>
                <w:color w:val="auto"/>
                <w:lang w:val="en-US" w:eastAsia="zh-CN"/>
              </w:rPr>
              <w:t>戊烷</w:t>
            </w:r>
            <w:r>
              <w:rPr>
                <w:rFonts w:hint="eastAsia"/>
                <w:b/>
                <w:bCs/>
                <w:color w:val="auto"/>
              </w:rPr>
              <w:t>储罐大小呼吸排放情况一览表</w:t>
            </w:r>
          </w:p>
          <w:tbl>
            <w:tblPr>
              <w:tblStyle w:val="26"/>
              <w:tblW w:w="4998" w:type="pct"/>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8"/>
              <w:gridCol w:w="2298"/>
              <w:gridCol w:w="1579"/>
              <w:gridCol w:w="2436"/>
            </w:tblGrid>
            <w:tr w14:paraId="699B9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879" w:type="dxa"/>
                  <w:noWrap w:val="0"/>
                  <w:vAlign w:val="center"/>
                </w:tcPr>
                <w:p w14:paraId="7437EA61">
                  <w:pPr>
                    <w:pStyle w:val="4"/>
                    <w:rPr>
                      <w:b/>
                      <w:bCs/>
                      <w:color w:val="auto"/>
                    </w:rPr>
                  </w:pPr>
                  <w:r>
                    <w:rPr>
                      <w:b/>
                      <w:bCs/>
                      <w:color w:val="auto"/>
                    </w:rPr>
                    <w:t>物质</w:t>
                  </w:r>
                </w:p>
              </w:tc>
              <w:tc>
                <w:tcPr>
                  <w:tcW w:w="2299" w:type="dxa"/>
                  <w:noWrap w:val="0"/>
                  <w:vAlign w:val="center"/>
                </w:tcPr>
                <w:p w14:paraId="12E7A64F">
                  <w:pPr>
                    <w:pStyle w:val="4"/>
                    <w:rPr>
                      <w:b/>
                      <w:bCs/>
                      <w:color w:val="auto"/>
                    </w:rPr>
                  </w:pPr>
                  <w:r>
                    <w:rPr>
                      <w:rFonts w:hint="eastAsia"/>
                      <w:b/>
                      <w:bCs/>
                      <w:color w:val="auto"/>
                      <w:lang w:val="en-US" w:eastAsia="zh-CN"/>
                    </w:rPr>
                    <w:t>戊烷</w:t>
                  </w:r>
                </w:p>
              </w:tc>
              <w:tc>
                <w:tcPr>
                  <w:tcW w:w="1580" w:type="dxa"/>
                  <w:noWrap w:val="0"/>
                  <w:vAlign w:val="center"/>
                </w:tcPr>
                <w:p w14:paraId="4541B071">
                  <w:pPr>
                    <w:pStyle w:val="4"/>
                    <w:rPr>
                      <w:b/>
                      <w:bCs/>
                      <w:color w:val="auto"/>
                    </w:rPr>
                  </w:pPr>
                  <w:r>
                    <w:rPr>
                      <w:b/>
                      <w:bCs/>
                      <w:color w:val="auto"/>
                    </w:rPr>
                    <w:t>分子量</w:t>
                  </w:r>
                </w:p>
              </w:tc>
              <w:tc>
                <w:tcPr>
                  <w:tcW w:w="2437" w:type="dxa"/>
                  <w:noWrap w:val="0"/>
                  <w:vAlign w:val="center"/>
                </w:tcPr>
                <w:p w14:paraId="3EB6BD17">
                  <w:pPr>
                    <w:pStyle w:val="4"/>
                    <w:rPr>
                      <w:b/>
                      <w:bCs/>
                      <w:color w:val="auto"/>
                    </w:rPr>
                  </w:pPr>
                  <w:r>
                    <w:rPr>
                      <w:rFonts w:hint="default"/>
                      <w:b/>
                      <w:bCs/>
                      <w:color w:val="auto"/>
                    </w:rPr>
                    <w:t>72.15</w:t>
                  </w:r>
                </w:p>
              </w:tc>
            </w:tr>
            <w:tr w14:paraId="7C09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879" w:type="dxa"/>
                  <w:noWrap w:val="0"/>
                  <w:vAlign w:val="center"/>
                </w:tcPr>
                <w:p w14:paraId="7CA2D95B">
                  <w:pPr>
                    <w:pStyle w:val="4"/>
                    <w:rPr>
                      <w:color w:val="auto"/>
                    </w:rPr>
                  </w:pPr>
                  <w:r>
                    <w:rPr>
                      <w:color w:val="auto"/>
                    </w:rPr>
                    <w:t>20℃蒸汽压（kPa）</w:t>
                  </w:r>
                </w:p>
              </w:tc>
              <w:tc>
                <w:tcPr>
                  <w:tcW w:w="2299" w:type="dxa"/>
                  <w:noWrap w:val="0"/>
                  <w:vAlign w:val="center"/>
                </w:tcPr>
                <w:p w14:paraId="00F915D1">
                  <w:pPr>
                    <w:pStyle w:val="4"/>
                    <w:rPr>
                      <w:rFonts w:hint="default" w:eastAsia="宋体"/>
                      <w:color w:val="auto"/>
                      <w:lang w:val="en-US" w:eastAsia="zh-CN"/>
                    </w:rPr>
                  </w:pPr>
                  <w:r>
                    <w:rPr>
                      <w:rFonts w:hint="eastAsia"/>
                      <w:color w:val="auto"/>
                      <w:lang w:val="en-US" w:eastAsia="zh-CN"/>
                    </w:rPr>
                    <w:t>53.32</w:t>
                  </w:r>
                </w:p>
              </w:tc>
              <w:tc>
                <w:tcPr>
                  <w:tcW w:w="1580" w:type="dxa"/>
                  <w:noWrap w:val="0"/>
                  <w:vAlign w:val="center"/>
                </w:tcPr>
                <w:p w14:paraId="443EB8A4">
                  <w:pPr>
                    <w:pStyle w:val="4"/>
                    <w:rPr>
                      <w:color w:val="auto"/>
                    </w:rPr>
                  </w:pPr>
                  <w:r>
                    <w:rPr>
                      <w:color w:val="auto"/>
                    </w:rPr>
                    <w:t>直径D（m）</w:t>
                  </w:r>
                </w:p>
              </w:tc>
              <w:tc>
                <w:tcPr>
                  <w:tcW w:w="2437" w:type="dxa"/>
                  <w:noWrap w:val="0"/>
                  <w:vAlign w:val="center"/>
                </w:tcPr>
                <w:p w14:paraId="22FC7734">
                  <w:pPr>
                    <w:pStyle w:val="4"/>
                    <w:rPr>
                      <w:color w:val="auto"/>
                    </w:rPr>
                  </w:pPr>
                  <w:r>
                    <w:rPr>
                      <w:rFonts w:hint="eastAsia"/>
                      <w:color w:val="auto"/>
                    </w:rPr>
                    <w:t>4</w:t>
                  </w:r>
                </w:p>
              </w:tc>
            </w:tr>
            <w:tr w14:paraId="5F502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879" w:type="dxa"/>
                  <w:noWrap w:val="0"/>
                  <w:vAlign w:val="center"/>
                </w:tcPr>
                <w:p w14:paraId="7F20A9EE">
                  <w:pPr>
                    <w:pStyle w:val="4"/>
                    <w:rPr>
                      <w:color w:val="auto"/>
                    </w:rPr>
                  </w:pPr>
                  <w:r>
                    <w:rPr>
                      <w:color w:val="auto"/>
                    </w:rPr>
                    <w:t>△T（℃）</w:t>
                  </w:r>
                </w:p>
              </w:tc>
              <w:tc>
                <w:tcPr>
                  <w:tcW w:w="2299" w:type="dxa"/>
                  <w:noWrap w:val="0"/>
                  <w:vAlign w:val="center"/>
                </w:tcPr>
                <w:p w14:paraId="3E8F2CC6">
                  <w:pPr>
                    <w:pStyle w:val="4"/>
                    <w:rPr>
                      <w:rFonts w:hint="eastAsia" w:eastAsia="宋体"/>
                      <w:color w:val="auto"/>
                      <w:lang w:eastAsia="zh-CN"/>
                    </w:rPr>
                  </w:pPr>
                  <w:r>
                    <w:rPr>
                      <w:rFonts w:hint="eastAsia"/>
                      <w:color w:val="auto"/>
                      <w:lang w:val="en-US" w:eastAsia="zh-CN"/>
                    </w:rPr>
                    <w:t>8</w:t>
                  </w:r>
                </w:p>
              </w:tc>
              <w:tc>
                <w:tcPr>
                  <w:tcW w:w="1580" w:type="dxa"/>
                  <w:noWrap w:val="0"/>
                  <w:vAlign w:val="center"/>
                </w:tcPr>
                <w:p w14:paraId="07EEF84C">
                  <w:pPr>
                    <w:pStyle w:val="4"/>
                    <w:rPr>
                      <w:color w:val="auto"/>
                    </w:rPr>
                  </w:pPr>
                  <w:r>
                    <w:rPr>
                      <w:color w:val="auto"/>
                    </w:rPr>
                    <w:t>Fp</w:t>
                  </w:r>
                </w:p>
              </w:tc>
              <w:tc>
                <w:tcPr>
                  <w:tcW w:w="2437" w:type="dxa"/>
                  <w:noWrap w:val="0"/>
                  <w:vAlign w:val="center"/>
                </w:tcPr>
                <w:p w14:paraId="6E18ACD0">
                  <w:pPr>
                    <w:pStyle w:val="4"/>
                    <w:rPr>
                      <w:color w:val="auto"/>
                    </w:rPr>
                  </w:pPr>
                  <w:r>
                    <w:rPr>
                      <w:color w:val="auto"/>
                    </w:rPr>
                    <w:t>1.0</w:t>
                  </w:r>
                </w:p>
              </w:tc>
            </w:tr>
            <w:tr w14:paraId="107BD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879" w:type="dxa"/>
                  <w:noWrap w:val="0"/>
                  <w:vAlign w:val="center"/>
                </w:tcPr>
                <w:p w14:paraId="55468823">
                  <w:pPr>
                    <w:pStyle w:val="4"/>
                    <w:rPr>
                      <w:color w:val="auto"/>
                    </w:rPr>
                  </w:pPr>
                  <w:r>
                    <w:rPr>
                      <w:color w:val="auto"/>
                    </w:rPr>
                    <w:t>C</w:t>
                  </w:r>
                </w:p>
              </w:tc>
              <w:tc>
                <w:tcPr>
                  <w:tcW w:w="2299" w:type="dxa"/>
                  <w:noWrap w:val="0"/>
                  <w:vAlign w:val="center"/>
                </w:tcPr>
                <w:p w14:paraId="56429BCC">
                  <w:pPr>
                    <w:pStyle w:val="4"/>
                    <w:rPr>
                      <w:rFonts w:hint="default" w:eastAsia="宋体"/>
                      <w:color w:val="auto"/>
                      <w:lang w:val="en-US" w:eastAsia="zh-CN"/>
                    </w:rPr>
                  </w:pPr>
                  <w:r>
                    <w:rPr>
                      <w:rFonts w:hint="eastAsia"/>
                      <w:color w:val="auto"/>
                    </w:rPr>
                    <w:t>0.69</w:t>
                  </w:r>
                  <w:r>
                    <w:rPr>
                      <w:rFonts w:hint="eastAsia"/>
                      <w:color w:val="auto"/>
                      <w:lang w:val="en-US" w:eastAsia="zh-CN"/>
                    </w:rPr>
                    <w:t>25</w:t>
                  </w:r>
                </w:p>
              </w:tc>
              <w:tc>
                <w:tcPr>
                  <w:tcW w:w="1580" w:type="dxa"/>
                  <w:noWrap w:val="0"/>
                  <w:vAlign w:val="center"/>
                </w:tcPr>
                <w:p w14:paraId="2A0FBF6B">
                  <w:pPr>
                    <w:pStyle w:val="4"/>
                    <w:rPr>
                      <w:rFonts w:hint="eastAsia" w:eastAsia="宋体"/>
                      <w:color w:val="auto"/>
                      <w:lang w:val="en-US" w:eastAsia="zh-CN"/>
                    </w:rPr>
                  </w:pPr>
                  <w:r>
                    <w:rPr>
                      <w:color w:val="auto"/>
                    </w:rPr>
                    <w:t>K</w:t>
                  </w:r>
                  <w:r>
                    <w:rPr>
                      <w:rFonts w:hint="eastAsia"/>
                      <w:color w:val="auto"/>
                      <w:lang w:val="en-US" w:eastAsia="zh-CN"/>
                    </w:rPr>
                    <w:t>n</w:t>
                  </w:r>
                </w:p>
              </w:tc>
              <w:tc>
                <w:tcPr>
                  <w:tcW w:w="2437" w:type="dxa"/>
                  <w:noWrap w:val="0"/>
                  <w:vAlign w:val="center"/>
                </w:tcPr>
                <w:p w14:paraId="26B08FA6">
                  <w:pPr>
                    <w:pStyle w:val="4"/>
                    <w:rPr>
                      <w:color w:val="auto"/>
                    </w:rPr>
                  </w:pPr>
                  <w:r>
                    <w:rPr>
                      <w:color w:val="auto"/>
                    </w:rPr>
                    <w:t>1</w:t>
                  </w:r>
                </w:p>
              </w:tc>
            </w:tr>
            <w:tr w14:paraId="21AD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879" w:type="dxa"/>
                  <w:noWrap w:val="0"/>
                  <w:vAlign w:val="center"/>
                </w:tcPr>
                <w:p w14:paraId="724086DF">
                  <w:pPr>
                    <w:pStyle w:val="4"/>
                    <w:rPr>
                      <w:color w:val="auto"/>
                    </w:rPr>
                  </w:pPr>
                  <w:r>
                    <w:rPr>
                      <w:color w:val="auto"/>
                    </w:rPr>
                    <w:t>小呼吸（kg/a）</w:t>
                  </w:r>
                </w:p>
              </w:tc>
              <w:tc>
                <w:tcPr>
                  <w:tcW w:w="2299" w:type="dxa"/>
                  <w:noWrap w:val="0"/>
                  <w:vAlign w:val="center"/>
                </w:tcPr>
                <w:p w14:paraId="4230FDB4">
                  <w:pPr>
                    <w:pStyle w:val="4"/>
                    <w:rPr>
                      <w:rFonts w:hint="default" w:eastAsia="宋体"/>
                      <w:color w:val="auto"/>
                      <w:lang w:val="en-US" w:eastAsia="zh-CN"/>
                    </w:rPr>
                  </w:pPr>
                  <w:r>
                    <w:rPr>
                      <w:rFonts w:hint="eastAsia"/>
                      <w:color w:val="auto"/>
                      <w:lang w:val="en-US" w:eastAsia="zh-CN"/>
                    </w:rPr>
                    <w:t>0.002</w:t>
                  </w:r>
                </w:p>
              </w:tc>
              <w:tc>
                <w:tcPr>
                  <w:tcW w:w="1580" w:type="dxa"/>
                  <w:noWrap w:val="0"/>
                  <w:vAlign w:val="center"/>
                </w:tcPr>
                <w:p w14:paraId="23933939">
                  <w:pPr>
                    <w:pStyle w:val="4"/>
                    <w:rPr>
                      <w:color w:val="auto"/>
                    </w:rPr>
                  </w:pPr>
                  <w:r>
                    <w:rPr>
                      <w:color w:val="auto"/>
                    </w:rPr>
                    <w:t>大呼吸kg/a</w:t>
                  </w:r>
                </w:p>
              </w:tc>
              <w:tc>
                <w:tcPr>
                  <w:tcW w:w="2437" w:type="dxa"/>
                  <w:noWrap w:val="0"/>
                  <w:vAlign w:val="center"/>
                </w:tcPr>
                <w:p w14:paraId="7FB424D0">
                  <w:pPr>
                    <w:pStyle w:val="4"/>
                    <w:rPr>
                      <w:rFonts w:hint="default" w:eastAsia="宋体"/>
                      <w:color w:val="auto"/>
                      <w:lang w:val="en-US" w:eastAsia="zh-CN"/>
                    </w:rPr>
                  </w:pPr>
                  <w:r>
                    <w:rPr>
                      <w:rFonts w:hint="eastAsia"/>
                      <w:color w:val="auto"/>
                      <w:lang w:val="en-US" w:eastAsia="zh-CN"/>
                    </w:rPr>
                    <w:t>0.135</w:t>
                  </w:r>
                </w:p>
              </w:tc>
            </w:tr>
            <w:tr w14:paraId="3AAE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879" w:type="dxa"/>
                  <w:noWrap w:val="0"/>
                  <w:vAlign w:val="center"/>
                </w:tcPr>
                <w:p w14:paraId="7E4C6A17">
                  <w:pPr>
                    <w:pStyle w:val="4"/>
                    <w:rPr>
                      <w:color w:val="auto"/>
                    </w:rPr>
                  </w:pPr>
                  <w:r>
                    <w:rPr>
                      <w:color w:val="auto"/>
                    </w:rPr>
                    <w:t>合计kg/a</w:t>
                  </w:r>
                </w:p>
              </w:tc>
              <w:tc>
                <w:tcPr>
                  <w:tcW w:w="6316" w:type="dxa"/>
                  <w:gridSpan w:val="3"/>
                  <w:noWrap w:val="0"/>
                  <w:vAlign w:val="center"/>
                </w:tcPr>
                <w:p w14:paraId="0F871BF1">
                  <w:pPr>
                    <w:pStyle w:val="4"/>
                    <w:rPr>
                      <w:rFonts w:hint="default" w:eastAsia="宋体"/>
                      <w:color w:val="auto"/>
                      <w:lang w:val="en-US" w:eastAsia="zh-CN"/>
                    </w:rPr>
                  </w:pPr>
                  <w:r>
                    <w:rPr>
                      <w:rFonts w:hint="eastAsia"/>
                      <w:color w:val="auto"/>
                      <w:lang w:val="en-US" w:eastAsia="zh-CN"/>
                    </w:rPr>
                    <w:t>0.137</w:t>
                  </w:r>
                </w:p>
              </w:tc>
            </w:tr>
          </w:tbl>
          <w:p w14:paraId="2011359A">
            <w:pPr>
              <w:pStyle w:val="14"/>
              <w:rPr>
                <w:color w:val="auto"/>
              </w:rPr>
            </w:pPr>
            <w:r>
              <w:rPr>
                <w:rFonts w:hint="eastAsia" w:ascii="宋体" w:hAnsi="宋体" w:cs="宋体"/>
                <w:color w:val="auto"/>
                <w:kern w:val="0"/>
                <w:lang w:bidi="ar"/>
              </w:rPr>
              <w:t>大呼吸废气</w:t>
            </w:r>
            <w:r>
              <w:rPr>
                <w:rFonts w:hint="eastAsia"/>
                <w:lang w:val="en-US" w:eastAsia="zh-CN"/>
              </w:rPr>
              <w:t>采取装卸料时使用平衡管，减少无组织废气排放；小呼吸废气采取储罐密闭，设置呼吸阀无组织排放</w:t>
            </w:r>
            <w:r>
              <w:rPr>
                <w:rFonts w:hint="eastAsia" w:ascii="宋体" w:hAnsi="宋体" w:cs="宋体"/>
                <w:color w:val="auto"/>
                <w:kern w:val="0"/>
                <w:lang w:bidi="ar"/>
              </w:rPr>
              <w:t>，通过以上措施结合起来的办法对储罐的大呼吸、小呼吸废气进行控制，可以减少储罐呼吸排放</w:t>
            </w:r>
            <w:r>
              <w:rPr>
                <w:color w:val="auto"/>
                <w:kern w:val="0"/>
                <w:lang w:bidi="ar"/>
              </w:rPr>
              <w:t>70%</w:t>
            </w:r>
            <w:r>
              <w:rPr>
                <w:rFonts w:hint="eastAsia" w:ascii="宋体" w:hAnsi="宋体" w:cs="宋体"/>
                <w:color w:val="auto"/>
                <w:kern w:val="0"/>
                <w:lang w:bidi="ar"/>
              </w:rPr>
              <w:t>以上，则</w:t>
            </w:r>
            <w:r>
              <w:rPr>
                <w:rFonts w:hint="eastAsia" w:ascii="宋体" w:hAnsi="宋体" w:cs="宋体"/>
                <w:color w:val="auto"/>
                <w:kern w:val="0"/>
                <w:lang w:val="en-US" w:eastAsia="zh-CN" w:bidi="ar"/>
              </w:rPr>
              <w:t>储罐</w:t>
            </w:r>
            <w:r>
              <w:rPr>
                <w:rFonts w:hint="eastAsia" w:ascii="宋体" w:hAnsi="宋体" w:cs="宋体"/>
                <w:color w:val="auto"/>
                <w:kern w:val="0"/>
                <w:lang w:bidi="ar"/>
              </w:rPr>
              <w:t>呼吸废气</w:t>
            </w:r>
            <w:r>
              <w:rPr>
                <w:rFonts w:hint="eastAsia"/>
                <w:lang w:val="en-US" w:eastAsia="zh-CN"/>
              </w:rPr>
              <w:t>排放量</w:t>
            </w:r>
            <w:r>
              <w:rPr>
                <w:rFonts w:hint="eastAsia" w:ascii="宋体" w:hAnsi="宋体" w:cs="宋体"/>
                <w:color w:val="auto"/>
                <w:kern w:val="0"/>
                <w:lang w:bidi="ar"/>
              </w:rPr>
              <w:t>为</w:t>
            </w:r>
            <w:r>
              <w:rPr>
                <w:rFonts w:hint="eastAsia"/>
                <w:color w:val="auto"/>
                <w:kern w:val="0"/>
                <w:lang w:val="en-US" w:eastAsia="zh-CN" w:bidi="ar"/>
              </w:rPr>
              <w:t>0.041kg/a</w:t>
            </w:r>
            <w:r>
              <w:rPr>
                <w:rFonts w:hint="eastAsia" w:ascii="宋体" w:hAnsi="宋体" w:cs="宋体"/>
                <w:color w:val="auto"/>
                <w:kern w:val="0"/>
                <w:lang w:bidi="ar"/>
              </w:rPr>
              <w:t>。</w:t>
            </w:r>
          </w:p>
          <w:p w14:paraId="52C5CC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p>
          <w:p w14:paraId="14689F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p>
          <w:p w14:paraId="1A73FBC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eastAsia="宋体"/>
                <w:color w:val="auto"/>
                <w:lang w:val="en-US" w:eastAsia="zh-CN"/>
              </w:rPr>
            </w:pPr>
          </w:p>
        </w:tc>
      </w:tr>
    </w:tbl>
    <w:p w14:paraId="7D3E75B8">
      <w:pPr>
        <w:adjustRightInd w:val="0"/>
        <w:snapToGrid w:val="0"/>
        <w:ind w:firstLine="562"/>
        <w:rPr>
          <w:rFonts w:ascii="宋体" w:cs="宋体"/>
          <w:b/>
          <w:color w:val="auto"/>
          <w:kern w:val="0"/>
          <w:sz w:val="28"/>
          <w:szCs w:val="28"/>
        </w:rPr>
        <w:sectPr>
          <w:pgSz w:w="11907" w:h="16840"/>
          <w:pgMar w:top="1701" w:right="1531" w:bottom="2127" w:left="1531" w:header="851" w:footer="851" w:gutter="0"/>
          <w:pgNumType w:fmt="decimal"/>
          <w:cols w:space="720" w:num="1"/>
          <w:docGrid w:linePitch="312" w:charSpace="0"/>
        </w:sectPr>
      </w:pPr>
    </w:p>
    <w:tbl>
      <w:tblPr>
        <w:tblStyle w:val="26"/>
        <w:tblW w:w="131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4"/>
        <w:gridCol w:w="12935"/>
      </w:tblGrid>
      <w:tr w14:paraId="01778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dxa"/>
            <w:vAlign w:val="center"/>
          </w:tcPr>
          <w:p w14:paraId="650E3B23">
            <w:pPr>
              <w:spacing w:line="460" w:lineRule="exact"/>
              <w:ind w:firstLine="0" w:firstLineChars="0"/>
              <w:jc w:val="center"/>
              <w:rPr>
                <w:rFonts w:ascii="宋体" w:hAnsi="宋体" w:cs="宋体"/>
                <w:color w:val="auto"/>
                <w:kern w:val="0"/>
                <w:szCs w:val="21"/>
              </w:rPr>
            </w:pPr>
          </w:p>
        </w:tc>
        <w:tc>
          <w:tcPr>
            <w:tcW w:w="12935" w:type="dxa"/>
            <w:vAlign w:val="center"/>
          </w:tcPr>
          <w:p w14:paraId="46DCD44F">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表4-</w:t>
            </w:r>
            <w:r>
              <w:rPr>
                <w:rFonts w:hint="eastAsia" w:cs="Times New Roman"/>
                <w:b/>
                <w:bCs/>
                <w:color w:val="auto"/>
                <w:lang w:val="en-US" w:eastAsia="zh-CN"/>
              </w:rPr>
              <w:t>11</w:t>
            </w:r>
            <w:r>
              <w:rPr>
                <w:rFonts w:hint="eastAsia" w:ascii="Times New Roman" w:hAnsi="Times New Roman" w:eastAsia="宋体" w:cs="Times New Roman"/>
                <w:b/>
                <w:bCs/>
                <w:color w:val="auto"/>
                <w:lang w:val="en-US" w:eastAsia="zh-CN"/>
              </w:rPr>
              <w:t xml:space="preserve">  </w:t>
            </w:r>
            <w:r>
              <w:rPr>
                <w:rFonts w:hint="eastAsia" w:eastAsia="宋体" w:cs="Times New Roman"/>
                <w:b/>
                <w:bCs/>
                <w:color w:val="auto"/>
                <w:lang w:val="en-US" w:eastAsia="zh-CN"/>
              </w:rPr>
              <w:t>本项目</w:t>
            </w:r>
            <w:r>
              <w:rPr>
                <w:rFonts w:hint="eastAsia" w:ascii="Times New Roman" w:hAnsi="Times New Roman" w:eastAsia="宋体" w:cs="Times New Roman"/>
                <w:b/>
                <w:bCs/>
                <w:color w:val="auto"/>
                <w:lang w:val="en-US" w:eastAsia="zh-CN"/>
              </w:rPr>
              <w:t>有组织排放口信息表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14"/>
              <w:gridCol w:w="576"/>
              <w:gridCol w:w="529"/>
              <w:gridCol w:w="913"/>
              <w:gridCol w:w="752"/>
              <w:gridCol w:w="698"/>
              <w:gridCol w:w="607"/>
              <w:gridCol w:w="682"/>
              <w:gridCol w:w="676"/>
              <w:gridCol w:w="1265"/>
              <w:gridCol w:w="1065"/>
              <w:gridCol w:w="824"/>
              <w:gridCol w:w="799"/>
              <w:gridCol w:w="1170"/>
              <w:gridCol w:w="881"/>
            </w:tblGrid>
            <w:tr w14:paraId="5AFB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dxa"/>
                  <w:vMerge w:val="restart"/>
                  <w:vAlign w:val="center"/>
                </w:tcPr>
                <w:p w14:paraId="1F2F1552">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eastAsia" w:ascii="Times New Roman" w:hAnsi="Times New Roman" w:eastAsia="宋体" w:cs="Times New Roman"/>
                      <w:b/>
                      <w:bCs/>
                      <w:color w:val="auto"/>
                      <w:kern w:val="0"/>
                      <w:sz w:val="21"/>
                      <w:szCs w:val="21"/>
                      <w:lang w:eastAsia="zh-CN"/>
                    </w:rPr>
                  </w:pPr>
                  <w:r>
                    <w:rPr>
                      <w:rFonts w:hint="eastAsia" w:cs="Times New Roman"/>
                      <w:b/>
                      <w:bCs/>
                      <w:color w:val="auto"/>
                      <w:kern w:val="0"/>
                      <w:sz w:val="21"/>
                      <w:szCs w:val="21"/>
                      <w:lang w:val="en-US" w:eastAsia="zh-CN"/>
                    </w:rPr>
                    <w:t>名称</w:t>
                  </w:r>
                </w:p>
              </w:tc>
              <w:tc>
                <w:tcPr>
                  <w:tcW w:w="714" w:type="dxa"/>
                  <w:vMerge w:val="restart"/>
                  <w:vAlign w:val="center"/>
                </w:tcPr>
                <w:p w14:paraId="307BB0EC">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名称</w:t>
                  </w:r>
                </w:p>
              </w:tc>
              <w:tc>
                <w:tcPr>
                  <w:tcW w:w="1105" w:type="dxa"/>
                  <w:gridSpan w:val="2"/>
                  <w:vAlign w:val="center"/>
                </w:tcPr>
                <w:p w14:paraId="43A9BA11">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lang w:val="en-US"/>
                    </w:rPr>
                  </w:pPr>
                  <w:r>
                    <w:rPr>
                      <w:rFonts w:hint="eastAsia" w:cs="Times New Roman"/>
                      <w:b/>
                      <w:bCs/>
                      <w:color w:val="auto"/>
                      <w:kern w:val="0"/>
                      <w:sz w:val="21"/>
                      <w:szCs w:val="21"/>
                      <w:lang w:val="en-US" w:eastAsia="zh-CN"/>
                    </w:rPr>
                    <w:t>排放口地理坐标/m</w:t>
                  </w:r>
                </w:p>
              </w:tc>
              <w:tc>
                <w:tcPr>
                  <w:tcW w:w="913" w:type="dxa"/>
                  <w:vMerge w:val="restart"/>
                  <w:vAlign w:val="center"/>
                </w:tcPr>
                <w:p w14:paraId="6AD28E98">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排气筒底部海拔高度/m</w:t>
                  </w:r>
                </w:p>
              </w:tc>
              <w:tc>
                <w:tcPr>
                  <w:tcW w:w="752" w:type="dxa"/>
                  <w:vMerge w:val="restart"/>
                  <w:vAlign w:val="center"/>
                </w:tcPr>
                <w:p w14:paraId="711C0F1E">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排气筒高度/m</w:t>
                  </w:r>
                </w:p>
              </w:tc>
              <w:tc>
                <w:tcPr>
                  <w:tcW w:w="698" w:type="dxa"/>
                  <w:vMerge w:val="restart"/>
                  <w:vAlign w:val="center"/>
                </w:tcPr>
                <w:p w14:paraId="0BB72A62">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0"/>
                      <w:sz w:val="21"/>
                      <w:szCs w:val="21"/>
                      <w:lang w:val="en-US" w:eastAsia="zh-CN"/>
                    </w:rPr>
                  </w:pPr>
                  <w:r>
                    <w:rPr>
                      <w:rFonts w:hint="eastAsia" w:cs="Times New Roman"/>
                      <w:b/>
                      <w:bCs/>
                      <w:color w:val="auto"/>
                      <w:kern w:val="0"/>
                      <w:sz w:val="21"/>
                      <w:szCs w:val="21"/>
                      <w:lang w:val="en-US" w:eastAsia="zh-CN"/>
                    </w:rPr>
                    <w:t>排气筒出口内径/m</w:t>
                  </w:r>
                </w:p>
              </w:tc>
              <w:tc>
                <w:tcPr>
                  <w:tcW w:w="607" w:type="dxa"/>
                  <w:vMerge w:val="restart"/>
                  <w:vAlign w:val="center"/>
                </w:tcPr>
                <w:p w14:paraId="71C97B37">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烟气温度/</w:t>
                  </w:r>
                  <w:r>
                    <w:rPr>
                      <w:rFonts w:hint="eastAsia"/>
                      <w:b/>
                      <w:bCs/>
                      <w:color w:val="auto"/>
                      <w:vertAlign w:val="superscript"/>
                      <w:lang w:val="en-US" w:eastAsia="zh-CN"/>
                    </w:rPr>
                    <w:t>o</w:t>
                  </w:r>
                  <w:r>
                    <w:rPr>
                      <w:rFonts w:hint="eastAsia"/>
                      <w:b/>
                      <w:bCs/>
                      <w:color w:val="auto"/>
                      <w:lang w:val="en-US" w:eastAsia="zh-CN"/>
                    </w:rPr>
                    <w:t>C</w:t>
                  </w:r>
                </w:p>
              </w:tc>
              <w:tc>
                <w:tcPr>
                  <w:tcW w:w="682" w:type="dxa"/>
                  <w:vMerge w:val="restart"/>
                  <w:vAlign w:val="center"/>
                </w:tcPr>
                <w:p w14:paraId="0DE3907F">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年排放小时数/h</w:t>
                  </w:r>
                </w:p>
              </w:tc>
              <w:tc>
                <w:tcPr>
                  <w:tcW w:w="676" w:type="dxa"/>
                  <w:vMerge w:val="restart"/>
                  <w:vAlign w:val="center"/>
                </w:tcPr>
                <w:p w14:paraId="679BF146">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排放工况</w:t>
                  </w:r>
                </w:p>
              </w:tc>
              <w:tc>
                <w:tcPr>
                  <w:tcW w:w="3953" w:type="dxa"/>
                  <w:gridSpan w:val="4"/>
                  <w:vAlign w:val="center"/>
                </w:tcPr>
                <w:p w14:paraId="63205938">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评价因子</w:t>
                  </w:r>
                </w:p>
              </w:tc>
              <w:tc>
                <w:tcPr>
                  <w:tcW w:w="2051" w:type="dxa"/>
                  <w:gridSpan w:val="2"/>
                  <w:vAlign w:val="center"/>
                </w:tcPr>
                <w:p w14:paraId="45968C30">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eastAsia"/>
                      <w:b/>
                      <w:bCs/>
                      <w:color w:val="auto"/>
                    </w:rPr>
                  </w:pPr>
                  <w:r>
                    <w:rPr>
                      <w:rFonts w:hint="eastAsia"/>
                      <w:b/>
                      <w:bCs/>
                      <w:color w:val="auto"/>
                    </w:rPr>
                    <w:t>排放标准</w:t>
                  </w:r>
                </w:p>
              </w:tc>
            </w:tr>
            <w:tr w14:paraId="3687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dxa"/>
                  <w:vMerge w:val="continue"/>
                  <w:vAlign w:val="center"/>
                </w:tcPr>
                <w:p w14:paraId="27A979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714" w:type="dxa"/>
                  <w:vMerge w:val="continue"/>
                  <w:vAlign w:val="center"/>
                </w:tcPr>
                <w:p w14:paraId="1F94F1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576" w:type="dxa"/>
                  <w:vAlign w:val="center"/>
                </w:tcPr>
                <w:p w14:paraId="5FC84798">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0"/>
                      <w:sz w:val="21"/>
                      <w:szCs w:val="21"/>
                      <w:lang w:eastAsia="zh-CN"/>
                    </w:rPr>
                  </w:pPr>
                  <w:r>
                    <w:rPr>
                      <w:rFonts w:hint="eastAsia" w:ascii="Times New Roman" w:hAnsi="Times New Roman" w:cs="Times New Roman"/>
                      <w:b/>
                      <w:bCs/>
                      <w:color w:val="auto"/>
                      <w:kern w:val="0"/>
                      <w:sz w:val="21"/>
                      <w:szCs w:val="21"/>
                      <w:lang w:val="en-US" w:eastAsia="zh-CN"/>
                    </w:rPr>
                    <w:t>X</w:t>
                  </w:r>
                </w:p>
              </w:tc>
              <w:tc>
                <w:tcPr>
                  <w:tcW w:w="529" w:type="dxa"/>
                  <w:vAlign w:val="center"/>
                </w:tcPr>
                <w:p w14:paraId="3829E144">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Y</w:t>
                  </w:r>
                </w:p>
              </w:tc>
              <w:tc>
                <w:tcPr>
                  <w:tcW w:w="913" w:type="dxa"/>
                  <w:vMerge w:val="continue"/>
                  <w:vAlign w:val="center"/>
                </w:tcPr>
                <w:p w14:paraId="60E83F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752" w:type="dxa"/>
                  <w:vMerge w:val="continue"/>
                  <w:vAlign w:val="center"/>
                </w:tcPr>
                <w:p w14:paraId="69792B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698" w:type="dxa"/>
                  <w:vMerge w:val="continue"/>
                  <w:vAlign w:val="center"/>
                </w:tcPr>
                <w:p w14:paraId="3C59A3E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607" w:type="dxa"/>
                  <w:vMerge w:val="continue"/>
                  <w:vAlign w:val="center"/>
                </w:tcPr>
                <w:p w14:paraId="00A2C2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682" w:type="dxa"/>
                  <w:vMerge w:val="continue"/>
                  <w:vAlign w:val="center"/>
                </w:tcPr>
                <w:p w14:paraId="47D5A4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676" w:type="dxa"/>
                  <w:vMerge w:val="continue"/>
                  <w:vAlign w:val="center"/>
                </w:tcPr>
                <w:p w14:paraId="48B96E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1265" w:type="dxa"/>
                  <w:vAlign w:val="center"/>
                </w:tcPr>
                <w:p w14:paraId="74C291BF">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名称</w:t>
                  </w:r>
                </w:p>
              </w:tc>
              <w:tc>
                <w:tcPr>
                  <w:tcW w:w="1065" w:type="dxa"/>
                  <w:vAlign w:val="center"/>
                </w:tcPr>
                <w:p w14:paraId="25248565">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0"/>
                      <w:sz w:val="21"/>
                      <w:szCs w:val="21"/>
                      <w:lang w:val="en-US" w:eastAsia="zh-CN"/>
                    </w:rPr>
                  </w:pPr>
                  <w:r>
                    <w:rPr>
                      <w:rFonts w:hint="eastAsia" w:cs="Times New Roman"/>
                      <w:b/>
                      <w:bCs/>
                      <w:color w:val="auto"/>
                      <w:kern w:val="0"/>
                      <w:sz w:val="21"/>
                      <w:szCs w:val="21"/>
                      <w:lang w:val="en-US" w:eastAsia="zh-CN"/>
                    </w:rPr>
                    <w:t>排放量</w:t>
                  </w:r>
                </w:p>
              </w:tc>
              <w:tc>
                <w:tcPr>
                  <w:tcW w:w="824" w:type="dxa"/>
                  <w:vAlign w:val="center"/>
                </w:tcPr>
                <w:p w14:paraId="42564BFD">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排放速率（kg/h）</w:t>
                  </w:r>
                </w:p>
              </w:tc>
              <w:tc>
                <w:tcPr>
                  <w:tcW w:w="799" w:type="dxa"/>
                  <w:vAlign w:val="center"/>
                </w:tcPr>
                <w:p w14:paraId="7E9D8CB6">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排放</w:t>
                  </w:r>
                  <w:r>
                    <w:rPr>
                      <w:b/>
                      <w:bCs/>
                      <w:color w:val="auto"/>
                    </w:rPr>
                    <w:t>浓度</w:t>
                  </w:r>
                  <w:r>
                    <w:rPr>
                      <w:rFonts w:hint="eastAsia"/>
                      <w:b/>
                      <w:bCs/>
                      <w:color w:val="auto"/>
                    </w:rPr>
                    <w:t>（</w:t>
                  </w:r>
                  <w:r>
                    <w:rPr>
                      <w:b/>
                      <w:bCs/>
                      <w:color w:val="auto"/>
                    </w:rPr>
                    <w:t>mg/m</w:t>
                  </w:r>
                  <w:r>
                    <w:rPr>
                      <w:b/>
                      <w:bCs/>
                      <w:color w:val="auto"/>
                      <w:vertAlign w:val="superscript"/>
                    </w:rPr>
                    <w:t>3</w:t>
                  </w:r>
                  <w:r>
                    <w:rPr>
                      <w:rFonts w:hint="eastAsia"/>
                      <w:b/>
                      <w:bCs/>
                      <w:color w:val="auto"/>
                    </w:rPr>
                    <w:t>）</w:t>
                  </w:r>
                </w:p>
              </w:tc>
              <w:tc>
                <w:tcPr>
                  <w:tcW w:w="1170" w:type="dxa"/>
                  <w:vAlign w:val="center"/>
                </w:tcPr>
                <w:p w14:paraId="5C5A7A56">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b/>
                      <w:bCs/>
                      <w:color w:val="auto"/>
                    </w:rPr>
                    <w:t>浓度</w:t>
                  </w:r>
                  <w:r>
                    <w:rPr>
                      <w:rFonts w:hint="eastAsia"/>
                      <w:b/>
                      <w:bCs/>
                      <w:color w:val="auto"/>
                    </w:rPr>
                    <w:t>（</w:t>
                  </w:r>
                  <w:r>
                    <w:rPr>
                      <w:b/>
                      <w:bCs/>
                      <w:color w:val="auto"/>
                    </w:rPr>
                    <w:t>mg/m</w:t>
                  </w:r>
                  <w:r>
                    <w:rPr>
                      <w:b/>
                      <w:bCs/>
                      <w:color w:val="auto"/>
                      <w:vertAlign w:val="superscript"/>
                    </w:rPr>
                    <w:t>3</w:t>
                  </w:r>
                  <w:r>
                    <w:rPr>
                      <w:rFonts w:hint="eastAsia"/>
                      <w:b/>
                      <w:bCs/>
                      <w:color w:val="auto"/>
                    </w:rPr>
                    <w:t>）</w:t>
                  </w:r>
                </w:p>
              </w:tc>
              <w:tc>
                <w:tcPr>
                  <w:tcW w:w="881" w:type="dxa"/>
                  <w:vAlign w:val="center"/>
                </w:tcPr>
                <w:p w14:paraId="418CAA87">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eastAsia" w:eastAsia="宋体"/>
                      <w:b/>
                      <w:bCs/>
                      <w:color w:val="auto"/>
                      <w:lang w:val="en-US" w:eastAsia="zh-CN"/>
                    </w:rPr>
                  </w:pPr>
                  <w:r>
                    <w:rPr>
                      <w:rFonts w:hint="eastAsia"/>
                      <w:b/>
                      <w:bCs/>
                      <w:color w:val="auto"/>
                      <w:lang w:val="en-US" w:eastAsia="zh-CN"/>
                    </w:rPr>
                    <w:t>速率</w:t>
                  </w:r>
                  <w:r>
                    <w:rPr>
                      <w:rFonts w:hint="default" w:ascii="Times New Roman" w:hAnsi="Times New Roman" w:cs="Times New Roman"/>
                      <w:b/>
                      <w:bCs/>
                      <w:color w:val="auto"/>
                      <w:kern w:val="0"/>
                      <w:sz w:val="21"/>
                      <w:szCs w:val="21"/>
                    </w:rPr>
                    <w:t>（kg/h）</w:t>
                  </w:r>
                </w:p>
              </w:tc>
            </w:tr>
            <w:tr w14:paraId="297C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dxa"/>
                  <w:vMerge w:val="restart"/>
                  <w:vAlign w:val="center"/>
                </w:tcPr>
                <w:p w14:paraId="2C1F8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DA001</w:t>
                  </w:r>
                </w:p>
              </w:tc>
              <w:tc>
                <w:tcPr>
                  <w:tcW w:w="714" w:type="dxa"/>
                  <w:vMerge w:val="restart"/>
                  <w:vAlign w:val="center"/>
                </w:tcPr>
                <w:p w14:paraId="5097F8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锅炉燃烧废气</w:t>
                  </w:r>
                </w:p>
              </w:tc>
              <w:tc>
                <w:tcPr>
                  <w:tcW w:w="576" w:type="dxa"/>
                  <w:vMerge w:val="restart"/>
                  <w:vAlign w:val="center"/>
                </w:tcPr>
                <w:p w14:paraId="2F1B05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60</w:t>
                  </w:r>
                </w:p>
              </w:tc>
              <w:tc>
                <w:tcPr>
                  <w:tcW w:w="529" w:type="dxa"/>
                  <w:vMerge w:val="restart"/>
                  <w:vAlign w:val="center"/>
                </w:tcPr>
                <w:p w14:paraId="7EF10D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c>
                <w:tcPr>
                  <w:tcW w:w="913" w:type="dxa"/>
                  <w:vMerge w:val="restart"/>
                  <w:vAlign w:val="center"/>
                </w:tcPr>
                <w:p w14:paraId="19463A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36.75</w:t>
                  </w:r>
                </w:p>
              </w:tc>
              <w:tc>
                <w:tcPr>
                  <w:tcW w:w="752" w:type="dxa"/>
                  <w:vMerge w:val="restart"/>
                  <w:vAlign w:val="center"/>
                </w:tcPr>
                <w:p w14:paraId="1175E8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18*</w:t>
                  </w:r>
                </w:p>
              </w:tc>
              <w:tc>
                <w:tcPr>
                  <w:tcW w:w="698" w:type="dxa"/>
                  <w:vMerge w:val="restart"/>
                  <w:vAlign w:val="center"/>
                </w:tcPr>
                <w:p w14:paraId="0250C2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0.35</w:t>
                  </w:r>
                </w:p>
              </w:tc>
              <w:tc>
                <w:tcPr>
                  <w:tcW w:w="607" w:type="dxa"/>
                  <w:vMerge w:val="restart"/>
                  <w:vAlign w:val="center"/>
                </w:tcPr>
                <w:p w14:paraId="2AC0AC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w:t>
                  </w:r>
                  <w:r>
                    <w:rPr>
                      <w:rFonts w:hint="eastAsia" w:ascii="Times New Roman" w:hAnsi="Times New Roman" w:eastAsia="宋体" w:cs="Times New Roman"/>
                      <w:b w:val="0"/>
                      <w:bCs w:val="0"/>
                      <w:color w:val="auto"/>
                      <w:sz w:val="21"/>
                      <w:szCs w:val="21"/>
                      <w:lang w:val="en-US" w:eastAsia="zh-CN"/>
                    </w:rPr>
                    <w:t>5</w:t>
                  </w:r>
                </w:p>
              </w:tc>
              <w:tc>
                <w:tcPr>
                  <w:tcW w:w="682" w:type="dxa"/>
                  <w:vMerge w:val="restart"/>
                  <w:vAlign w:val="center"/>
                </w:tcPr>
                <w:p w14:paraId="1EC1AD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40</w:t>
                  </w:r>
                </w:p>
              </w:tc>
              <w:tc>
                <w:tcPr>
                  <w:tcW w:w="676" w:type="dxa"/>
                  <w:vMerge w:val="restart"/>
                  <w:vAlign w:val="center"/>
                </w:tcPr>
                <w:p w14:paraId="36B479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1265" w:type="dxa"/>
                  <w:vAlign w:val="center"/>
                </w:tcPr>
                <w:p w14:paraId="456F43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颗粒物</w:t>
                  </w:r>
                </w:p>
              </w:tc>
              <w:tc>
                <w:tcPr>
                  <w:tcW w:w="1065" w:type="dxa"/>
                  <w:vAlign w:val="center"/>
                </w:tcPr>
                <w:p w14:paraId="00CFD941">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0.079kg/a</w:t>
                  </w:r>
                </w:p>
              </w:tc>
              <w:tc>
                <w:tcPr>
                  <w:tcW w:w="824" w:type="dxa"/>
                  <w:vAlign w:val="center"/>
                </w:tcPr>
                <w:p w14:paraId="352AB572">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0.002</w:t>
                  </w:r>
                </w:p>
              </w:tc>
              <w:tc>
                <w:tcPr>
                  <w:tcW w:w="799" w:type="dxa"/>
                  <w:vAlign w:val="center"/>
                </w:tcPr>
                <w:p w14:paraId="5AEB20CA">
                  <w:pPr>
                    <w:pStyle w:val="4"/>
                    <w:pageBreakBefore w:val="0"/>
                    <w:kinsoku/>
                    <w:wordWrap/>
                    <w:overflowPunct/>
                    <w:topLinePunct w:val="0"/>
                    <w:autoSpaceDE/>
                    <w:autoSpaceDN/>
                    <w:bidi w:val="0"/>
                    <w:adjustRightInd/>
                    <w:snapToGrid/>
                    <w:spacing w:line="240" w:lineRule="auto"/>
                    <w:ind w:firstLine="0" w:firstLineChars="0"/>
                    <w:outlineLvl w:val="0"/>
                    <w:rPr>
                      <w:rFonts w:hint="default" w:ascii="Times New Roman" w:hAnsi="Times New Roman" w:eastAsia="宋体" w:cs="Times New Roman"/>
                      <w:b w:val="0"/>
                      <w:bCs w:val="0"/>
                      <w:color w:val="auto"/>
                      <w:sz w:val="21"/>
                      <w:szCs w:val="21"/>
                      <w:lang w:val="en-US" w:eastAsia="zh-CN"/>
                    </w:rPr>
                  </w:pPr>
                  <w:r>
                    <w:rPr>
                      <w:rFonts w:hint="eastAsia" w:cs="Times New Roman"/>
                      <w:color w:val="auto"/>
                      <w:sz w:val="21"/>
                      <w:szCs w:val="21"/>
                      <w:lang w:val="en-US" w:eastAsia="zh-CN"/>
                    </w:rPr>
                    <w:t>0.023</w:t>
                  </w:r>
                </w:p>
              </w:tc>
              <w:tc>
                <w:tcPr>
                  <w:tcW w:w="1170" w:type="dxa"/>
                  <w:vAlign w:val="center"/>
                </w:tcPr>
                <w:p w14:paraId="1BDDD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20</w:t>
                  </w:r>
                </w:p>
              </w:tc>
              <w:tc>
                <w:tcPr>
                  <w:tcW w:w="881" w:type="dxa"/>
                  <w:vAlign w:val="center"/>
                </w:tcPr>
                <w:p w14:paraId="78D9BD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r>
            <w:tr w14:paraId="6AC2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dxa"/>
                  <w:vMerge w:val="continue"/>
                  <w:vAlign w:val="center"/>
                </w:tcPr>
                <w:p w14:paraId="06F692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714" w:type="dxa"/>
                  <w:vMerge w:val="continue"/>
                  <w:vAlign w:val="center"/>
                </w:tcPr>
                <w:p w14:paraId="36E13B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576" w:type="dxa"/>
                  <w:vMerge w:val="continue"/>
                  <w:vAlign w:val="center"/>
                </w:tcPr>
                <w:p w14:paraId="237011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529" w:type="dxa"/>
                  <w:vMerge w:val="continue"/>
                  <w:vAlign w:val="center"/>
                </w:tcPr>
                <w:p w14:paraId="52B394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913" w:type="dxa"/>
                  <w:vMerge w:val="continue"/>
                  <w:vAlign w:val="center"/>
                </w:tcPr>
                <w:p w14:paraId="01EA71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752" w:type="dxa"/>
                  <w:vMerge w:val="continue"/>
                  <w:vAlign w:val="center"/>
                </w:tcPr>
                <w:p w14:paraId="526CCA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98" w:type="dxa"/>
                  <w:vMerge w:val="continue"/>
                  <w:vAlign w:val="center"/>
                </w:tcPr>
                <w:p w14:paraId="5079F2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07" w:type="dxa"/>
                  <w:vMerge w:val="continue"/>
                  <w:vAlign w:val="center"/>
                </w:tcPr>
                <w:p w14:paraId="00340D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p>
              </w:tc>
              <w:tc>
                <w:tcPr>
                  <w:tcW w:w="682" w:type="dxa"/>
                  <w:vMerge w:val="continue"/>
                  <w:vAlign w:val="center"/>
                </w:tcPr>
                <w:p w14:paraId="4985F9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76" w:type="dxa"/>
                  <w:vMerge w:val="continue"/>
                  <w:vAlign w:val="center"/>
                </w:tcPr>
                <w:p w14:paraId="671453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p>
              </w:tc>
              <w:tc>
                <w:tcPr>
                  <w:tcW w:w="1265" w:type="dxa"/>
                  <w:vAlign w:val="center"/>
                </w:tcPr>
                <w:p w14:paraId="2BBDD0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SO</w:t>
                  </w:r>
                  <w:r>
                    <w:rPr>
                      <w:rFonts w:hint="eastAsia" w:cs="Times New Roman"/>
                      <w:b w:val="0"/>
                      <w:bCs w:val="0"/>
                      <w:color w:val="auto"/>
                      <w:sz w:val="21"/>
                      <w:szCs w:val="21"/>
                      <w:vertAlign w:val="subscript"/>
                      <w:lang w:val="en-US" w:eastAsia="zh-CN"/>
                    </w:rPr>
                    <w:t>2</w:t>
                  </w:r>
                </w:p>
              </w:tc>
              <w:tc>
                <w:tcPr>
                  <w:tcW w:w="1065" w:type="dxa"/>
                  <w:vAlign w:val="center"/>
                </w:tcPr>
                <w:p w14:paraId="55E6CFB3">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color w:val="auto"/>
                      <w:lang w:val="en-US" w:eastAsia="zh-CN"/>
                    </w:rPr>
                  </w:pPr>
                  <w:r>
                    <w:rPr>
                      <w:rFonts w:hint="eastAsia"/>
                      <w:color w:val="auto"/>
                      <w:lang w:val="en-US" w:eastAsia="zh-CN"/>
                    </w:rPr>
                    <w:t xml:space="preserve">0.0002kg/a </w:t>
                  </w:r>
                </w:p>
              </w:tc>
              <w:tc>
                <w:tcPr>
                  <w:tcW w:w="824" w:type="dxa"/>
                  <w:vAlign w:val="center"/>
                </w:tcPr>
                <w:p w14:paraId="623BF3D1">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0.000005</w:t>
                  </w:r>
                </w:p>
              </w:tc>
              <w:tc>
                <w:tcPr>
                  <w:tcW w:w="799" w:type="dxa"/>
                  <w:vAlign w:val="center"/>
                </w:tcPr>
                <w:p w14:paraId="58D114A1">
                  <w:pPr>
                    <w:pStyle w:val="4"/>
                    <w:pageBreakBefore w:val="0"/>
                    <w:kinsoku/>
                    <w:wordWrap/>
                    <w:overflowPunct/>
                    <w:topLinePunct w:val="0"/>
                    <w:autoSpaceDE/>
                    <w:autoSpaceDN/>
                    <w:bidi w:val="0"/>
                    <w:adjustRightInd/>
                    <w:snapToGrid/>
                    <w:spacing w:line="240" w:lineRule="auto"/>
                    <w:ind w:firstLine="0" w:firstLineChars="0"/>
                    <w:outlineLvl w:val="0"/>
                    <w:rPr>
                      <w:rFonts w:hint="default" w:cs="Times New Roman"/>
                      <w:b w:val="0"/>
                      <w:bCs w:val="0"/>
                      <w:color w:val="auto"/>
                      <w:sz w:val="21"/>
                      <w:szCs w:val="21"/>
                      <w:lang w:val="en-US" w:eastAsia="zh-CN"/>
                    </w:rPr>
                  </w:pPr>
                  <w:r>
                    <w:rPr>
                      <w:rFonts w:hint="eastAsia" w:cs="Times New Roman"/>
                      <w:color w:val="auto"/>
                      <w:sz w:val="21"/>
                      <w:szCs w:val="21"/>
                      <w:lang w:val="en-US" w:eastAsia="zh-CN"/>
                    </w:rPr>
                    <w:t>9.642</w:t>
                  </w:r>
                </w:p>
              </w:tc>
              <w:tc>
                <w:tcPr>
                  <w:tcW w:w="1170" w:type="dxa"/>
                  <w:vAlign w:val="center"/>
                </w:tcPr>
                <w:p w14:paraId="61DE7E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c>
                <w:tcPr>
                  <w:tcW w:w="881" w:type="dxa"/>
                  <w:vAlign w:val="center"/>
                </w:tcPr>
                <w:p w14:paraId="4B78B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w:t>
                  </w:r>
                </w:p>
              </w:tc>
            </w:tr>
            <w:tr w14:paraId="3996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dxa"/>
                  <w:vMerge w:val="continue"/>
                  <w:vAlign w:val="center"/>
                </w:tcPr>
                <w:p w14:paraId="42B23B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714" w:type="dxa"/>
                  <w:vMerge w:val="continue"/>
                  <w:vAlign w:val="center"/>
                </w:tcPr>
                <w:p w14:paraId="332C95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576" w:type="dxa"/>
                  <w:vMerge w:val="continue"/>
                  <w:vAlign w:val="center"/>
                </w:tcPr>
                <w:p w14:paraId="0EFB1C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529" w:type="dxa"/>
                  <w:vMerge w:val="continue"/>
                  <w:vAlign w:val="center"/>
                </w:tcPr>
                <w:p w14:paraId="768713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913" w:type="dxa"/>
                  <w:vMerge w:val="continue"/>
                  <w:vAlign w:val="center"/>
                </w:tcPr>
                <w:p w14:paraId="6B13E6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752" w:type="dxa"/>
                  <w:vMerge w:val="continue"/>
                  <w:vAlign w:val="center"/>
                </w:tcPr>
                <w:p w14:paraId="00328B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98" w:type="dxa"/>
                  <w:vMerge w:val="continue"/>
                  <w:vAlign w:val="center"/>
                </w:tcPr>
                <w:p w14:paraId="7C3E0A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07" w:type="dxa"/>
                  <w:vMerge w:val="continue"/>
                  <w:vAlign w:val="center"/>
                </w:tcPr>
                <w:p w14:paraId="38B028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p>
              </w:tc>
              <w:tc>
                <w:tcPr>
                  <w:tcW w:w="682" w:type="dxa"/>
                  <w:vMerge w:val="continue"/>
                  <w:vAlign w:val="center"/>
                </w:tcPr>
                <w:p w14:paraId="765F67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76" w:type="dxa"/>
                  <w:vMerge w:val="continue"/>
                  <w:vAlign w:val="center"/>
                </w:tcPr>
                <w:p w14:paraId="08949C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p>
              </w:tc>
              <w:tc>
                <w:tcPr>
                  <w:tcW w:w="1265" w:type="dxa"/>
                  <w:vAlign w:val="center"/>
                </w:tcPr>
                <w:p w14:paraId="234297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NO</w:t>
                  </w:r>
                  <w:r>
                    <w:rPr>
                      <w:rFonts w:hint="eastAsia" w:cs="Times New Roman"/>
                      <w:b w:val="0"/>
                      <w:bCs w:val="0"/>
                      <w:color w:val="auto"/>
                      <w:sz w:val="21"/>
                      <w:szCs w:val="21"/>
                      <w:vertAlign w:val="subscript"/>
                      <w:lang w:val="en-US" w:eastAsia="zh-CN"/>
                    </w:rPr>
                    <w:t>X</w:t>
                  </w:r>
                </w:p>
              </w:tc>
              <w:tc>
                <w:tcPr>
                  <w:tcW w:w="1065" w:type="dxa"/>
                  <w:vAlign w:val="center"/>
                </w:tcPr>
                <w:p w14:paraId="208B2881">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color w:val="auto"/>
                      <w:lang w:val="en-US" w:eastAsia="zh-CN"/>
                    </w:rPr>
                  </w:pPr>
                  <w:r>
                    <w:rPr>
                      <w:rFonts w:hint="eastAsia" w:cs="Times New Roman"/>
                      <w:color w:val="auto"/>
                      <w:sz w:val="21"/>
                      <w:szCs w:val="21"/>
                      <w:lang w:val="en-US" w:eastAsia="zh-CN"/>
                    </w:rPr>
                    <w:t xml:space="preserve">0.4 </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r>
                    <w:rPr>
                      <w:rFonts w:hint="eastAsia"/>
                      <w:color w:val="auto"/>
                      <w:lang w:val="en-US" w:eastAsia="zh-CN"/>
                    </w:rPr>
                    <w:t xml:space="preserve"> </w:t>
                  </w:r>
                </w:p>
              </w:tc>
              <w:tc>
                <w:tcPr>
                  <w:tcW w:w="824" w:type="dxa"/>
                  <w:vAlign w:val="center"/>
                </w:tcPr>
                <w:p w14:paraId="0AE7BF93">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0.01</w:t>
                  </w:r>
                </w:p>
              </w:tc>
              <w:tc>
                <w:tcPr>
                  <w:tcW w:w="799" w:type="dxa"/>
                  <w:vAlign w:val="center"/>
                </w:tcPr>
                <w:p w14:paraId="7F21E327">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default" w:cs="Times New Roman"/>
                      <w:b w:val="0"/>
                      <w:bCs w:val="0"/>
                      <w:color w:val="auto"/>
                      <w:sz w:val="21"/>
                      <w:szCs w:val="21"/>
                      <w:lang w:val="en-US" w:eastAsia="zh-CN"/>
                    </w:rPr>
                  </w:pPr>
                  <w:r>
                    <w:rPr>
                      <w:rFonts w:hint="eastAsia" w:cs="Times New Roman"/>
                      <w:color w:val="auto"/>
                      <w:sz w:val="21"/>
                      <w:szCs w:val="21"/>
                      <w:lang w:val="en-US" w:eastAsia="zh-CN"/>
                    </w:rPr>
                    <w:t>50</w:t>
                  </w:r>
                </w:p>
              </w:tc>
              <w:tc>
                <w:tcPr>
                  <w:tcW w:w="1170" w:type="dxa"/>
                  <w:vAlign w:val="center"/>
                </w:tcPr>
                <w:p w14:paraId="08ABD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c>
                <w:tcPr>
                  <w:tcW w:w="881" w:type="dxa"/>
                  <w:vAlign w:val="center"/>
                </w:tcPr>
                <w:p w14:paraId="6F8E6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w:t>
                  </w:r>
                </w:p>
              </w:tc>
            </w:tr>
            <w:tr w14:paraId="45CC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9" w:type="dxa"/>
                  <w:gridSpan w:val="16"/>
                  <w:vAlign w:val="center"/>
                </w:tcPr>
                <w:p w14:paraId="2A7B8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cs="Times New Roman"/>
                      <w:b/>
                      <w:bCs/>
                      <w:color w:val="000000"/>
                      <w:sz w:val="21"/>
                      <w:szCs w:val="21"/>
                      <w:lang w:val="en-US" w:eastAsia="zh-CN"/>
                    </w:rPr>
                  </w:pPr>
                  <w:r>
                    <w:rPr>
                      <w:rFonts w:hint="eastAsia"/>
                      <w:b/>
                      <w:bCs/>
                      <w:color w:val="000000"/>
                      <w:sz w:val="21"/>
                      <w:szCs w:val="21"/>
                    </w:rPr>
                    <w:t>注：</w:t>
                  </w:r>
                  <w:r>
                    <w:rPr>
                      <w:rFonts w:hint="eastAsia"/>
                      <w:b/>
                      <w:bCs/>
                      <w:color w:val="000000"/>
                      <w:sz w:val="21"/>
                      <w:szCs w:val="21"/>
                      <w:lang w:val="en-US" w:eastAsia="zh-CN"/>
                    </w:rPr>
                    <w:t>*</w:t>
                  </w:r>
                  <w:r>
                    <w:rPr>
                      <w:rFonts w:hint="eastAsia"/>
                      <w:b/>
                      <w:bCs/>
                      <w:color w:val="000000"/>
                      <w:sz w:val="21"/>
                      <w:szCs w:val="21"/>
                    </w:rPr>
                    <w:t>以</w:t>
                  </w:r>
                  <w:r>
                    <w:rPr>
                      <w:rFonts w:hint="eastAsia"/>
                      <w:b/>
                      <w:bCs/>
                      <w:color w:val="000000"/>
                      <w:sz w:val="21"/>
                      <w:szCs w:val="21"/>
                      <w:lang w:val="en-US" w:eastAsia="zh-CN"/>
                    </w:rPr>
                    <w:t>能源站厂界西</w:t>
                  </w:r>
                  <w:r>
                    <w:rPr>
                      <w:rFonts w:hint="eastAsia"/>
                      <w:b/>
                      <w:bCs/>
                      <w:color w:val="000000"/>
                      <w:sz w:val="21"/>
                      <w:szCs w:val="21"/>
                    </w:rPr>
                    <w:t>南角为坐标原点（经度116.845995，纬度33.904732），</w:t>
                  </w:r>
                  <w:r>
                    <w:rPr>
                      <w:rFonts w:hint="eastAsia" w:ascii="Times New Roman" w:hAnsi="Times New Roman" w:cs="Times New Roman"/>
                      <w:b/>
                      <w:bCs/>
                      <w:color w:val="000000"/>
                      <w:sz w:val="21"/>
                      <w:szCs w:val="21"/>
                      <w:lang w:val="en-US" w:eastAsia="zh-CN"/>
                    </w:rPr>
                    <w:t>正东方向为X轴，正北方向为Y轴</w:t>
                  </w:r>
                </w:p>
                <w:p w14:paraId="51614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cs="Times New Roman"/>
                      <w:b/>
                      <w:bCs/>
                      <w:color w:val="000000"/>
                      <w:sz w:val="21"/>
                      <w:szCs w:val="21"/>
                      <w:lang w:val="en-US" w:eastAsia="zh-CN"/>
                    </w:rPr>
                  </w:pPr>
                  <w:r>
                    <w:rPr>
                      <w:rFonts w:hint="eastAsia" w:cs="Times New Roman"/>
                      <w:b/>
                      <w:bCs/>
                      <w:color w:val="000000"/>
                      <w:sz w:val="21"/>
                      <w:szCs w:val="21"/>
                      <w:lang w:val="en-US" w:eastAsia="zh-CN"/>
                    </w:rPr>
                    <w:t>本项目出于安全考虑设置18m高排气筒</w:t>
                  </w:r>
                </w:p>
                <w:p w14:paraId="624D4296">
                  <w:pPr>
                    <w:pStyle w:val="22"/>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lang w:val="en-US" w:eastAsia="zh-CN"/>
                    </w:rPr>
                  </w:pPr>
                  <w:r>
                    <w:rPr>
                      <w:rFonts w:hint="eastAsia"/>
                      <w:b/>
                      <w:bCs/>
                      <w:sz w:val="21"/>
                      <w:szCs w:val="21"/>
                    </w:rPr>
                    <w:t>注：</w:t>
                  </w:r>
                  <w:r>
                    <w:rPr>
                      <w:b/>
                      <w:bCs/>
                      <w:sz w:val="21"/>
                      <w:szCs w:val="21"/>
                    </w:rPr>
                    <w:t>*皖大气办〔2020〕2号：安徽省大气办关于印发《安徽省2020年大气污染防治重点工作任务》中明确，2020年底前，城市建成区燃气锅炉基本完成低氮燃烧改造，原则上改造后氮氧化物排放浓度不高于50毫克/立方米，故本项目燃气锅炉氮氧化物排放标准要求为50mg/m</w:t>
                  </w:r>
                  <w:r>
                    <w:rPr>
                      <w:b/>
                      <w:bCs/>
                      <w:sz w:val="21"/>
                      <w:szCs w:val="21"/>
                      <w:vertAlign w:val="superscript"/>
                    </w:rPr>
                    <w:t>3</w:t>
                  </w:r>
                  <w:r>
                    <w:rPr>
                      <w:b/>
                      <w:bCs/>
                      <w:sz w:val="21"/>
                      <w:szCs w:val="21"/>
                    </w:rPr>
                    <w:t>。</w:t>
                  </w:r>
                </w:p>
              </w:tc>
            </w:tr>
          </w:tbl>
          <w:p w14:paraId="68B31B25">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表4-</w:t>
            </w:r>
            <w:r>
              <w:rPr>
                <w:rFonts w:hint="eastAsia" w:cs="Times New Roman"/>
                <w:b/>
                <w:bCs/>
                <w:color w:val="auto"/>
                <w:lang w:val="en-US" w:eastAsia="zh-CN"/>
              </w:rPr>
              <w:t>12</w:t>
            </w:r>
            <w:r>
              <w:rPr>
                <w:rFonts w:hint="eastAsia" w:ascii="Times New Roman" w:hAnsi="Times New Roman" w:eastAsia="宋体" w:cs="Times New Roman"/>
                <w:b/>
                <w:bCs/>
                <w:color w:val="auto"/>
                <w:lang w:val="en-US" w:eastAsia="zh-CN"/>
              </w:rPr>
              <w:t xml:space="preserve"> </w:t>
            </w:r>
            <w:r>
              <w:rPr>
                <w:rFonts w:hint="eastAsia" w:cs="Times New Roman"/>
                <w:b/>
                <w:bCs/>
                <w:color w:val="auto"/>
                <w:lang w:val="en-US" w:eastAsia="zh-CN"/>
              </w:rPr>
              <w:t xml:space="preserve"> </w:t>
            </w:r>
            <w:r>
              <w:rPr>
                <w:rFonts w:hint="eastAsia" w:eastAsia="宋体" w:cs="Times New Roman"/>
                <w:b/>
                <w:bCs/>
                <w:color w:val="auto"/>
                <w:lang w:val="en-US" w:eastAsia="zh-CN"/>
              </w:rPr>
              <w:t>本项目</w:t>
            </w:r>
            <w:r>
              <w:rPr>
                <w:rFonts w:hint="eastAsia" w:ascii="Times New Roman" w:hAnsi="Times New Roman" w:eastAsia="宋体" w:cs="Times New Roman"/>
                <w:b/>
                <w:bCs/>
                <w:color w:val="auto"/>
                <w:lang w:val="en-US" w:eastAsia="zh-CN"/>
              </w:rPr>
              <w:t>有组织废气产排情况表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489"/>
              <w:gridCol w:w="645"/>
              <w:gridCol w:w="579"/>
              <w:gridCol w:w="562"/>
              <w:gridCol w:w="621"/>
              <w:gridCol w:w="548"/>
              <w:gridCol w:w="733"/>
              <w:gridCol w:w="738"/>
              <w:gridCol w:w="689"/>
              <w:gridCol w:w="692"/>
              <w:gridCol w:w="2393"/>
              <w:gridCol w:w="673"/>
              <w:gridCol w:w="610"/>
              <w:gridCol w:w="741"/>
              <w:gridCol w:w="659"/>
              <w:gridCol w:w="831"/>
            </w:tblGrid>
            <w:tr w14:paraId="0A36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restart"/>
                  <w:vAlign w:val="center"/>
                </w:tcPr>
                <w:p w14:paraId="2AE9634A">
                  <w:pPr>
                    <w:pStyle w:val="4"/>
                    <w:bidi w:val="0"/>
                    <w:jc w:val="center"/>
                    <w:rPr>
                      <w:rFonts w:hint="eastAsia" w:eastAsia="宋体"/>
                      <w:b/>
                      <w:bCs w:val="0"/>
                      <w:lang w:eastAsia="zh-CN"/>
                    </w:rPr>
                  </w:pPr>
                  <w:r>
                    <w:rPr>
                      <w:rFonts w:hint="eastAsia"/>
                      <w:b/>
                      <w:bCs w:val="0"/>
                      <w:lang w:val="en-US" w:eastAsia="zh-CN"/>
                    </w:rPr>
                    <w:t>名称</w:t>
                  </w:r>
                </w:p>
              </w:tc>
              <w:tc>
                <w:tcPr>
                  <w:tcW w:w="489" w:type="dxa"/>
                  <w:vMerge w:val="restart"/>
                  <w:vAlign w:val="center"/>
                </w:tcPr>
                <w:p w14:paraId="0ABB8E22">
                  <w:pPr>
                    <w:pStyle w:val="4"/>
                    <w:bidi w:val="0"/>
                    <w:jc w:val="center"/>
                    <w:rPr>
                      <w:rFonts w:hint="default"/>
                      <w:b/>
                      <w:bCs w:val="0"/>
                    </w:rPr>
                  </w:pPr>
                  <w:r>
                    <w:rPr>
                      <w:rFonts w:hint="default"/>
                      <w:b/>
                      <w:bCs w:val="0"/>
                    </w:rPr>
                    <w:t>排气筒高度（m）</w:t>
                  </w:r>
                </w:p>
              </w:tc>
              <w:tc>
                <w:tcPr>
                  <w:tcW w:w="645" w:type="dxa"/>
                  <w:vMerge w:val="restart"/>
                  <w:vAlign w:val="center"/>
                </w:tcPr>
                <w:p w14:paraId="05CEA9A4">
                  <w:pPr>
                    <w:pStyle w:val="4"/>
                    <w:bidi w:val="0"/>
                    <w:jc w:val="center"/>
                    <w:rPr>
                      <w:rFonts w:hint="default"/>
                      <w:b/>
                      <w:bCs w:val="0"/>
                    </w:rPr>
                  </w:pPr>
                  <w:r>
                    <w:rPr>
                      <w:rFonts w:hint="default"/>
                      <w:b/>
                      <w:bCs w:val="0"/>
                    </w:rPr>
                    <w:t>排气筒内径（m）</w:t>
                  </w:r>
                </w:p>
              </w:tc>
              <w:tc>
                <w:tcPr>
                  <w:tcW w:w="579" w:type="dxa"/>
                  <w:vMerge w:val="restart"/>
                  <w:vAlign w:val="center"/>
                </w:tcPr>
                <w:p w14:paraId="475EE8E9">
                  <w:pPr>
                    <w:pStyle w:val="4"/>
                    <w:bidi w:val="0"/>
                    <w:jc w:val="center"/>
                    <w:rPr>
                      <w:rFonts w:hint="default"/>
                      <w:b/>
                      <w:bCs w:val="0"/>
                    </w:rPr>
                  </w:pPr>
                  <w:r>
                    <w:rPr>
                      <w:rFonts w:hint="default"/>
                      <w:b/>
                      <w:bCs w:val="0"/>
                    </w:rPr>
                    <w:t>排气筒温度（</w:t>
                  </w:r>
                  <w:r>
                    <w:rPr>
                      <w:rFonts w:hint="default"/>
                      <w:b/>
                      <w:bCs w:val="0"/>
                      <w:vertAlign w:val="superscript"/>
                    </w:rPr>
                    <w:t>o</w:t>
                  </w:r>
                  <w:r>
                    <w:rPr>
                      <w:rFonts w:hint="default"/>
                      <w:b/>
                      <w:bCs w:val="0"/>
                    </w:rPr>
                    <w:t>C）</w:t>
                  </w:r>
                </w:p>
              </w:tc>
              <w:tc>
                <w:tcPr>
                  <w:tcW w:w="1183" w:type="dxa"/>
                  <w:gridSpan w:val="2"/>
                  <w:vAlign w:val="center"/>
                </w:tcPr>
                <w:p w14:paraId="46BBD6A0">
                  <w:pPr>
                    <w:pStyle w:val="4"/>
                    <w:bidi w:val="0"/>
                    <w:jc w:val="center"/>
                    <w:rPr>
                      <w:rFonts w:hint="default"/>
                      <w:b/>
                      <w:bCs w:val="0"/>
                    </w:rPr>
                  </w:pPr>
                  <w:r>
                    <w:rPr>
                      <w:rFonts w:hint="default"/>
                      <w:b/>
                      <w:bCs w:val="0"/>
                    </w:rPr>
                    <w:t>经纬度</w:t>
                  </w:r>
                </w:p>
              </w:tc>
              <w:tc>
                <w:tcPr>
                  <w:tcW w:w="548" w:type="dxa"/>
                  <w:vMerge w:val="restart"/>
                  <w:vAlign w:val="center"/>
                </w:tcPr>
                <w:p w14:paraId="01966E4C">
                  <w:pPr>
                    <w:pStyle w:val="4"/>
                    <w:bidi w:val="0"/>
                    <w:jc w:val="center"/>
                    <w:rPr>
                      <w:rFonts w:hint="default"/>
                      <w:b/>
                      <w:bCs w:val="0"/>
                    </w:rPr>
                  </w:pPr>
                  <w:r>
                    <w:rPr>
                      <w:rFonts w:hint="default"/>
                      <w:b/>
                      <w:bCs w:val="0"/>
                    </w:rPr>
                    <w:t>排放源</w:t>
                  </w:r>
                </w:p>
              </w:tc>
              <w:tc>
                <w:tcPr>
                  <w:tcW w:w="733" w:type="dxa"/>
                  <w:vMerge w:val="restart"/>
                  <w:vAlign w:val="center"/>
                </w:tcPr>
                <w:p w14:paraId="5023F679">
                  <w:pPr>
                    <w:pStyle w:val="4"/>
                    <w:bidi w:val="0"/>
                    <w:jc w:val="center"/>
                    <w:rPr>
                      <w:rFonts w:hint="default"/>
                      <w:b/>
                      <w:bCs w:val="0"/>
                    </w:rPr>
                  </w:pPr>
                  <w:r>
                    <w:rPr>
                      <w:rFonts w:hint="default"/>
                      <w:b/>
                      <w:bCs w:val="0"/>
                    </w:rPr>
                    <w:t>污染物</w:t>
                  </w:r>
                </w:p>
              </w:tc>
              <w:tc>
                <w:tcPr>
                  <w:tcW w:w="738" w:type="dxa"/>
                  <w:vMerge w:val="restart"/>
                  <w:vAlign w:val="center"/>
                </w:tcPr>
                <w:p w14:paraId="291AB10E">
                  <w:pPr>
                    <w:pStyle w:val="4"/>
                    <w:bidi w:val="0"/>
                    <w:jc w:val="center"/>
                    <w:rPr>
                      <w:rFonts w:hint="default"/>
                      <w:b/>
                      <w:bCs w:val="0"/>
                    </w:rPr>
                  </w:pPr>
                  <w:r>
                    <w:rPr>
                      <w:rFonts w:hint="default"/>
                      <w:b/>
                      <w:bCs w:val="0"/>
                    </w:rPr>
                    <w:t>工作时间（h）</w:t>
                  </w:r>
                </w:p>
              </w:tc>
              <w:tc>
                <w:tcPr>
                  <w:tcW w:w="689" w:type="dxa"/>
                  <w:vMerge w:val="restart"/>
                  <w:vAlign w:val="center"/>
                </w:tcPr>
                <w:p w14:paraId="3996D58B">
                  <w:pPr>
                    <w:pStyle w:val="4"/>
                    <w:bidi w:val="0"/>
                    <w:jc w:val="center"/>
                    <w:rPr>
                      <w:rFonts w:hint="default"/>
                      <w:b/>
                      <w:bCs w:val="0"/>
                    </w:rPr>
                  </w:pPr>
                  <w:r>
                    <w:rPr>
                      <w:rFonts w:hint="default"/>
                      <w:b/>
                      <w:bCs w:val="0"/>
                    </w:rPr>
                    <w:t>风量（m</w:t>
                  </w:r>
                  <w:r>
                    <w:rPr>
                      <w:rFonts w:hint="default"/>
                      <w:b/>
                      <w:bCs w:val="0"/>
                      <w:vertAlign w:val="superscript"/>
                    </w:rPr>
                    <w:t>3</w:t>
                  </w:r>
                  <w:r>
                    <w:rPr>
                      <w:rFonts w:hint="default"/>
                      <w:b/>
                      <w:bCs w:val="0"/>
                    </w:rPr>
                    <w:t>/h）</w:t>
                  </w:r>
                </w:p>
              </w:tc>
              <w:tc>
                <w:tcPr>
                  <w:tcW w:w="692" w:type="dxa"/>
                  <w:vMerge w:val="restart"/>
                  <w:vAlign w:val="center"/>
                </w:tcPr>
                <w:p w14:paraId="70CFCEF0">
                  <w:pPr>
                    <w:pStyle w:val="4"/>
                    <w:bidi w:val="0"/>
                    <w:jc w:val="center"/>
                    <w:rPr>
                      <w:rFonts w:hint="default"/>
                      <w:b/>
                      <w:bCs w:val="0"/>
                      <w:lang w:val="en-US" w:eastAsia="zh-CN"/>
                    </w:rPr>
                  </w:pPr>
                  <w:r>
                    <w:rPr>
                      <w:rFonts w:hint="eastAsia"/>
                      <w:b/>
                      <w:bCs w:val="0"/>
                      <w:lang w:val="en-US" w:eastAsia="zh-CN"/>
                    </w:rPr>
                    <w:t>产生量</w:t>
                  </w:r>
                </w:p>
              </w:tc>
              <w:tc>
                <w:tcPr>
                  <w:tcW w:w="2393" w:type="dxa"/>
                  <w:vMerge w:val="restart"/>
                  <w:vAlign w:val="center"/>
                </w:tcPr>
                <w:p w14:paraId="5E9DE3FA">
                  <w:pPr>
                    <w:pStyle w:val="4"/>
                    <w:bidi w:val="0"/>
                    <w:jc w:val="center"/>
                    <w:rPr>
                      <w:rFonts w:hint="default"/>
                      <w:b/>
                      <w:bCs w:val="0"/>
                    </w:rPr>
                  </w:pPr>
                  <w:r>
                    <w:rPr>
                      <w:rFonts w:hint="default"/>
                      <w:b/>
                      <w:bCs w:val="0"/>
                    </w:rPr>
                    <w:t>治理措施</w:t>
                  </w:r>
                </w:p>
              </w:tc>
              <w:tc>
                <w:tcPr>
                  <w:tcW w:w="2024" w:type="dxa"/>
                  <w:gridSpan w:val="3"/>
                  <w:vAlign w:val="center"/>
                </w:tcPr>
                <w:p w14:paraId="2E495A6D">
                  <w:pPr>
                    <w:pStyle w:val="4"/>
                    <w:bidi w:val="0"/>
                    <w:jc w:val="center"/>
                    <w:rPr>
                      <w:rFonts w:hint="default"/>
                      <w:b/>
                      <w:bCs w:val="0"/>
                    </w:rPr>
                  </w:pPr>
                  <w:r>
                    <w:rPr>
                      <w:rFonts w:hint="default"/>
                      <w:b/>
                      <w:bCs w:val="0"/>
                    </w:rPr>
                    <w:t>排放情况</w:t>
                  </w:r>
                </w:p>
              </w:tc>
              <w:tc>
                <w:tcPr>
                  <w:tcW w:w="1490" w:type="dxa"/>
                  <w:gridSpan w:val="2"/>
                  <w:vAlign w:val="center"/>
                </w:tcPr>
                <w:p w14:paraId="51F65EC3">
                  <w:pPr>
                    <w:pStyle w:val="4"/>
                    <w:bidi w:val="0"/>
                    <w:jc w:val="center"/>
                    <w:rPr>
                      <w:rFonts w:hint="default"/>
                      <w:b/>
                      <w:bCs w:val="0"/>
                    </w:rPr>
                  </w:pPr>
                  <w:r>
                    <w:rPr>
                      <w:rFonts w:hint="default"/>
                      <w:b/>
                      <w:bCs w:val="0"/>
                    </w:rPr>
                    <w:t>执行标准</w:t>
                  </w:r>
                </w:p>
              </w:tc>
            </w:tr>
            <w:tr w14:paraId="405A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vAlign w:val="center"/>
                </w:tcPr>
                <w:p w14:paraId="5FAD61C1">
                  <w:pPr>
                    <w:pStyle w:val="4"/>
                    <w:bidi w:val="0"/>
                    <w:jc w:val="center"/>
                    <w:rPr>
                      <w:rFonts w:hint="default"/>
                      <w:b/>
                      <w:bCs w:val="0"/>
                    </w:rPr>
                  </w:pPr>
                </w:p>
              </w:tc>
              <w:tc>
                <w:tcPr>
                  <w:tcW w:w="489" w:type="dxa"/>
                  <w:vMerge w:val="continue"/>
                  <w:vAlign w:val="center"/>
                </w:tcPr>
                <w:p w14:paraId="717A1B03">
                  <w:pPr>
                    <w:pStyle w:val="4"/>
                    <w:bidi w:val="0"/>
                    <w:jc w:val="center"/>
                    <w:rPr>
                      <w:rFonts w:hint="default"/>
                      <w:b/>
                      <w:bCs w:val="0"/>
                    </w:rPr>
                  </w:pPr>
                </w:p>
              </w:tc>
              <w:tc>
                <w:tcPr>
                  <w:tcW w:w="645" w:type="dxa"/>
                  <w:vMerge w:val="continue"/>
                  <w:vAlign w:val="center"/>
                </w:tcPr>
                <w:p w14:paraId="58548B7B">
                  <w:pPr>
                    <w:pStyle w:val="4"/>
                    <w:bidi w:val="0"/>
                    <w:jc w:val="center"/>
                    <w:rPr>
                      <w:rFonts w:hint="default"/>
                      <w:b/>
                      <w:bCs w:val="0"/>
                    </w:rPr>
                  </w:pPr>
                </w:p>
              </w:tc>
              <w:tc>
                <w:tcPr>
                  <w:tcW w:w="579" w:type="dxa"/>
                  <w:vMerge w:val="continue"/>
                  <w:vAlign w:val="center"/>
                </w:tcPr>
                <w:p w14:paraId="68B19077">
                  <w:pPr>
                    <w:pStyle w:val="4"/>
                    <w:bidi w:val="0"/>
                    <w:jc w:val="center"/>
                    <w:rPr>
                      <w:rFonts w:hint="default"/>
                      <w:b/>
                      <w:bCs w:val="0"/>
                    </w:rPr>
                  </w:pPr>
                </w:p>
              </w:tc>
              <w:tc>
                <w:tcPr>
                  <w:tcW w:w="562" w:type="dxa"/>
                  <w:vAlign w:val="center"/>
                </w:tcPr>
                <w:p w14:paraId="56A1D11E">
                  <w:pPr>
                    <w:pStyle w:val="4"/>
                    <w:bidi w:val="0"/>
                    <w:jc w:val="center"/>
                    <w:rPr>
                      <w:rFonts w:hint="default"/>
                      <w:b/>
                      <w:bCs w:val="0"/>
                    </w:rPr>
                  </w:pPr>
                  <w:r>
                    <w:rPr>
                      <w:rFonts w:hint="default"/>
                      <w:b/>
                      <w:bCs w:val="0"/>
                    </w:rPr>
                    <w:t>经度</w:t>
                  </w:r>
                </w:p>
              </w:tc>
              <w:tc>
                <w:tcPr>
                  <w:tcW w:w="621" w:type="dxa"/>
                  <w:vAlign w:val="center"/>
                </w:tcPr>
                <w:p w14:paraId="24C31CC4">
                  <w:pPr>
                    <w:pStyle w:val="4"/>
                    <w:bidi w:val="0"/>
                    <w:jc w:val="center"/>
                    <w:rPr>
                      <w:rFonts w:hint="default"/>
                      <w:b/>
                      <w:bCs w:val="0"/>
                    </w:rPr>
                  </w:pPr>
                  <w:r>
                    <w:rPr>
                      <w:rFonts w:hint="default"/>
                      <w:b/>
                      <w:bCs w:val="0"/>
                    </w:rPr>
                    <w:t>纬度</w:t>
                  </w:r>
                </w:p>
              </w:tc>
              <w:tc>
                <w:tcPr>
                  <w:tcW w:w="548" w:type="dxa"/>
                  <w:vMerge w:val="continue"/>
                  <w:vAlign w:val="center"/>
                </w:tcPr>
                <w:p w14:paraId="3E85CC04">
                  <w:pPr>
                    <w:pStyle w:val="4"/>
                    <w:bidi w:val="0"/>
                    <w:jc w:val="center"/>
                    <w:rPr>
                      <w:rFonts w:hint="default"/>
                      <w:b/>
                      <w:bCs w:val="0"/>
                    </w:rPr>
                  </w:pPr>
                </w:p>
              </w:tc>
              <w:tc>
                <w:tcPr>
                  <w:tcW w:w="733" w:type="dxa"/>
                  <w:vMerge w:val="continue"/>
                  <w:vAlign w:val="center"/>
                </w:tcPr>
                <w:p w14:paraId="25CBDDD7">
                  <w:pPr>
                    <w:pStyle w:val="4"/>
                    <w:bidi w:val="0"/>
                    <w:jc w:val="center"/>
                    <w:rPr>
                      <w:rFonts w:hint="default"/>
                      <w:b/>
                      <w:bCs w:val="0"/>
                    </w:rPr>
                  </w:pPr>
                </w:p>
              </w:tc>
              <w:tc>
                <w:tcPr>
                  <w:tcW w:w="738" w:type="dxa"/>
                  <w:vMerge w:val="continue"/>
                  <w:vAlign w:val="center"/>
                </w:tcPr>
                <w:p w14:paraId="4407C253">
                  <w:pPr>
                    <w:pStyle w:val="4"/>
                    <w:bidi w:val="0"/>
                    <w:jc w:val="center"/>
                    <w:rPr>
                      <w:rFonts w:hint="default"/>
                      <w:b/>
                      <w:bCs w:val="0"/>
                    </w:rPr>
                  </w:pPr>
                </w:p>
              </w:tc>
              <w:tc>
                <w:tcPr>
                  <w:tcW w:w="689" w:type="dxa"/>
                  <w:vMerge w:val="continue"/>
                  <w:vAlign w:val="center"/>
                </w:tcPr>
                <w:p w14:paraId="4CCE11A6">
                  <w:pPr>
                    <w:pStyle w:val="4"/>
                    <w:bidi w:val="0"/>
                    <w:jc w:val="center"/>
                    <w:rPr>
                      <w:rFonts w:hint="default"/>
                      <w:b/>
                      <w:bCs w:val="0"/>
                    </w:rPr>
                  </w:pPr>
                </w:p>
              </w:tc>
              <w:tc>
                <w:tcPr>
                  <w:tcW w:w="692" w:type="dxa"/>
                  <w:vMerge w:val="continue"/>
                  <w:vAlign w:val="center"/>
                </w:tcPr>
                <w:p w14:paraId="2E3E95F4">
                  <w:pPr>
                    <w:pStyle w:val="4"/>
                    <w:bidi w:val="0"/>
                    <w:jc w:val="center"/>
                    <w:rPr>
                      <w:rFonts w:hint="default"/>
                      <w:b/>
                      <w:bCs w:val="0"/>
                    </w:rPr>
                  </w:pPr>
                </w:p>
              </w:tc>
              <w:tc>
                <w:tcPr>
                  <w:tcW w:w="2393" w:type="dxa"/>
                  <w:vMerge w:val="continue"/>
                  <w:vAlign w:val="center"/>
                </w:tcPr>
                <w:p w14:paraId="0C4AE005">
                  <w:pPr>
                    <w:pStyle w:val="4"/>
                    <w:bidi w:val="0"/>
                    <w:jc w:val="center"/>
                    <w:rPr>
                      <w:rFonts w:hint="default"/>
                      <w:b/>
                      <w:bCs w:val="0"/>
                    </w:rPr>
                  </w:pPr>
                </w:p>
              </w:tc>
              <w:tc>
                <w:tcPr>
                  <w:tcW w:w="673" w:type="dxa"/>
                  <w:vAlign w:val="center"/>
                </w:tcPr>
                <w:p w14:paraId="48E21EC4">
                  <w:pPr>
                    <w:pStyle w:val="4"/>
                    <w:bidi w:val="0"/>
                    <w:jc w:val="center"/>
                    <w:rPr>
                      <w:rFonts w:hint="default"/>
                      <w:b/>
                      <w:bCs w:val="0"/>
                    </w:rPr>
                  </w:pPr>
                  <w:r>
                    <w:rPr>
                      <w:rFonts w:hint="default"/>
                      <w:b/>
                      <w:bCs w:val="0"/>
                    </w:rPr>
                    <w:t>排放量（t/a）</w:t>
                  </w:r>
                </w:p>
              </w:tc>
              <w:tc>
                <w:tcPr>
                  <w:tcW w:w="610" w:type="dxa"/>
                  <w:vAlign w:val="center"/>
                </w:tcPr>
                <w:p w14:paraId="249092A2">
                  <w:pPr>
                    <w:pStyle w:val="4"/>
                    <w:bidi w:val="0"/>
                    <w:jc w:val="center"/>
                    <w:rPr>
                      <w:rFonts w:hint="default"/>
                      <w:b/>
                      <w:bCs w:val="0"/>
                    </w:rPr>
                  </w:pPr>
                  <w:r>
                    <w:rPr>
                      <w:rFonts w:hint="default"/>
                      <w:b/>
                      <w:bCs w:val="0"/>
                    </w:rPr>
                    <w:t>速率（kg/h）</w:t>
                  </w:r>
                </w:p>
              </w:tc>
              <w:tc>
                <w:tcPr>
                  <w:tcW w:w="741" w:type="dxa"/>
                  <w:vAlign w:val="center"/>
                </w:tcPr>
                <w:p w14:paraId="68B41CF5">
                  <w:pPr>
                    <w:pStyle w:val="4"/>
                    <w:bidi w:val="0"/>
                    <w:jc w:val="center"/>
                    <w:rPr>
                      <w:rFonts w:hint="default"/>
                      <w:b/>
                      <w:bCs w:val="0"/>
                    </w:rPr>
                  </w:pPr>
                  <w:r>
                    <w:rPr>
                      <w:rFonts w:hint="default"/>
                      <w:b/>
                      <w:bCs w:val="0"/>
                    </w:rPr>
                    <w:t>浓度（mg/m</w:t>
                  </w:r>
                  <w:r>
                    <w:rPr>
                      <w:rFonts w:hint="default"/>
                      <w:b/>
                      <w:bCs w:val="0"/>
                      <w:vertAlign w:val="superscript"/>
                    </w:rPr>
                    <w:t>3</w:t>
                  </w:r>
                  <w:r>
                    <w:rPr>
                      <w:rFonts w:hint="default"/>
                      <w:b/>
                      <w:bCs w:val="0"/>
                    </w:rPr>
                    <w:t>）</w:t>
                  </w:r>
                </w:p>
              </w:tc>
              <w:tc>
                <w:tcPr>
                  <w:tcW w:w="659" w:type="dxa"/>
                  <w:vAlign w:val="center"/>
                </w:tcPr>
                <w:p w14:paraId="7FB687A0">
                  <w:pPr>
                    <w:pStyle w:val="4"/>
                    <w:bidi w:val="0"/>
                    <w:jc w:val="center"/>
                    <w:rPr>
                      <w:rFonts w:hint="default"/>
                      <w:b/>
                      <w:bCs w:val="0"/>
                    </w:rPr>
                  </w:pPr>
                  <w:r>
                    <w:rPr>
                      <w:rFonts w:hint="default"/>
                      <w:b/>
                      <w:bCs w:val="0"/>
                    </w:rPr>
                    <w:t>速率（kg/h）</w:t>
                  </w:r>
                </w:p>
              </w:tc>
              <w:tc>
                <w:tcPr>
                  <w:tcW w:w="831" w:type="dxa"/>
                  <w:vAlign w:val="center"/>
                </w:tcPr>
                <w:p w14:paraId="1745D6ED">
                  <w:pPr>
                    <w:pStyle w:val="4"/>
                    <w:bidi w:val="0"/>
                    <w:jc w:val="center"/>
                    <w:rPr>
                      <w:rFonts w:hint="default"/>
                      <w:b/>
                      <w:bCs w:val="0"/>
                    </w:rPr>
                  </w:pPr>
                  <w:r>
                    <w:rPr>
                      <w:rFonts w:hint="default"/>
                      <w:b/>
                      <w:bCs w:val="0"/>
                    </w:rPr>
                    <w:t>浓度（mg/m</w:t>
                  </w:r>
                  <w:r>
                    <w:rPr>
                      <w:rFonts w:hint="default"/>
                      <w:b/>
                      <w:bCs w:val="0"/>
                      <w:vertAlign w:val="superscript"/>
                    </w:rPr>
                    <w:t>3</w:t>
                  </w:r>
                  <w:r>
                    <w:rPr>
                      <w:rFonts w:hint="default"/>
                      <w:b/>
                      <w:bCs w:val="0"/>
                    </w:rPr>
                    <w:t>）</w:t>
                  </w:r>
                </w:p>
              </w:tc>
            </w:tr>
            <w:tr w14:paraId="317C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restart"/>
                  <w:vAlign w:val="center"/>
                </w:tcPr>
                <w:p w14:paraId="06F49D5E">
                  <w:pPr>
                    <w:pStyle w:val="4"/>
                    <w:bidi w:val="0"/>
                    <w:jc w:val="center"/>
                    <w:rPr>
                      <w:rFonts w:hint="eastAsia"/>
                      <w:lang w:val="en-US" w:eastAsia="zh-CN"/>
                    </w:rPr>
                  </w:pPr>
                  <w:r>
                    <w:rPr>
                      <w:rFonts w:hint="eastAsia" w:cs="Times New Roman"/>
                      <w:b w:val="0"/>
                      <w:bCs w:val="0"/>
                      <w:color w:val="auto"/>
                      <w:sz w:val="21"/>
                      <w:szCs w:val="21"/>
                      <w:lang w:val="en-US" w:eastAsia="zh-CN"/>
                    </w:rPr>
                    <w:t>DA001</w:t>
                  </w:r>
                </w:p>
              </w:tc>
              <w:tc>
                <w:tcPr>
                  <w:tcW w:w="489" w:type="dxa"/>
                  <w:vMerge w:val="restart"/>
                  <w:vAlign w:val="center"/>
                </w:tcPr>
                <w:p w14:paraId="7595116A">
                  <w:pPr>
                    <w:pStyle w:val="4"/>
                    <w:bidi w:val="0"/>
                    <w:jc w:val="center"/>
                    <w:rPr>
                      <w:rFonts w:hint="default"/>
                      <w:lang w:val="en-US" w:eastAsia="zh-CN"/>
                    </w:rPr>
                  </w:pPr>
                  <w:r>
                    <w:rPr>
                      <w:rFonts w:hint="eastAsia"/>
                      <w:lang w:val="en-US" w:eastAsia="zh-CN"/>
                    </w:rPr>
                    <w:t>18</w:t>
                  </w:r>
                </w:p>
              </w:tc>
              <w:tc>
                <w:tcPr>
                  <w:tcW w:w="645" w:type="dxa"/>
                  <w:vMerge w:val="restart"/>
                  <w:vAlign w:val="center"/>
                </w:tcPr>
                <w:p w14:paraId="4FE3986D">
                  <w:pPr>
                    <w:pStyle w:val="4"/>
                    <w:bidi w:val="0"/>
                    <w:jc w:val="center"/>
                    <w:rPr>
                      <w:rFonts w:hint="eastAsia"/>
                      <w:lang w:val="en-US" w:eastAsia="zh-CN"/>
                    </w:rPr>
                  </w:pPr>
                  <w:r>
                    <w:rPr>
                      <w:rFonts w:hint="eastAsia" w:cs="Times New Roman"/>
                      <w:b w:val="0"/>
                      <w:bCs w:val="0"/>
                      <w:color w:val="auto"/>
                      <w:sz w:val="21"/>
                      <w:szCs w:val="21"/>
                      <w:lang w:val="en-US" w:eastAsia="zh-CN"/>
                    </w:rPr>
                    <w:t>0.35</w:t>
                  </w:r>
                </w:p>
              </w:tc>
              <w:tc>
                <w:tcPr>
                  <w:tcW w:w="579" w:type="dxa"/>
                  <w:vMerge w:val="restart"/>
                  <w:vAlign w:val="center"/>
                </w:tcPr>
                <w:p w14:paraId="334D7BE5">
                  <w:pPr>
                    <w:pStyle w:val="4"/>
                    <w:bidi w:val="0"/>
                    <w:jc w:val="center"/>
                    <w:rPr>
                      <w:rFonts w:hint="default"/>
                      <w:lang w:val="en-US" w:eastAsia="zh-CN"/>
                    </w:rPr>
                  </w:pPr>
                  <w:r>
                    <w:rPr>
                      <w:rFonts w:hint="eastAsia" w:cs="Times New Roman"/>
                      <w:b w:val="0"/>
                      <w:bCs w:val="0"/>
                      <w:color w:val="auto"/>
                      <w:sz w:val="21"/>
                      <w:szCs w:val="21"/>
                      <w:lang w:val="en-US" w:eastAsia="zh-CN"/>
                    </w:rPr>
                    <w:t>3</w:t>
                  </w:r>
                  <w:r>
                    <w:rPr>
                      <w:rFonts w:hint="eastAsia" w:ascii="Times New Roman" w:hAnsi="Times New Roman" w:eastAsia="宋体" w:cs="Times New Roman"/>
                      <w:b w:val="0"/>
                      <w:bCs w:val="0"/>
                      <w:color w:val="auto"/>
                      <w:sz w:val="21"/>
                      <w:szCs w:val="21"/>
                      <w:lang w:val="en-US" w:eastAsia="zh-CN"/>
                    </w:rPr>
                    <w:t>5</w:t>
                  </w:r>
                </w:p>
              </w:tc>
              <w:tc>
                <w:tcPr>
                  <w:tcW w:w="562" w:type="dxa"/>
                  <w:vMerge w:val="restart"/>
                  <w:vAlign w:val="center"/>
                </w:tcPr>
                <w:p w14:paraId="38CE57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lang w:val="en-US" w:eastAsia="zh-CN"/>
                    </w:rPr>
                  </w:pPr>
                  <w:r>
                    <w:rPr>
                      <w:rFonts w:hint="default" w:ascii="Times New Roman" w:hAnsi="Times New Roman" w:eastAsia="宋体" w:cs="Times New Roman"/>
                      <w:b w:val="0"/>
                      <w:bCs w:val="0"/>
                      <w:color w:val="auto"/>
                      <w:sz w:val="21"/>
                      <w:szCs w:val="21"/>
                      <w:lang w:val="en-US" w:eastAsia="zh-CN"/>
                    </w:rPr>
                    <w:t>116.846727</w:t>
                  </w:r>
                </w:p>
              </w:tc>
              <w:tc>
                <w:tcPr>
                  <w:tcW w:w="621" w:type="dxa"/>
                  <w:vMerge w:val="restart"/>
                  <w:vAlign w:val="center"/>
                </w:tcPr>
                <w:p w14:paraId="78250E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lang w:val="en-US" w:eastAsia="zh-CN"/>
                    </w:rPr>
                  </w:pPr>
                  <w:r>
                    <w:rPr>
                      <w:rFonts w:hint="default" w:ascii="Times New Roman" w:hAnsi="Times New Roman" w:eastAsia="宋体" w:cs="Times New Roman"/>
                      <w:b w:val="0"/>
                      <w:bCs w:val="0"/>
                      <w:color w:val="auto"/>
                      <w:sz w:val="21"/>
                      <w:szCs w:val="21"/>
                      <w:lang w:val="en-US" w:eastAsia="zh-CN"/>
                    </w:rPr>
                    <w:t>33.905180</w:t>
                  </w:r>
                </w:p>
              </w:tc>
              <w:tc>
                <w:tcPr>
                  <w:tcW w:w="548" w:type="dxa"/>
                  <w:vMerge w:val="restart"/>
                  <w:vAlign w:val="center"/>
                </w:tcPr>
                <w:p w14:paraId="5A2DC6C7">
                  <w:pPr>
                    <w:pStyle w:val="4"/>
                    <w:bidi w:val="0"/>
                    <w:jc w:val="center"/>
                    <w:rPr>
                      <w:rFonts w:hint="default"/>
                      <w:lang w:val="en-US" w:eastAsia="zh-CN"/>
                    </w:rPr>
                  </w:pPr>
                  <w:r>
                    <w:rPr>
                      <w:rFonts w:hint="eastAsia" w:cs="Times New Roman"/>
                      <w:b w:val="0"/>
                      <w:bCs w:val="0"/>
                      <w:color w:val="auto"/>
                      <w:sz w:val="21"/>
                      <w:szCs w:val="21"/>
                      <w:lang w:val="en-US" w:eastAsia="zh-CN"/>
                    </w:rPr>
                    <w:t>锅炉燃烧废气</w:t>
                  </w:r>
                </w:p>
              </w:tc>
              <w:tc>
                <w:tcPr>
                  <w:tcW w:w="733" w:type="dxa"/>
                  <w:vAlign w:val="center"/>
                </w:tcPr>
                <w:p w14:paraId="481CF638">
                  <w:pPr>
                    <w:pStyle w:val="4"/>
                    <w:bidi w:val="0"/>
                    <w:jc w:val="center"/>
                    <w:rPr>
                      <w:rFonts w:hint="default"/>
                      <w:lang w:val="en-US" w:eastAsia="zh-CN"/>
                    </w:rPr>
                  </w:pPr>
                  <w:r>
                    <w:rPr>
                      <w:rFonts w:hint="eastAsia" w:ascii="Times New Roman" w:hAnsi="Times New Roman" w:eastAsia="宋体" w:cs="Times New Roman"/>
                      <w:b w:val="0"/>
                      <w:bCs w:val="0"/>
                      <w:color w:val="auto"/>
                      <w:sz w:val="21"/>
                      <w:szCs w:val="21"/>
                      <w:lang w:val="en-US" w:eastAsia="zh-CN"/>
                    </w:rPr>
                    <w:t>颗粒物</w:t>
                  </w:r>
                </w:p>
              </w:tc>
              <w:tc>
                <w:tcPr>
                  <w:tcW w:w="738" w:type="dxa"/>
                  <w:vMerge w:val="restart"/>
                  <w:vAlign w:val="center"/>
                </w:tcPr>
                <w:p w14:paraId="36D8BF69">
                  <w:pPr>
                    <w:pStyle w:val="4"/>
                    <w:bidi w:val="0"/>
                    <w:jc w:val="center"/>
                    <w:rPr>
                      <w:rFonts w:hint="default"/>
                      <w:lang w:val="en-US" w:eastAsia="zh-CN"/>
                    </w:rPr>
                  </w:pPr>
                  <w:r>
                    <w:rPr>
                      <w:rFonts w:hint="eastAsia" w:cs="Times New Roman"/>
                      <w:b w:val="0"/>
                      <w:bCs w:val="0"/>
                      <w:color w:val="auto"/>
                      <w:sz w:val="21"/>
                      <w:szCs w:val="21"/>
                      <w:lang w:val="en-US" w:eastAsia="zh-CN"/>
                    </w:rPr>
                    <w:t>40</w:t>
                  </w:r>
                </w:p>
              </w:tc>
              <w:tc>
                <w:tcPr>
                  <w:tcW w:w="689" w:type="dxa"/>
                  <w:vMerge w:val="restart"/>
                  <w:vAlign w:val="center"/>
                </w:tcPr>
                <w:p w14:paraId="10DF7F80">
                  <w:pPr>
                    <w:pStyle w:val="4"/>
                    <w:bidi w:val="0"/>
                    <w:jc w:val="center"/>
                    <w:rPr>
                      <w:rFonts w:hint="default"/>
                      <w:lang w:val="en-US" w:eastAsia="zh-CN"/>
                    </w:rPr>
                  </w:pPr>
                  <w:r>
                    <w:rPr>
                      <w:rFonts w:hint="eastAsia" w:cs="Times New Roman"/>
                      <w:color w:val="auto"/>
                      <w:sz w:val="21"/>
                      <w:szCs w:val="21"/>
                      <w:lang w:val="en-US" w:eastAsia="zh-CN"/>
                    </w:rPr>
                    <w:t>107753</w:t>
                  </w:r>
                </w:p>
              </w:tc>
              <w:tc>
                <w:tcPr>
                  <w:tcW w:w="692" w:type="dxa"/>
                  <w:vAlign w:val="center"/>
                </w:tcPr>
                <w:p w14:paraId="3B32E79A">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lang w:val="en-US" w:eastAsia="zh-CN"/>
                    </w:rPr>
                  </w:pPr>
                  <w:r>
                    <w:rPr>
                      <w:rFonts w:hint="eastAsia" w:cs="Times New Roman"/>
                      <w:b w:val="0"/>
                      <w:bCs w:val="0"/>
                      <w:color w:val="auto"/>
                      <w:sz w:val="21"/>
                      <w:szCs w:val="21"/>
                      <w:lang w:val="en-US" w:eastAsia="zh-CN"/>
                    </w:rPr>
                    <w:t>0.079kg/a</w:t>
                  </w:r>
                </w:p>
              </w:tc>
              <w:tc>
                <w:tcPr>
                  <w:tcW w:w="2393" w:type="dxa"/>
                  <w:vMerge w:val="restart"/>
                  <w:vAlign w:val="center"/>
                </w:tcPr>
                <w:p w14:paraId="6D614BD7">
                  <w:pPr>
                    <w:pStyle w:val="4"/>
                    <w:bidi w:val="0"/>
                    <w:jc w:val="center"/>
                    <w:rPr>
                      <w:rFonts w:hint="default"/>
                      <w:lang w:val="en-US" w:eastAsia="zh-CN"/>
                    </w:rPr>
                  </w:pPr>
                  <w:r>
                    <w:rPr>
                      <w:rFonts w:hint="default" w:eastAsia="宋体"/>
                      <w:color w:val="auto"/>
                      <w:lang w:val="en-US" w:eastAsia="zh-CN"/>
                    </w:rPr>
                    <w:t>经设备自带的低氮燃烧器燃烧后通过DA001排气筒排放（排放高度18m）</w:t>
                  </w:r>
                </w:p>
              </w:tc>
              <w:tc>
                <w:tcPr>
                  <w:tcW w:w="673" w:type="dxa"/>
                  <w:vAlign w:val="center"/>
                </w:tcPr>
                <w:p w14:paraId="2F6F62EC">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lang w:val="en-US" w:eastAsia="zh-CN"/>
                    </w:rPr>
                  </w:pPr>
                  <w:r>
                    <w:rPr>
                      <w:rFonts w:hint="eastAsia" w:cs="Times New Roman"/>
                      <w:b w:val="0"/>
                      <w:bCs w:val="0"/>
                      <w:color w:val="auto"/>
                      <w:sz w:val="21"/>
                      <w:szCs w:val="21"/>
                      <w:lang w:val="en-US" w:eastAsia="zh-CN"/>
                    </w:rPr>
                    <w:t>0.079kg/a</w:t>
                  </w:r>
                </w:p>
              </w:tc>
              <w:tc>
                <w:tcPr>
                  <w:tcW w:w="610" w:type="dxa"/>
                  <w:vAlign w:val="center"/>
                </w:tcPr>
                <w:p w14:paraId="155AD5E5">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lang w:val="en-US" w:eastAsia="zh-CN"/>
                    </w:rPr>
                  </w:pPr>
                  <w:r>
                    <w:rPr>
                      <w:rFonts w:hint="eastAsia" w:cs="Times New Roman"/>
                      <w:b w:val="0"/>
                      <w:bCs w:val="0"/>
                      <w:color w:val="auto"/>
                      <w:sz w:val="21"/>
                      <w:szCs w:val="21"/>
                      <w:lang w:val="en-US" w:eastAsia="zh-CN"/>
                    </w:rPr>
                    <w:t>0.002</w:t>
                  </w:r>
                </w:p>
              </w:tc>
              <w:tc>
                <w:tcPr>
                  <w:tcW w:w="741" w:type="dxa"/>
                  <w:vAlign w:val="center"/>
                </w:tcPr>
                <w:p w14:paraId="1E589743">
                  <w:pPr>
                    <w:pStyle w:val="4"/>
                    <w:pageBreakBefore w:val="0"/>
                    <w:kinsoku/>
                    <w:wordWrap/>
                    <w:overflowPunct/>
                    <w:topLinePunct w:val="0"/>
                    <w:autoSpaceDE/>
                    <w:autoSpaceDN/>
                    <w:bidi w:val="0"/>
                    <w:adjustRightInd/>
                    <w:snapToGrid/>
                    <w:spacing w:line="240" w:lineRule="auto"/>
                    <w:ind w:firstLine="0" w:firstLineChars="0"/>
                    <w:outlineLvl w:val="0"/>
                    <w:rPr>
                      <w:rFonts w:hint="default"/>
                      <w:lang w:val="en-US" w:eastAsia="zh-CN"/>
                    </w:rPr>
                  </w:pPr>
                  <w:r>
                    <w:rPr>
                      <w:rFonts w:hint="eastAsia" w:cs="Times New Roman"/>
                      <w:color w:val="auto"/>
                      <w:sz w:val="21"/>
                      <w:szCs w:val="21"/>
                      <w:lang w:val="en-US" w:eastAsia="zh-CN"/>
                    </w:rPr>
                    <w:t>0.023</w:t>
                  </w:r>
                </w:p>
              </w:tc>
              <w:tc>
                <w:tcPr>
                  <w:tcW w:w="659" w:type="dxa"/>
                  <w:vAlign w:val="center"/>
                </w:tcPr>
                <w:p w14:paraId="0F57E338">
                  <w:pPr>
                    <w:pStyle w:val="4"/>
                    <w:bidi w:val="0"/>
                    <w:jc w:val="center"/>
                    <w:rPr>
                      <w:rFonts w:hint="default"/>
                      <w:lang w:val="en-US" w:eastAsia="zh-CN"/>
                    </w:rPr>
                  </w:pPr>
                  <w:r>
                    <w:rPr>
                      <w:rFonts w:hint="eastAsia" w:cs="Times New Roman"/>
                      <w:b w:val="0"/>
                      <w:bCs w:val="0"/>
                      <w:color w:val="auto"/>
                      <w:sz w:val="21"/>
                      <w:szCs w:val="21"/>
                      <w:lang w:val="en-US" w:eastAsia="zh-CN"/>
                    </w:rPr>
                    <w:t>/</w:t>
                  </w:r>
                </w:p>
              </w:tc>
              <w:tc>
                <w:tcPr>
                  <w:tcW w:w="831" w:type="dxa"/>
                  <w:vAlign w:val="center"/>
                </w:tcPr>
                <w:p w14:paraId="728C9E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lang w:val="en-US" w:eastAsia="zh-CN"/>
                    </w:rPr>
                  </w:pPr>
                  <w:r>
                    <w:rPr>
                      <w:rFonts w:hint="eastAsia" w:cs="Times New Roman"/>
                      <w:b w:val="0"/>
                      <w:bCs w:val="0"/>
                      <w:color w:val="auto"/>
                      <w:sz w:val="21"/>
                      <w:szCs w:val="21"/>
                      <w:lang w:val="en-US" w:eastAsia="zh-CN"/>
                    </w:rPr>
                    <w:t>20</w:t>
                  </w:r>
                </w:p>
              </w:tc>
            </w:tr>
            <w:tr w14:paraId="350B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vAlign w:val="center"/>
                </w:tcPr>
                <w:p w14:paraId="095E5BC9">
                  <w:pPr>
                    <w:pStyle w:val="4"/>
                    <w:bidi w:val="0"/>
                    <w:jc w:val="center"/>
                  </w:pPr>
                </w:p>
              </w:tc>
              <w:tc>
                <w:tcPr>
                  <w:tcW w:w="489" w:type="dxa"/>
                  <w:vMerge w:val="continue"/>
                  <w:vAlign w:val="center"/>
                </w:tcPr>
                <w:p w14:paraId="55DA9D2D">
                  <w:pPr>
                    <w:pStyle w:val="4"/>
                    <w:bidi w:val="0"/>
                    <w:jc w:val="center"/>
                  </w:pPr>
                </w:p>
              </w:tc>
              <w:tc>
                <w:tcPr>
                  <w:tcW w:w="645" w:type="dxa"/>
                  <w:vMerge w:val="continue"/>
                  <w:vAlign w:val="center"/>
                </w:tcPr>
                <w:p w14:paraId="6879E604">
                  <w:pPr>
                    <w:pStyle w:val="4"/>
                    <w:bidi w:val="0"/>
                    <w:jc w:val="center"/>
                  </w:pPr>
                </w:p>
              </w:tc>
              <w:tc>
                <w:tcPr>
                  <w:tcW w:w="579" w:type="dxa"/>
                  <w:vMerge w:val="continue"/>
                  <w:vAlign w:val="center"/>
                </w:tcPr>
                <w:p w14:paraId="61DD025D">
                  <w:pPr>
                    <w:pStyle w:val="4"/>
                    <w:bidi w:val="0"/>
                    <w:jc w:val="center"/>
                  </w:pPr>
                </w:p>
              </w:tc>
              <w:tc>
                <w:tcPr>
                  <w:tcW w:w="562" w:type="dxa"/>
                  <w:vMerge w:val="continue"/>
                  <w:vAlign w:val="center"/>
                </w:tcPr>
                <w:p w14:paraId="6636DBD8">
                  <w:pPr>
                    <w:pStyle w:val="4"/>
                    <w:bidi w:val="0"/>
                    <w:jc w:val="center"/>
                  </w:pPr>
                </w:p>
              </w:tc>
              <w:tc>
                <w:tcPr>
                  <w:tcW w:w="621" w:type="dxa"/>
                  <w:vMerge w:val="continue"/>
                  <w:vAlign w:val="center"/>
                </w:tcPr>
                <w:p w14:paraId="383551D4">
                  <w:pPr>
                    <w:pStyle w:val="4"/>
                    <w:bidi w:val="0"/>
                    <w:jc w:val="center"/>
                  </w:pPr>
                </w:p>
              </w:tc>
              <w:tc>
                <w:tcPr>
                  <w:tcW w:w="548" w:type="dxa"/>
                  <w:vMerge w:val="continue"/>
                  <w:vAlign w:val="center"/>
                </w:tcPr>
                <w:p w14:paraId="55047EF1">
                  <w:pPr>
                    <w:pStyle w:val="4"/>
                    <w:bidi w:val="0"/>
                    <w:jc w:val="center"/>
                  </w:pPr>
                </w:p>
              </w:tc>
              <w:tc>
                <w:tcPr>
                  <w:tcW w:w="733" w:type="dxa"/>
                  <w:vAlign w:val="center"/>
                </w:tcPr>
                <w:p w14:paraId="5424AB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SO</w:t>
                  </w:r>
                  <w:r>
                    <w:rPr>
                      <w:rFonts w:hint="eastAsia" w:cs="Times New Roman"/>
                      <w:b w:val="0"/>
                      <w:bCs w:val="0"/>
                      <w:color w:val="auto"/>
                      <w:sz w:val="21"/>
                      <w:szCs w:val="21"/>
                      <w:vertAlign w:val="subscript"/>
                      <w:lang w:val="en-US" w:eastAsia="zh-CN"/>
                    </w:rPr>
                    <w:t>2</w:t>
                  </w:r>
                </w:p>
              </w:tc>
              <w:tc>
                <w:tcPr>
                  <w:tcW w:w="738" w:type="dxa"/>
                  <w:vMerge w:val="continue"/>
                  <w:vAlign w:val="center"/>
                </w:tcPr>
                <w:p w14:paraId="19C3A7AB">
                  <w:pPr>
                    <w:pStyle w:val="4"/>
                    <w:bidi w:val="0"/>
                    <w:jc w:val="center"/>
                    <w:rPr>
                      <w:rFonts w:hint="eastAsia" w:ascii="Times New Roman" w:hAnsi="Times New Roman" w:eastAsia="宋体" w:cs="Times New Roman"/>
                      <w:b w:val="0"/>
                      <w:bCs w:val="0"/>
                      <w:color w:val="auto"/>
                      <w:sz w:val="21"/>
                      <w:szCs w:val="21"/>
                      <w:lang w:val="en-US" w:eastAsia="zh-CN"/>
                    </w:rPr>
                  </w:pPr>
                </w:p>
              </w:tc>
              <w:tc>
                <w:tcPr>
                  <w:tcW w:w="689" w:type="dxa"/>
                  <w:vMerge w:val="continue"/>
                  <w:vAlign w:val="center"/>
                </w:tcPr>
                <w:p w14:paraId="4985CD40">
                  <w:pPr>
                    <w:pStyle w:val="4"/>
                    <w:bidi w:val="0"/>
                    <w:jc w:val="center"/>
                    <w:rPr>
                      <w:rFonts w:hint="eastAsia" w:ascii="Times New Roman" w:hAnsi="Times New Roman" w:eastAsia="宋体" w:cs="Times New Roman"/>
                      <w:b w:val="0"/>
                      <w:bCs w:val="0"/>
                      <w:color w:val="auto"/>
                      <w:sz w:val="21"/>
                      <w:szCs w:val="21"/>
                      <w:lang w:val="en-US" w:eastAsia="zh-CN"/>
                    </w:rPr>
                  </w:pPr>
                </w:p>
              </w:tc>
              <w:tc>
                <w:tcPr>
                  <w:tcW w:w="692" w:type="dxa"/>
                  <w:vAlign w:val="center"/>
                </w:tcPr>
                <w:p w14:paraId="7AA3B913">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olor w:val="auto"/>
                      <w:lang w:val="en-US" w:eastAsia="zh-CN"/>
                    </w:rPr>
                    <w:t xml:space="preserve">0.0002kg/a </w:t>
                  </w:r>
                </w:p>
              </w:tc>
              <w:tc>
                <w:tcPr>
                  <w:tcW w:w="2393" w:type="dxa"/>
                  <w:vMerge w:val="continue"/>
                  <w:vAlign w:val="center"/>
                </w:tcPr>
                <w:p w14:paraId="35B501EB">
                  <w:pPr>
                    <w:pStyle w:val="4"/>
                    <w:bidi w:val="0"/>
                    <w:jc w:val="center"/>
                    <w:rPr>
                      <w:rFonts w:hint="eastAsia" w:ascii="Times New Roman" w:hAnsi="Times New Roman" w:eastAsia="宋体" w:cs="Times New Roman"/>
                      <w:b w:val="0"/>
                      <w:bCs w:val="0"/>
                      <w:color w:val="auto"/>
                      <w:sz w:val="21"/>
                      <w:szCs w:val="21"/>
                      <w:lang w:val="en-US" w:eastAsia="zh-CN"/>
                    </w:rPr>
                  </w:pPr>
                </w:p>
              </w:tc>
              <w:tc>
                <w:tcPr>
                  <w:tcW w:w="673" w:type="dxa"/>
                  <w:vAlign w:val="center"/>
                </w:tcPr>
                <w:p w14:paraId="27553319">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olor w:val="auto"/>
                      <w:lang w:val="en-US" w:eastAsia="zh-CN"/>
                    </w:rPr>
                    <w:t xml:space="preserve">0.0002kg/a </w:t>
                  </w:r>
                </w:p>
              </w:tc>
              <w:tc>
                <w:tcPr>
                  <w:tcW w:w="610" w:type="dxa"/>
                  <w:vAlign w:val="center"/>
                </w:tcPr>
                <w:p w14:paraId="51C1D53D">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0.000005</w:t>
                  </w:r>
                </w:p>
              </w:tc>
              <w:tc>
                <w:tcPr>
                  <w:tcW w:w="741" w:type="dxa"/>
                  <w:vAlign w:val="center"/>
                </w:tcPr>
                <w:p w14:paraId="613F0E78">
                  <w:pPr>
                    <w:pStyle w:val="4"/>
                    <w:pageBreakBefore w:val="0"/>
                    <w:kinsoku/>
                    <w:wordWrap/>
                    <w:overflowPunct/>
                    <w:topLinePunct w:val="0"/>
                    <w:autoSpaceDE/>
                    <w:autoSpaceDN/>
                    <w:bidi w:val="0"/>
                    <w:adjustRightInd/>
                    <w:snapToGrid/>
                    <w:spacing w:line="240" w:lineRule="auto"/>
                    <w:ind w:firstLine="0" w:firstLineChars="0"/>
                    <w:outlineLvl w:val="0"/>
                    <w:rPr>
                      <w:rFonts w:hint="eastAsia" w:ascii="Times New Roman" w:hAnsi="Times New Roman" w:eastAsia="宋体" w:cs="Times New Roman"/>
                      <w:b w:val="0"/>
                      <w:bCs w:val="0"/>
                      <w:color w:val="auto"/>
                      <w:sz w:val="21"/>
                      <w:szCs w:val="21"/>
                      <w:lang w:val="en-US" w:eastAsia="zh-CN"/>
                    </w:rPr>
                  </w:pPr>
                  <w:r>
                    <w:rPr>
                      <w:rFonts w:hint="eastAsia" w:cs="Times New Roman"/>
                      <w:color w:val="auto"/>
                      <w:sz w:val="21"/>
                      <w:szCs w:val="21"/>
                      <w:lang w:val="en-US" w:eastAsia="zh-CN"/>
                    </w:rPr>
                    <w:t>9.642</w:t>
                  </w:r>
                </w:p>
              </w:tc>
              <w:tc>
                <w:tcPr>
                  <w:tcW w:w="659" w:type="dxa"/>
                  <w:vAlign w:val="center"/>
                </w:tcPr>
                <w:p w14:paraId="20013967">
                  <w:pPr>
                    <w:pStyle w:val="4"/>
                    <w:bidi w:val="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831" w:type="dxa"/>
                  <w:vAlign w:val="center"/>
                </w:tcPr>
                <w:p w14:paraId="178AAD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r>
            <w:tr w14:paraId="4C61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vAlign w:val="center"/>
                </w:tcPr>
                <w:p w14:paraId="0EDFF2AB">
                  <w:pPr>
                    <w:pStyle w:val="4"/>
                    <w:bidi w:val="0"/>
                    <w:jc w:val="center"/>
                    <w:rPr>
                      <w:rFonts w:hint="eastAsia" w:ascii="Times New Roman" w:hAnsi="Times New Roman" w:eastAsia="宋体" w:cs="Times New Roman"/>
                      <w:b w:val="0"/>
                      <w:bCs w:val="0"/>
                      <w:color w:val="auto"/>
                      <w:sz w:val="21"/>
                      <w:szCs w:val="21"/>
                      <w:lang w:val="en-US" w:eastAsia="zh-CN"/>
                    </w:rPr>
                  </w:pPr>
                </w:p>
              </w:tc>
              <w:tc>
                <w:tcPr>
                  <w:tcW w:w="489" w:type="dxa"/>
                  <w:vMerge w:val="continue"/>
                  <w:vAlign w:val="center"/>
                </w:tcPr>
                <w:p w14:paraId="7E4607C2">
                  <w:pPr>
                    <w:pStyle w:val="4"/>
                    <w:bidi w:val="0"/>
                    <w:jc w:val="center"/>
                    <w:rPr>
                      <w:rFonts w:hint="eastAsia" w:ascii="Times New Roman" w:hAnsi="Times New Roman" w:eastAsia="宋体" w:cs="Times New Roman"/>
                      <w:b w:val="0"/>
                      <w:bCs w:val="0"/>
                      <w:color w:val="auto"/>
                      <w:sz w:val="21"/>
                      <w:szCs w:val="21"/>
                      <w:lang w:val="en-US" w:eastAsia="zh-CN"/>
                    </w:rPr>
                  </w:pPr>
                </w:p>
              </w:tc>
              <w:tc>
                <w:tcPr>
                  <w:tcW w:w="645" w:type="dxa"/>
                  <w:vMerge w:val="continue"/>
                  <w:vAlign w:val="center"/>
                </w:tcPr>
                <w:p w14:paraId="59C29AA7">
                  <w:pPr>
                    <w:pStyle w:val="4"/>
                    <w:bidi w:val="0"/>
                    <w:jc w:val="center"/>
                    <w:rPr>
                      <w:rFonts w:hint="eastAsia" w:ascii="Times New Roman" w:hAnsi="Times New Roman" w:eastAsia="宋体" w:cs="Times New Roman"/>
                      <w:b w:val="0"/>
                      <w:bCs w:val="0"/>
                      <w:color w:val="auto"/>
                      <w:sz w:val="21"/>
                      <w:szCs w:val="21"/>
                      <w:lang w:val="en-US" w:eastAsia="zh-CN"/>
                    </w:rPr>
                  </w:pPr>
                </w:p>
              </w:tc>
              <w:tc>
                <w:tcPr>
                  <w:tcW w:w="579" w:type="dxa"/>
                  <w:vMerge w:val="continue"/>
                  <w:vAlign w:val="center"/>
                </w:tcPr>
                <w:p w14:paraId="029C9FF0">
                  <w:pPr>
                    <w:pStyle w:val="4"/>
                    <w:bidi w:val="0"/>
                    <w:jc w:val="center"/>
                    <w:rPr>
                      <w:rFonts w:hint="eastAsia" w:ascii="Times New Roman" w:hAnsi="Times New Roman" w:eastAsia="宋体" w:cs="Times New Roman"/>
                      <w:b w:val="0"/>
                      <w:bCs w:val="0"/>
                      <w:color w:val="auto"/>
                      <w:sz w:val="21"/>
                      <w:szCs w:val="21"/>
                      <w:lang w:val="en-US" w:eastAsia="zh-CN"/>
                    </w:rPr>
                  </w:pPr>
                </w:p>
              </w:tc>
              <w:tc>
                <w:tcPr>
                  <w:tcW w:w="562" w:type="dxa"/>
                  <w:vMerge w:val="continue"/>
                  <w:vAlign w:val="center"/>
                </w:tcPr>
                <w:p w14:paraId="149A43EC">
                  <w:pPr>
                    <w:pStyle w:val="4"/>
                    <w:bidi w:val="0"/>
                    <w:jc w:val="center"/>
                    <w:rPr>
                      <w:rFonts w:hint="eastAsia" w:ascii="Times New Roman" w:hAnsi="Times New Roman" w:eastAsia="宋体" w:cs="Times New Roman"/>
                      <w:b w:val="0"/>
                      <w:bCs w:val="0"/>
                      <w:color w:val="auto"/>
                      <w:sz w:val="21"/>
                      <w:szCs w:val="21"/>
                      <w:lang w:val="en-US" w:eastAsia="zh-CN"/>
                    </w:rPr>
                  </w:pPr>
                </w:p>
              </w:tc>
              <w:tc>
                <w:tcPr>
                  <w:tcW w:w="621" w:type="dxa"/>
                  <w:vMerge w:val="continue"/>
                  <w:vAlign w:val="center"/>
                </w:tcPr>
                <w:p w14:paraId="4060ED85">
                  <w:pPr>
                    <w:pStyle w:val="4"/>
                    <w:bidi w:val="0"/>
                    <w:jc w:val="center"/>
                    <w:rPr>
                      <w:rFonts w:hint="eastAsia" w:ascii="Times New Roman" w:hAnsi="Times New Roman" w:eastAsia="宋体" w:cs="Times New Roman"/>
                      <w:b w:val="0"/>
                      <w:bCs w:val="0"/>
                      <w:color w:val="auto"/>
                      <w:sz w:val="21"/>
                      <w:szCs w:val="21"/>
                      <w:lang w:val="en-US" w:eastAsia="zh-CN"/>
                    </w:rPr>
                  </w:pPr>
                </w:p>
              </w:tc>
              <w:tc>
                <w:tcPr>
                  <w:tcW w:w="548" w:type="dxa"/>
                  <w:vMerge w:val="continue"/>
                  <w:vAlign w:val="center"/>
                </w:tcPr>
                <w:p w14:paraId="530DF824">
                  <w:pPr>
                    <w:pStyle w:val="4"/>
                    <w:bidi w:val="0"/>
                    <w:jc w:val="center"/>
                    <w:rPr>
                      <w:rFonts w:hint="eastAsia" w:ascii="Times New Roman" w:hAnsi="Times New Roman" w:eastAsia="宋体" w:cs="Times New Roman"/>
                      <w:b w:val="0"/>
                      <w:bCs w:val="0"/>
                      <w:color w:val="auto"/>
                      <w:sz w:val="21"/>
                      <w:szCs w:val="21"/>
                      <w:lang w:val="en-US" w:eastAsia="zh-CN"/>
                    </w:rPr>
                  </w:pPr>
                </w:p>
              </w:tc>
              <w:tc>
                <w:tcPr>
                  <w:tcW w:w="733" w:type="dxa"/>
                  <w:vAlign w:val="center"/>
                </w:tcPr>
                <w:p w14:paraId="3CD890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NO</w:t>
                  </w:r>
                  <w:r>
                    <w:rPr>
                      <w:rFonts w:hint="eastAsia" w:cs="Times New Roman"/>
                      <w:b w:val="0"/>
                      <w:bCs w:val="0"/>
                      <w:color w:val="auto"/>
                      <w:sz w:val="21"/>
                      <w:szCs w:val="21"/>
                      <w:vertAlign w:val="subscript"/>
                      <w:lang w:val="en-US" w:eastAsia="zh-CN"/>
                    </w:rPr>
                    <w:t>X</w:t>
                  </w:r>
                </w:p>
              </w:tc>
              <w:tc>
                <w:tcPr>
                  <w:tcW w:w="738" w:type="dxa"/>
                  <w:vMerge w:val="continue"/>
                  <w:vAlign w:val="center"/>
                </w:tcPr>
                <w:p w14:paraId="0B1FE45A">
                  <w:pPr>
                    <w:pStyle w:val="4"/>
                    <w:bidi w:val="0"/>
                    <w:jc w:val="center"/>
                    <w:rPr>
                      <w:rFonts w:hint="eastAsia" w:ascii="Times New Roman" w:hAnsi="Times New Roman" w:eastAsia="宋体" w:cs="Times New Roman"/>
                      <w:b w:val="0"/>
                      <w:bCs w:val="0"/>
                      <w:color w:val="auto"/>
                      <w:sz w:val="21"/>
                      <w:szCs w:val="21"/>
                      <w:lang w:val="en-US" w:eastAsia="zh-CN"/>
                    </w:rPr>
                  </w:pPr>
                </w:p>
              </w:tc>
              <w:tc>
                <w:tcPr>
                  <w:tcW w:w="689" w:type="dxa"/>
                  <w:vMerge w:val="continue"/>
                  <w:vAlign w:val="center"/>
                </w:tcPr>
                <w:p w14:paraId="42C2FE1A">
                  <w:pPr>
                    <w:pStyle w:val="4"/>
                    <w:bidi w:val="0"/>
                    <w:jc w:val="center"/>
                    <w:rPr>
                      <w:rFonts w:hint="eastAsia" w:ascii="Times New Roman" w:hAnsi="Times New Roman" w:eastAsia="宋体" w:cs="Times New Roman"/>
                      <w:b w:val="0"/>
                      <w:bCs w:val="0"/>
                      <w:color w:val="auto"/>
                      <w:sz w:val="21"/>
                      <w:szCs w:val="21"/>
                      <w:lang w:val="en-US" w:eastAsia="zh-CN"/>
                    </w:rPr>
                  </w:pPr>
                </w:p>
              </w:tc>
              <w:tc>
                <w:tcPr>
                  <w:tcW w:w="692" w:type="dxa"/>
                  <w:vAlign w:val="center"/>
                </w:tcPr>
                <w:p w14:paraId="2996A570">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color w:val="auto"/>
                      <w:sz w:val="21"/>
                      <w:szCs w:val="21"/>
                      <w:lang w:val="en-US" w:eastAsia="zh-CN"/>
                    </w:rPr>
                    <w:t xml:space="preserve">0.4 </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p>
              </w:tc>
              <w:tc>
                <w:tcPr>
                  <w:tcW w:w="2393" w:type="dxa"/>
                  <w:vMerge w:val="continue"/>
                  <w:vAlign w:val="center"/>
                </w:tcPr>
                <w:p w14:paraId="53FDDC82">
                  <w:pPr>
                    <w:pStyle w:val="4"/>
                    <w:bidi w:val="0"/>
                    <w:jc w:val="center"/>
                    <w:rPr>
                      <w:rFonts w:hint="eastAsia" w:ascii="Times New Roman" w:hAnsi="Times New Roman" w:eastAsia="宋体" w:cs="Times New Roman"/>
                      <w:b w:val="0"/>
                      <w:bCs w:val="0"/>
                      <w:color w:val="auto"/>
                      <w:sz w:val="21"/>
                      <w:szCs w:val="21"/>
                      <w:lang w:val="en-US" w:eastAsia="zh-CN"/>
                    </w:rPr>
                  </w:pPr>
                </w:p>
              </w:tc>
              <w:tc>
                <w:tcPr>
                  <w:tcW w:w="673" w:type="dxa"/>
                  <w:vAlign w:val="center"/>
                </w:tcPr>
                <w:p w14:paraId="093E6356">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olor w:val="auto"/>
                      <w:lang w:val="en-US" w:eastAsia="zh-CN"/>
                    </w:rPr>
                    <w:t xml:space="preserve">0.0004t/a </w:t>
                  </w:r>
                </w:p>
              </w:tc>
              <w:tc>
                <w:tcPr>
                  <w:tcW w:w="610" w:type="dxa"/>
                  <w:vAlign w:val="center"/>
                </w:tcPr>
                <w:p w14:paraId="64F6E275">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0.01</w:t>
                  </w:r>
                </w:p>
              </w:tc>
              <w:tc>
                <w:tcPr>
                  <w:tcW w:w="741" w:type="dxa"/>
                  <w:vAlign w:val="center"/>
                </w:tcPr>
                <w:p w14:paraId="60618FCF">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eastAsia" w:ascii="Times New Roman" w:hAnsi="Times New Roman" w:eastAsia="宋体" w:cs="Times New Roman"/>
                      <w:b w:val="0"/>
                      <w:bCs w:val="0"/>
                      <w:color w:val="auto"/>
                      <w:sz w:val="21"/>
                      <w:szCs w:val="21"/>
                      <w:lang w:val="en-US" w:eastAsia="zh-CN"/>
                    </w:rPr>
                  </w:pPr>
                  <w:r>
                    <w:rPr>
                      <w:rFonts w:hint="eastAsia" w:cs="Times New Roman"/>
                      <w:color w:val="auto"/>
                      <w:sz w:val="21"/>
                      <w:szCs w:val="21"/>
                      <w:lang w:val="en-US" w:eastAsia="zh-CN"/>
                    </w:rPr>
                    <w:t>50</w:t>
                  </w:r>
                </w:p>
              </w:tc>
              <w:tc>
                <w:tcPr>
                  <w:tcW w:w="659" w:type="dxa"/>
                  <w:vAlign w:val="center"/>
                </w:tcPr>
                <w:p w14:paraId="343DD303">
                  <w:pPr>
                    <w:pStyle w:val="4"/>
                    <w:bidi w:val="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831" w:type="dxa"/>
                  <w:vAlign w:val="center"/>
                </w:tcPr>
                <w:p w14:paraId="5846FD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r>
          </w:tbl>
          <w:p w14:paraId="3EB697D3">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表4-</w:t>
            </w:r>
            <w:r>
              <w:rPr>
                <w:rFonts w:hint="eastAsia" w:cs="Times New Roman"/>
                <w:b/>
                <w:bCs/>
                <w:color w:val="auto"/>
                <w:lang w:val="en-US" w:eastAsia="zh-CN"/>
              </w:rPr>
              <w:t xml:space="preserve">13  </w:t>
            </w:r>
            <w:r>
              <w:rPr>
                <w:rFonts w:hint="eastAsia" w:ascii="Times New Roman" w:hAnsi="Times New Roman" w:eastAsia="宋体" w:cs="Times New Roman"/>
                <w:b/>
                <w:bCs/>
                <w:color w:val="auto"/>
                <w:lang w:val="en-US" w:eastAsia="zh-CN"/>
              </w:rPr>
              <w:t>项目无组织排放信息表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97"/>
              <w:gridCol w:w="1095"/>
              <w:gridCol w:w="906"/>
              <w:gridCol w:w="894"/>
              <w:gridCol w:w="924"/>
              <w:gridCol w:w="924"/>
              <w:gridCol w:w="667"/>
              <w:gridCol w:w="990"/>
              <w:gridCol w:w="760"/>
              <w:gridCol w:w="631"/>
              <w:gridCol w:w="1056"/>
              <w:gridCol w:w="1321"/>
              <w:gridCol w:w="1178"/>
            </w:tblGrid>
            <w:tr w14:paraId="6C95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Merge w:val="restart"/>
                  <w:vAlign w:val="center"/>
                </w:tcPr>
                <w:p w14:paraId="26FC591B">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cs="Times New Roman"/>
                      <w:b/>
                      <w:bCs/>
                      <w:color w:val="auto"/>
                      <w:kern w:val="0"/>
                      <w:sz w:val="21"/>
                      <w:szCs w:val="21"/>
                    </w:rPr>
                  </w:pPr>
                  <w:r>
                    <w:rPr>
                      <w:rFonts w:hint="eastAsia" w:ascii="Times New Roman" w:hAnsi="Times New Roman"/>
                      <w:b/>
                      <w:bCs/>
                      <w:color w:val="auto"/>
                      <w:kern w:val="0"/>
                      <w:sz w:val="21"/>
                      <w:szCs w:val="21"/>
                    </w:rPr>
                    <w:t>编号</w:t>
                  </w:r>
                </w:p>
              </w:tc>
              <w:tc>
                <w:tcPr>
                  <w:tcW w:w="897" w:type="dxa"/>
                  <w:vMerge w:val="restart"/>
                  <w:vAlign w:val="center"/>
                </w:tcPr>
                <w:p w14:paraId="2D8BA474">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r>
                    <w:rPr>
                      <w:rFonts w:hint="default" w:ascii="Times New Roman" w:hAnsi="Times New Roman"/>
                      <w:b/>
                      <w:bCs/>
                      <w:color w:val="auto"/>
                      <w:kern w:val="0"/>
                      <w:sz w:val="21"/>
                      <w:szCs w:val="21"/>
                    </w:rPr>
                    <w:t>名称</w:t>
                  </w:r>
                </w:p>
              </w:tc>
              <w:tc>
                <w:tcPr>
                  <w:tcW w:w="2001" w:type="dxa"/>
                  <w:gridSpan w:val="2"/>
                  <w:vAlign w:val="center"/>
                </w:tcPr>
                <w:p w14:paraId="2FBA3CB2">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r>
                    <w:rPr>
                      <w:rFonts w:hint="eastAsia" w:ascii="Times New Roman" w:hAnsi="Times New Roman"/>
                      <w:b/>
                      <w:bCs/>
                      <w:color w:val="auto"/>
                      <w:kern w:val="0"/>
                      <w:sz w:val="21"/>
                      <w:szCs w:val="21"/>
                    </w:rPr>
                    <w:t>面源</w:t>
                  </w:r>
                  <w:r>
                    <w:rPr>
                      <w:rFonts w:hint="eastAsia"/>
                      <w:b/>
                      <w:bCs/>
                      <w:color w:val="auto"/>
                      <w:kern w:val="0"/>
                      <w:sz w:val="21"/>
                      <w:szCs w:val="21"/>
                      <w:lang w:val="en-US" w:eastAsia="zh-CN"/>
                    </w:rPr>
                    <w:t>各顶点</w:t>
                  </w:r>
                  <w:r>
                    <w:rPr>
                      <w:rFonts w:hint="eastAsia" w:ascii="Times New Roman" w:hAnsi="Times New Roman"/>
                      <w:b/>
                      <w:bCs/>
                      <w:color w:val="auto"/>
                      <w:kern w:val="0"/>
                      <w:sz w:val="21"/>
                      <w:szCs w:val="21"/>
                    </w:rPr>
                    <w:t>坐标/m</w:t>
                  </w:r>
                </w:p>
              </w:tc>
              <w:tc>
                <w:tcPr>
                  <w:tcW w:w="894" w:type="dxa"/>
                  <w:vMerge w:val="restart"/>
                  <w:vAlign w:val="center"/>
                </w:tcPr>
                <w:p w14:paraId="3FF1DFEA">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r>
                    <w:rPr>
                      <w:rFonts w:hint="default" w:ascii="Times New Roman" w:hAnsi="Times New Roman"/>
                      <w:b/>
                      <w:bCs/>
                      <w:color w:val="auto"/>
                      <w:kern w:val="0"/>
                      <w:sz w:val="21"/>
                      <w:szCs w:val="21"/>
                    </w:rPr>
                    <w:t>面源海拔高度</w:t>
                  </w:r>
                  <w:r>
                    <w:rPr>
                      <w:rFonts w:hint="eastAsia" w:ascii="Times New Roman" w:hAnsi="Times New Roman"/>
                      <w:b/>
                      <w:bCs/>
                      <w:color w:val="auto"/>
                      <w:kern w:val="0"/>
                      <w:sz w:val="21"/>
                      <w:szCs w:val="21"/>
                    </w:rPr>
                    <w:t>/</w:t>
                  </w:r>
                  <w:r>
                    <w:rPr>
                      <w:rFonts w:hint="default" w:ascii="Times New Roman" w:hAnsi="Times New Roman"/>
                      <w:b/>
                      <w:bCs/>
                      <w:color w:val="auto"/>
                      <w:kern w:val="0"/>
                      <w:sz w:val="21"/>
                      <w:szCs w:val="21"/>
                    </w:rPr>
                    <w:t>m</w:t>
                  </w:r>
                </w:p>
              </w:tc>
              <w:tc>
                <w:tcPr>
                  <w:tcW w:w="924" w:type="dxa"/>
                  <w:vMerge w:val="restart"/>
                  <w:vAlign w:val="center"/>
                </w:tcPr>
                <w:p w14:paraId="6B36EFDD">
                  <w:pPr>
                    <w:pStyle w:val="4"/>
                    <w:bidi w:val="0"/>
                    <w:jc w:val="center"/>
                    <w:rPr>
                      <w:rFonts w:hint="default"/>
                      <w:b/>
                      <w:bCs w:val="0"/>
                      <w:lang w:val="en-US" w:eastAsia="zh-CN"/>
                    </w:rPr>
                  </w:pPr>
                  <w:r>
                    <w:rPr>
                      <w:rFonts w:hint="eastAsia"/>
                      <w:b/>
                      <w:bCs w:val="0"/>
                      <w:lang w:val="en-US" w:eastAsia="zh-CN"/>
                    </w:rPr>
                    <w:t>面源长度/m</w:t>
                  </w:r>
                </w:p>
              </w:tc>
              <w:tc>
                <w:tcPr>
                  <w:tcW w:w="924" w:type="dxa"/>
                  <w:vMerge w:val="restart"/>
                  <w:vAlign w:val="center"/>
                </w:tcPr>
                <w:p w14:paraId="6F09F401">
                  <w:pPr>
                    <w:pStyle w:val="4"/>
                    <w:bidi w:val="0"/>
                    <w:jc w:val="center"/>
                    <w:rPr>
                      <w:rFonts w:hint="default"/>
                      <w:b/>
                      <w:bCs w:val="0"/>
                      <w:lang w:val="en-US" w:eastAsia="zh-CN"/>
                    </w:rPr>
                  </w:pPr>
                  <w:r>
                    <w:rPr>
                      <w:rFonts w:hint="eastAsia"/>
                      <w:b/>
                      <w:bCs w:val="0"/>
                      <w:lang w:val="en-US" w:eastAsia="zh-CN"/>
                    </w:rPr>
                    <w:t>面源宽度</w:t>
                  </w:r>
                </w:p>
              </w:tc>
              <w:tc>
                <w:tcPr>
                  <w:tcW w:w="667" w:type="dxa"/>
                  <w:vMerge w:val="restart"/>
                  <w:vAlign w:val="center"/>
                </w:tcPr>
                <w:p w14:paraId="018E2DBC">
                  <w:pPr>
                    <w:pStyle w:val="4"/>
                    <w:bidi w:val="0"/>
                    <w:jc w:val="center"/>
                    <w:rPr>
                      <w:rFonts w:hint="default"/>
                      <w:b/>
                      <w:bCs w:val="0"/>
                      <w:lang w:val="en-US" w:eastAsia="zh-CN"/>
                    </w:rPr>
                  </w:pPr>
                  <w:r>
                    <w:rPr>
                      <w:rFonts w:hint="eastAsia"/>
                      <w:b/>
                      <w:bCs w:val="0"/>
                      <w:lang w:val="en-US" w:eastAsia="zh-CN"/>
                    </w:rPr>
                    <w:t>与正北向夹角/°</w:t>
                  </w:r>
                </w:p>
              </w:tc>
              <w:tc>
                <w:tcPr>
                  <w:tcW w:w="990" w:type="dxa"/>
                  <w:vMerge w:val="restart"/>
                  <w:vAlign w:val="center"/>
                </w:tcPr>
                <w:p w14:paraId="3DA78493">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r>
                    <w:rPr>
                      <w:rFonts w:hint="default" w:ascii="Times New Roman" w:hAnsi="Times New Roman"/>
                      <w:b/>
                      <w:bCs/>
                      <w:color w:val="auto"/>
                      <w:kern w:val="0"/>
                      <w:sz w:val="21"/>
                      <w:szCs w:val="21"/>
                    </w:rPr>
                    <w:t>面源有效排放高度</w:t>
                  </w:r>
                  <w:r>
                    <w:rPr>
                      <w:rFonts w:hint="eastAsia" w:ascii="Times New Roman" w:hAnsi="Times New Roman"/>
                      <w:b/>
                      <w:bCs/>
                      <w:color w:val="auto"/>
                      <w:kern w:val="0"/>
                      <w:sz w:val="21"/>
                      <w:szCs w:val="21"/>
                    </w:rPr>
                    <w:t>/</w:t>
                  </w:r>
                  <w:r>
                    <w:rPr>
                      <w:rFonts w:hint="default" w:ascii="Times New Roman" w:hAnsi="Times New Roman"/>
                      <w:b/>
                      <w:bCs/>
                      <w:color w:val="auto"/>
                      <w:kern w:val="0"/>
                      <w:sz w:val="21"/>
                      <w:szCs w:val="21"/>
                    </w:rPr>
                    <w:t>m</w:t>
                  </w:r>
                </w:p>
              </w:tc>
              <w:tc>
                <w:tcPr>
                  <w:tcW w:w="760" w:type="dxa"/>
                  <w:vMerge w:val="restart"/>
                  <w:vAlign w:val="center"/>
                </w:tcPr>
                <w:p w14:paraId="53F16393">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r>
                    <w:rPr>
                      <w:rFonts w:hint="default" w:ascii="Times New Roman" w:hAnsi="Times New Roman"/>
                      <w:b/>
                      <w:bCs/>
                      <w:color w:val="auto"/>
                      <w:kern w:val="0"/>
                      <w:sz w:val="21"/>
                      <w:szCs w:val="21"/>
                    </w:rPr>
                    <w:t>年排放小时数h</w:t>
                  </w:r>
                </w:p>
              </w:tc>
              <w:tc>
                <w:tcPr>
                  <w:tcW w:w="631" w:type="dxa"/>
                  <w:vMerge w:val="restart"/>
                  <w:vAlign w:val="center"/>
                </w:tcPr>
                <w:p w14:paraId="57872782">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b/>
                      <w:bCs/>
                      <w:color w:val="auto"/>
                      <w:kern w:val="0"/>
                      <w:sz w:val="21"/>
                      <w:szCs w:val="21"/>
                    </w:rPr>
                  </w:pPr>
                  <w:r>
                    <w:rPr>
                      <w:rFonts w:hint="eastAsia" w:ascii="Times New Roman" w:hAnsi="Times New Roman"/>
                      <w:b/>
                      <w:bCs/>
                      <w:color w:val="auto"/>
                      <w:kern w:val="0"/>
                      <w:sz w:val="21"/>
                      <w:szCs w:val="21"/>
                    </w:rPr>
                    <w:t>排放工况</w:t>
                  </w:r>
                </w:p>
              </w:tc>
              <w:tc>
                <w:tcPr>
                  <w:tcW w:w="2375" w:type="dxa"/>
                  <w:gridSpan w:val="2"/>
                  <w:vAlign w:val="center"/>
                </w:tcPr>
                <w:p w14:paraId="135C7665">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eastAsia"/>
                      <w:b/>
                      <w:bCs/>
                      <w:color w:val="auto"/>
                      <w:kern w:val="0"/>
                      <w:sz w:val="21"/>
                      <w:szCs w:val="21"/>
                      <w:lang w:val="en-US" w:eastAsia="zh-CN"/>
                    </w:rPr>
                  </w:pPr>
                  <w:r>
                    <w:rPr>
                      <w:rFonts w:hint="default" w:ascii="Times New Roman" w:hAnsi="Times New Roman" w:cs="Times New Roman"/>
                      <w:b/>
                      <w:bCs/>
                      <w:color w:val="auto"/>
                      <w:kern w:val="0"/>
                      <w:sz w:val="21"/>
                      <w:szCs w:val="21"/>
                    </w:rPr>
                    <w:t>评价因子</w:t>
                  </w:r>
                </w:p>
              </w:tc>
              <w:tc>
                <w:tcPr>
                  <w:tcW w:w="1177" w:type="dxa"/>
                  <w:vMerge w:val="restart"/>
                  <w:vAlign w:val="center"/>
                </w:tcPr>
                <w:p w14:paraId="6D802F84">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b/>
                      <w:bCs/>
                      <w:color w:val="auto"/>
                      <w:kern w:val="0"/>
                      <w:sz w:val="21"/>
                      <w:szCs w:val="21"/>
                      <w:lang w:val="en-US" w:eastAsia="zh-CN"/>
                    </w:rPr>
                  </w:pPr>
                  <w:r>
                    <w:rPr>
                      <w:rFonts w:hint="eastAsia"/>
                      <w:b/>
                      <w:bCs/>
                      <w:color w:val="auto"/>
                      <w:kern w:val="0"/>
                      <w:sz w:val="21"/>
                      <w:szCs w:val="21"/>
                      <w:lang w:val="en-US" w:eastAsia="zh-CN"/>
                    </w:rPr>
                    <w:t>排放标准（</w:t>
                  </w:r>
                  <w:r>
                    <w:rPr>
                      <w:b/>
                      <w:bCs/>
                      <w:color w:val="auto"/>
                      <w:kern w:val="0"/>
                      <w:sz w:val="21"/>
                      <w:szCs w:val="21"/>
                      <w:lang w:bidi="ar"/>
                    </w:rPr>
                    <w:t>浓度</w:t>
                  </w:r>
                  <w:r>
                    <w:rPr>
                      <w:rFonts w:hint="eastAsia"/>
                      <w:b/>
                      <w:bCs/>
                      <w:color w:val="auto"/>
                      <w:kern w:val="0"/>
                      <w:sz w:val="21"/>
                      <w:szCs w:val="21"/>
                      <w:lang w:bidi="ar"/>
                    </w:rPr>
                    <w:t>（</w:t>
                  </w:r>
                  <w:r>
                    <w:rPr>
                      <w:b/>
                      <w:bCs/>
                      <w:color w:val="auto"/>
                      <w:kern w:val="0"/>
                      <w:sz w:val="21"/>
                      <w:szCs w:val="21"/>
                      <w:lang w:bidi="ar"/>
                    </w:rPr>
                    <w:t>mg/m</w:t>
                  </w:r>
                  <w:r>
                    <w:rPr>
                      <w:b/>
                      <w:bCs/>
                      <w:color w:val="auto"/>
                      <w:kern w:val="0"/>
                      <w:sz w:val="21"/>
                      <w:szCs w:val="21"/>
                      <w:vertAlign w:val="superscript"/>
                      <w:lang w:bidi="ar"/>
                    </w:rPr>
                    <w:t>3</w:t>
                  </w:r>
                  <w:r>
                    <w:rPr>
                      <w:rFonts w:hint="eastAsia"/>
                      <w:b/>
                      <w:bCs/>
                      <w:color w:val="auto"/>
                      <w:kern w:val="0"/>
                      <w:sz w:val="21"/>
                      <w:szCs w:val="21"/>
                      <w:lang w:bidi="ar"/>
                    </w:rPr>
                    <w:t>）</w:t>
                  </w:r>
                </w:p>
              </w:tc>
            </w:tr>
            <w:tr w14:paraId="12ED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Merge w:val="continue"/>
                  <w:vAlign w:val="center"/>
                </w:tcPr>
                <w:p w14:paraId="20ED8F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rPr>
                      <w:rFonts w:hint="default" w:ascii="Times New Roman" w:hAnsi="Times New Roman"/>
                      <w:b/>
                      <w:bCs/>
                      <w:color w:val="auto"/>
                      <w:kern w:val="0"/>
                      <w:sz w:val="21"/>
                      <w:szCs w:val="21"/>
                    </w:rPr>
                  </w:pPr>
                </w:p>
              </w:tc>
              <w:tc>
                <w:tcPr>
                  <w:tcW w:w="897" w:type="dxa"/>
                  <w:vMerge w:val="continue"/>
                  <w:vAlign w:val="center"/>
                </w:tcPr>
                <w:p w14:paraId="758368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rPr>
                      <w:rFonts w:hint="default" w:ascii="Times New Roman" w:hAnsi="Times New Roman"/>
                      <w:b/>
                      <w:bCs/>
                      <w:color w:val="auto"/>
                      <w:kern w:val="0"/>
                      <w:sz w:val="21"/>
                      <w:szCs w:val="21"/>
                    </w:rPr>
                  </w:pPr>
                </w:p>
              </w:tc>
              <w:tc>
                <w:tcPr>
                  <w:tcW w:w="1095" w:type="dxa"/>
                  <w:vAlign w:val="center"/>
                </w:tcPr>
                <w:p w14:paraId="71266BBE">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b/>
                      <w:bCs/>
                      <w:color w:val="auto"/>
                      <w:kern w:val="0"/>
                      <w:sz w:val="21"/>
                      <w:szCs w:val="21"/>
                    </w:rPr>
                  </w:pPr>
                  <w:r>
                    <w:rPr>
                      <w:rFonts w:hint="eastAsia"/>
                      <w:b/>
                      <w:bCs/>
                      <w:color w:val="auto"/>
                      <w:kern w:val="0"/>
                      <w:sz w:val="21"/>
                      <w:szCs w:val="21"/>
                      <w:lang w:val="en-US" w:eastAsia="zh-CN"/>
                    </w:rPr>
                    <w:t>X</w:t>
                  </w:r>
                </w:p>
              </w:tc>
              <w:tc>
                <w:tcPr>
                  <w:tcW w:w="906" w:type="dxa"/>
                  <w:vAlign w:val="center"/>
                </w:tcPr>
                <w:p w14:paraId="007299BC">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b/>
                      <w:bCs/>
                      <w:color w:val="auto"/>
                      <w:kern w:val="0"/>
                      <w:sz w:val="21"/>
                      <w:szCs w:val="21"/>
                    </w:rPr>
                  </w:pPr>
                  <w:r>
                    <w:rPr>
                      <w:rFonts w:hint="eastAsia"/>
                      <w:b/>
                      <w:bCs/>
                      <w:color w:val="auto"/>
                      <w:kern w:val="0"/>
                      <w:sz w:val="21"/>
                      <w:szCs w:val="21"/>
                      <w:lang w:val="en-US" w:eastAsia="zh-CN"/>
                    </w:rPr>
                    <w:t>Y</w:t>
                  </w:r>
                </w:p>
              </w:tc>
              <w:tc>
                <w:tcPr>
                  <w:tcW w:w="894" w:type="dxa"/>
                  <w:vMerge w:val="continue"/>
                  <w:vAlign w:val="center"/>
                </w:tcPr>
                <w:p w14:paraId="2A0840B5">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p>
              </w:tc>
              <w:tc>
                <w:tcPr>
                  <w:tcW w:w="924" w:type="dxa"/>
                  <w:vMerge w:val="continue"/>
                  <w:vAlign w:val="center"/>
                </w:tcPr>
                <w:p w14:paraId="5EA39B46">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p>
              </w:tc>
              <w:tc>
                <w:tcPr>
                  <w:tcW w:w="924" w:type="dxa"/>
                  <w:vMerge w:val="continue"/>
                  <w:vAlign w:val="center"/>
                </w:tcPr>
                <w:p w14:paraId="6EA7DAAA">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p>
              </w:tc>
              <w:tc>
                <w:tcPr>
                  <w:tcW w:w="667" w:type="dxa"/>
                  <w:vMerge w:val="continue"/>
                  <w:vAlign w:val="center"/>
                </w:tcPr>
                <w:p w14:paraId="4ACCAFC0">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p>
              </w:tc>
              <w:tc>
                <w:tcPr>
                  <w:tcW w:w="990" w:type="dxa"/>
                  <w:vMerge w:val="continue"/>
                  <w:vAlign w:val="center"/>
                </w:tcPr>
                <w:p w14:paraId="190E45D5">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p>
              </w:tc>
              <w:tc>
                <w:tcPr>
                  <w:tcW w:w="760" w:type="dxa"/>
                  <w:vMerge w:val="continue"/>
                  <w:vAlign w:val="center"/>
                </w:tcPr>
                <w:p w14:paraId="6F66EE24">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p>
              </w:tc>
              <w:tc>
                <w:tcPr>
                  <w:tcW w:w="631" w:type="dxa"/>
                  <w:vMerge w:val="continue"/>
                  <w:vAlign w:val="center"/>
                </w:tcPr>
                <w:p w14:paraId="0D87B9C7">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ascii="Times New Roman" w:hAnsi="Times New Roman"/>
                      <w:b/>
                      <w:bCs/>
                      <w:color w:val="auto"/>
                      <w:kern w:val="0"/>
                      <w:sz w:val="21"/>
                      <w:szCs w:val="21"/>
                    </w:rPr>
                  </w:pPr>
                </w:p>
              </w:tc>
              <w:tc>
                <w:tcPr>
                  <w:tcW w:w="1055" w:type="dxa"/>
                  <w:vAlign w:val="center"/>
                </w:tcPr>
                <w:p w14:paraId="11DA6800">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default" w:cs="Times New Roman"/>
                      <w:b/>
                      <w:bCs/>
                      <w:color w:val="auto"/>
                      <w:sz w:val="21"/>
                      <w:szCs w:val="21"/>
                      <w:lang w:val="en-US" w:eastAsia="zh-CN"/>
                    </w:rPr>
                  </w:pPr>
                  <w:r>
                    <w:rPr>
                      <w:rFonts w:hint="eastAsia" w:cs="Times New Roman"/>
                      <w:b/>
                      <w:bCs/>
                      <w:color w:val="auto"/>
                      <w:sz w:val="21"/>
                      <w:szCs w:val="21"/>
                      <w:lang w:val="en-US" w:eastAsia="zh-CN"/>
                    </w:rPr>
                    <w:t>名称</w:t>
                  </w:r>
                </w:p>
              </w:tc>
              <w:tc>
                <w:tcPr>
                  <w:tcW w:w="1320" w:type="dxa"/>
                  <w:vAlign w:val="center"/>
                </w:tcPr>
                <w:p w14:paraId="40BDE276">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eastAsia"/>
                      <w:b/>
                      <w:bCs/>
                      <w:color w:val="auto"/>
                      <w:kern w:val="0"/>
                      <w:sz w:val="21"/>
                      <w:szCs w:val="21"/>
                      <w:lang w:val="en-US" w:eastAsia="zh-CN"/>
                    </w:rPr>
                  </w:pPr>
                  <w:r>
                    <w:rPr>
                      <w:rFonts w:hint="eastAsia"/>
                      <w:b/>
                      <w:bCs/>
                      <w:color w:val="auto"/>
                      <w:kern w:val="0"/>
                      <w:sz w:val="21"/>
                      <w:szCs w:val="21"/>
                      <w:lang w:val="en-US" w:eastAsia="zh-CN"/>
                    </w:rPr>
                    <w:t>污染物</w:t>
                  </w:r>
                  <w:r>
                    <w:rPr>
                      <w:rFonts w:hint="default" w:ascii="Times New Roman" w:hAnsi="Times New Roman"/>
                      <w:b/>
                      <w:bCs/>
                      <w:color w:val="auto"/>
                      <w:kern w:val="0"/>
                      <w:sz w:val="21"/>
                      <w:szCs w:val="21"/>
                    </w:rPr>
                    <w:t>排放速率kg/h</w:t>
                  </w:r>
                </w:p>
              </w:tc>
              <w:tc>
                <w:tcPr>
                  <w:tcW w:w="1177" w:type="dxa"/>
                  <w:vMerge w:val="continue"/>
                  <w:vAlign w:val="center"/>
                </w:tcPr>
                <w:p w14:paraId="32974704">
                  <w:pPr>
                    <w:pStyle w:val="3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rPr>
                      <w:rFonts w:hint="eastAsia" w:cs="Times New Roman"/>
                      <w:b/>
                      <w:bCs/>
                      <w:color w:val="auto"/>
                      <w:sz w:val="21"/>
                      <w:szCs w:val="21"/>
                      <w:lang w:val="en-US" w:eastAsia="zh-CN"/>
                    </w:rPr>
                  </w:pPr>
                </w:p>
              </w:tc>
            </w:tr>
            <w:tr w14:paraId="256C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14:paraId="7F7BB0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897" w:type="dxa"/>
                  <w:vAlign w:val="center"/>
                </w:tcPr>
                <w:p w14:paraId="4D5BCC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储罐呼吸废气</w:t>
                  </w:r>
                </w:p>
              </w:tc>
              <w:tc>
                <w:tcPr>
                  <w:tcW w:w="1095" w:type="dxa"/>
                  <w:vAlign w:val="center"/>
                </w:tcPr>
                <w:p w14:paraId="447EE254">
                  <w:pPr>
                    <w:keepNext w:val="0"/>
                    <w:keepLines w:val="0"/>
                    <w:pageBreakBefore w:val="0"/>
                    <w:suppressLineNumbers w:val="0"/>
                    <w:tabs>
                      <w:tab w:val="center" w:pos="741"/>
                      <w:tab w:val="right" w:pos="1362"/>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19</w:t>
                  </w:r>
                </w:p>
              </w:tc>
              <w:tc>
                <w:tcPr>
                  <w:tcW w:w="906" w:type="dxa"/>
                  <w:vAlign w:val="center"/>
                </w:tcPr>
                <w:p w14:paraId="2D7836F5">
                  <w:pPr>
                    <w:keepNext w:val="0"/>
                    <w:keepLines w:val="0"/>
                    <w:pageBreakBefore w:val="0"/>
                    <w:suppressLineNumbers w:val="0"/>
                    <w:tabs>
                      <w:tab w:val="center" w:pos="741"/>
                      <w:tab w:val="right" w:pos="1362"/>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8</w:t>
                  </w:r>
                </w:p>
              </w:tc>
              <w:tc>
                <w:tcPr>
                  <w:tcW w:w="894" w:type="dxa"/>
                  <w:vAlign w:val="center"/>
                </w:tcPr>
                <w:p w14:paraId="0E133B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35.688</w:t>
                  </w:r>
                </w:p>
              </w:tc>
              <w:tc>
                <w:tcPr>
                  <w:tcW w:w="924" w:type="dxa"/>
                  <w:vAlign w:val="center"/>
                </w:tcPr>
                <w:p w14:paraId="768B44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12</w:t>
                  </w:r>
                </w:p>
              </w:tc>
              <w:tc>
                <w:tcPr>
                  <w:tcW w:w="924" w:type="dxa"/>
                  <w:vAlign w:val="center"/>
                </w:tcPr>
                <w:p w14:paraId="748142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6</w:t>
                  </w:r>
                </w:p>
              </w:tc>
              <w:tc>
                <w:tcPr>
                  <w:tcW w:w="667" w:type="dxa"/>
                  <w:vAlign w:val="center"/>
                </w:tcPr>
                <w:p w14:paraId="228386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7</w:t>
                  </w:r>
                </w:p>
              </w:tc>
              <w:tc>
                <w:tcPr>
                  <w:tcW w:w="990" w:type="dxa"/>
                  <w:vAlign w:val="center"/>
                </w:tcPr>
                <w:p w14:paraId="6B6CE8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w:t>
                  </w:r>
                </w:p>
              </w:tc>
              <w:tc>
                <w:tcPr>
                  <w:tcW w:w="760" w:type="dxa"/>
                  <w:vAlign w:val="center"/>
                </w:tcPr>
                <w:p w14:paraId="52E430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20</w:t>
                  </w:r>
                </w:p>
              </w:tc>
              <w:tc>
                <w:tcPr>
                  <w:tcW w:w="631" w:type="dxa"/>
                  <w:vAlign w:val="center"/>
                </w:tcPr>
                <w:p w14:paraId="5E9EBA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1055" w:type="dxa"/>
                  <w:vAlign w:val="center"/>
                </w:tcPr>
                <w:p w14:paraId="3380B0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非甲烷总烃</w:t>
                  </w:r>
                </w:p>
              </w:tc>
              <w:tc>
                <w:tcPr>
                  <w:tcW w:w="1320" w:type="dxa"/>
                  <w:vAlign w:val="center"/>
                </w:tcPr>
                <w:p w14:paraId="483027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kern w:val="2"/>
                      <w:sz w:val="21"/>
                      <w:szCs w:val="21"/>
                      <w:lang w:val="en-US" w:eastAsia="zh-CN" w:bidi="ar-SA"/>
                    </w:rPr>
                    <w:t>0.007</w:t>
                  </w:r>
                </w:p>
              </w:tc>
              <w:tc>
                <w:tcPr>
                  <w:tcW w:w="1177" w:type="dxa"/>
                  <w:vAlign w:val="center"/>
                </w:tcPr>
                <w:p w14:paraId="7B919B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6.0</w:t>
                  </w:r>
                </w:p>
              </w:tc>
            </w:tr>
            <w:tr w14:paraId="3062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6" w:type="dxa"/>
                  <w:gridSpan w:val="14"/>
                  <w:vAlign w:val="center"/>
                </w:tcPr>
                <w:p w14:paraId="231697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auto"/>
                      <w:sz w:val="21"/>
                      <w:szCs w:val="21"/>
                      <w:lang w:val="en-US" w:eastAsia="zh-CN"/>
                    </w:rPr>
                  </w:pPr>
                  <w:r>
                    <w:rPr>
                      <w:rFonts w:hint="eastAsia"/>
                      <w:b/>
                      <w:bCs/>
                      <w:color w:val="000000"/>
                      <w:sz w:val="21"/>
                      <w:szCs w:val="18"/>
                    </w:rPr>
                    <w:t>注：</w:t>
                  </w:r>
                  <w:r>
                    <w:rPr>
                      <w:rFonts w:hint="eastAsia"/>
                      <w:b/>
                      <w:bCs/>
                      <w:color w:val="000000"/>
                      <w:sz w:val="21"/>
                      <w:szCs w:val="18"/>
                      <w:lang w:val="en-US" w:eastAsia="zh-CN"/>
                    </w:rPr>
                    <w:t>*</w:t>
                  </w:r>
                  <w:r>
                    <w:rPr>
                      <w:rFonts w:hint="eastAsia"/>
                      <w:b/>
                      <w:bCs/>
                      <w:color w:val="000000"/>
                      <w:sz w:val="21"/>
                      <w:szCs w:val="18"/>
                    </w:rPr>
                    <w:t>以</w:t>
                  </w:r>
                  <w:r>
                    <w:rPr>
                      <w:rFonts w:hint="eastAsia"/>
                      <w:b/>
                      <w:bCs/>
                      <w:color w:val="000000"/>
                      <w:sz w:val="21"/>
                      <w:szCs w:val="18"/>
                      <w:lang w:val="en-US" w:eastAsia="zh-CN"/>
                    </w:rPr>
                    <w:t>能源站厂界西</w:t>
                  </w:r>
                  <w:r>
                    <w:rPr>
                      <w:rFonts w:hint="eastAsia"/>
                      <w:b/>
                      <w:bCs/>
                      <w:color w:val="000000"/>
                      <w:sz w:val="21"/>
                      <w:szCs w:val="18"/>
                    </w:rPr>
                    <w:t>南角为坐标原点（经度116.845995，纬度33.904732），</w:t>
                  </w:r>
                  <w:r>
                    <w:rPr>
                      <w:rFonts w:hint="eastAsia" w:ascii="Times New Roman" w:hAnsi="Times New Roman" w:cs="Times New Roman"/>
                      <w:b/>
                      <w:bCs/>
                      <w:color w:val="000000"/>
                      <w:sz w:val="21"/>
                      <w:szCs w:val="21"/>
                      <w:lang w:val="en-US" w:eastAsia="zh-CN"/>
                    </w:rPr>
                    <w:t>正东方向为X轴，正北方向为Y轴</w:t>
                  </w:r>
                </w:p>
              </w:tc>
            </w:tr>
          </w:tbl>
          <w:p w14:paraId="20C06A22">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表4-</w:t>
            </w:r>
            <w:r>
              <w:rPr>
                <w:rFonts w:hint="eastAsia" w:cs="Times New Roman"/>
                <w:b/>
                <w:bCs/>
                <w:color w:val="auto"/>
                <w:lang w:val="en-US" w:eastAsia="zh-CN"/>
              </w:rPr>
              <w:t>14</w:t>
            </w:r>
            <w:r>
              <w:rPr>
                <w:rFonts w:hint="eastAsia" w:ascii="Times New Roman" w:hAnsi="Times New Roman" w:eastAsia="宋体" w:cs="Times New Roman"/>
                <w:b/>
                <w:bCs/>
                <w:color w:val="auto"/>
                <w:lang w:val="en-US" w:eastAsia="zh-CN"/>
              </w:rPr>
              <w:t xml:space="preserve">  项目无组织废气产排情况表</w:t>
            </w:r>
          </w:p>
          <w:tbl>
            <w:tblPr>
              <w:tblStyle w:val="27"/>
              <w:tblW w:w="12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33"/>
              <w:gridCol w:w="794"/>
              <w:gridCol w:w="916"/>
              <w:gridCol w:w="916"/>
              <w:gridCol w:w="3218"/>
              <w:gridCol w:w="1265"/>
              <w:gridCol w:w="1274"/>
              <w:gridCol w:w="1105"/>
              <w:gridCol w:w="1307"/>
            </w:tblGrid>
            <w:tr w14:paraId="52A0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restart"/>
                  <w:vAlign w:val="center"/>
                </w:tcPr>
                <w:p w14:paraId="40D078E2">
                  <w:pPr>
                    <w:pStyle w:val="4"/>
                    <w:bidi w:val="0"/>
                    <w:jc w:val="center"/>
                    <w:rPr>
                      <w:rFonts w:hint="default"/>
                      <w:b/>
                      <w:bCs/>
                      <w:color w:val="auto"/>
                      <w:sz w:val="21"/>
                      <w:szCs w:val="21"/>
                      <w:lang w:val="en-US" w:eastAsia="zh-CN"/>
                    </w:rPr>
                  </w:pPr>
                  <w:r>
                    <w:rPr>
                      <w:rFonts w:hint="eastAsia"/>
                      <w:b/>
                      <w:bCs/>
                      <w:color w:val="auto"/>
                      <w:sz w:val="21"/>
                      <w:szCs w:val="21"/>
                      <w:lang w:val="en-US" w:eastAsia="zh-CN"/>
                    </w:rPr>
                    <w:t>排放源</w:t>
                  </w:r>
                </w:p>
              </w:tc>
              <w:tc>
                <w:tcPr>
                  <w:tcW w:w="733" w:type="dxa"/>
                  <w:vMerge w:val="restart"/>
                  <w:vAlign w:val="center"/>
                </w:tcPr>
                <w:p w14:paraId="5D0468A7">
                  <w:pPr>
                    <w:pStyle w:val="4"/>
                    <w:bidi w:val="0"/>
                    <w:jc w:val="center"/>
                    <w:rPr>
                      <w:rFonts w:hint="default"/>
                      <w:b/>
                      <w:bCs/>
                      <w:color w:val="auto"/>
                      <w:sz w:val="21"/>
                      <w:szCs w:val="21"/>
                      <w:lang w:val="en-US" w:eastAsia="zh-CN"/>
                    </w:rPr>
                  </w:pPr>
                  <w:r>
                    <w:rPr>
                      <w:rFonts w:hint="eastAsia"/>
                      <w:b/>
                      <w:bCs/>
                      <w:color w:val="auto"/>
                      <w:sz w:val="21"/>
                      <w:szCs w:val="21"/>
                      <w:lang w:val="en-US" w:eastAsia="zh-CN"/>
                    </w:rPr>
                    <w:t>污染物</w:t>
                  </w:r>
                </w:p>
              </w:tc>
              <w:tc>
                <w:tcPr>
                  <w:tcW w:w="794" w:type="dxa"/>
                  <w:vMerge w:val="restart"/>
                  <w:vAlign w:val="center"/>
                </w:tcPr>
                <w:p w14:paraId="7F1B2BF7">
                  <w:pPr>
                    <w:pStyle w:val="4"/>
                    <w:bidi w:val="0"/>
                    <w:ind w:left="0" w:leftChars="0" w:firstLine="0" w:firstLineChars="0"/>
                    <w:jc w:val="center"/>
                    <w:rPr>
                      <w:rFonts w:hint="default" w:ascii="Times New Roman" w:hAnsi="Times New Roman" w:eastAsia="宋体" w:cs="Times New Roman"/>
                      <w:b/>
                      <w:bCs/>
                      <w:color w:val="auto"/>
                      <w:kern w:val="44"/>
                      <w:sz w:val="21"/>
                      <w:szCs w:val="21"/>
                      <w:lang w:val="en-US" w:eastAsia="zh-CN" w:bidi="ar-SA"/>
                    </w:rPr>
                  </w:pPr>
                  <w:r>
                    <w:rPr>
                      <w:rFonts w:hint="default"/>
                      <w:b/>
                      <w:bCs/>
                      <w:color w:val="auto"/>
                      <w:sz w:val="21"/>
                      <w:szCs w:val="21"/>
                      <w:lang w:val="en-US" w:eastAsia="zh-CN"/>
                    </w:rPr>
                    <w:t>工作时间</w:t>
                  </w:r>
                  <w:r>
                    <w:rPr>
                      <w:rFonts w:hint="eastAsia"/>
                      <w:b/>
                      <w:bCs/>
                      <w:color w:val="auto"/>
                      <w:sz w:val="21"/>
                      <w:szCs w:val="21"/>
                      <w:lang w:val="en-US" w:eastAsia="zh-CN"/>
                    </w:rPr>
                    <w:t>（h）</w:t>
                  </w:r>
                </w:p>
              </w:tc>
              <w:tc>
                <w:tcPr>
                  <w:tcW w:w="916" w:type="dxa"/>
                  <w:vMerge w:val="restart"/>
                  <w:vAlign w:val="center"/>
                </w:tcPr>
                <w:p w14:paraId="00A36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i w:val="0"/>
                      <w:color w:val="auto"/>
                      <w:kern w:val="0"/>
                      <w:sz w:val="21"/>
                      <w:szCs w:val="21"/>
                      <w:u w:val="none"/>
                      <w:lang w:val="en-US" w:eastAsia="zh-CN" w:bidi="ar"/>
                    </w:rPr>
                    <w:t>产生量</w:t>
                  </w:r>
                  <w:r>
                    <w:rPr>
                      <w:rFonts w:hint="eastAsia" w:ascii="Times New Roman" w:hAnsi="Times New Roman" w:eastAsia="宋体" w:cs="Times New Roman"/>
                      <w:b/>
                      <w:bCs/>
                      <w:i w:val="0"/>
                      <w:color w:val="auto"/>
                      <w:kern w:val="0"/>
                      <w:sz w:val="21"/>
                      <w:szCs w:val="21"/>
                      <w:u w:val="none"/>
                      <w:lang w:val="en-US" w:eastAsia="zh-CN" w:bidi="ar"/>
                    </w:rPr>
                    <w:t>（</w:t>
                  </w:r>
                  <w:r>
                    <w:rPr>
                      <w:rFonts w:hint="eastAsia" w:cs="Times New Roman"/>
                      <w:b/>
                      <w:bCs/>
                      <w:i w:val="0"/>
                      <w:color w:val="auto"/>
                      <w:kern w:val="0"/>
                      <w:sz w:val="21"/>
                      <w:szCs w:val="21"/>
                      <w:u w:val="none"/>
                      <w:lang w:val="en-US" w:eastAsia="zh-CN" w:bidi="ar"/>
                    </w:rPr>
                    <w:t>kg</w:t>
                  </w:r>
                  <w:r>
                    <w:rPr>
                      <w:rFonts w:hint="default" w:ascii="Times New Roman" w:hAnsi="Times New Roman" w:eastAsia="宋体" w:cs="Times New Roman"/>
                      <w:b/>
                      <w:bCs/>
                      <w:i w:val="0"/>
                      <w:color w:val="auto"/>
                      <w:kern w:val="0"/>
                      <w:sz w:val="21"/>
                      <w:szCs w:val="21"/>
                      <w:u w:val="none"/>
                      <w:lang w:val="en-US" w:eastAsia="zh-CN" w:bidi="ar"/>
                    </w:rPr>
                    <w:t>/a</w:t>
                  </w:r>
                  <w:r>
                    <w:rPr>
                      <w:rFonts w:hint="eastAsia" w:ascii="Times New Roman" w:hAnsi="Times New Roman" w:eastAsia="宋体" w:cs="Times New Roman"/>
                      <w:b/>
                      <w:bCs/>
                      <w:i w:val="0"/>
                      <w:color w:val="auto"/>
                      <w:kern w:val="0"/>
                      <w:sz w:val="21"/>
                      <w:szCs w:val="21"/>
                      <w:u w:val="none"/>
                      <w:lang w:val="en-US" w:eastAsia="zh-CN" w:bidi="ar"/>
                    </w:rPr>
                    <w:t>）</w:t>
                  </w:r>
                </w:p>
              </w:tc>
              <w:tc>
                <w:tcPr>
                  <w:tcW w:w="916" w:type="dxa"/>
                  <w:vMerge w:val="restart"/>
                  <w:vAlign w:val="center"/>
                </w:tcPr>
                <w:p w14:paraId="584070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color w:val="auto"/>
                      <w:kern w:val="0"/>
                      <w:sz w:val="21"/>
                      <w:szCs w:val="21"/>
                      <w:u w:val="none"/>
                      <w:lang w:val="en-US" w:eastAsia="zh-CN" w:bidi="ar"/>
                    </w:rPr>
                  </w:pPr>
                  <w:r>
                    <w:rPr>
                      <w:rFonts w:hint="eastAsia" w:ascii="Times New Roman" w:hAnsi="Times New Roman" w:eastAsia="宋体" w:cs="Times New Roman"/>
                      <w:b/>
                      <w:bCs/>
                      <w:i w:val="0"/>
                      <w:color w:val="auto"/>
                      <w:kern w:val="0"/>
                      <w:sz w:val="21"/>
                      <w:szCs w:val="21"/>
                      <w:u w:val="none"/>
                      <w:lang w:val="en-US" w:eastAsia="zh-CN" w:bidi="ar"/>
                    </w:rPr>
                    <w:t>速率（kg/h）</w:t>
                  </w:r>
                </w:p>
              </w:tc>
              <w:tc>
                <w:tcPr>
                  <w:tcW w:w="3218" w:type="dxa"/>
                  <w:vMerge w:val="restart"/>
                  <w:vAlign w:val="center"/>
                </w:tcPr>
                <w:p w14:paraId="3F35A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i w:val="0"/>
                      <w:color w:val="auto"/>
                      <w:kern w:val="0"/>
                      <w:sz w:val="21"/>
                      <w:szCs w:val="21"/>
                      <w:u w:val="none"/>
                      <w:lang w:val="en-US" w:eastAsia="zh-CN" w:bidi="ar"/>
                    </w:rPr>
                    <w:t>治理措施</w:t>
                  </w:r>
                </w:p>
              </w:tc>
              <w:tc>
                <w:tcPr>
                  <w:tcW w:w="1265" w:type="dxa"/>
                  <w:vMerge w:val="restart"/>
                  <w:vAlign w:val="center"/>
                </w:tcPr>
                <w:p w14:paraId="079C76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i w:val="0"/>
                      <w:color w:val="auto"/>
                      <w:kern w:val="0"/>
                      <w:sz w:val="21"/>
                      <w:szCs w:val="21"/>
                      <w:u w:val="none"/>
                      <w:lang w:val="en-US" w:eastAsia="zh-CN" w:bidi="ar"/>
                    </w:rPr>
                    <w:t>排放量</w:t>
                  </w:r>
                  <w:r>
                    <w:rPr>
                      <w:rFonts w:hint="eastAsia" w:ascii="Times New Roman" w:hAnsi="Times New Roman" w:eastAsia="宋体" w:cs="Times New Roman"/>
                      <w:b/>
                      <w:bCs/>
                      <w:i w:val="0"/>
                      <w:color w:val="auto"/>
                      <w:kern w:val="0"/>
                      <w:sz w:val="21"/>
                      <w:szCs w:val="21"/>
                      <w:u w:val="none"/>
                      <w:lang w:val="en-US" w:eastAsia="zh-CN" w:bidi="ar"/>
                    </w:rPr>
                    <w:t>（</w:t>
                  </w:r>
                  <w:r>
                    <w:rPr>
                      <w:rFonts w:hint="default" w:ascii="Times New Roman" w:hAnsi="Times New Roman" w:eastAsia="宋体" w:cs="Times New Roman"/>
                      <w:b/>
                      <w:bCs/>
                      <w:i w:val="0"/>
                      <w:color w:val="auto"/>
                      <w:kern w:val="0"/>
                      <w:sz w:val="21"/>
                      <w:szCs w:val="21"/>
                      <w:u w:val="none"/>
                      <w:lang w:val="en-US" w:eastAsia="zh-CN" w:bidi="ar"/>
                    </w:rPr>
                    <w:t>t/a</w:t>
                  </w:r>
                  <w:r>
                    <w:rPr>
                      <w:rFonts w:hint="eastAsia" w:ascii="Times New Roman" w:hAnsi="Times New Roman" w:eastAsia="宋体" w:cs="Times New Roman"/>
                      <w:b/>
                      <w:bCs/>
                      <w:i w:val="0"/>
                      <w:color w:val="auto"/>
                      <w:kern w:val="0"/>
                      <w:sz w:val="21"/>
                      <w:szCs w:val="21"/>
                      <w:u w:val="none"/>
                      <w:lang w:val="en-US" w:eastAsia="zh-CN" w:bidi="ar"/>
                    </w:rPr>
                    <w:t>）</w:t>
                  </w:r>
                </w:p>
              </w:tc>
              <w:tc>
                <w:tcPr>
                  <w:tcW w:w="1274" w:type="dxa"/>
                  <w:vMerge w:val="restart"/>
                  <w:vAlign w:val="center"/>
                </w:tcPr>
                <w:p w14:paraId="1F323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color w:val="auto"/>
                      <w:kern w:val="0"/>
                      <w:sz w:val="21"/>
                      <w:szCs w:val="21"/>
                      <w:u w:val="none"/>
                      <w:lang w:val="en-US" w:eastAsia="zh-CN" w:bidi="ar"/>
                    </w:rPr>
                  </w:pPr>
                  <w:r>
                    <w:rPr>
                      <w:rFonts w:hint="eastAsia" w:ascii="Times New Roman" w:hAnsi="Times New Roman" w:eastAsia="宋体" w:cs="Times New Roman"/>
                      <w:b/>
                      <w:bCs/>
                      <w:i w:val="0"/>
                      <w:color w:val="auto"/>
                      <w:kern w:val="0"/>
                      <w:sz w:val="21"/>
                      <w:szCs w:val="21"/>
                      <w:u w:val="none"/>
                      <w:lang w:val="en-US" w:eastAsia="zh-CN" w:bidi="ar"/>
                    </w:rPr>
                    <w:t>速率（kg/h）</w:t>
                  </w:r>
                </w:p>
              </w:tc>
              <w:tc>
                <w:tcPr>
                  <w:tcW w:w="2412" w:type="dxa"/>
                  <w:gridSpan w:val="2"/>
                  <w:vAlign w:val="center"/>
                </w:tcPr>
                <w:p w14:paraId="596BE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i w:val="0"/>
                      <w:color w:val="auto"/>
                      <w:kern w:val="0"/>
                      <w:sz w:val="21"/>
                      <w:szCs w:val="21"/>
                      <w:u w:val="none"/>
                      <w:lang w:val="en-US" w:eastAsia="zh-CN" w:bidi="ar"/>
                    </w:rPr>
                  </w:pPr>
                  <w:r>
                    <w:rPr>
                      <w:rFonts w:hint="eastAsia" w:cs="Times New Roman"/>
                      <w:b/>
                      <w:bCs/>
                      <w:i w:val="0"/>
                      <w:color w:val="auto"/>
                      <w:kern w:val="0"/>
                      <w:sz w:val="21"/>
                      <w:szCs w:val="21"/>
                      <w:u w:val="none"/>
                      <w:lang w:val="en-US" w:eastAsia="zh-CN" w:bidi="ar"/>
                    </w:rPr>
                    <w:t>排放标准</w:t>
                  </w:r>
                </w:p>
              </w:tc>
            </w:tr>
            <w:tr w14:paraId="4996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Merge w:val="continue"/>
                  <w:vAlign w:val="center"/>
                </w:tcPr>
                <w:p w14:paraId="0CEB6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p>
              </w:tc>
              <w:tc>
                <w:tcPr>
                  <w:tcW w:w="733" w:type="dxa"/>
                  <w:vMerge w:val="continue"/>
                  <w:vAlign w:val="center"/>
                </w:tcPr>
                <w:p w14:paraId="4DA5E0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p>
              </w:tc>
              <w:tc>
                <w:tcPr>
                  <w:tcW w:w="794" w:type="dxa"/>
                  <w:vMerge w:val="continue"/>
                  <w:vAlign w:val="center"/>
                </w:tcPr>
                <w:p w14:paraId="4AD3C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p>
              </w:tc>
              <w:tc>
                <w:tcPr>
                  <w:tcW w:w="916" w:type="dxa"/>
                  <w:vMerge w:val="continue"/>
                  <w:vAlign w:val="center"/>
                </w:tcPr>
                <w:p w14:paraId="76082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p>
              </w:tc>
              <w:tc>
                <w:tcPr>
                  <w:tcW w:w="916" w:type="dxa"/>
                  <w:vMerge w:val="continue"/>
                  <w:vAlign w:val="center"/>
                </w:tcPr>
                <w:p w14:paraId="6A052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p>
              </w:tc>
              <w:tc>
                <w:tcPr>
                  <w:tcW w:w="3218" w:type="dxa"/>
                  <w:vMerge w:val="continue"/>
                  <w:vAlign w:val="center"/>
                </w:tcPr>
                <w:p w14:paraId="11EAC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p>
              </w:tc>
              <w:tc>
                <w:tcPr>
                  <w:tcW w:w="1265" w:type="dxa"/>
                  <w:vMerge w:val="continue"/>
                  <w:vAlign w:val="center"/>
                </w:tcPr>
                <w:p w14:paraId="0CF4B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p>
              </w:tc>
              <w:tc>
                <w:tcPr>
                  <w:tcW w:w="1274" w:type="dxa"/>
                  <w:vMerge w:val="continue"/>
                  <w:vAlign w:val="center"/>
                </w:tcPr>
                <w:p w14:paraId="314BD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p>
              </w:tc>
              <w:tc>
                <w:tcPr>
                  <w:tcW w:w="1105" w:type="dxa"/>
                  <w:vAlign w:val="center"/>
                </w:tcPr>
                <w:p w14:paraId="3946D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i w:val="0"/>
                      <w:color w:val="auto"/>
                      <w:kern w:val="0"/>
                      <w:sz w:val="21"/>
                      <w:szCs w:val="21"/>
                      <w:u w:val="none"/>
                      <w:lang w:val="en-US" w:eastAsia="zh-CN" w:bidi="ar"/>
                    </w:rPr>
                    <w:t>速率（kg/h）</w:t>
                  </w:r>
                </w:p>
              </w:tc>
              <w:tc>
                <w:tcPr>
                  <w:tcW w:w="1307" w:type="dxa"/>
                  <w:vAlign w:val="center"/>
                </w:tcPr>
                <w:p w14:paraId="07091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i w:val="0"/>
                      <w:color w:val="auto"/>
                      <w:kern w:val="0"/>
                      <w:sz w:val="21"/>
                      <w:szCs w:val="21"/>
                      <w:u w:val="none"/>
                      <w:lang w:val="en-US" w:eastAsia="zh-CN" w:bidi="ar"/>
                    </w:rPr>
                  </w:pPr>
                  <w:r>
                    <w:rPr>
                      <w:rFonts w:hint="default" w:ascii="Times New Roman" w:hAnsi="Times New Roman" w:eastAsia="宋体" w:cs="Times New Roman"/>
                      <w:b/>
                      <w:bCs/>
                      <w:i w:val="0"/>
                      <w:color w:val="auto"/>
                      <w:kern w:val="0"/>
                      <w:sz w:val="21"/>
                      <w:szCs w:val="21"/>
                      <w:u w:val="none"/>
                      <w:lang w:val="en-US" w:eastAsia="zh-CN" w:bidi="ar"/>
                    </w:rPr>
                    <w:t>浓度</w:t>
                  </w:r>
                  <w:r>
                    <w:rPr>
                      <w:rFonts w:hint="eastAsia" w:ascii="Times New Roman" w:hAnsi="Times New Roman" w:eastAsia="宋体" w:cs="Times New Roman"/>
                      <w:b/>
                      <w:bCs/>
                      <w:i w:val="0"/>
                      <w:color w:val="auto"/>
                      <w:kern w:val="0"/>
                      <w:sz w:val="21"/>
                      <w:szCs w:val="21"/>
                      <w:u w:val="none"/>
                      <w:lang w:val="en-US" w:eastAsia="zh-CN" w:bidi="ar"/>
                    </w:rPr>
                    <w:t>（</w:t>
                  </w:r>
                  <w:r>
                    <w:rPr>
                      <w:rFonts w:hint="default" w:ascii="Times New Roman" w:hAnsi="Times New Roman" w:eastAsia="宋体" w:cs="Times New Roman"/>
                      <w:b/>
                      <w:bCs/>
                      <w:i w:val="0"/>
                      <w:color w:val="auto"/>
                      <w:kern w:val="0"/>
                      <w:sz w:val="21"/>
                      <w:szCs w:val="21"/>
                      <w:u w:val="none"/>
                      <w:lang w:val="en-US" w:eastAsia="zh-CN" w:bidi="ar"/>
                    </w:rPr>
                    <w:t>mg/m</w:t>
                  </w:r>
                  <w:r>
                    <w:rPr>
                      <w:rFonts w:hint="default" w:ascii="Times New Roman" w:hAnsi="Times New Roman" w:eastAsia="宋体" w:cs="Times New Roman"/>
                      <w:b/>
                      <w:bCs/>
                      <w:i w:val="0"/>
                      <w:color w:val="auto"/>
                      <w:kern w:val="0"/>
                      <w:sz w:val="21"/>
                      <w:szCs w:val="21"/>
                      <w:u w:val="none"/>
                      <w:vertAlign w:val="superscript"/>
                      <w:lang w:val="en-US" w:eastAsia="zh-CN" w:bidi="ar"/>
                    </w:rPr>
                    <w:t>3</w:t>
                  </w:r>
                  <w:r>
                    <w:rPr>
                      <w:rFonts w:hint="eastAsia" w:ascii="Times New Roman" w:hAnsi="Times New Roman" w:eastAsia="宋体" w:cs="Times New Roman"/>
                      <w:b/>
                      <w:bCs/>
                      <w:i w:val="0"/>
                      <w:color w:val="auto"/>
                      <w:kern w:val="0"/>
                      <w:sz w:val="21"/>
                      <w:szCs w:val="21"/>
                      <w:u w:val="none"/>
                      <w:lang w:val="en-US" w:eastAsia="zh-CN" w:bidi="ar"/>
                    </w:rPr>
                    <w:t>）</w:t>
                  </w:r>
                </w:p>
              </w:tc>
            </w:tr>
            <w:tr w14:paraId="5178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vAlign w:val="center"/>
                </w:tcPr>
                <w:p w14:paraId="7DA17D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b w:val="0"/>
                      <w:bCs w:val="0"/>
                      <w:color w:val="auto"/>
                      <w:sz w:val="21"/>
                      <w:szCs w:val="21"/>
                      <w:lang w:val="en-US" w:eastAsia="zh-CN"/>
                    </w:rPr>
                    <w:t>储罐呼吸废气</w:t>
                  </w:r>
                </w:p>
              </w:tc>
              <w:tc>
                <w:tcPr>
                  <w:tcW w:w="733" w:type="dxa"/>
                  <w:vAlign w:val="center"/>
                </w:tcPr>
                <w:p w14:paraId="0D40C5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bCs/>
                      <w:color w:val="auto"/>
                      <w:kern w:val="44"/>
                      <w:sz w:val="21"/>
                      <w:szCs w:val="21"/>
                      <w:lang w:val="en-US" w:eastAsia="zh-CN" w:bidi="ar-SA"/>
                    </w:rPr>
                  </w:pPr>
                  <w:r>
                    <w:rPr>
                      <w:rFonts w:hint="eastAsia" w:cs="Times New Roman"/>
                      <w:b w:val="0"/>
                      <w:bCs w:val="0"/>
                      <w:color w:val="auto"/>
                      <w:sz w:val="21"/>
                      <w:szCs w:val="21"/>
                      <w:lang w:val="en-US" w:eastAsia="zh-CN"/>
                    </w:rPr>
                    <w:t>非甲烷总烃</w:t>
                  </w:r>
                </w:p>
              </w:tc>
              <w:tc>
                <w:tcPr>
                  <w:tcW w:w="794" w:type="dxa"/>
                  <w:vAlign w:val="center"/>
                </w:tcPr>
                <w:p w14:paraId="7FCD2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20</w:t>
                  </w:r>
                </w:p>
              </w:tc>
              <w:tc>
                <w:tcPr>
                  <w:tcW w:w="916" w:type="dxa"/>
                  <w:shd w:val="clear" w:color="auto" w:fill="auto"/>
                  <w:vAlign w:val="center"/>
                </w:tcPr>
                <w:p w14:paraId="76FAE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0.137</w:t>
                  </w:r>
                </w:p>
              </w:tc>
              <w:tc>
                <w:tcPr>
                  <w:tcW w:w="916" w:type="dxa"/>
                  <w:vAlign w:val="center"/>
                </w:tcPr>
                <w:p w14:paraId="2E7F30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0.007</w:t>
                  </w:r>
                </w:p>
              </w:tc>
              <w:tc>
                <w:tcPr>
                  <w:tcW w:w="3218" w:type="dxa"/>
                  <w:vAlign w:val="center"/>
                </w:tcPr>
                <w:p w14:paraId="53A0D14D">
                  <w:pPr>
                    <w:widowControl/>
                    <w:spacing w:line="240" w:lineRule="auto"/>
                    <w:ind w:firstLine="0" w:firstLineChars="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大呼吸废气采取装卸料时使用平衡管，减少无组织废气排放；小呼吸废气采取储罐密闭，设置呼吸阀无组织排放</w:t>
                  </w:r>
                </w:p>
              </w:tc>
              <w:tc>
                <w:tcPr>
                  <w:tcW w:w="1265" w:type="dxa"/>
                  <w:vAlign w:val="center"/>
                </w:tcPr>
                <w:p w14:paraId="326DD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0.137</w:t>
                  </w:r>
                </w:p>
              </w:tc>
              <w:tc>
                <w:tcPr>
                  <w:tcW w:w="1274" w:type="dxa"/>
                  <w:vAlign w:val="center"/>
                </w:tcPr>
                <w:p w14:paraId="77F1CB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0.007</w:t>
                  </w:r>
                </w:p>
              </w:tc>
              <w:tc>
                <w:tcPr>
                  <w:tcW w:w="1105" w:type="dxa"/>
                  <w:vAlign w:val="center"/>
                </w:tcPr>
                <w:p w14:paraId="7E3FAC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 xml:space="preserve">/ </w:t>
                  </w:r>
                </w:p>
              </w:tc>
              <w:tc>
                <w:tcPr>
                  <w:tcW w:w="1307" w:type="dxa"/>
                  <w:vAlign w:val="center"/>
                </w:tcPr>
                <w:p w14:paraId="57E12F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6</w:t>
                  </w:r>
                  <w:r>
                    <w:rPr>
                      <w:rFonts w:hint="eastAsia"/>
                      <w:sz w:val="21"/>
                      <w:szCs w:val="21"/>
                      <w:lang w:val="en-US" w:eastAsia="zh-CN"/>
                    </w:rPr>
                    <w:t>.0</w:t>
                  </w:r>
                </w:p>
              </w:tc>
            </w:tr>
          </w:tbl>
          <w:p w14:paraId="6B64794D">
            <w:pPr>
              <w:autoSpaceDE w:val="0"/>
              <w:autoSpaceDN w:val="0"/>
              <w:spacing w:line="460" w:lineRule="exact"/>
              <w:ind w:firstLine="0" w:firstLineChars="0"/>
              <w:jc w:val="center"/>
              <w:rPr>
                <w:rFonts w:hint="eastAsia" w:ascii="宋体" w:hAnsi="宋体" w:cs="宋体"/>
                <w:color w:val="auto"/>
                <w:kern w:val="0"/>
                <w:szCs w:val="21"/>
                <w:lang w:eastAsia="zh-CN"/>
              </w:rPr>
            </w:pPr>
          </w:p>
          <w:p w14:paraId="0C00945F">
            <w:pPr>
              <w:autoSpaceDE w:val="0"/>
              <w:autoSpaceDN w:val="0"/>
              <w:spacing w:line="460" w:lineRule="exact"/>
              <w:ind w:firstLine="0" w:firstLineChars="0"/>
              <w:jc w:val="center"/>
              <w:rPr>
                <w:rFonts w:hint="eastAsia" w:ascii="宋体" w:hAnsi="宋体" w:cs="宋体"/>
                <w:color w:val="auto"/>
                <w:kern w:val="0"/>
                <w:szCs w:val="21"/>
                <w:lang w:eastAsia="zh-CN"/>
              </w:rPr>
            </w:pPr>
          </w:p>
          <w:p w14:paraId="248FBE3E">
            <w:pPr>
              <w:autoSpaceDE w:val="0"/>
              <w:autoSpaceDN w:val="0"/>
              <w:spacing w:line="460" w:lineRule="exact"/>
              <w:ind w:firstLine="0" w:firstLineChars="0"/>
              <w:jc w:val="center"/>
              <w:rPr>
                <w:rFonts w:hint="eastAsia" w:ascii="宋体" w:hAnsi="宋体" w:cs="宋体"/>
                <w:color w:val="auto"/>
                <w:kern w:val="0"/>
                <w:szCs w:val="21"/>
                <w:lang w:eastAsia="zh-CN"/>
              </w:rPr>
            </w:pPr>
          </w:p>
          <w:p w14:paraId="4A406B36">
            <w:pPr>
              <w:autoSpaceDE w:val="0"/>
              <w:autoSpaceDN w:val="0"/>
              <w:spacing w:line="460" w:lineRule="exact"/>
              <w:ind w:firstLine="0" w:firstLineChars="0"/>
              <w:jc w:val="both"/>
              <w:rPr>
                <w:rFonts w:hint="eastAsia" w:ascii="宋体" w:hAnsi="宋体" w:cs="宋体"/>
                <w:color w:val="auto"/>
                <w:kern w:val="0"/>
                <w:szCs w:val="21"/>
                <w:lang w:eastAsia="zh-CN"/>
              </w:rPr>
            </w:pPr>
          </w:p>
          <w:p w14:paraId="26BB0F3A">
            <w:pPr>
              <w:autoSpaceDE w:val="0"/>
              <w:autoSpaceDN w:val="0"/>
              <w:spacing w:line="460" w:lineRule="exact"/>
              <w:ind w:firstLine="0" w:firstLineChars="0"/>
              <w:jc w:val="both"/>
              <w:rPr>
                <w:rFonts w:hint="default" w:ascii="宋体" w:hAnsi="宋体" w:eastAsia="宋体" w:cs="宋体"/>
                <w:color w:val="auto"/>
                <w:kern w:val="0"/>
                <w:szCs w:val="21"/>
                <w:lang w:val="en-US" w:eastAsia="zh-CN"/>
              </w:rPr>
            </w:pPr>
          </w:p>
        </w:tc>
      </w:tr>
    </w:tbl>
    <w:p w14:paraId="39D2AA7C">
      <w:pPr>
        <w:pStyle w:val="4"/>
        <w:rPr>
          <w:color w:val="auto"/>
        </w:rPr>
        <w:sectPr>
          <w:pgSz w:w="16840" w:h="11907" w:orient="landscape"/>
          <w:pgMar w:top="1531" w:right="1701" w:bottom="1531" w:left="2127" w:header="851" w:footer="851" w:gutter="0"/>
          <w:pgNumType w:fmt="decimal"/>
          <w:cols w:space="720" w:num="1"/>
          <w:docGrid w:linePitch="312" w:charSpace="0"/>
        </w:sectPr>
      </w:pPr>
    </w:p>
    <w:tbl>
      <w:tblPr>
        <w:tblStyle w:val="26"/>
        <w:tblW w:w="88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8"/>
        <w:gridCol w:w="8430"/>
      </w:tblGrid>
      <w:tr w14:paraId="28D26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21" w:hRule="atLeast"/>
          <w:jc w:val="center"/>
        </w:trPr>
        <w:tc>
          <w:tcPr>
            <w:tcW w:w="438" w:type="dxa"/>
            <w:vAlign w:val="center"/>
          </w:tcPr>
          <w:p w14:paraId="00BBA94D">
            <w:pPr>
              <w:spacing w:line="240" w:lineRule="auto"/>
              <w:ind w:firstLine="0" w:firstLineChars="0"/>
              <w:jc w:val="center"/>
              <w:rPr>
                <w:rFonts w:ascii="宋体" w:hAnsi="宋体" w:cs="宋体"/>
                <w:color w:val="auto"/>
                <w:kern w:val="0"/>
                <w:szCs w:val="21"/>
              </w:rPr>
            </w:pPr>
          </w:p>
        </w:tc>
        <w:tc>
          <w:tcPr>
            <w:tcW w:w="8430" w:type="dxa"/>
            <w:vAlign w:val="center"/>
          </w:tcPr>
          <w:p w14:paraId="28820A55">
            <w:pPr>
              <w:ind w:firstLine="0" w:firstLineChars="0"/>
              <w:rPr>
                <w:b/>
                <w:bCs/>
                <w:color w:val="auto"/>
              </w:rPr>
            </w:pPr>
            <w:r>
              <w:rPr>
                <w:rFonts w:hint="eastAsia"/>
                <w:b/>
                <w:bCs/>
                <w:color w:val="auto"/>
              </w:rPr>
              <w:t>1.</w:t>
            </w:r>
            <w:r>
              <w:rPr>
                <w:rFonts w:hint="eastAsia"/>
                <w:b/>
                <w:bCs/>
                <w:color w:val="auto"/>
                <w:lang w:val="en-US" w:eastAsia="zh-CN"/>
              </w:rPr>
              <w:t>2</w:t>
            </w:r>
            <w:r>
              <w:rPr>
                <w:rFonts w:hint="eastAsia"/>
                <w:b/>
                <w:bCs/>
                <w:color w:val="auto"/>
              </w:rPr>
              <w:t xml:space="preserve"> 可行性技术</w:t>
            </w:r>
            <w:r>
              <w:rPr>
                <w:b/>
                <w:bCs/>
                <w:color w:val="auto"/>
              </w:rPr>
              <w:t>分析</w:t>
            </w:r>
          </w:p>
          <w:p w14:paraId="14B197CD">
            <w:pPr>
              <w:pStyle w:val="14"/>
              <w:rPr>
                <w:color w:val="auto"/>
              </w:rPr>
            </w:pPr>
            <w:r>
              <w:rPr>
                <w:rFonts w:hint="eastAsia"/>
                <w:color w:val="auto"/>
              </w:rPr>
              <w:t>参照《排污许可申请与核发技术规范 总则》（HJ942-2018）</w:t>
            </w:r>
            <w:r>
              <w:rPr>
                <w:rFonts w:hint="eastAsia"/>
                <w:color w:val="auto"/>
                <w:lang w:val="en-US" w:eastAsia="zh-CN"/>
              </w:rPr>
              <w:t>及</w:t>
            </w:r>
            <w:r>
              <w:rPr>
                <w:rFonts w:hint="eastAsia"/>
                <w:color w:val="auto"/>
              </w:rPr>
              <w:t>《排污许可证申请与核发技术规范 锅炉》（HJ953</w:t>
            </w:r>
            <w:r>
              <w:rPr>
                <w:rFonts w:hint="eastAsia"/>
                <w:lang w:val="en-US" w:eastAsia="zh-CN"/>
              </w:rPr>
              <w:t>-</w:t>
            </w:r>
            <w:r>
              <w:rPr>
                <w:rFonts w:hint="eastAsia"/>
                <w:color w:val="auto"/>
              </w:rPr>
              <w:t>2018）中相关标准，</w:t>
            </w:r>
            <w:r>
              <w:rPr>
                <w:rFonts w:hint="eastAsia"/>
                <w:lang w:val="en-US" w:eastAsia="zh-CN"/>
              </w:rPr>
              <w:t>本项目废气治理措施可行性分析如下表</w:t>
            </w:r>
            <w:r>
              <w:rPr>
                <w:rFonts w:hint="eastAsia"/>
                <w:color w:val="auto"/>
              </w:rPr>
              <w:t>。</w:t>
            </w:r>
          </w:p>
          <w:p w14:paraId="051242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zCs w:val="24"/>
                <w:lang w:val="en-US" w:eastAsia="zh-CN"/>
              </w:rPr>
            </w:pPr>
            <w:r>
              <w:rPr>
                <w:rFonts w:hint="eastAsia"/>
                <w:b/>
                <w:bCs/>
                <w:color w:val="auto"/>
                <w:szCs w:val="24"/>
                <w:lang w:val="en-US" w:eastAsia="zh-CN"/>
              </w:rPr>
              <w:t>表4-15  可行性技术分析表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276"/>
              <w:gridCol w:w="2002"/>
              <w:gridCol w:w="2970"/>
              <w:gridCol w:w="1064"/>
            </w:tblGrid>
            <w:tr w14:paraId="4C94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vAlign w:val="center"/>
                </w:tcPr>
                <w:p w14:paraId="3963BF9D">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名称</w:t>
                  </w:r>
                </w:p>
              </w:tc>
              <w:tc>
                <w:tcPr>
                  <w:tcW w:w="1276" w:type="dxa"/>
                  <w:vAlign w:val="center"/>
                </w:tcPr>
                <w:p w14:paraId="050776C3">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污染物名称</w:t>
                  </w:r>
                </w:p>
              </w:tc>
              <w:tc>
                <w:tcPr>
                  <w:tcW w:w="2002" w:type="dxa"/>
                  <w:vAlign w:val="center"/>
                </w:tcPr>
                <w:p w14:paraId="577B44FA">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本项目措施</w:t>
                  </w:r>
                </w:p>
              </w:tc>
              <w:tc>
                <w:tcPr>
                  <w:tcW w:w="2970" w:type="dxa"/>
                  <w:vAlign w:val="center"/>
                </w:tcPr>
                <w:p w14:paraId="08C0AA50">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可行性措施</w:t>
                  </w:r>
                </w:p>
              </w:tc>
              <w:tc>
                <w:tcPr>
                  <w:tcW w:w="1064" w:type="dxa"/>
                  <w:vAlign w:val="center"/>
                </w:tcPr>
                <w:p w14:paraId="75FD9BA4">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分析情况</w:t>
                  </w:r>
                </w:p>
              </w:tc>
            </w:tr>
            <w:tr w14:paraId="0A2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vAlign w:val="center"/>
                </w:tcPr>
                <w:p w14:paraId="786B0B78">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olor w:val="auto"/>
                      <w:sz w:val="21"/>
                      <w:szCs w:val="21"/>
                      <w:vertAlign w:val="baseline"/>
                      <w:lang w:val="en-US" w:eastAsia="zh-CN"/>
                    </w:rPr>
                  </w:pPr>
                  <w:r>
                    <w:rPr>
                      <w:rFonts w:hint="default"/>
                      <w:sz w:val="21"/>
                      <w:szCs w:val="21"/>
                      <w:vertAlign w:val="baseline"/>
                      <w:lang w:val="en-US" w:eastAsia="zh-CN"/>
                    </w:rPr>
                    <w:t>锅炉燃烧废气</w:t>
                  </w:r>
                </w:p>
              </w:tc>
              <w:tc>
                <w:tcPr>
                  <w:tcW w:w="1276" w:type="dxa"/>
                  <w:shd w:val="clear" w:color="auto" w:fill="auto"/>
                  <w:vAlign w:val="center"/>
                </w:tcPr>
                <w:p w14:paraId="06E5D49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NO</w:t>
                  </w:r>
                  <w:r>
                    <w:rPr>
                      <w:rFonts w:hint="eastAsia" w:cs="Times New Roman"/>
                      <w:b w:val="0"/>
                      <w:bCs w:val="0"/>
                      <w:color w:val="auto"/>
                      <w:sz w:val="21"/>
                      <w:szCs w:val="21"/>
                      <w:vertAlign w:val="subscript"/>
                      <w:lang w:val="en-US" w:eastAsia="zh-CN"/>
                    </w:rPr>
                    <w:t>X</w:t>
                  </w:r>
                </w:p>
              </w:tc>
              <w:tc>
                <w:tcPr>
                  <w:tcW w:w="2002" w:type="dxa"/>
                  <w:vAlign w:val="center"/>
                </w:tcPr>
                <w:p w14:paraId="0A563DB5">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sz w:val="21"/>
                      <w:szCs w:val="21"/>
                      <w:vertAlign w:val="baseline"/>
                      <w:lang w:val="en-US" w:eastAsia="zh-CN"/>
                    </w:rPr>
                  </w:pPr>
                  <w:r>
                    <w:rPr>
                      <w:rFonts w:hint="eastAsia"/>
                      <w:color w:val="auto"/>
                      <w:sz w:val="21"/>
                      <w:szCs w:val="21"/>
                      <w:lang w:val="en-US" w:eastAsia="zh-CN"/>
                    </w:rPr>
                    <w:t>低氮燃烧器燃烧</w:t>
                  </w:r>
                </w:p>
              </w:tc>
              <w:tc>
                <w:tcPr>
                  <w:tcW w:w="2970" w:type="dxa"/>
                  <w:vAlign w:val="center"/>
                </w:tcPr>
                <w:p w14:paraId="160D4A63">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低氮燃烧技术、低氮燃烧+SCR脱硝技术</w:t>
                  </w:r>
                </w:p>
              </w:tc>
              <w:tc>
                <w:tcPr>
                  <w:tcW w:w="1064" w:type="dxa"/>
                  <w:vAlign w:val="center"/>
                </w:tcPr>
                <w:p w14:paraId="1B04D5B3">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sz w:val="21"/>
                      <w:szCs w:val="21"/>
                      <w:vertAlign w:val="baseline"/>
                      <w:lang w:val="en-US" w:eastAsia="zh-CN"/>
                    </w:rPr>
                  </w:pPr>
                  <w:r>
                    <w:rPr>
                      <w:rFonts w:hint="eastAsia"/>
                      <w:sz w:val="21"/>
                      <w:szCs w:val="21"/>
                      <w:vertAlign w:val="baseline"/>
                      <w:lang w:val="en-US" w:eastAsia="zh-CN"/>
                    </w:rPr>
                    <w:t>符合</w:t>
                  </w:r>
                </w:p>
              </w:tc>
            </w:tr>
          </w:tbl>
          <w:p w14:paraId="228579D9">
            <w:pPr>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right="0" w:firstLine="480" w:firstLineChars="200"/>
              <w:jc w:val="both"/>
              <w:textAlignment w:val="auto"/>
              <w:rPr>
                <w:rFonts w:hint="eastAsia" w:ascii="Times New Roman" w:hAnsi="Times New Roman" w:eastAsia="宋体" w:cs="Times New Roman"/>
                <w:b/>
                <w:bCs/>
                <w:kern w:val="2"/>
                <w:sz w:val="24"/>
                <w:szCs w:val="24"/>
                <w:lang w:eastAsia="zh-CN"/>
              </w:rPr>
            </w:pPr>
            <w:r>
              <w:rPr>
                <w:rFonts w:hint="eastAsia"/>
                <w:color w:val="auto"/>
              </w:rPr>
              <w:t>废气采取相对应的环保措施处理后，能够达标排放，对周围环境影响较小</w:t>
            </w:r>
            <w:r>
              <w:rPr>
                <w:rFonts w:hint="eastAsia"/>
                <w:color w:val="auto"/>
                <w:lang w:eastAsia="zh-CN"/>
              </w:rPr>
              <w:t>。</w:t>
            </w:r>
            <w:r>
              <w:rPr>
                <w:rFonts w:hint="eastAsia"/>
                <w:color w:val="auto"/>
              </w:rPr>
              <w:t>因此</w:t>
            </w:r>
            <w:r>
              <w:rPr>
                <w:rFonts w:hint="eastAsia"/>
                <w:color w:val="auto"/>
                <w:lang w:eastAsia="zh-CN"/>
              </w:rPr>
              <w:t>，</w:t>
            </w:r>
            <w:r>
              <w:rPr>
                <w:rFonts w:hint="eastAsia"/>
                <w:color w:val="auto"/>
              </w:rPr>
              <w:t>采取的环保措施是可行的</w:t>
            </w:r>
            <w:r>
              <w:rPr>
                <w:rFonts w:hint="eastAsia"/>
                <w:color w:val="auto"/>
                <w:lang w:eastAsia="zh-CN"/>
              </w:rPr>
              <w:t>。</w:t>
            </w:r>
          </w:p>
          <w:p w14:paraId="62BF9C6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eastAsia="宋体" w:cs="Times New Roman"/>
                <w:b/>
                <w:bCs/>
                <w:color w:val="auto"/>
                <w:lang w:val="en-US" w:eastAsia="zh-CN"/>
              </w:rPr>
            </w:pPr>
            <w:r>
              <w:rPr>
                <w:rFonts w:hint="eastAsia" w:cs="Times New Roman"/>
                <w:b/>
                <w:bCs/>
                <w:color w:val="auto"/>
                <w:lang w:val="en-US" w:eastAsia="zh-CN"/>
              </w:rPr>
              <w:t>1.3大气环保措施分析</w:t>
            </w:r>
          </w:p>
          <w:p w14:paraId="4DEC57A6">
            <w:pPr>
              <w:ind w:firstLine="0" w:firstLineChars="0"/>
              <w:rPr>
                <w:b/>
                <w:bCs/>
                <w:color w:val="auto"/>
              </w:rPr>
            </w:pPr>
            <w:r>
              <w:rPr>
                <w:rFonts w:hint="eastAsia"/>
                <w:b/>
                <w:bCs/>
                <w:color w:val="auto"/>
              </w:rPr>
              <w:t>1.</w:t>
            </w:r>
            <w:r>
              <w:rPr>
                <w:rFonts w:hint="eastAsia"/>
                <w:b/>
                <w:bCs/>
                <w:color w:val="auto"/>
                <w:lang w:val="en-US" w:eastAsia="zh-CN"/>
              </w:rPr>
              <w:t>5</w:t>
            </w:r>
            <w:r>
              <w:rPr>
                <w:rFonts w:hint="eastAsia"/>
                <w:b/>
                <w:bCs/>
                <w:color w:val="auto"/>
              </w:rPr>
              <w:t xml:space="preserve"> 废气监测计划</w:t>
            </w:r>
          </w:p>
          <w:p w14:paraId="4770177F">
            <w:pPr>
              <w:ind w:firstLine="480"/>
              <w:rPr>
                <w:color w:val="auto"/>
              </w:rPr>
            </w:pPr>
            <w:r>
              <w:rPr>
                <w:rFonts w:hint="eastAsia"/>
                <w:color w:val="auto"/>
              </w:rPr>
              <w:t>参照《排污许可申请与核发技术规范 总则》（HJ942-2018）</w:t>
            </w:r>
            <w:r>
              <w:rPr>
                <w:rFonts w:hint="eastAsia"/>
                <w:color w:val="auto"/>
                <w:lang w:eastAsia="zh-CN"/>
              </w:rPr>
              <w:t>、</w:t>
            </w:r>
            <w:r>
              <w:rPr>
                <w:rFonts w:hint="eastAsia"/>
                <w:color w:val="auto"/>
              </w:rPr>
              <w:t>《排污许可证申请与核发技术规范 锅炉》（HJ953-2018）中相关标准</w:t>
            </w:r>
            <w:r>
              <w:rPr>
                <w:rFonts w:hint="eastAsia"/>
                <w:bCs/>
                <w:color w:val="auto"/>
              </w:rPr>
              <w:t>。</w:t>
            </w:r>
            <w:r>
              <w:rPr>
                <w:rFonts w:hint="eastAsia"/>
                <w:color w:val="auto"/>
              </w:rPr>
              <w:t>若企业不具备监测条件，可委托有资质的监测单位进行监测，监测结果以报表形式上报当地环保主管部门。</w:t>
            </w:r>
          </w:p>
          <w:p w14:paraId="487444DD">
            <w:pPr>
              <w:spacing w:line="240" w:lineRule="auto"/>
              <w:ind w:firstLine="0" w:firstLineChars="0"/>
              <w:jc w:val="center"/>
              <w:rPr>
                <w:b/>
                <w:bCs/>
                <w:color w:val="auto"/>
              </w:rPr>
            </w:pPr>
            <w:r>
              <w:rPr>
                <w:b/>
                <w:bCs/>
                <w:color w:val="auto"/>
              </w:rPr>
              <w:t>表</w:t>
            </w:r>
            <w:r>
              <w:rPr>
                <w:rFonts w:hint="eastAsia"/>
                <w:b/>
                <w:bCs/>
                <w:color w:val="auto"/>
              </w:rPr>
              <w:t>4-</w:t>
            </w:r>
            <w:r>
              <w:rPr>
                <w:rFonts w:hint="eastAsia"/>
                <w:b/>
                <w:bCs/>
                <w:color w:val="auto"/>
                <w:lang w:val="en-US" w:eastAsia="zh-CN"/>
              </w:rPr>
              <w:t>16</w:t>
            </w:r>
            <w:r>
              <w:rPr>
                <w:b/>
                <w:bCs/>
                <w:color w:val="auto"/>
              </w:rPr>
              <w:t xml:space="preserve">  </w:t>
            </w:r>
            <w:r>
              <w:rPr>
                <w:rFonts w:hint="eastAsia"/>
                <w:b/>
                <w:bCs/>
                <w:color w:val="auto"/>
              </w:rPr>
              <w:t>建设项目污染源监测</w:t>
            </w:r>
            <w:r>
              <w:rPr>
                <w:b/>
                <w:bCs/>
                <w:color w:val="auto"/>
              </w:rPr>
              <w:t>计划</w:t>
            </w:r>
            <w:r>
              <w:rPr>
                <w:rFonts w:hint="eastAsia"/>
                <w:b/>
                <w:bCs/>
                <w:color w:val="auto"/>
              </w:rPr>
              <w:t>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95"/>
              <w:gridCol w:w="1560"/>
              <w:gridCol w:w="1835"/>
              <w:gridCol w:w="2619"/>
            </w:tblGrid>
            <w:tr w14:paraId="12CB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dxa"/>
                  <w:vAlign w:val="center"/>
                </w:tcPr>
                <w:p w14:paraId="0A6DD03E">
                  <w:pPr>
                    <w:pStyle w:val="4"/>
                    <w:outlineLvl w:val="0"/>
                    <w:rPr>
                      <w:b/>
                      <w:bCs/>
                      <w:color w:val="auto"/>
                    </w:rPr>
                  </w:pPr>
                  <w:r>
                    <w:rPr>
                      <w:rFonts w:hint="eastAsia"/>
                      <w:b/>
                      <w:bCs/>
                      <w:color w:val="auto"/>
                    </w:rPr>
                    <w:t>类别</w:t>
                  </w:r>
                </w:p>
              </w:tc>
              <w:tc>
                <w:tcPr>
                  <w:tcW w:w="1695" w:type="dxa"/>
                  <w:vAlign w:val="center"/>
                </w:tcPr>
                <w:p w14:paraId="4AFA30E5">
                  <w:pPr>
                    <w:pStyle w:val="4"/>
                    <w:outlineLvl w:val="0"/>
                    <w:rPr>
                      <w:b/>
                      <w:bCs/>
                      <w:color w:val="auto"/>
                    </w:rPr>
                  </w:pPr>
                  <w:r>
                    <w:rPr>
                      <w:rFonts w:hint="eastAsia"/>
                      <w:b/>
                      <w:bCs/>
                      <w:color w:val="auto"/>
                    </w:rPr>
                    <w:t>监测因子</w:t>
                  </w:r>
                </w:p>
              </w:tc>
              <w:tc>
                <w:tcPr>
                  <w:tcW w:w="1560" w:type="dxa"/>
                  <w:vAlign w:val="center"/>
                </w:tcPr>
                <w:p w14:paraId="5061A3AF">
                  <w:pPr>
                    <w:pStyle w:val="4"/>
                    <w:outlineLvl w:val="0"/>
                    <w:rPr>
                      <w:b/>
                      <w:bCs/>
                      <w:color w:val="auto"/>
                    </w:rPr>
                  </w:pPr>
                  <w:r>
                    <w:rPr>
                      <w:rFonts w:hint="eastAsia"/>
                      <w:b/>
                      <w:bCs/>
                      <w:color w:val="auto"/>
                    </w:rPr>
                    <w:t>监测点位</w:t>
                  </w:r>
                </w:p>
              </w:tc>
              <w:tc>
                <w:tcPr>
                  <w:tcW w:w="1835" w:type="dxa"/>
                  <w:vAlign w:val="center"/>
                </w:tcPr>
                <w:p w14:paraId="0BD7E628">
                  <w:pPr>
                    <w:pStyle w:val="4"/>
                    <w:outlineLvl w:val="0"/>
                    <w:rPr>
                      <w:b/>
                      <w:bCs/>
                      <w:color w:val="auto"/>
                    </w:rPr>
                  </w:pPr>
                  <w:r>
                    <w:rPr>
                      <w:rFonts w:hint="eastAsia"/>
                      <w:b/>
                      <w:bCs/>
                      <w:color w:val="auto"/>
                    </w:rPr>
                    <w:t>监测频次</w:t>
                  </w:r>
                </w:p>
              </w:tc>
              <w:tc>
                <w:tcPr>
                  <w:tcW w:w="2619" w:type="dxa"/>
                  <w:vAlign w:val="center"/>
                </w:tcPr>
                <w:p w14:paraId="4819BFD0">
                  <w:pPr>
                    <w:pStyle w:val="4"/>
                    <w:outlineLvl w:val="0"/>
                    <w:rPr>
                      <w:b/>
                      <w:bCs/>
                      <w:color w:val="auto"/>
                    </w:rPr>
                  </w:pPr>
                  <w:r>
                    <w:rPr>
                      <w:rFonts w:hint="eastAsia"/>
                      <w:b/>
                      <w:bCs/>
                      <w:color w:val="auto"/>
                    </w:rPr>
                    <w:t>依据</w:t>
                  </w:r>
                </w:p>
              </w:tc>
            </w:tr>
            <w:tr w14:paraId="1B2B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dxa"/>
                  <w:vMerge w:val="restart"/>
                  <w:vAlign w:val="center"/>
                </w:tcPr>
                <w:p w14:paraId="427376DA">
                  <w:pPr>
                    <w:pStyle w:val="4"/>
                    <w:outlineLvl w:val="0"/>
                    <w:rPr>
                      <w:color w:val="auto"/>
                    </w:rPr>
                  </w:pPr>
                  <w:bookmarkStart w:id="4" w:name="_Toc2581"/>
                  <w:r>
                    <w:rPr>
                      <w:color w:val="auto"/>
                      <w:szCs w:val="21"/>
                    </w:rPr>
                    <w:t>废气</w:t>
                  </w:r>
                  <w:bookmarkEnd w:id="4"/>
                </w:p>
              </w:tc>
              <w:tc>
                <w:tcPr>
                  <w:tcW w:w="1695" w:type="dxa"/>
                  <w:vAlign w:val="center"/>
                </w:tcPr>
                <w:p w14:paraId="696A1FFB">
                  <w:pPr>
                    <w:pStyle w:val="4"/>
                    <w:outlineLvl w:val="0"/>
                    <w:rPr>
                      <w:rFonts w:hint="eastAsia" w:eastAsia="宋体"/>
                      <w:color w:val="auto"/>
                      <w:lang w:val="en-US" w:eastAsia="zh-CN"/>
                    </w:rPr>
                  </w:pPr>
                  <w:r>
                    <w:rPr>
                      <w:rFonts w:hint="eastAsia"/>
                      <w:color w:val="auto"/>
                      <w:lang w:val="en-US" w:eastAsia="zh-CN"/>
                    </w:rPr>
                    <w:t>非甲烷总烃</w:t>
                  </w:r>
                </w:p>
              </w:tc>
              <w:tc>
                <w:tcPr>
                  <w:tcW w:w="1560" w:type="dxa"/>
                  <w:vAlign w:val="center"/>
                </w:tcPr>
                <w:p w14:paraId="6880A670">
                  <w:pPr>
                    <w:pStyle w:val="4"/>
                    <w:jc w:val="center"/>
                    <w:outlineLvl w:val="0"/>
                    <w:rPr>
                      <w:rFonts w:hint="default" w:eastAsia="宋体"/>
                      <w:color w:val="auto"/>
                      <w:lang w:val="en-US" w:eastAsia="zh-CN"/>
                    </w:rPr>
                  </w:pPr>
                  <w:r>
                    <w:rPr>
                      <w:rFonts w:hint="eastAsia"/>
                      <w:color w:val="auto"/>
                      <w:lang w:val="en-US" w:eastAsia="zh-CN"/>
                    </w:rPr>
                    <w:t>储罐区及厂界</w:t>
                  </w:r>
                </w:p>
              </w:tc>
              <w:tc>
                <w:tcPr>
                  <w:tcW w:w="1835" w:type="dxa"/>
                  <w:vAlign w:val="center"/>
                </w:tcPr>
                <w:p w14:paraId="1F8843DB">
                  <w:pPr>
                    <w:pStyle w:val="4"/>
                    <w:outlineLvl w:val="0"/>
                    <w:rPr>
                      <w:rFonts w:hint="eastAsia" w:eastAsia="宋体"/>
                      <w:color w:val="auto"/>
                      <w:lang w:val="en-US" w:eastAsia="zh-CN"/>
                    </w:rPr>
                  </w:pPr>
                  <w:r>
                    <w:rPr>
                      <w:rFonts w:hint="eastAsia"/>
                      <w:color w:val="auto"/>
                    </w:rPr>
                    <w:t>1次/</w:t>
                  </w:r>
                  <w:r>
                    <w:rPr>
                      <w:rFonts w:hint="eastAsia"/>
                      <w:color w:val="auto"/>
                      <w:lang w:val="en-US" w:eastAsia="zh-CN"/>
                    </w:rPr>
                    <w:t>季度</w:t>
                  </w:r>
                </w:p>
              </w:tc>
              <w:tc>
                <w:tcPr>
                  <w:tcW w:w="2619" w:type="dxa"/>
                  <w:vMerge w:val="restart"/>
                  <w:vAlign w:val="center"/>
                </w:tcPr>
                <w:p w14:paraId="5AD49509">
                  <w:pPr>
                    <w:pStyle w:val="4"/>
                    <w:outlineLvl w:val="0"/>
                    <w:rPr>
                      <w:rFonts w:hint="eastAsia" w:eastAsia="宋体"/>
                      <w:color w:val="auto"/>
                      <w:lang w:eastAsia="zh-CN"/>
                    </w:rPr>
                  </w:pPr>
                  <w:r>
                    <w:rPr>
                      <w:rFonts w:hint="eastAsia"/>
                      <w:color w:val="auto"/>
                    </w:rPr>
                    <w:t>《排污许可申请与核发技术规范 总则》（HJ942-2018）</w:t>
                  </w:r>
                  <w:r>
                    <w:rPr>
                      <w:rFonts w:hint="eastAsia"/>
                      <w:color w:val="auto"/>
                      <w:lang w:eastAsia="zh-CN"/>
                    </w:rPr>
                    <w:t>、《排污</w:t>
                  </w:r>
                  <w:r>
                    <w:rPr>
                      <w:rFonts w:hint="eastAsia"/>
                      <w:color w:val="auto"/>
                      <w:lang w:val="en-US" w:eastAsia="zh-CN"/>
                    </w:rPr>
                    <w:t>单位自行监测技术指南火力发电及锅炉</w:t>
                  </w:r>
                  <w:r>
                    <w:rPr>
                      <w:rFonts w:hint="eastAsia"/>
                      <w:color w:val="auto"/>
                      <w:lang w:eastAsia="zh-CN"/>
                    </w:rPr>
                    <w:t xml:space="preserve">》（HJ </w:t>
                  </w:r>
                  <w:r>
                    <w:rPr>
                      <w:rFonts w:hint="eastAsia"/>
                      <w:color w:val="auto"/>
                      <w:lang w:val="en-US" w:eastAsia="zh-CN"/>
                    </w:rPr>
                    <w:t>820</w:t>
                  </w:r>
                  <w:r>
                    <w:rPr>
                      <w:rFonts w:hint="eastAsia"/>
                      <w:color w:val="auto"/>
                      <w:lang w:eastAsia="zh-CN"/>
                    </w:rPr>
                    <w:t>-20</w:t>
                  </w:r>
                  <w:r>
                    <w:rPr>
                      <w:rFonts w:hint="eastAsia"/>
                      <w:color w:val="auto"/>
                      <w:lang w:val="en-US" w:eastAsia="zh-CN"/>
                    </w:rPr>
                    <w:t>17</w:t>
                  </w:r>
                  <w:r>
                    <w:rPr>
                      <w:rFonts w:hint="eastAsia"/>
                      <w:color w:val="auto"/>
                      <w:lang w:eastAsia="zh-CN"/>
                    </w:rPr>
                    <w:t>）</w:t>
                  </w:r>
                </w:p>
              </w:tc>
            </w:tr>
            <w:tr w14:paraId="4EFF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95" w:type="dxa"/>
                  <w:vMerge w:val="continue"/>
                  <w:vAlign w:val="center"/>
                </w:tcPr>
                <w:p w14:paraId="5D9DA826">
                  <w:pPr>
                    <w:pStyle w:val="4"/>
                    <w:outlineLvl w:val="0"/>
                    <w:rPr>
                      <w:color w:val="auto"/>
                      <w:szCs w:val="21"/>
                    </w:rPr>
                  </w:pPr>
                </w:p>
              </w:tc>
              <w:tc>
                <w:tcPr>
                  <w:tcW w:w="1695" w:type="dxa"/>
                  <w:vAlign w:val="center"/>
                </w:tcPr>
                <w:p w14:paraId="173DD428">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eastAsia="宋体"/>
                      <w:color w:val="auto"/>
                      <w:lang w:val="en-US" w:eastAsia="zh-CN"/>
                    </w:rPr>
                  </w:pPr>
                  <w:r>
                    <w:rPr>
                      <w:rFonts w:hint="eastAsia"/>
                      <w:sz w:val="21"/>
                      <w:szCs w:val="21"/>
                      <w:vertAlign w:val="baseline"/>
                      <w:lang w:val="en-US" w:eastAsia="zh-CN"/>
                    </w:rPr>
                    <w:t>颗粒物</w:t>
                  </w:r>
                </w:p>
              </w:tc>
              <w:tc>
                <w:tcPr>
                  <w:tcW w:w="1560" w:type="dxa"/>
                  <w:vMerge w:val="restart"/>
                  <w:vAlign w:val="center"/>
                </w:tcPr>
                <w:p w14:paraId="5E4C56D6">
                  <w:pPr>
                    <w:pStyle w:val="4"/>
                    <w:outlineLvl w:val="0"/>
                    <w:rPr>
                      <w:rFonts w:hint="default"/>
                      <w:color w:val="auto"/>
                      <w:lang w:val="en-US" w:eastAsia="zh-CN"/>
                    </w:rPr>
                  </w:pPr>
                  <w:r>
                    <w:rPr>
                      <w:rFonts w:hint="eastAsia"/>
                      <w:color w:val="auto"/>
                      <w:lang w:val="en-US" w:eastAsia="zh-CN"/>
                    </w:rPr>
                    <w:t>DA001排气筒</w:t>
                  </w:r>
                </w:p>
              </w:tc>
              <w:tc>
                <w:tcPr>
                  <w:tcW w:w="1835" w:type="dxa"/>
                  <w:vAlign w:val="center"/>
                </w:tcPr>
                <w:p w14:paraId="1AD8E176">
                  <w:pPr>
                    <w:pStyle w:val="4"/>
                    <w:outlineLvl w:val="0"/>
                    <w:rPr>
                      <w:rFonts w:hint="default" w:eastAsia="宋体"/>
                      <w:color w:val="auto"/>
                      <w:lang w:val="en-US" w:eastAsia="zh-CN"/>
                    </w:rPr>
                  </w:pPr>
                  <w:r>
                    <w:rPr>
                      <w:rFonts w:hint="eastAsia"/>
                      <w:color w:val="auto"/>
                    </w:rPr>
                    <w:t>1次/</w:t>
                  </w:r>
                  <w:r>
                    <w:rPr>
                      <w:rFonts w:hint="eastAsia"/>
                      <w:color w:val="auto"/>
                      <w:lang w:val="en-US" w:eastAsia="zh-CN"/>
                    </w:rPr>
                    <w:t>季度</w:t>
                  </w:r>
                </w:p>
              </w:tc>
              <w:tc>
                <w:tcPr>
                  <w:tcW w:w="2619" w:type="dxa"/>
                  <w:vMerge w:val="continue"/>
                  <w:vAlign w:val="center"/>
                </w:tcPr>
                <w:p w14:paraId="4DEC5CBB">
                  <w:pPr>
                    <w:pStyle w:val="4"/>
                    <w:outlineLvl w:val="0"/>
                    <w:rPr>
                      <w:rFonts w:hint="eastAsia"/>
                      <w:color w:val="auto"/>
                    </w:rPr>
                  </w:pPr>
                </w:p>
              </w:tc>
            </w:tr>
            <w:tr w14:paraId="39C8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dxa"/>
                  <w:vMerge w:val="continue"/>
                  <w:vAlign w:val="center"/>
                </w:tcPr>
                <w:p w14:paraId="5B3CB7F5">
                  <w:pPr>
                    <w:pStyle w:val="4"/>
                    <w:outlineLvl w:val="0"/>
                    <w:rPr>
                      <w:color w:val="auto"/>
                      <w:szCs w:val="21"/>
                    </w:rPr>
                  </w:pPr>
                </w:p>
              </w:tc>
              <w:tc>
                <w:tcPr>
                  <w:tcW w:w="1695" w:type="dxa"/>
                  <w:vAlign w:val="center"/>
                </w:tcPr>
                <w:p w14:paraId="068F07F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auto"/>
                    <w:rPr>
                      <w:rFonts w:hint="eastAsia"/>
                      <w:color w:val="auto"/>
                    </w:rPr>
                  </w:pPr>
                  <w:r>
                    <w:rPr>
                      <w:rFonts w:hint="eastAsia" w:cs="Times New Roman"/>
                      <w:b w:val="0"/>
                      <w:bCs w:val="0"/>
                      <w:color w:val="auto"/>
                      <w:sz w:val="21"/>
                      <w:szCs w:val="21"/>
                      <w:lang w:val="en-US" w:eastAsia="zh-CN"/>
                    </w:rPr>
                    <w:t>SO</w:t>
                  </w:r>
                  <w:r>
                    <w:rPr>
                      <w:rFonts w:hint="eastAsia" w:cs="Times New Roman"/>
                      <w:b w:val="0"/>
                      <w:bCs w:val="0"/>
                      <w:color w:val="auto"/>
                      <w:sz w:val="21"/>
                      <w:szCs w:val="21"/>
                      <w:vertAlign w:val="subscript"/>
                      <w:lang w:val="en-US" w:eastAsia="zh-CN"/>
                    </w:rPr>
                    <w:t>2</w:t>
                  </w:r>
                </w:p>
              </w:tc>
              <w:tc>
                <w:tcPr>
                  <w:tcW w:w="1560" w:type="dxa"/>
                  <w:vMerge w:val="continue"/>
                  <w:vAlign w:val="center"/>
                </w:tcPr>
                <w:p w14:paraId="421A82C5">
                  <w:pPr>
                    <w:pStyle w:val="4"/>
                    <w:outlineLvl w:val="0"/>
                    <w:rPr>
                      <w:rFonts w:hint="eastAsia"/>
                      <w:color w:val="auto"/>
                      <w:lang w:val="en-US" w:eastAsia="zh-CN"/>
                    </w:rPr>
                  </w:pPr>
                </w:p>
              </w:tc>
              <w:tc>
                <w:tcPr>
                  <w:tcW w:w="1835" w:type="dxa"/>
                  <w:vAlign w:val="center"/>
                </w:tcPr>
                <w:p w14:paraId="2AFD5352">
                  <w:pPr>
                    <w:pStyle w:val="4"/>
                    <w:outlineLvl w:val="0"/>
                    <w:rPr>
                      <w:rFonts w:hint="default" w:eastAsia="宋体"/>
                      <w:color w:val="auto"/>
                      <w:lang w:val="en-US" w:eastAsia="zh-CN"/>
                    </w:rPr>
                  </w:pPr>
                  <w:r>
                    <w:rPr>
                      <w:rFonts w:hint="eastAsia"/>
                      <w:color w:val="auto"/>
                    </w:rPr>
                    <w:t>1次/</w:t>
                  </w:r>
                  <w:r>
                    <w:rPr>
                      <w:rFonts w:hint="eastAsia"/>
                      <w:color w:val="auto"/>
                      <w:lang w:val="en-US" w:eastAsia="zh-CN"/>
                    </w:rPr>
                    <w:t>季度</w:t>
                  </w:r>
                </w:p>
              </w:tc>
              <w:tc>
                <w:tcPr>
                  <w:tcW w:w="2619" w:type="dxa"/>
                  <w:vMerge w:val="continue"/>
                  <w:vAlign w:val="center"/>
                </w:tcPr>
                <w:p w14:paraId="79A319F2">
                  <w:pPr>
                    <w:pStyle w:val="4"/>
                    <w:outlineLvl w:val="0"/>
                    <w:rPr>
                      <w:rFonts w:hint="eastAsia"/>
                      <w:color w:val="auto"/>
                    </w:rPr>
                  </w:pPr>
                </w:p>
              </w:tc>
            </w:tr>
            <w:tr w14:paraId="0B67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dxa"/>
                  <w:vMerge w:val="continue"/>
                  <w:vAlign w:val="center"/>
                </w:tcPr>
                <w:p w14:paraId="79C98C96">
                  <w:pPr>
                    <w:pStyle w:val="4"/>
                    <w:outlineLvl w:val="0"/>
                    <w:rPr>
                      <w:color w:val="auto"/>
                      <w:szCs w:val="21"/>
                    </w:rPr>
                  </w:pPr>
                </w:p>
              </w:tc>
              <w:tc>
                <w:tcPr>
                  <w:tcW w:w="1695" w:type="dxa"/>
                  <w:vAlign w:val="center"/>
                </w:tcPr>
                <w:p w14:paraId="3726305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auto"/>
                    <w:rPr>
                      <w:rFonts w:hint="eastAsia"/>
                      <w:color w:val="auto"/>
                    </w:rPr>
                  </w:pPr>
                  <w:r>
                    <w:rPr>
                      <w:rFonts w:hint="eastAsia" w:cs="Times New Roman"/>
                      <w:b w:val="0"/>
                      <w:bCs w:val="0"/>
                      <w:color w:val="auto"/>
                      <w:sz w:val="21"/>
                      <w:szCs w:val="21"/>
                      <w:lang w:val="en-US" w:eastAsia="zh-CN"/>
                    </w:rPr>
                    <w:t>NO</w:t>
                  </w:r>
                  <w:r>
                    <w:rPr>
                      <w:rFonts w:hint="eastAsia" w:cs="Times New Roman"/>
                      <w:b w:val="0"/>
                      <w:bCs w:val="0"/>
                      <w:color w:val="auto"/>
                      <w:sz w:val="21"/>
                      <w:szCs w:val="21"/>
                      <w:vertAlign w:val="subscript"/>
                      <w:lang w:val="en-US" w:eastAsia="zh-CN"/>
                    </w:rPr>
                    <w:t>X</w:t>
                  </w:r>
                </w:p>
              </w:tc>
              <w:tc>
                <w:tcPr>
                  <w:tcW w:w="1560" w:type="dxa"/>
                  <w:vMerge w:val="continue"/>
                  <w:vAlign w:val="center"/>
                </w:tcPr>
                <w:p w14:paraId="142284B5">
                  <w:pPr>
                    <w:pStyle w:val="4"/>
                    <w:outlineLvl w:val="0"/>
                    <w:rPr>
                      <w:rFonts w:hint="eastAsia"/>
                      <w:color w:val="auto"/>
                      <w:lang w:val="en-US" w:eastAsia="zh-CN"/>
                    </w:rPr>
                  </w:pPr>
                </w:p>
              </w:tc>
              <w:tc>
                <w:tcPr>
                  <w:tcW w:w="1835" w:type="dxa"/>
                  <w:vAlign w:val="center"/>
                </w:tcPr>
                <w:p w14:paraId="3230A00B">
                  <w:pPr>
                    <w:pStyle w:val="4"/>
                    <w:outlineLvl w:val="0"/>
                    <w:rPr>
                      <w:rFonts w:hint="default" w:eastAsia="宋体"/>
                      <w:color w:val="auto"/>
                      <w:lang w:val="en-US" w:eastAsia="zh-CN"/>
                    </w:rPr>
                  </w:pPr>
                  <w:r>
                    <w:rPr>
                      <w:rFonts w:hint="default" w:eastAsia="宋体"/>
                      <w:color w:val="auto"/>
                      <w:lang w:val="en-US" w:eastAsia="zh-CN"/>
                    </w:rPr>
                    <w:t>自动监测</w:t>
                  </w:r>
                </w:p>
              </w:tc>
              <w:tc>
                <w:tcPr>
                  <w:tcW w:w="2619" w:type="dxa"/>
                  <w:vMerge w:val="continue"/>
                  <w:vAlign w:val="center"/>
                </w:tcPr>
                <w:p w14:paraId="514B9388">
                  <w:pPr>
                    <w:pStyle w:val="4"/>
                    <w:outlineLvl w:val="0"/>
                    <w:rPr>
                      <w:rFonts w:hint="eastAsia"/>
                      <w:color w:val="auto"/>
                    </w:rPr>
                  </w:pPr>
                </w:p>
              </w:tc>
            </w:tr>
            <w:tr w14:paraId="1C7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dxa"/>
                  <w:vMerge w:val="continue"/>
                  <w:vAlign w:val="center"/>
                </w:tcPr>
                <w:p w14:paraId="502688A6">
                  <w:pPr>
                    <w:pStyle w:val="4"/>
                    <w:outlineLvl w:val="0"/>
                    <w:rPr>
                      <w:color w:val="auto"/>
                      <w:szCs w:val="21"/>
                    </w:rPr>
                  </w:pPr>
                </w:p>
              </w:tc>
              <w:tc>
                <w:tcPr>
                  <w:tcW w:w="1695" w:type="dxa"/>
                  <w:vAlign w:val="center"/>
                </w:tcPr>
                <w:p w14:paraId="7113532F">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林格曼黑度</w:t>
                  </w:r>
                </w:p>
              </w:tc>
              <w:tc>
                <w:tcPr>
                  <w:tcW w:w="1560" w:type="dxa"/>
                  <w:vMerge w:val="continue"/>
                  <w:vAlign w:val="center"/>
                </w:tcPr>
                <w:p w14:paraId="231C5AEC">
                  <w:pPr>
                    <w:pStyle w:val="4"/>
                    <w:outlineLvl w:val="0"/>
                    <w:rPr>
                      <w:rFonts w:hint="eastAsia"/>
                      <w:color w:val="auto"/>
                      <w:lang w:val="en-US" w:eastAsia="zh-CN"/>
                    </w:rPr>
                  </w:pPr>
                </w:p>
              </w:tc>
              <w:tc>
                <w:tcPr>
                  <w:tcW w:w="1835" w:type="dxa"/>
                  <w:vAlign w:val="center"/>
                </w:tcPr>
                <w:p w14:paraId="5D6C9C41">
                  <w:pPr>
                    <w:pStyle w:val="4"/>
                    <w:outlineLvl w:val="0"/>
                    <w:rPr>
                      <w:rFonts w:hint="default" w:eastAsia="宋体"/>
                      <w:color w:val="auto"/>
                      <w:lang w:val="en-US" w:eastAsia="zh-CN"/>
                    </w:rPr>
                  </w:pPr>
                  <w:r>
                    <w:rPr>
                      <w:rFonts w:hint="eastAsia"/>
                      <w:color w:val="auto"/>
                      <w:lang w:val="en-US" w:eastAsia="zh-CN"/>
                    </w:rPr>
                    <w:t>1次/季度</w:t>
                  </w:r>
                </w:p>
              </w:tc>
              <w:tc>
                <w:tcPr>
                  <w:tcW w:w="2619" w:type="dxa"/>
                  <w:vMerge w:val="continue"/>
                  <w:vAlign w:val="center"/>
                </w:tcPr>
                <w:p w14:paraId="0B895A06">
                  <w:pPr>
                    <w:pStyle w:val="4"/>
                    <w:outlineLvl w:val="0"/>
                    <w:rPr>
                      <w:rFonts w:hint="eastAsia"/>
                      <w:color w:val="auto"/>
                    </w:rPr>
                  </w:pPr>
                </w:p>
              </w:tc>
            </w:tr>
          </w:tbl>
          <w:p w14:paraId="665AC1D0">
            <w:pPr>
              <w:ind w:firstLine="0" w:firstLineChars="0"/>
              <w:rPr>
                <w:b/>
                <w:bCs/>
                <w:color w:val="auto"/>
              </w:rPr>
            </w:pPr>
            <w:r>
              <w:rPr>
                <w:rFonts w:hint="eastAsia"/>
                <w:b/>
                <w:bCs/>
                <w:color w:val="auto"/>
              </w:rPr>
              <w:t>2、废水</w:t>
            </w:r>
          </w:p>
          <w:p w14:paraId="140A72E5">
            <w:pPr>
              <w:pStyle w:val="7"/>
              <w:rPr>
                <w:rFonts w:ascii="宋体" w:hAnsi="宋体"/>
                <w:color w:val="auto"/>
              </w:rPr>
            </w:pPr>
            <w:r>
              <w:rPr>
                <w:rFonts w:hint="eastAsia"/>
                <w:color w:val="auto"/>
              </w:rPr>
              <w:t>2</w:t>
            </w:r>
            <w:r>
              <w:rPr>
                <w:color w:val="auto"/>
              </w:rPr>
              <w:t>.1</w:t>
            </w:r>
            <w:r>
              <w:rPr>
                <w:rFonts w:hint="eastAsia" w:ascii="宋体" w:hAnsi="宋体"/>
                <w:color w:val="auto"/>
              </w:rPr>
              <w:t>废水产生</w:t>
            </w:r>
          </w:p>
          <w:p w14:paraId="662A6B20">
            <w:pPr>
              <w:pStyle w:val="19"/>
              <w:spacing w:line="360" w:lineRule="auto"/>
              <w:ind w:firstLine="480"/>
              <w:rPr>
                <w:color w:val="auto"/>
                <w:szCs w:val="24"/>
              </w:rPr>
            </w:pPr>
            <w:r>
              <w:rPr>
                <w:rFonts w:hint="eastAsia" w:cs="宋体"/>
                <w:color w:val="auto"/>
                <w:lang w:val="en-US" w:eastAsia="zh-CN"/>
              </w:rPr>
              <w:t>能源站项目实行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r>
              <w:rPr>
                <w:rFonts w:hint="eastAsia"/>
                <w:color w:val="auto"/>
              </w:rPr>
              <w:t>。</w:t>
            </w:r>
            <w:r>
              <w:rPr>
                <w:rFonts w:hint="eastAsia" w:cs="宋体"/>
                <w:color w:val="auto"/>
                <w:szCs w:val="24"/>
              </w:rPr>
              <w:t>具体产排概况如下：</w:t>
            </w:r>
          </w:p>
          <w:p w14:paraId="0083A37E">
            <w:pPr>
              <w:spacing w:line="240" w:lineRule="auto"/>
              <w:ind w:firstLine="0" w:firstLineChars="0"/>
              <w:jc w:val="center"/>
              <w:rPr>
                <w:b/>
                <w:bCs/>
                <w:color w:val="auto"/>
              </w:rPr>
            </w:pPr>
            <w:r>
              <w:rPr>
                <w:b/>
                <w:color w:val="auto"/>
                <w:szCs w:val="32"/>
              </w:rPr>
              <w:t>表</w:t>
            </w:r>
            <w:r>
              <w:rPr>
                <w:rFonts w:hint="eastAsia"/>
                <w:b/>
                <w:color w:val="auto"/>
                <w:szCs w:val="32"/>
              </w:rPr>
              <w:t>4</w:t>
            </w:r>
            <w:r>
              <w:rPr>
                <w:b/>
                <w:color w:val="auto"/>
                <w:szCs w:val="32"/>
              </w:rPr>
              <w:t>-</w:t>
            </w:r>
            <w:r>
              <w:rPr>
                <w:rFonts w:hint="eastAsia"/>
                <w:b/>
                <w:color w:val="auto"/>
                <w:szCs w:val="32"/>
                <w:lang w:val="en-US" w:eastAsia="zh-CN"/>
              </w:rPr>
              <w:t>17</w:t>
            </w:r>
            <w:r>
              <w:rPr>
                <w:rFonts w:hint="eastAsia"/>
                <w:b/>
                <w:color w:val="auto"/>
                <w:szCs w:val="32"/>
              </w:rPr>
              <w:t xml:space="preserve">  </w:t>
            </w:r>
            <w:r>
              <w:rPr>
                <w:rFonts w:hint="eastAsia"/>
                <w:b/>
                <w:bCs/>
                <w:color w:val="auto"/>
              </w:rPr>
              <w:t>项目废水产排情况一览表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825"/>
              <w:gridCol w:w="1095"/>
              <w:gridCol w:w="1065"/>
              <w:gridCol w:w="765"/>
              <w:gridCol w:w="1095"/>
              <w:gridCol w:w="1155"/>
              <w:gridCol w:w="1078"/>
            </w:tblGrid>
            <w:tr w14:paraId="0D9C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6" w:type="dxa"/>
                  <w:vMerge w:val="restart"/>
                  <w:vAlign w:val="center"/>
                </w:tcPr>
                <w:p w14:paraId="51C6727E">
                  <w:pPr>
                    <w:pStyle w:val="4"/>
                    <w:outlineLvl w:val="0"/>
                    <w:rPr>
                      <w:b/>
                      <w:bCs/>
                      <w:color w:val="auto"/>
                    </w:rPr>
                  </w:pPr>
                  <w:r>
                    <w:rPr>
                      <w:b/>
                      <w:bCs/>
                      <w:color w:val="auto"/>
                    </w:rPr>
                    <w:t>废水种类</w:t>
                  </w:r>
                </w:p>
              </w:tc>
              <w:tc>
                <w:tcPr>
                  <w:tcW w:w="825" w:type="dxa"/>
                  <w:vMerge w:val="restart"/>
                  <w:vAlign w:val="center"/>
                </w:tcPr>
                <w:p w14:paraId="44C0814C">
                  <w:pPr>
                    <w:pStyle w:val="4"/>
                    <w:outlineLvl w:val="0"/>
                    <w:rPr>
                      <w:b/>
                      <w:bCs/>
                      <w:color w:val="auto"/>
                    </w:rPr>
                  </w:pPr>
                  <w:r>
                    <w:rPr>
                      <w:b/>
                      <w:bCs/>
                      <w:color w:val="auto"/>
                    </w:rPr>
                    <w:t>污染物名称</w:t>
                  </w:r>
                </w:p>
              </w:tc>
              <w:tc>
                <w:tcPr>
                  <w:tcW w:w="2160" w:type="dxa"/>
                  <w:gridSpan w:val="2"/>
                  <w:vAlign w:val="center"/>
                </w:tcPr>
                <w:p w14:paraId="7294614E">
                  <w:pPr>
                    <w:pStyle w:val="4"/>
                    <w:outlineLvl w:val="0"/>
                    <w:rPr>
                      <w:b/>
                      <w:bCs/>
                      <w:color w:val="auto"/>
                    </w:rPr>
                  </w:pPr>
                  <w:r>
                    <w:rPr>
                      <w:b/>
                      <w:bCs/>
                      <w:color w:val="auto"/>
                    </w:rPr>
                    <w:t>产生情况</w:t>
                  </w:r>
                </w:p>
              </w:tc>
              <w:tc>
                <w:tcPr>
                  <w:tcW w:w="765" w:type="dxa"/>
                  <w:vMerge w:val="restart"/>
                  <w:vAlign w:val="center"/>
                </w:tcPr>
                <w:p w14:paraId="45978765">
                  <w:pPr>
                    <w:pStyle w:val="4"/>
                    <w:outlineLvl w:val="0"/>
                    <w:rPr>
                      <w:b/>
                      <w:bCs/>
                      <w:color w:val="auto"/>
                    </w:rPr>
                  </w:pPr>
                  <w:r>
                    <w:rPr>
                      <w:b/>
                      <w:bCs/>
                      <w:color w:val="auto"/>
                    </w:rPr>
                    <w:t>处理措施</w:t>
                  </w:r>
                </w:p>
              </w:tc>
              <w:tc>
                <w:tcPr>
                  <w:tcW w:w="2250" w:type="dxa"/>
                  <w:gridSpan w:val="2"/>
                  <w:vAlign w:val="center"/>
                </w:tcPr>
                <w:p w14:paraId="46DD33B0">
                  <w:pPr>
                    <w:pStyle w:val="4"/>
                    <w:outlineLvl w:val="0"/>
                    <w:rPr>
                      <w:b/>
                      <w:bCs/>
                      <w:color w:val="auto"/>
                    </w:rPr>
                  </w:pPr>
                  <w:r>
                    <w:rPr>
                      <w:b/>
                      <w:bCs/>
                      <w:color w:val="auto"/>
                    </w:rPr>
                    <w:t>排放情况</w:t>
                  </w:r>
                </w:p>
              </w:tc>
              <w:tc>
                <w:tcPr>
                  <w:tcW w:w="1078" w:type="dxa"/>
                  <w:vMerge w:val="restart"/>
                  <w:vAlign w:val="center"/>
                </w:tcPr>
                <w:p w14:paraId="77E6D62C">
                  <w:pPr>
                    <w:pStyle w:val="4"/>
                    <w:outlineLvl w:val="0"/>
                    <w:rPr>
                      <w:rFonts w:hint="default" w:eastAsia="宋体"/>
                      <w:b/>
                      <w:bCs/>
                      <w:color w:val="auto"/>
                      <w:lang w:val="en-US" w:eastAsia="zh-CN"/>
                    </w:rPr>
                  </w:pPr>
                  <w:r>
                    <w:rPr>
                      <w:rFonts w:hint="eastAsia"/>
                      <w:b/>
                      <w:bCs/>
                      <w:color w:val="auto"/>
                      <w:lang w:val="en-US" w:eastAsia="zh-CN"/>
                    </w:rPr>
                    <w:t>接管情况</w:t>
                  </w:r>
                </w:p>
              </w:tc>
            </w:tr>
            <w:tr w14:paraId="5148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6" w:type="dxa"/>
                  <w:vMerge w:val="continue"/>
                  <w:vAlign w:val="center"/>
                </w:tcPr>
                <w:p w14:paraId="60890941">
                  <w:pPr>
                    <w:pStyle w:val="4"/>
                    <w:outlineLvl w:val="0"/>
                    <w:rPr>
                      <w:b/>
                      <w:bCs/>
                      <w:color w:val="auto"/>
                    </w:rPr>
                  </w:pPr>
                </w:p>
              </w:tc>
              <w:tc>
                <w:tcPr>
                  <w:tcW w:w="825" w:type="dxa"/>
                  <w:vMerge w:val="continue"/>
                  <w:vAlign w:val="center"/>
                </w:tcPr>
                <w:p w14:paraId="2155ADD3">
                  <w:pPr>
                    <w:pStyle w:val="4"/>
                    <w:outlineLvl w:val="0"/>
                    <w:rPr>
                      <w:b/>
                      <w:bCs/>
                      <w:color w:val="auto"/>
                    </w:rPr>
                  </w:pPr>
                </w:p>
              </w:tc>
              <w:tc>
                <w:tcPr>
                  <w:tcW w:w="1095" w:type="dxa"/>
                  <w:vAlign w:val="center"/>
                </w:tcPr>
                <w:p w14:paraId="1BB47F35">
                  <w:pPr>
                    <w:pStyle w:val="4"/>
                    <w:outlineLvl w:val="0"/>
                    <w:rPr>
                      <w:b/>
                      <w:bCs/>
                      <w:color w:val="auto"/>
                    </w:rPr>
                  </w:pPr>
                  <w:r>
                    <w:rPr>
                      <w:b/>
                      <w:bCs/>
                      <w:color w:val="auto"/>
                    </w:rPr>
                    <w:t>浓度（mg/L）</w:t>
                  </w:r>
                </w:p>
              </w:tc>
              <w:tc>
                <w:tcPr>
                  <w:tcW w:w="1065" w:type="dxa"/>
                  <w:vAlign w:val="center"/>
                </w:tcPr>
                <w:p w14:paraId="0A40F7E3">
                  <w:pPr>
                    <w:pStyle w:val="4"/>
                    <w:outlineLvl w:val="0"/>
                    <w:rPr>
                      <w:b/>
                      <w:bCs/>
                      <w:color w:val="auto"/>
                    </w:rPr>
                  </w:pPr>
                  <w:r>
                    <w:rPr>
                      <w:b/>
                      <w:bCs/>
                      <w:color w:val="auto"/>
                    </w:rPr>
                    <w:t>产生量（m</w:t>
                  </w:r>
                  <w:r>
                    <w:rPr>
                      <w:b/>
                      <w:bCs/>
                      <w:color w:val="auto"/>
                      <w:vertAlign w:val="superscript"/>
                    </w:rPr>
                    <w:t>3</w:t>
                  </w:r>
                  <w:r>
                    <w:rPr>
                      <w:b/>
                      <w:bCs/>
                      <w:color w:val="auto"/>
                    </w:rPr>
                    <w:t>/a）</w:t>
                  </w:r>
                </w:p>
              </w:tc>
              <w:tc>
                <w:tcPr>
                  <w:tcW w:w="765" w:type="dxa"/>
                  <w:vMerge w:val="continue"/>
                  <w:vAlign w:val="center"/>
                </w:tcPr>
                <w:p w14:paraId="1B134733">
                  <w:pPr>
                    <w:pStyle w:val="4"/>
                    <w:outlineLvl w:val="0"/>
                    <w:rPr>
                      <w:b/>
                      <w:bCs/>
                      <w:color w:val="auto"/>
                    </w:rPr>
                  </w:pPr>
                </w:p>
              </w:tc>
              <w:tc>
                <w:tcPr>
                  <w:tcW w:w="1095" w:type="dxa"/>
                  <w:vAlign w:val="center"/>
                </w:tcPr>
                <w:p w14:paraId="019283A6">
                  <w:pPr>
                    <w:pStyle w:val="4"/>
                    <w:outlineLvl w:val="0"/>
                    <w:rPr>
                      <w:b/>
                      <w:bCs/>
                      <w:color w:val="auto"/>
                    </w:rPr>
                  </w:pPr>
                  <w:r>
                    <w:rPr>
                      <w:b/>
                      <w:bCs/>
                      <w:color w:val="auto"/>
                    </w:rPr>
                    <w:t>浓度（mg/L）</w:t>
                  </w:r>
                </w:p>
              </w:tc>
              <w:tc>
                <w:tcPr>
                  <w:tcW w:w="1155" w:type="dxa"/>
                  <w:vAlign w:val="center"/>
                </w:tcPr>
                <w:p w14:paraId="3DF68A41">
                  <w:pPr>
                    <w:pStyle w:val="4"/>
                    <w:outlineLvl w:val="0"/>
                    <w:rPr>
                      <w:b/>
                      <w:bCs/>
                      <w:color w:val="auto"/>
                    </w:rPr>
                  </w:pPr>
                  <w:r>
                    <w:rPr>
                      <w:b/>
                      <w:bCs/>
                      <w:color w:val="auto"/>
                    </w:rPr>
                    <w:t>排放量（m</w:t>
                  </w:r>
                  <w:r>
                    <w:rPr>
                      <w:b/>
                      <w:bCs/>
                      <w:color w:val="auto"/>
                      <w:vertAlign w:val="superscript"/>
                    </w:rPr>
                    <w:t>3</w:t>
                  </w:r>
                  <w:r>
                    <w:rPr>
                      <w:b/>
                      <w:bCs/>
                      <w:color w:val="auto"/>
                    </w:rPr>
                    <w:t>/a）</w:t>
                  </w:r>
                </w:p>
              </w:tc>
              <w:tc>
                <w:tcPr>
                  <w:tcW w:w="1078" w:type="dxa"/>
                  <w:vMerge w:val="continue"/>
                  <w:vAlign w:val="center"/>
                </w:tcPr>
                <w:p w14:paraId="648D516E">
                  <w:pPr>
                    <w:pStyle w:val="4"/>
                    <w:outlineLvl w:val="0"/>
                    <w:rPr>
                      <w:b/>
                      <w:bCs/>
                      <w:color w:val="auto"/>
                    </w:rPr>
                  </w:pPr>
                </w:p>
              </w:tc>
            </w:tr>
            <w:tr w14:paraId="28C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6" w:type="dxa"/>
                  <w:vMerge w:val="restart"/>
                  <w:vAlign w:val="center"/>
                </w:tcPr>
                <w:p w14:paraId="6ACCE864">
                  <w:pPr>
                    <w:pStyle w:val="4"/>
                    <w:outlineLvl w:val="0"/>
                    <w:rPr>
                      <w:color w:val="auto"/>
                    </w:rPr>
                  </w:pPr>
                  <w:r>
                    <w:rPr>
                      <w:rFonts w:hint="eastAsia"/>
                      <w:color w:val="auto"/>
                      <w:lang w:val="en-US" w:eastAsia="zh-CN"/>
                    </w:rPr>
                    <w:t>生活污水60.48</w:t>
                  </w:r>
                  <w:r>
                    <w:rPr>
                      <w:color w:val="auto"/>
                    </w:rPr>
                    <w:t>m</w:t>
                  </w:r>
                  <w:r>
                    <w:rPr>
                      <w:color w:val="auto"/>
                      <w:vertAlign w:val="superscript"/>
                    </w:rPr>
                    <w:t>3</w:t>
                  </w:r>
                  <w:r>
                    <w:rPr>
                      <w:color w:val="auto"/>
                    </w:rPr>
                    <w:t>/a</w:t>
                  </w:r>
                </w:p>
              </w:tc>
              <w:tc>
                <w:tcPr>
                  <w:tcW w:w="825" w:type="dxa"/>
                  <w:vAlign w:val="center"/>
                </w:tcPr>
                <w:p w14:paraId="0F36003B">
                  <w:pPr>
                    <w:pStyle w:val="4"/>
                    <w:outlineLvl w:val="0"/>
                    <w:rPr>
                      <w:color w:val="auto"/>
                    </w:rPr>
                  </w:pPr>
                  <w:r>
                    <w:rPr>
                      <w:color w:val="auto"/>
                    </w:rPr>
                    <w:t>COD</w:t>
                  </w:r>
                </w:p>
              </w:tc>
              <w:tc>
                <w:tcPr>
                  <w:tcW w:w="1095" w:type="dxa"/>
                  <w:vAlign w:val="center"/>
                </w:tcPr>
                <w:p w14:paraId="5DD29F9D">
                  <w:pPr>
                    <w:pStyle w:val="4"/>
                    <w:overflowPunct w:val="0"/>
                    <w:ind w:firstLine="0" w:firstLineChars="0"/>
                    <w:jc w:val="center"/>
                    <w:rPr>
                      <w:color w:val="auto"/>
                    </w:rPr>
                  </w:pPr>
                  <w:r>
                    <w:rPr>
                      <w:rFonts w:hint="eastAsia"/>
                      <w:color w:val="auto"/>
                    </w:rPr>
                    <w:t>340</w:t>
                  </w:r>
                </w:p>
              </w:tc>
              <w:tc>
                <w:tcPr>
                  <w:tcW w:w="1065" w:type="dxa"/>
                  <w:vAlign w:val="center"/>
                </w:tcPr>
                <w:p w14:paraId="30A6E1CD">
                  <w:pPr>
                    <w:pStyle w:val="4"/>
                    <w:outlineLvl w:val="0"/>
                    <w:rPr>
                      <w:rFonts w:hint="default" w:eastAsia="宋体"/>
                      <w:color w:val="auto"/>
                      <w:lang w:val="en-US" w:eastAsia="zh-CN"/>
                    </w:rPr>
                  </w:pPr>
                  <w:r>
                    <w:rPr>
                      <w:rFonts w:hint="eastAsia"/>
                      <w:color w:val="auto"/>
                      <w:lang w:val="en-US" w:eastAsia="zh-CN"/>
                    </w:rPr>
                    <w:t>0.021</w:t>
                  </w:r>
                </w:p>
              </w:tc>
              <w:tc>
                <w:tcPr>
                  <w:tcW w:w="765" w:type="dxa"/>
                  <w:vMerge w:val="restart"/>
                  <w:vAlign w:val="center"/>
                </w:tcPr>
                <w:p w14:paraId="4ED15581">
                  <w:pPr>
                    <w:widowControl/>
                    <w:spacing w:before="0" w:beforeAutospacing="0" w:after="0" w:afterAutospacing="0" w:line="240" w:lineRule="auto"/>
                    <w:ind w:left="0" w:leftChars="0" w:right="0" w:rightChars="0" w:firstLine="0" w:firstLineChars="0"/>
                    <w:jc w:val="center"/>
                    <w:textAlignment w:val="center"/>
                    <w:rPr>
                      <w:rFonts w:hint="default" w:eastAsia="宋体"/>
                      <w:color w:val="auto"/>
                      <w:lang w:val="en-US" w:eastAsia="zh-CN"/>
                    </w:rPr>
                  </w:pPr>
                  <w:r>
                    <w:rPr>
                      <w:rFonts w:hint="default"/>
                      <w:bCs/>
                      <w:color w:val="auto"/>
                      <w:sz w:val="21"/>
                      <w:szCs w:val="21"/>
                    </w:rPr>
                    <w:t>进入化粪池处理</w:t>
                  </w:r>
                </w:p>
              </w:tc>
              <w:tc>
                <w:tcPr>
                  <w:tcW w:w="1095" w:type="dxa"/>
                  <w:vAlign w:val="center"/>
                </w:tcPr>
                <w:p w14:paraId="357A6D6B">
                  <w:pPr>
                    <w:pStyle w:val="4"/>
                    <w:ind w:firstLine="0" w:firstLineChars="0"/>
                    <w:outlineLvl w:val="0"/>
                    <w:rPr>
                      <w:color w:val="auto"/>
                    </w:rPr>
                  </w:pPr>
                  <w:r>
                    <w:rPr>
                      <w:color w:val="auto"/>
                    </w:rPr>
                    <w:t>300</w:t>
                  </w:r>
                </w:p>
              </w:tc>
              <w:tc>
                <w:tcPr>
                  <w:tcW w:w="1155" w:type="dxa"/>
                  <w:vAlign w:val="center"/>
                </w:tcPr>
                <w:p w14:paraId="644BC9FC">
                  <w:pPr>
                    <w:pStyle w:val="4"/>
                    <w:ind w:firstLine="0" w:firstLineChars="0"/>
                    <w:outlineLvl w:val="0"/>
                    <w:rPr>
                      <w:rFonts w:hint="default"/>
                      <w:color w:val="auto"/>
                      <w:lang w:val="en-US"/>
                    </w:rPr>
                  </w:pPr>
                  <w:r>
                    <w:rPr>
                      <w:rFonts w:hint="eastAsia"/>
                      <w:color w:val="auto"/>
                      <w:lang w:val="en-US" w:eastAsia="zh-CN"/>
                    </w:rPr>
                    <w:t>0.018</w:t>
                  </w:r>
                </w:p>
              </w:tc>
              <w:tc>
                <w:tcPr>
                  <w:tcW w:w="1078" w:type="dxa"/>
                  <w:vMerge w:val="restart"/>
                  <w:vAlign w:val="center"/>
                </w:tcPr>
                <w:p w14:paraId="3B53D834">
                  <w:pPr>
                    <w:pStyle w:val="4"/>
                    <w:ind w:firstLine="0" w:firstLineChars="0"/>
                    <w:outlineLvl w:val="0"/>
                    <w:rPr>
                      <w:rFonts w:hint="eastAsia"/>
                      <w:color w:val="auto"/>
                      <w:lang w:val="en-US" w:eastAsia="zh-CN"/>
                    </w:rPr>
                  </w:pPr>
                  <w:r>
                    <w:rPr>
                      <w:rFonts w:hint="eastAsia"/>
                      <w:color w:val="auto"/>
                      <w:lang w:val="en-US" w:eastAsia="zh-CN"/>
                    </w:rPr>
                    <w:t>接管网进入淮北蓝海水处理有限公司进一步处理</w:t>
                  </w:r>
                </w:p>
              </w:tc>
            </w:tr>
            <w:tr w14:paraId="3E5C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6" w:type="dxa"/>
                  <w:vMerge w:val="continue"/>
                  <w:vAlign w:val="center"/>
                </w:tcPr>
                <w:p w14:paraId="603B5366">
                  <w:pPr>
                    <w:pStyle w:val="4"/>
                    <w:outlineLvl w:val="0"/>
                    <w:rPr>
                      <w:color w:val="auto"/>
                    </w:rPr>
                  </w:pPr>
                </w:p>
              </w:tc>
              <w:tc>
                <w:tcPr>
                  <w:tcW w:w="825" w:type="dxa"/>
                  <w:vAlign w:val="center"/>
                </w:tcPr>
                <w:p w14:paraId="45B7A6F1">
                  <w:pPr>
                    <w:pStyle w:val="4"/>
                    <w:outlineLvl w:val="0"/>
                    <w:rPr>
                      <w:color w:val="auto"/>
                    </w:rPr>
                  </w:pPr>
                  <w:r>
                    <w:rPr>
                      <w:color w:val="auto"/>
                    </w:rPr>
                    <w:t>BOD</w:t>
                  </w:r>
                  <w:r>
                    <w:rPr>
                      <w:color w:val="auto"/>
                      <w:vertAlign w:val="subscript"/>
                    </w:rPr>
                    <w:t>5</w:t>
                  </w:r>
                </w:p>
              </w:tc>
              <w:tc>
                <w:tcPr>
                  <w:tcW w:w="1095" w:type="dxa"/>
                  <w:vAlign w:val="center"/>
                </w:tcPr>
                <w:p w14:paraId="22E427BF">
                  <w:pPr>
                    <w:pStyle w:val="4"/>
                    <w:overflowPunct w:val="0"/>
                    <w:ind w:firstLine="0" w:firstLineChars="0"/>
                    <w:jc w:val="center"/>
                    <w:rPr>
                      <w:color w:val="auto"/>
                    </w:rPr>
                  </w:pPr>
                  <w:r>
                    <w:rPr>
                      <w:rFonts w:hint="eastAsia"/>
                      <w:color w:val="auto"/>
                    </w:rPr>
                    <w:t>260</w:t>
                  </w:r>
                </w:p>
              </w:tc>
              <w:tc>
                <w:tcPr>
                  <w:tcW w:w="1065" w:type="dxa"/>
                  <w:vAlign w:val="center"/>
                </w:tcPr>
                <w:p w14:paraId="749F3181">
                  <w:pPr>
                    <w:pStyle w:val="4"/>
                    <w:outlineLvl w:val="0"/>
                    <w:rPr>
                      <w:rFonts w:hint="default" w:eastAsia="宋体"/>
                      <w:color w:val="auto"/>
                      <w:lang w:val="en-US" w:eastAsia="zh-CN"/>
                    </w:rPr>
                  </w:pPr>
                  <w:r>
                    <w:rPr>
                      <w:rFonts w:hint="eastAsia"/>
                      <w:color w:val="auto"/>
                      <w:lang w:val="en-US" w:eastAsia="zh-CN"/>
                    </w:rPr>
                    <w:t>0.016</w:t>
                  </w:r>
                </w:p>
              </w:tc>
              <w:tc>
                <w:tcPr>
                  <w:tcW w:w="765" w:type="dxa"/>
                  <w:vMerge w:val="continue"/>
                  <w:vAlign w:val="center"/>
                </w:tcPr>
                <w:p w14:paraId="40F45D69">
                  <w:pPr>
                    <w:pStyle w:val="4"/>
                    <w:outlineLvl w:val="0"/>
                    <w:rPr>
                      <w:color w:val="auto"/>
                    </w:rPr>
                  </w:pPr>
                </w:p>
              </w:tc>
              <w:tc>
                <w:tcPr>
                  <w:tcW w:w="1095" w:type="dxa"/>
                  <w:vAlign w:val="center"/>
                </w:tcPr>
                <w:p w14:paraId="62BCF576">
                  <w:pPr>
                    <w:pStyle w:val="4"/>
                    <w:ind w:firstLine="0" w:firstLineChars="0"/>
                    <w:outlineLvl w:val="0"/>
                    <w:rPr>
                      <w:rFonts w:hint="default" w:eastAsia="宋体"/>
                      <w:color w:val="auto"/>
                      <w:lang w:val="en-US" w:eastAsia="zh-CN"/>
                    </w:rPr>
                  </w:pPr>
                  <w:r>
                    <w:rPr>
                      <w:rFonts w:hint="eastAsia"/>
                      <w:color w:val="auto"/>
                      <w:lang w:val="en-US" w:eastAsia="zh-CN"/>
                    </w:rPr>
                    <w:t>200</w:t>
                  </w:r>
                </w:p>
              </w:tc>
              <w:tc>
                <w:tcPr>
                  <w:tcW w:w="1155" w:type="dxa"/>
                  <w:vAlign w:val="center"/>
                </w:tcPr>
                <w:p w14:paraId="6BF568A3">
                  <w:pPr>
                    <w:pStyle w:val="4"/>
                    <w:ind w:firstLine="0" w:firstLineChars="0"/>
                    <w:outlineLvl w:val="0"/>
                    <w:rPr>
                      <w:rFonts w:hint="default"/>
                      <w:color w:val="auto"/>
                      <w:lang w:val="en-US"/>
                    </w:rPr>
                  </w:pPr>
                  <w:r>
                    <w:rPr>
                      <w:rFonts w:hint="eastAsia"/>
                      <w:color w:val="auto"/>
                      <w:lang w:val="en-US" w:eastAsia="zh-CN"/>
                    </w:rPr>
                    <w:t>0.012</w:t>
                  </w:r>
                </w:p>
              </w:tc>
              <w:tc>
                <w:tcPr>
                  <w:tcW w:w="1078" w:type="dxa"/>
                  <w:vMerge w:val="continue"/>
                  <w:vAlign w:val="center"/>
                </w:tcPr>
                <w:p w14:paraId="3422BDAC">
                  <w:pPr>
                    <w:pStyle w:val="4"/>
                    <w:ind w:firstLine="0" w:firstLineChars="0"/>
                    <w:outlineLvl w:val="0"/>
                    <w:rPr>
                      <w:rFonts w:hint="eastAsia"/>
                      <w:color w:val="auto"/>
                      <w:lang w:val="en-US" w:eastAsia="zh-CN"/>
                    </w:rPr>
                  </w:pPr>
                </w:p>
              </w:tc>
            </w:tr>
            <w:tr w14:paraId="0367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6" w:type="dxa"/>
                  <w:vMerge w:val="continue"/>
                  <w:vAlign w:val="center"/>
                </w:tcPr>
                <w:p w14:paraId="4C414040">
                  <w:pPr>
                    <w:pStyle w:val="4"/>
                    <w:outlineLvl w:val="0"/>
                    <w:rPr>
                      <w:color w:val="auto"/>
                    </w:rPr>
                  </w:pPr>
                </w:p>
              </w:tc>
              <w:tc>
                <w:tcPr>
                  <w:tcW w:w="825" w:type="dxa"/>
                  <w:vAlign w:val="center"/>
                </w:tcPr>
                <w:p w14:paraId="726F237C">
                  <w:pPr>
                    <w:pStyle w:val="4"/>
                    <w:outlineLvl w:val="0"/>
                    <w:rPr>
                      <w:color w:val="auto"/>
                    </w:rPr>
                  </w:pPr>
                  <w:r>
                    <w:rPr>
                      <w:color w:val="auto"/>
                    </w:rPr>
                    <w:t>SS</w:t>
                  </w:r>
                </w:p>
              </w:tc>
              <w:tc>
                <w:tcPr>
                  <w:tcW w:w="1095" w:type="dxa"/>
                  <w:vAlign w:val="center"/>
                </w:tcPr>
                <w:p w14:paraId="3AC46394">
                  <w:pPr>
                    <w:pStyle w:val="4"/>
                    <w:overflowPunct w:val="0"/>
                    <w:ind w:firstLine="0" w:firstLineChars="0"/>
                    <w:jc w:val="center"/>
                    <w:rPr>
                      <w:color w:val="auto"/>
                    </w:rPr>
                  </w:pPr>
                  <w:r>
                    <w:rPr>
                      <w:rFonts w:hint="eastAsia"/>
                      <w:color w:val="auto"/>
                    </w:rPr>
                    <w:t>260</w:t>
                  </w:r>
                </w:p>
              </w:tc>
              <w:tc>
                <w:tcPr>
                  <w:tcW w:w="1065" w:type="dxa"/>
                  <w:vAlign w:val="center"/>
                </w:tcPr>
                <w:p w14:paraId="5667391E">
                  <w:pPr>
                    <w:pStyle w:val="4"/>
                    <w:outlineLvl w:val="0"/>
                    <w:rPr>
                      <w:rFonts w:hint="default" w:eastAsia="宋体"/>
                      <w:color w:val="auto"/>
                      <w:lang w:val="en-US" w:eastAsia="zh-CN"/>
                    </w:rPr>
                  </w:pPr>
                  <w:r>
                    <w:rPr>
                      <w:rFonts w:hint="eastAsia"/>
                      <w:color w:val="auto"/>
                      <w:lang w:val="en-US" w:eastAsia="zh-CN"/>
                    </w:rPr>
                    <w:t>0.016</w:t>
                  </w:r>
                </w:p>
              </w:tc>
              <w:tc>
                <w:tcPr>
                  <w:tcW w:w="765" w:type="dxa"/>
                  <w:vMerge w:val="continue"/>
                  <w:vAlign w:val="center"/>
                </w:tcPr>
                <w:p w14:paraId="46A5B5CF">
                  <w:pPr>
                    <w:pStyle w:val="4"/>
                    <w:outlineLvl w:val="0"/>
                    <w:rPr>
                      <w:color w:val="auto"/>
                    </w:rPr>
                  </w:pPr>
                </w:p>
              </w:tc>
              <w:tc>
                <w:tcPr>
                  <w:tcW w:w="1095" w:type="dxa"/>
                  <w:vAlign w:val="center"/>
                </w:tcPr>
                <w:p w14:paraId="698188CB">
                  <w:pPr>
                    <w:pStyle w:val="4"/>
                    <w:ind w:firstLine="0" w:firstLineChars="0"/>
                    <w:outlineLvl w:val="0"/>
                    <w:rPr>
                      <w:rFonts w:hint="default" w:eastAsia="宋体"/>
                      <w:color w:val="auto"/>
                      <w:lang w:val="en-US" w:eastAsia="zh-CN"/>
                    </w:rPr>
                  </w:pPr>
                  <w:r>
                    <w:rPr>
                      <w:rFonts w:hint="eastAsia"/>
                      <w:color w:val="auto"/>
                      <w:lang w:val="en-US" w:eastAsia="zh-CN"/>
                    </w:rPr>
                    <w:t>200</w:t>
                  </w:r>
                </w:p>
              </w:tc>
              <w:tc>
                <w:tcPr>
                  <w:tcW w:w="1155" w:type="dxa"/>
                  <w:vAlign w:val="center"/>
                </w:tcPr>
                <w:p w14:paraId="59DFA41A">
                  <w:pPr>
                    <w:pStyle w:val="4"/>
                    <w:ind w:firstLine="0" w:firstLineChars="0"/>
                    <w:outlineLvl w:val="0"/>
                    <w:rPr>
                      <w:rFonts w:hint="default"/>
                      <w:color w:val="auto"/>
                      <w:lang w:val="en-US"/>
                    </w:rPr>
                  </w:pPr>
                  <w:r>
                    <w:rPr>
                      <w:rFonts w:hint="eastAsia"/>
                      <w:color w:val="auto"/>
                      <w:lang w:val="en-US" w:eastAsia="zh-CN"/>
                    </w:rPr>
                    <w:t>0.012</w:t>
                  </w:r>
                </w:p>
              </w:tc>
              <w:tc>
                <w:tcPr>
                  <w:tcW w:w="1078" w:type="dxa"/>
                  <w:vMerge w:val="continue"/>
                  <w:vAlign w:val="center"/>
                </w:tcPr>
                <w:p w14:paraId="7DC63CBD">
                  <w:pPr>
                    <w:pStyle w:val="4"/>
                    <w:ind w:firstLine="0" w:firstLineChars="0"/>
                    <w:outlineLvl w:val="0"/>
                    <w:rPr>
                      <w:rFonts w:hint="eastAsia"/>
                      <w:color w:val="auto"/>
                      <w:lang w:val="en-US" w:eastAsia="zh-CN"/>
                    </w:rPr>
                  </w:pPr>
                </w:p>
              </w:tc>
            </w:tr>
            <w:tr w14:paraId="566C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6" w:type="dxa"/>
                  <w:vMerge w:val="continue"/>
                  <w:vAlign w:val="center"/>
                </w:tcPr>
                <w:p w14:paraId="0A140C70">
                  <w:pPr>
                    <w:pStyle w:val="4"/>
                    <w:outlineLvl w:val="0"/>
                    <w:rPr>
                      <w:color w:val="auto"/>
                    </w:rPr>
                  </w:pPr>
                </w:p>
              </w:tc>
              <w:tc>
                <w:tcPr>
                  <w:tcW w:w="825" w:type="dxa"/>
                  <w:vAlign w:val="center"/>
                </w:tcPr>
                <w:p w14:paraId="1C3B6D6A">
                  <w:pPr>
                    <w:pStyle w:val="4"/>
                    <w:outlineLvl w:val="0"/>
                    <w:rPr>
                      <w:color w:val="auto"/>
                    </w:rPr>
                  </w:pPr>
                  <w:r>
                    <w:rPr>
                      <w:color w:val="auto"/>
                    </w:rPr>
                    <w:t>氨氮</w:t>
                  </w:r>
                </w:p>
              </w:tc>
              <w:tc>
                <w:tcPr>
                  <w:tcW w:w="1095" w:type="dxa"/>
                  <w:vAlign w:val="center"/>
                </w:tcPr>
                <w:p w14:paraId="40948A5C">
                  <w:pPr>
                    <w:pStyle w:val="4"/>
                    <w:overflowPunct w:val="0"/>
                    <w:ind w:firstLine="0" w:firstLineChars="0"/>
                    <w:jc w:val="center"/>
                    <w:rPr>
                      <w:color w:val="auto"/>
                    </w:rPr>
                  </w:pPr>
                  <w:r>
                    <w:rPr>
                      <w:color w:val="auto"/>
                    </w:rPr>
                    <w:t>35</w:t>
                  </w:r>
                </w:p>
              </w:tc>
              <w:tc>
                <w:tcPr>
                  <w:tcW w:w="1065" w:type="dxa"/>
                  <w:vAlign w:val="center"/>
                </w:tcPr>
                <w:p w14:paraId="103E73CB">
                  <w:pPr>
                    <w:pStyle w:val="4"/>
                    <w:outlineLvl w:val="0"/>
                    <w:rPr>
                      <w:rFonts w:hint="default" w:eastAsia="宋体"/>
                      <w:color w:val="auto"/>
                      <w:lang w:val="en-US" w:eastAsia="zh-CN"/>
                    </w:rPr>
                  </w:pPr>
                  <w:r>
                    <w:rPr>
                      <w:rFonts w:hint="eastAsia"/>
                      <w:color w:val="auto"/>
                      <w:lang w:val="en-US" w:eastAsia="zh-CN"/>
                    </w:rPr>
                    <w:t>0.002</w:t>
                  </w:r>
                </w:p>
              </w:tc>
              <w:tc>
                <w:tcPr>
                  <w:tcW w:w="765" w:type="dxa"/>
                  <w:vMerge w:val="continue"/>
                  <w:vAlign w:val="center"/>
                </w:tcPr>
                <w:p w14:paraId="6CE4E787">
                  <w:pPr>
                    <w:pStyle w:val="4"/>
                    <w:outlineLvl w:val="0"/>
                    <w:rPr>
                      <w:color w:val="auto"/>
                    </w:rPr>
                  </w:pPr>
                </w:p>
              </w:tc>
              <w:tc>
                <w:tcPr>
                  <w:tcW w:w="1095" w:type="dxa"/>
                  <w:vAlign w:val="center"/>
                </w:tcPr>
                <w:p w14:paraId="68005D69">
                  <w:pPr>
                    <w:pStyle w:val="4"/>
                    <w:ind w:firstLine="0" w:firstLineChars="0"/>
                    <w:outlineLvl w:val="0"/>
                    <w:rPr>
                      <w:color w:val="auto"/>
                    </w:rPr>
                  </w:pPr>
                  <w:r>
                    <w:rPr>
                      <w:color w:val="auto"/>
                    </w:rPr>
                    <w:t>35</w:t>
                  </w:r>
                </w:p>
              </w:tc>
              <w:tc>
                <w:tcPr>
                  <w:tcW w:w="1155" w:type="dxa"/>
                  <w:vAlign w:val="center"/>
                </w:tcPr>
                <w:p w14:paraId="78864206">
                  <w:pPr>
                    <w:pStyle w:val="4"/>
                    <w:ind w:firstLine="0" w:firstLineChars="0"/>
                    <w:outlineLvl w:val="0"/>
                    <w:rPr>
                      <w:rFonts w:hint="default"/>
                      <w:color w:val="auto"/>
                      <w:lang w:val="en-US"/>
                    </w:rPr>
                  </w:pPr>
                  <w:r>
                    <w:rPr>
                      <w:rFonts w:hint="eastAsia"/>
                      <w:color w:val="auto"/>
                      <w:lang w:val="en-US" w:eastAsia="zh-CN"/>
                    </w:rPr>
                    <w:t>0.002</w:t>
                  </w:r>
                </w:p>
              </w:tc>
              <w:tc>
                <w:tcPr>
                  <w:tcW w:w="1078" w:type="dxa"/>
                  <w:vMerge w:val="continue"/>
                  <w:vAlign w:val="center"/>
                </w:tcPr>
                <w:p w14:paraId="68281651">
                  <w:pPr>
                    <w:pStyle w:val="4"/>
                    <w:ind w:firstLine="0" w:firstLineChars="0"/>
                    <w:outlineLvl w:val="0"/>
                    <w:rPr>
                      <w:rFonts w:hint="eastAsia"/>
                      <w:color w:val="auto"/>
                      <w:lang w:val="en-US" w:eastAsia="zh-CN"/>
                    </w:rPr>
                  </w:pPr>
                </w:p>
              </w:tc>
            </w:tr>
            <w:tr w14:paraId="21FC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6" w:type="dxa"/>
                  <w:vMerge w:val="restart"/>
                  <w:vAlign w:val="center"/>
                </w:tcPr>
                <w:p w14:paraId="0AAFED7B">
                  <w:pPr>
                    <w:pStyle w:val="4"/>
                    <w:outlineLvl w:val="0"/>
                    <w:rPr>
                      <w:rFonts w:hint="default" w:eastAsia="宋体"/>
                      <w:color w:val="auto"/>
                      <w:lang w:val="en-US" w:eastAsia="zh-CN"/>
                    </w:rPr>
                  </w:pPr>
                  <w:r>
                    <w:rPr>
                      <w:rFonts w:hint="eastAsia"/>
                      <w:color w:val="auto"/>
                      <w:lang w:val="en-US" w:eastAsia="zh-CN"/>
                    </w:rPr>
                    <w:t>软水制备废水497.07</w:t>
                  </w:r>
                  <w:r>
                    <w:rPr>
                      <w:color w:val="auto"/>
                    </w:rPr>
                    <w:t>m</w:t>
                  </w:r>
                  <w:r>
                    <w:rPr>
                      <w:color w:val="auto"/>
                      <w:vertAlign w:val="superscript"/>
                    </w:rPr>
                    <w:t>3</w:t>
                  </w:r>
                  <w:r>
                    <w:rPr>
                      <w:color w:val="auto"/>
                    </w:rPr>
                    <w:t>/a</w:t>
                  </w:r>
                </w:p>
              </w:tc>
              <w:tc>
                <w:tcPr>
                  <w:tcW w:w="825" w:type="dxa"/>
                  <w:vAlign w:val="center"/>
                </w:tcPr>
                <w:p w14:paraId="63A0C038">
                  <w:pPr>
                    <w:pStyle w:val="36"/>
                    <w:ind w:firstLine="0" w:firstLineChars="0"/>
                    <w:rPr>
                      <w:color w:val="auto"/>
                    </w:rPr>
                  </w:pPr>
                  <w:r>
                    <w:rPr>
                      <w:color w:val="000000"/>
                    </w:rPr>
                    <w:t>COD</w:t>
                  </w:r>
                </w:p>
              </w:tc>
              <w:tc>
                <w:tcPr>
                  <w:tcW w:w="1095" w:type="dxa"/>
                  <w:vAlign w:val="center"/>
                </w:tcPr>
                <w:p w14:paraId="0DE6DB7C">
                  <w:pPr>
                    <w:widowControl/>
                    <w:spacing w:before="0" w:beforeAutospacing="0" w:after="0" w:afterAutospacing="0" w:line="240" w:lineRule="auto"/>
                    <w:ind w:left="0" w:leftChars="0" w:right="0" w:rightChars="0" w:firstLine="0" w:firstLineChars="0"/>
                    <w:jc w:val="center"/>
                    <w:textAlignment w:val="center"/>
                    <w:rPr>
                      <w:color w:val="auto"/>
                    </w:rPr>
                  </w:pPr>
                  <w:r>
                    <w:rPr>
                      <w:rFonts w:hint="eastAsia" w:ascii="Times New Roman" w:hAnsi="Times New Roman" w:eastAsia="宋体"/>
                      <w:color w:val="auto"/>
                      <w:sz w:val="21"/>
                      <w:szCs w:val="21"/>
                      <w:lang w:val="en-US" w:eastAsia="zh-CN"/>
                    </w:rPr>
                    <w:t>100</w:t>
                  </w:r>
                </w:p>
              </w:tc>
              <w:tc>
                <w:tcPr>
                  <w:tcW w:w="1065" w:type="dxa"/>
                  <w:vAlign w:val="center"/>
                </w:tcPr>
                <w:p w14:paraId="49108597">
                  <w:pPr>
                    <w:pStyle w:val="4"/>
                    <w:outlineLvl w:val="0"/>
                    <w:rPr>
                      <w:rFonts w:hint="default"/>
                      <w:color w:val="auto"/>
                      <w:lang w:val="en-US" w:eastAsia="zh-CN"/>
                    </w:rPr>
                  </w:pPr>
                  <w:r>
                    <w:rPr>
                      <w:rFonts w:hint="eastAsia"/>
                      <w:color w:val="auto"/>
                      <w:lang w:val="en-US" w:eastAsia="zh-CN"/>
                    </w:rPr>
                    <w:t>0.050</w:t>
                  </w:r>
                </w:p>
              </w:tc>
              <w:tc>
                <w:tcPr>
                  <w:tcW w:w="765" w:type="dxa"/>
                  <w:vMerge w:val="restart"/>
                  <w:vAlign w:val="center"/>
                </w:tcPr>
                <w:p w14:paraId="204B029D">
                  <w:pPr>
                    <w:widowControl/>
                    <w:spacing w:before="0" w:beforeAutospacing="0" w:after="0" w:afterAutospacing="0" w:line="240" w:lineRule="auto"/>
                    <w:ind w:left="0" w:leftChars="0" w:right="0" w:rightChars="0" w:firstLine="0" w:firstLineChars="0"/>
                    <w:jc w:val="center"/>
                    <w:textAlignment w:val="center"/>
                    <w:rPr>
                      <w:color w:val="auto"/>
                    </w:rPr>
                  </w:pPr>
                  <w:r>
                    <w:rPr>
                      <w:rFonts w:hint="eastAsia"/>
                      <w:color w:val="auto"/>
                      <w:sz w:val="21"/>
                      <w:szCs w:val="21"/>
                      <w:lang w:val="en-US" w:eastAsia="zh-CN"/>
                    </w:rPr>
                    <w:t>接管网</w:t>
                  </w:r>
                </w:p>
              </w:tc>
              <w:tc>
                <w:tcPr>
                  <w:tcW w:w="1095" w:type="dxa"/>
                  <w:vAlign w:val="center"/>
                </w:tcPr>
                <w:p w14:paraId="463C7F1F">
                  <w:pPr>
                    <w:widowControl/>
                    <w:spacing w:before="0" w:beforeAutospacing="0" w:after="0" w:afterAutospacing="0" w:line="240" w:lineRule="auto"/>
                    <w:ind w:left="0" w:leftChars="0" w:right="0" w:rightChars="0" w:firstLine="0" w:firstLineChars="0"/>
                    <w:jc w:val="center"/>
                    <w:textAlignment w:val="center"/>
                    <w:rPr>
                      <w:color w:val="auto"/>
                    </w:rPr>
                  </w:pPr>
                  <w:r>
                    <w:rPr>
                      <w:rFonts w:hint="eastAsia" w:ascii="Times New Roman" w:hAnsi="Times New Roman" w:eastAsia="宋体"/>
                      <w:color w:val="auto"/>
                      <w:sz w:val="21"/>
                      <w:szCs w:val="21"/>
                      <w:lang w:val="en-US" w:eastAsia="zh-CN"/>
                    </w:rPr>
                    <w:t>100</w:t>
                  </w:r>
                </w:p>
              </w:tc>
              <w:tc>
                <w:tcPr>
                  <w:tcW w:w="1155" w:type="dxa"/>
                  <w:vAlign w:val="center"/>
                </w:tcPr>
                <w:p w14:paraId="1BDE0AB3">
                  <w:pPr>
                    <w:pStyle w:val="4"/>
                    <w:ind w:firstLine="0" w:firstLineChars="0"/>
                    <w:outlineLvl w:val="0"/>
                    <w:rPr>
                      <w:rFonts w:hint="eastAsia"/>
                      <w:color w:val="auto"/>
                      <w:lang w:val="en-US" w:eastAsia="zh-CN"/>
                    </w:rPr>
                  </w:pPr>
                  <w:r>
                    <w:rPr>
                      <w:rFonts w:hint="eastAsia"/>
                      <w:color w:val="auto"/>
                      <w:lang w:val="en-US" w:eastAsia="zh-CN"/>
                    </w:rPr>
                    <w:t>0.050</w:t>
                  </w:r>
                </w:p>
              </w:tc>
              <w:tc>
                <w:tcPr>
                  <w:tcW w:w="1078" w:type="dxa"/>
                  <w:vMerge w:val="continue"/>
                  <w:vAlign w:val="center"/>
                </w:tcPr>
                <w:p w14:paraId="25473821">
                  <w:pPr>
                    <w:pStyle w:val="4"/>
                    <w:ind w:firstLine="0" w:firstLineChars="0"/>
                    <w:outlineLvl w:val="0"/>
                    <w:rPr>
                      <w:rFonts w:hint="eastAsia"/>
                      <w:color w:val="auto"/>
                      <w:lang w:val="en-US" w:eastAsia="zh-CN"/>
                    </w:rPr>
                  </w:pPr>
                </w:p>
              </w:tc>
            </w:tr>
            <w:tr w14:paraId="13E5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6" w:type="dxa"/>
                  <w:vMerge w:val="continue"/>
                  <w:vAlign w:val="center"/>
                </w:tcPr>
                <w:p w14:paraId="4206A730">
                  <w:pPr>
                    <w:pStyle w:val="4"/>
                    <w:outlineLvl w:val="0"/>
                    <w:rPr>
                      <w:color w:val="auto"/>
                    </w:rPr>
                  </w:pPr>
                </w:p>
              </w:tc>
              <w:tc>
                <w:tcPr>
                  <w:tcW w:w="825" w:type="dxa"/>
                  <w:vAlign w:val="center"/>
                </w:tcPr>
                <w:p w14:paraId="115EAC85">
                  <w:pPr>
                    <w:pStyle w:val="36"/>
                    <w:ind w:firstLine="0" w:firstLineChars="0"/>
                    <w:rPr>
                      <w:color w:val="auto"/>
                    </w:rPr>
                  </w:pPr>
                  <w:r>
                    <w:rPr>
                      <w:color w:val="000000"/>
                    </w:rPr>
                    <w:t>SS</w:t>
                  </w:r>
                </w:p>
              </w:tc>
              <w:tc>
                <w:tcPr>
                  <w:tcW w:w="1095" w:type="dxa"/>
                  <w:vAlign w:val="center"/>
                </w:tcPr>
                <w:p w14:paraId="03199CFA">
                  <w:pPr>
                    <w:widowControl/>
                    <w:spacing w:before="0" w:beforeAutospacing="0" w:after="0" w:afterAutospacing="0" w:line="240" w:lineRule="auto"/>
                    <w:ind w:left="0" w:leftChars="0" w:right="0" w:rightChars="0" w:firstLine="0" w:firstLineChars="0"/>
                    <w:jc w:val="center"/>
                    <w:textAlignment w:val="center"/>
                    <w:rPr>
                      <w:color w:val="auto"/>
                    </w:rPr>
                  </w:pPr>
                  <w:r>
                    <w:rPr>
                      <w:rFonts w:hint="eastAsia" w:ascii="Times New Roman" w:hAnsi="Times New Roman" w:eastAsia="宋体"/>
                      <w:color w:val="auto"/>
                      <w:sz w:val="21"/>
                      <w:szCs w:val="21"/>
                      <w:lang w:val="en-US" w:eastAsia="zh-CN"/>
                    </w:rPr>
                    <w:t>150</w:t>
                  </w:r>
                </w:p>
              </w:tc>
              <w:tc>
                <w:tcPr>
                  <w:tcW w:w="1065" w:type="dxa"/>
                  <w:vAlign w:val="center"/>
                </w:tcPr>
                <w:p w14:paraId="14305842">
                  <w:pPr>
                    <w:pStyle w:val="4"/>
                    <w:outlineLvl w:val="0"/>
                    <w:rPr>
                      <w:rFonts w:hint="default"/>
                      <w:color w:val="auto"/>
                      <w:lang w:val="en-US" w:eastAsia="zh-CN"/>
                    </w:rPr>
                  </w:pPr>
                  <w:r>
                    <w:rPr>
                      <w:rFonts w:hint="eastAsia"/>
                      <w:color w:val="auto"/>
                      <w:lang w:val="en-US" w:eastAsia="zh-CN"/>
                    </w:rPr>
                    <w:t>0.075</w:t>
                  </w:r>
                </w:p>
              </w:tc>
              <w:tc>
                <w:tcPr>
                  <w:tcW w:w="765" w:type="dxa"/>
                  <w:vMerge w:val="continue"/>
                  <w:vAlign w:val="center"/>
                </w:tcPr>
                <w:p w14:paraId="0F450028">
                  <w:pPr>
                    <w:widowControl/>
                    <w:spacing w:before="0" w:beforeAutospacing="0" w:after="0" w:afterAutospacing="0" w:line="240" w:lineRule="auto"/>
                    <w:ind w:left="0" w:leftChars="0" w:right="0" w:rightChars="0" w:firstLine="0" w:firstLineChars="0"/>
                    <w:jc w:val="center"/>
                    <w:textAlignment w:val="center"/>
                    <w:rPr>
                      <w:color w:val="auto"/>
                    </w:rPr>
                  </w:pPr>
                </w:p>
              </w:tc>
              <w:tc>
                <w:tcPr>
                  <w:tcW w:w="1095" w:type="dxa"/>
                  <w:vAlign w:val="center"/>
                </w:tcPr>
                <w:p w14:paraId="17B1C7C2">
                  <w:pPr>
                    <w:widowControl/>
                    <w:spacing w:before="0" w:beforeAutospacing="0" w:after="0" w:afterAutospacing="0" w:line="240" w:lineRule="auto"/>
                    <w:ind w:left="0" w:leftChars="0" w:right="0" w:rightChars="0" w:firstLine="0" w:firstLineChars="0"/>
                    <w:jc w:val="center"/>
                    <w:textAlignment w:val="center"/>
                    <w:rPr>
                      <w:color w:val="auto"/>
                    </w:rPr>
                  </w:pPr>
                  <w:r>
                    <w:rPr>
                      <w:rFonts w:hint="eastAsia" w:ascii="Times New Roman" w:hAnsi="Times New Roman" w:eastAsia="宋体"/>
                      <w:color w:val="auto"/>
                      <w:sz w:val="21"/>
                      <w:szCs w:val="21"/>
                      <w:lang w:val="en-US" w:eastAsia="zh-CN"/>
                    </w:rPr>
                    <w:t>150</w:t>
                  </w:r>
                </w:p>
              </w:tc>
              <w:tc>
                <w:tcPr>
                  <w:tcW w:w="1155" w:type="dxa"/>
                  <w:vAlign w:val="center"/>
                </w:tcPr>
                <w:p w14:paraId="66C5AA01">
                  <w:pPr>
                    <w:pStyle w:val="4"/>
                    <w:ind w:firstLine="0" w:firstLineChars="0"/>
                    <w:outlineLvl w:val="0"/>
                    <w:rPr>
                      <w:rFonts w:hint="eastAsia"/>
                      <w:color w:val="auto"/>
                      <w:lang w:val="en-US" w:eastAsia="zh-CN"/>
                    </w:rPr>
                  </w:pPr>
                  <w:r>
                    <w:rPr>
                      <w:rFonts w:hint="eastAsia"/>
                      <w:color w:val="auto"/>
                      <w:lang w:val="en-US" w:eastAsia="zh-CN"/>
                    </w:rPr>
                    <w:t>0.075</w:t>
                  </w:r>
                </w:p>
              </w:tc>
              <w:tc>
                <w:tcPr>
                  <w:tcW w:w="1078" w:type="dxa"/>
                  <w:vMerge w:val="continue"/>
                  <w:vAlign w:val="center"/>
                </w:tcPr>
                <w:p w14:paraId="2050A1C2">
                  <w:pPr>
                    <w:pStyle w:val="4"/>
                    <w:ind w:firstLine="0" w:firstLineChars="0"/>
                    <w:outlineLvl w:val="0"/>
                    <w:rPr>
                      <w:rFonts w:hint="eastAsia"/>
                      <w:color w:val="auto"/>
                      <w:lang w:val="en-US" w:eastAsia="zh-CN"/>
                    </w:rPr>
                  </w:pPr>
                </w:p>
              </w:tc>
            </w:tr>
          </w:tbl>
          <w:p w14:paraId="44948CFE">
            <w:pPr>
              <w:pStyle w:val="19"/>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ind w:left="0" w:leftChars="0" w:right="0" w:firstLine="0" w:firstLineChars="0"/>
              <w:jc w:val="center"/>
              <w:textAlignment w:val="auto"/>
              <w:rPr>
                <w:rFonts w:hint="eastAsia"/>
                <w:b/>
                <w:bCs/>
                <w:color w:val="auto"/>
                <w:sz w:val="24"/>
                <w:szCs w:val="24"/>
                <w:lang w:val="en-US" w:eastAsia="zh-CN"/>
              </w:rPr>
            </w:pPr>
            <w:r>
              <w:rPr>
                <w:rFonts w:hint="eastAsia"/>
                <w:b/>
                <w:bCs/>
                <w:color w:val="auto"/>
                <w:sz w:val="24"/>
                <w:szCs w:val="24"/>
                <w:lang w:val="en-US" w:eastAsia="zh-CN"/>
              </w:rPr>
              <w:t>表4-18  废水产排情况一览表</w:t>
            </w:r>
          </w:p>
          <w:tbl>
            <w:tblPr>
              <w:tblStyle w:val="27"/>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463"/>
              <w:gridCol w:w="2131"/>
              <w:gridCol w:w="2406"/>
            </w:tblGrid>
            <w:tr w14:paraId="5FF8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restart"/>
                  <w:noWrap w:val="0"/>
                  <w:vAlign w:val="center"/>
                </w:tcPr>
                <w:p w14:paraId="41D1E35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eastAsia" w:ascii="Times New Roman" w:hAnsi="Times New Roman" w:eastAsia="宋体"/>
                      <w:b/>
                      <w:bCs/>
                      <w:color w:val="auto"/>
                      <w:sz w:val="21"/>
                      <w:szCs w:val="21"/>
                      <w:lang w:val="en-US" w:eastAsia="zh-CN"/>
                    </w:rPr>
                    <w:t>类别</w:t>
                  </w:r>
                </w:p>
              </w:tc>
              <w:tc>
                <w:tcPr>
                  <w:tcW w:w="2463" w:type="dxa"/>
                  <w:vMerge w:val="restart"/>
                  <w:noWrap w:val="0"/>
                  <w:vAlign w:val="center"/>
                </w:tcPr>
                <w:p w14:paraId="5EF245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eastAsia" w:ascii="Times New Roman" w:hAnsi="Times New Roman" w:eastAsia="宋体"/>
                      <w:b/>
                      <w:bCs/>
                      <w:color w:val="auto"/>
                      <w:sz w:val="21"/>
                      <w:szCs w:val="21"/>
                      <w:lang w:val="en-US" w:eastAsia="zh-CN"/>
                    </w:rPr>
                    <w:t>污染物名称</w:t>
                  </w:r>
                </w:p>
              </w:tc>
              <w:tc>
                <w:tcPr>
                  <w:tcW w:w="4537" w:type="dxa"/>
                  <w:gridSpan w:val="2"/>
                  <w:noWrap w:val="0"/>
                  <w:vAlign w:val="center"/>
                </w:tcPr>
                <w:p w14:paraId="655D996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bCs/>
                      <w:color w:val="auto"/>
                      <w:sz w:val="21"/>
                      <w:szCs w:val="21"/>
                      <w:vertAlign w:val="baseline"/>
                      <w:lang w:val="en-US" w:eastAsia="zh-CN"/>
                    </w:rPr>
                  </w:pPr>
                  <w:r>
                    <w:rPr>
                      <w:rFonts w:hint="eastAsia" w:ascii="Times New Roman" w:hAnsi="Times New Roman" w:eastAsia="宋体"/>
                      <w:b/>
                      <w:bCs/>
                      <w:color w:val="auto"/>
                      <w:sz w:val="21"/>
                      <w:szCs w:val="21"/>
                      <w:lang w:val="en-US" w:eastAsia="zh-CN"/>
                    </w:rPr>
                    <w:t>排放情况</w:t>
                  </w:r>
                </w:p>
              </w:tc>
            </w:tr>
            <w:tr w14:paraId="0DD1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continue"/>
                  <w:noWrap w:val="0"/>
                  <w:vAlign w:val="center"/>
                </w:tcPr>
                <w:p w14:paraId="2499C778">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bCs/>
                      <w:color w:val="auto"/>
                      <w:sz w:val="21"/>
                      <w:szCs w:val="21"/>
                      <w:vertAlign w:val="baseline"/>
                      <w:lang w:val="en-US" w:eastAsia="zh-CN"/>
                    </w:rPr>
                  </w:pPr>
                </w:p>
              </w:tc>
              <w:tc>
                <w:tcPr>
                  <w:tcW w:w="2463" w:type="dxa"/>
                  <w:vMerge w:val="continue"/>
                  <w:noWrap w:val="0"/>
                  <w:vAlign w:val="center"/>
                </w:tcPr>
                <w:p w14:paraId="1A14C630">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bCs/>
                      <w:color w:val="auto"/>
                      <w:sz w:val="21"/>
                      <w:szCs w:val="21"/>
                      <w:vertAlign w:val="baseline"/>
                      <w:lang w:val="en-US" w:eastAsia="zh-CN"/>
                    </w:rPr>
                  </w:pPr>
                </w:p>
              </w:tc>
              <w:tc>
                <w:tcPr>
                  <w:tcW w:w="2131" w:type="dxa"/>
                  <w:noWrap w:val="0"/>
                  <w:vAlign w:val="center"/>
                </w:tcPr>
                <w:p w14:paraId="7683CC9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eastAsia" w:ascii="Times New Roman" w:hAnsi="Times New Roman" w:eastAsia="宋体"/>
                      <w:b/>
                      <w:bCs/>
                      <w:color w:val="auto"/>
                      <w:sz w:val="21"/>
                      <w:szCs w:val="21"/>
                      <w:lang w:val="en-US" w:eastAsia="zh-CN"/>
                    </w:rPr>
                    <w:t>浓度（mg/L）</w:t>
                  </w:r>
                </w:p>
              </w:tc>
              <w:tc>
                <w:tcPr>
                  <w:tcW w:w="2406" w:type="dxa"/>
                  <w:noWrap w:val="0"/>
                  <w:vAlign w:val="center"/>
                </w:tcPr>
                <w:p w14:paraId="3CE96C7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napToGrid w:val="0"/>
                      <w:color w:val="auto"/>
                      <w:kern w:val="0"/>
                      <w:sz w:val="21"/>
                      <w:szCs w:val="21"/>
                      <w:lang w:val="en-US" w:eastAsia="zh-CN" w:bidi="ar-SA"/>
                    </w:rPr>
                  </w:pPr>
                  <w:r>
                    <w:rPr>
                      <w:rFonts w:hint="eastAsia" w:ascii="Times New Roman" w:hAnsi="Times New Roman" w:eastAsia="宋体"/>
                      <w:b/>
                      <w:bCs/>
                      <w:color w:val="auto"/>
                      <w:sz w:val="21"/>
                      <w:szCs w:val="21"/>
                      <w:lang w:val="en-US" w:eastAsia="zh-CN"/>
                    </w:rPr>
                    <w:t>排放量（m</w:t>
                  </w:r>
                  <w:r>
                    <w:rPr>
                      <w:rFonts w:hint="eastAsia" w:ascii="Times New Roman" w:hAnsi="Times New Roman" w:eastAsia="宋体"/>
                      <w:b/>
                      <w:bCs/>
                      <w:color w:val="auto"/>
                      <w:sz w:val="21"/>
                      <w:szCs w:val="21"/>
                      <w:vertAlign w:val="superscript"/>
                      <w:lang w:val="en-US" w:eastAsia="zh-CN"/>
                    </w:rPr>
                    <w:t>3</w:t>
                  </w:r>
                  <w:r>
                    <w:rPr>
                      <w:rFonts w:hint="eastAsia" w:ascii="Times New Roman" w:hAnsi="Times New Roman" w:eastAsia="宋体"/>
                      <w:b/>
                      <w:bCs/>
                      <w:color w:val="auto"/>
                      <w:sz w:val="21"/>
                      <w:szCs w:val="21"/>
                      <w:lang w:val="en-US" w:eastAsia="zh-CN"/>
                    </w:rPr>
                    <w:t>/a）</w:t>
                  </w:r>
                </w:p>
              </w:tc>
            </w:tr>
            <w:tr w14:paraId="08F9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restart"/>
                  <w:noWrap w:val="0"/>
                  <w:vAlign w:val="center"/>
                </w:tcPr>
                <w:p w14:paraId="5CDFA725">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企业总排口</w:t>
                  </w:r>
                  <w:r>
                    <w:rPr>
                      <w:rFonts w:hint="eastAsia"/>
                      <w:b w:val="0"/>
                      <w:bCs w:val="0"/>
                      <w:color w:val="auto"/>
                      <w:sz w:val="21"/>
                      <w:szCs w:val="21"/>
                      <w:vertAlign w:val="baseline"/>
                      <w:lang w:val="en-US" w:eastAsia="zh-CN"/>
                    </w:rPr>
                    <w:t>排放（557.55</w:t>
                  </w:r>
                  <w:r>
                    <w:rPr>
                      <w:rFonts w:hint="default"/>
                      <w:b w:val="0"/>
                      <w:bCs w:val="0"/>
                      <w:color w:val="auto"/>
                      <w:sz w:val="21"/>
                      <w:szCs w:val="21"/>
                    </w:rPr>
                    <w:t>m</w:t>
                  </w:r>
                  <w:r>
                    <w:rPr>
                      <w:rFonts w:hint="default"/>
                      <w:b w:val="0"/>
                      <w:bCs w:val="0"/>
                      <w:color w:val="auto"/>
                      <w:sz w:val="21"/>
                      <w:szCs w:val="21"/>
                      <w:vertAlign w:val="superscript"/>
                    </w:rPr>
                    <w:t>3</w:t>
                  </w:r>
                  <w:r>
                    <w:rPr>
                      <w:rFonts w:hint="default"/>
                      <w:b w:val="0"/>
                      <w:bCs w:val="0"/>
                      <w:color w:val="auto"/>
                      <w:sz w:val="21"/>
                      <w:szCs w:val="21"/>
                    </w:rPr>
                    <w:t>/a</w:t>
                  </w:r>
                  <w:r>
                    <w:rPr>
                      <w:rFonts w:hint="eastAsia"/>
                      <w:b w:val="0"/>
                      <w:bCs w:val="0"/>
                      <w:color w:val="auto"/>
                      <w:sz w:val="21"/>
                      <w:szCs w:val="21"/>
                      <w:vertAlign w:val="baseline"/>
                      <w:lang w:val="en-US" w:eastAsia="zh-CN"/>
                    </w:rPr>
                    <w:t>）</w:t>
                  </w:r>
                </w:p>
              </w:tc>
              <w:tc>
                <w:tcPr>
                  <w:tcW w:w="2463" w:type="dxa"/>
                  <w:shd w:val="clear" w:color="auto" w:fill="auto"/>
                  <w:noWrap w:val="0"/>
                  <w:vAlign w:val="center"/>
                </w:tcPr>
                <w:p w14:paraId="1D06554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snapToGrid w:val="0"/>
                      <w:color w:val="auto"/>
                      <w:kern w:val="0"/>
                      <w:sz w:val="21"/>
                      <w:szCs w:val="21"/>
                      <w:lang w:val="en-US" w:eastAsia="zh-CN" w:bidi="ar-SA"/>
                    </w:rPr>
                  </w:pPr>
                  <w:r>
                    <w:rPr>
                      <w:rFonts w:hint="default"/>
                      <w:b w:val="0"/>
                      <w:bCs w:val="0"/>
                      <w:color w:val="auto"/>
                      <w:sz w:val="21"/>
                      <w:szCs w:val="21"/>
                    </w:rPr>
                    <w:t>COD</w:t>
                  </w:r>
                </w:p>
              </w:tc>
              <w:tc>
                <w:tcPr>
                  <w:tcW w:w="2131" w:type="dxa"/>
                  <w:noWrap w:val="0"/>
                  <w:vAlign w:val="center"/>
                </w:tcPr>
                <w:p w14:paraId="0463E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i w:val="0"/>
                      <w:iCs w:val="0"/>
                      <w:color w:val="auto"/>
                      <w:kern w:val="0"/>
                      <w:sz w:val="22"/>
                      <w:szCs w:val="22"/>
                      <w:u w:val="none"/>
                      <w:lang w:val="en-US" w:eastAsia="zh-CN" w:bidi="ar"/>
                    </w:rPr>
                    <w:t>121.694</w:t>
                  </w:r>
                </w:p>
              </w:tc>
              <w:tc>
                <w:tcPr>
                  <w:tcW w:w="2406" w:type="dxa"/>
                  <w:noWrap w:val="0"/>
                  <w:vAlign w:val="center"/>
                </w:tcPr>
                <w:p w14:paraId="72B1EE98">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0.068</w:t>
                  </w:r>
                </w:p>
              </w:tc>
            </w:tr>
            <w:tr w14:paraId="7552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continue"/>
                  <w:noWrap w:val="0"/>
                  <w:vAlign w:val="center"/>
                </w:tcPr>
                <w:p w14:paraId="5B060B8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p>
              </w:tc>
              <w:tc>
                <w:tcPr>
                  <w:tcW w:w="2463" w:type="dxa"/>
                  <w:shd w:val="clear" w:color="auto" w:fill="auto"/>
                  <w:noWrap w:val="0"/>
                  <w:vAlign w:val="center"/>
                </w:tcPr>
                <w:p w14:paraId="274921D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snapToGrid w:val="0"/>
                      <w:color w:val="auto"/>
                      <w:kern w:val="0"/>
                      <w:sz w:val="21"/>
                      <w:szCs w:val="21"/>
                      <w:lang w:val="en-US" w:eastAsia="zh-CN" w:bidi="ar-SA"/>
                    </w:rPr>
                  </w:pPr>
                  <w:r>
                    <w:rPr>
                      <w:rFonts w:hint="default"/>
                      <w:b w:val="0"/>
                      <w:bCs w:val="0"/>
                      <w:color w:val="auto"/>
                      <w:sz w:val="21"/>
                      <w:szCs w:val="21"/>
                    </w:rPr>
                    <w:t>BOD</w:t>
                  </w:r>
                  <w:r>
                    <w:rPr>
                      <w:rFonts w:hint="default"/>
                      <w:b w:val="0"/>
                      <w:bCs w:val="0"/>
                      <w:color w:val="auto"/>
                      <w:sz w:val="21"/>
                      <w:szCs w:val="21"/>
                      <w:vertAlign w:val="subscript"/>
                    </w:rPr>
                    <w:t>5</w:t>
                  </w:r>
                </w:p>
              </w:tc>
              <w:tc>
                <w:tcPr>
                  <w:tcW w:w="2131" w:type="dxa"/>
                  <w:noWrap w:val="0"/>
                  <w:vAlign w:val="center"/>
                </w:tcPr>
                <w:p w14:paraId="7C929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200</w:t>
                  </w:r>
                </w:p>
              </w:tc>
              <w:tc>
                <w:tcPr>
                  <w:tcW w:w="2406" w:type="dxa"/>
                  <w:noWrap w:val="0"/>
                  <w:vAlign w:val="center"/>
                </w:tcPr>
                <w:p w14:paraId="5DAB334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0.012</w:t>
                  </w:r>
                </w:p>
              </w:tc>
            </w:tr>
            <w:tr w14:paraId="7C35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continue"/>
                  <w:noWrap w:val="0"/>
                  <w:vAlign w:val="center"/>
                </w:tcPr>
                <w:p w14:paraId="4F9A0469">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p>
              </w:tc>
              <w:tc>
                <w:tcPr>
                  <w:tcW w:w="2463" w:type="dxa"/>
                  <w:shd w:val="clear" w:color="auto" w:fill="auto"/>
                  <w:noWrap w:val="0"/>
                  <w:vAlign w:val="center"/>
                </w:tcPr>
                <w:p w14:paraId="7DD9A87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snapToGrid w:val="0"/>
                      <w:color w:val="auto"/>
                      <w:kern w:val="0"/>
                      <w:sz w:val="21"/>
                      <w:szCs w:val="21"/>
                      <w:lang w:val="en-US" w:eastAsia="zh-CN" w:bidi="ar-SA"/>
                    </w:rPr>
                  </w:pPr>
                  <w:r>
                    <w:rPr>
                      <w:rFonts w:hint="default"/>
                      <w:b w:val="0"/>
                      <w:bCs w:val="0"/>
                      <w:color w:val="auto"/>
                      <w:sz w:val="21"/>
                      <w:szCs w:val="21"/>
                    </w:rPr>
                    <w:t>SS</w:t>
                  </w:r>
                </w:p>
              </w:tc>
              <w:tc>
                <w:tcPr>
                  <w:tcW w:w="2131" w:type="dxa"/>
                  <w:noWrap w:val="0"/>
                  <w:vAlign w:val="center"/>
                </w:tcPr>
                <w:p w14:paraId="01E3E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i w:val="0"/>
                      <w:iCs w:val="0"/>
                      <w:color w:val="auto"/>
                      <w:kern w:val="0"/>
                      <w:sz w:val="22"/>
                      <w:szCs w:val="22"/>
                      <w:u w:val="none"/>
                      <w:lang w:val="en-US" w:eastAsia="zh-CN" w:bidi="ar"/>
                    </w:rPr>
                    <w:t>155.423</w:t>
                  </w:r>
                </w:p>
              </w:tc>
              <w:tc>
                <w:tcPr>
                  <w:tcW w:w="2406" w:type="dxa"/>
                  <w:noWrap w:val="0"/>
                  <w:vAlign w:val="center"/>
                </w:tcPr>
                <w:p w14:paraId="5E1785E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0.087</w:t>
                  </w:r>
                </w:p>
              </w:tc>
            </w:tr>
            <w:tr w14:paraId="23D7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continue"/>
                  <w:noWrap w:val="0"/>
                  <w:vAlign w:val="center"/>
                </w:tcPr>
                <w:p w14:paraId="66E85D1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p>
              </w:tc>
              <w:tc>
                <w:tcPr>
                  <w:tcW w:w="2463" w:type="dxa"/>
                  <w:shd w:val="clear" w:color="auto" w:fill="auto"/>
                  <w:noWrap w:val="0"/>
                  <w:vAlign w:val="center"/>
                </w:tcPr>
                <w:p w14:paraId="5F966D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snapToGrid w:val="0"/>
                      <w:color w:val="auto"/>
                      <w:kern w:val="0"/>
                      <w:sz w:val="21"/>
                      <w:szCs w:val="21"/>
                      <w:lang w:val="en-US" w:eastAsia="zh-CN" w:bidi="ar-SA"/>
                    </w:rPr>
                  </w:pPr>
                  <w:r>
                    <w:rPr>
                      <w:rFonts w:hint="default"/>
                      <w:b w:val="0"/>
                      <w:bCs w:val="0"/>
                      <w:color w:val="auto"/>
                      <w:sz w:val="21"/>
                      <w:szCs w:val="21"/>
                    </w:rPr>
                    <w:t>氨氮</w:t>
                  </w:r>
                </w:p>
              </w:tc>
              <w:tc>
                <w:tcPr>
                  <w:tcW w:w="2131" w:type="dxa"/>
                  <w:noWrap w:val="0"/>
                  <w:vAlign w:val="center"/>
                </w:tcPr>
                <w:p w14:paraId="40FE4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35</w:t>
                  </w:r>
                </w:p>
              </w:tc>
              <w:tc>
                <w:tcPr>
                  <w:tcW w:w="2406" w:type="dxa"/>
                  <w:noWrap w:val="0"/>
                  <w:vAlign w:val="center"/>
                </w:tcPr>
                <w:p w14:paraId="1827B23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0.002</w:t>
                  </w:r>
                </w:p>
              </w:tc>
            </w:tr>
            <w:tr w14:paraId="15C4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restart"/>
                  <w:shd w:val="clear" w:color="auto" w:fill="auto"/>
                  <w:noWrap w:val="0"/>
                  <w:vAlign w:val="center"/>
                </w:tcPr>
                <w:p w14:paraId="5ED04195">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淮北蓝海水处理有限公司废水排放（557.55</w:t>
                  </w:r>
                  <w:r>
                    <w:rPr>
                      <w:rFonts w:hint="default"/>
                      <w:b w:val="0"/>
                      <w:bCs w:val="0"/>
                      <w:color w:val="auto"/>
                      <w:sz w:val="21"/>
                      <w:szCs w:val="21"/>
                    </w:rPr>
                    <w:t>m</w:t>
                  </w:r>
                  <w:r>
                    <w:rPr>
                      <w:rFonts w:hint="default"/>
                      <w:b w:val="0"/>
                      <w:bCs w:val="0"/>
                      <w:color w:val="auto"/>
                      <w:sz w:val="21"/>
                      <w:szCs w:val="21"/>
                      <w:vertAlign w:val="superscript"/>
                    </w:rPr>
                    <w:t>3</w:t>
                  </w:r>
                  <w:r>
                    <w:rPr>
                      <w:rFonts w:hint="default"/>
                      <w:b w:val="0"/>
                      <w:bCs w:val="0"/>
                      <w:color w:val="auto"/>
                      <w:sz w:val="21"/>
                      <w:szCs w:val="21"/>
                    </w:rPr>
                    <w:t>/a</w:t>
                  </w:r>
                  <w:r>
                    <w:rPr>
                      <w:rFonts w:hint="eastAsia"/>
                      <w:b w:val="0"/>
                      <w:bCs w:val="0"/>
                      <w:color w:val="auto"/>
                      <w:sz w:val="21"/>
                      <w:szCs w:val="21"/>
                      <w:vertAlign w:val="baseline"/>
                      <w:lang w:val="en-US" w:eastAsia="zh-CN"/>
                    </w:rPr>
                    <w:t>）</w:t>
                  </w:r>
                </w:p>
              </w:tc>
              <w:tc>
                <w:tcPr>
                  <w:tcW w:w="2463" w:type="dxa"/>
                  <w:shd w:val="clear" w:color="auto" w:fill="auto"/>
                  <w:noWrap w:val="0"/>
                  <w:vAlign w:val="center"/>
                </w:tcPr>
                <w:p w14:paraId="344C4A8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b w:val="0"/>
                      <w:bCs w:val="0"/>
                      <w:snapToGrid w:val="0"/>
                      <w:color w:val="auto"/>
                      <w:kern w:val="0"/>
                      <w:sz w:val="21"/>
                      <w:szCs w:val="21"/>
                      <w:lang w:val="en-US" w:eastAsia="zh-CN" w:bidi="ar-SA"/>
                    </w:rPr>
                  </w:pPr>
                  <w:r>
                    <w:rPr>
                      <w:rFonts w:hint="default"/>
                      <w:b w:val="0"/>
                      <w:bCs w:val="0"/>
                      <w:color w:val="auto"/>
                      <w:sz w:val="21"/>
                      <w:szCs w:val="21"/>
                    </w:rPr>
                    <w:t>COD</w:t>
                  </w:r>
                </w:p>
              </w:tc>
              <w:tc>
                <w:tcPr>
                  <w:tcW w:w="2131" w:type="dxa"/>
                  <w:shd w:val="clear" w:color="auto" w:fill="auto"/>
                  <w:noWrap w:val="0"/>
                  <w:vAlign w:val="center"/>
                </w:tcPr>
                <w:p w14:paraId="18896CD8">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50</w:t>
                  </w:r>
                </w:p>
              </w:tc>
              <w:tc>
                <w:tcPr>
                  <w:tcW w:w="2406" w:type="dxa"/>
                  <w:shd w:val="clear" w:color="auto" w:fill="auto"/>
                  <w:noWrap w:val="0"/>
                  <w:vAlign w:val="center"/>
                </w:tcPr>
                <w:p w14:paraId="0EED666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0.028</w:t>
                  </w:r>
                </w:p>
              </w:tc>
            </w:tr>
            <w:tr w14:paraId="209D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continue"/>
                  <w:noWrap w:val="0"/>
                  <w:vAlign w:val="center"/>
                </w:tcPr>
                <w:p w14:paraId="7E6305C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p>
              </w:tc>
              <w:tc>
                <w:tcPr>
                  <w:tcW w:w="2463" w:type="dxa"/>
                  <w:shd w:val="clear" w:color="auto" w:fill="auto"/>
                  <w:noWrap w:val="0"/>
                  <w:vAlign w:val="center"/>
                </w:tcPr>
                <w:p w14:paraId="300EAF4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b w:val="0"/>
                      <w:bCs w:val="0"/>
                      <w:snapToGrid w:val="0"/>
                      <w:color w:val="auto"/>
                      <w:kern w:val="0"/>
                      <w:sz w:val="21"/>
                      <w:szCs w:val="21"/>
                      <w:lang w:val="en-US" w:eastAsia="zh-CN" w:bidi="ar-SA"/>
                    </w:rPr>
                  </w:pPr>
                  <w:r>
                    <w:rPr>
                      <w:rFonts w:hint="default"/>
                      <w:b w:val="0"/>
                      <w:bCs w:val="0"/>
                      <w:color w:val="auto"/>
                      <w:sz w:val="21"/>
                      <w:szCs w:val="21"/>
                    </w:rPr>
                    <w:t>BOD</w:t>
                  </w:r>
                  <w:r>
                    <w:rPr>
                      <w:rFonts w:hint="default"/>
                      <w:b w:val="0"/>
                      <w:bCs w:val="0"/>
                      <w:color w:val="auto"/>
                      <w:sz w:val="21"/>
                      <w:szCs w:val="21"/>
                      <w:vertAlign w:val="subscript"/>
                    </w:rPr>
                    <w:t>5</w:t>
                  </w:r>
                </w:p>
              </w:tc>
              <w:tc>
                <w:tcPr>
                  <w:tcW w:w="2131" w:type="dxa"/>
                  <w:shd w:val="clear" w:color="auto" w:fill="auto"/>
                  <w:noWrap w:val="0"/>
                  <w:vAlign w:val="center"/>
                </w:tcPr>
                <w:p w14:paraId="45D8FD14">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10</w:t>
                  </w:r>
                </w:p>
              </w:tc>
              <w:tc>
                <w:tcPr>
                  <w:tcW w:w="2406" w:type="dxa"/>
                  <w:shd w:val="clear" w:color="auto" w:fill="auto"/>
                  <w:noWrap w:val="0"/>
                  <w:vAlign w:val="center"/>
                </w:tcPr>
                <w:p w14:paraId="50D62AA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0.006</w:t>
                  </w:r>
                </w:p>
              </w:tc>
            </w:tr>
            <w:tr w14:paraId="385E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continue"/>
                  <w:noWrap w:val="0"/>
                  <w:vAlign w:val="center"/>
                </w:tcPr>
                <w:p w14:paraId="2AE8CAB9">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p>
              </w:tc>
              <w:tc>
                <w:tcPr>
                  <w:tcW w:w="2463" w:type="dxa"/>
                  <w:shd w:val="clear" w:color="auto" w:fill="auto"/>
                  <w:noWrap w:val="0"/>
                  <w:vAlign w:val="center"/>
                </w:tcPr>
                <w:p w14:paraId="49115DE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b w:val="0"/>
                      <w:bCs w:val="0"/>
                      <w:snapToGrid w:val="0"/>
                      <w:color w:val="auto"/>
                      <w:kern w:val="0"/>
                      <w:sz w:val="21"/>
                      <w:szCs w:val="21"/>
                      <w:lang w:val="en-US" w:eastAsia="zh-CN" w:bidi="ar-SA"/>
                    </w:rPr>
                  </w:pPr>
                  <w:r>
                    <w:rPr>
                      <w:rFonts w:hint="default"/>
                      <w:b w:val="0"/>
                      <w:bCs w:val="0"/>
                      <w:color w:val="auto"/>
                      <w:sz w:val="21"/>
                      <w:szCs w:val="21"/>
                    </w:rPr>
                    <w:t>SS</w:t>
                  </w:r>
                </w:p>
              </w:tc>
              <w:tc>
                <w:tcPr>
                  <w:tcW w:w="2131" w:type="dxa"/>
                  <w:shd w:val="clear" w:color="auto" w:fill="auto"/>
                  <w:noWrap w:val="0"/>
                  <w:vAlign w:val="center"/>
                </w:tcPr>
                <w:p w14:paraId="623C15A5">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10</w:t>
                  </w:r>
                </w:p>
              </w:tc>
              <w:tc>
                <w:tcPr>
                  <w:tcW w:w="2406" w:type="dxa"/>
                  <w:shd w:val="clear" w:color="auto" w:fill="auto"/>
                  <w:noWrap w:val="0"/>
                  <w:vAlign w:val="center"/>
                </w:tcPr>
                <w:p w14:paraId="6A171210">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0.006</w:t>
                  </w:r>
                </w:p>
              </w:tc>
            </w:tr>
            <w:tr w14:paraId="5C7B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dxa"/>
                  <w:vMerge w:val="continue"/>
                  <w:noWrap w:val="0"/>
                  <w:vAlign w:val="center"/>
                </w:tcPr>
                <w:p w14:paraId="3CB93DAD">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auto"/>
                      <w:sz w:val="21"/>
                      <w:szCs w:val="21"/>
                      <w:vertAlign w:val="baseline"/>
                      <w:lang w:val="en-US" w:eastAsia="zh-CN"/>
                    </w:rPr>
                  </w:pPr>
                </w:p>
              </w:tc>
              <w:tc>
                <w:tcPr>
                  <w:tcW w:w="2463" w:type="dxa"/>
                  <w:shd w:val="clear" w:color="auto" w:fill="auto"/>
                  <w:noWrap w:val="0"/>
                  <w:vAlign w:val="center"/>
                </w:tcPr>
                <w:p w14:paraId="38BB2A5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b w:val="0"/>
                      <w:bCs w:val="0"/>
                      <w:snapToGrid w:val="0"/>
                      <w:color w:val="auto"/>
                      <w:kern w:val="0"/>
                      <w:sz w:val="21"/>
                      <w:szCs w:val="21"/>
                      <w:lang w:val="en-US" w:eastAsia="zh-CN" w:bidi="ar-SA"/>
                    </w:rPr>
                  </w:pPr>
                  <w:r>
                    <w:rPr>
                      <w:rFonts w:hint="default"/>
                      <w:b w:val="0"/>
                      <w:bCs w:val="0"/>
                      <w:color w:val="auto"/>
                      <w:sz w:val="21"/>
                      <w:szCs w:val="21"/>
                    </w:rPr>
                    <w:t>氨氮</w:t>
                  </w:r>
                </w:p>
              </w:tc>
              <w:tc>
                <w:tcPr>
                  <w:tcW w:w="2131" w:type="dxa"/>
                  <w:shd w:val="clear" w:color="auto" w:fill="auto"/>
                  <w:noWrap w:val="0"/>
                  <w:vAlign w:val="center"/>
                </w:tcPr>
                <w:p w14:paraId="39D3A218">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5</w:t>
                  </w:r>
                </w:p>
              </w:tc>
              <w:tc>
                <w:tcPr>
                  <w:tcW w:w="2406" w:type="dxa"/>
                  <w:shd w:val="clear" w:color="auto" w:fill="auto"/>
                  <w:noWrap w:val="0"/>
                  <w:vAlign w:val="center"/>
                </w:tcPr>
                <w:p w14:paraId="4FA44F5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0.003</w:t>
                  </w:r>
                </w:p>
              </w:tc>
            </w:tr>
          </w:tbl>
          <w:p w14:paraId="4BBBD223">
            <w:pPr>
              <w:pStyle w:val="19"/>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eastAsia="宋体"/>
                <w:b/>
                <w:bCs/>
                <w:color w:val="auto"/>
                <w:sz w:val="24"/>
                <w:szCs w:val="24"/>
                <w:lang w:val="en-US" w:eastAsia="zh-CN"/>
              </w:rPr>
            </w:pPr>
            <w:r>
              <w:rPr>
                <w:rFonts w:hint="eastAsia"/>
                <w:b/>
                <w:bCs/>
                <w:color w:val="auto"/>
                <w:sz w:val="24"/>
                <w:szCs w:val="24"/>
                <w:lang w:val="en-US" w:eastAsia="zh-CN"/>
              </w:rPr>
              <w:t>2</w:t>
            </w:r>
            <w:r>
              <w:rPr>
                <w:b/>
                <w:bCs/>
                <w:color w:val="auto"/>
                <w:sz w:val="24"/>
                <w:szCs w:val="24"/>
              </w:rPr>
              <w:t>.</w:t>
            </w:r>
            <w:r>
              <w:rPr>
                <w:rFonts w:hint="eastAsia"/>
                <w:b/>
                <w:bCs/>
                <w:color w:val="auto"/>
                <w:sz w:val="24"/>
                <w:szCs w:val="24"/>
                <w:lang w:val="en-US" w:eastAsia="zh-CN"/>
              </w:rPr>
              <w:t>2</w:t>
            </w:r>
            <w:r>
              <w:rPr>
                <w:rFonts w:hint="eastAsia" w:cs="宋体"/>
                <w:b/>
                <w:bCs/>
                <w:color w:val="auto"/>
                <w:sz w:val="24"/>
                <w:szCs w:val="24"/>
              </w:rPr>
              <w:t>污水接管可行性</w:t>
            </w:r>
            <w:r>
              <w:rPr>
                <w:rFonts w:hint="eastAsia"/>
                <w:b/>
                <w:bCs/>
                <w:lang w:val="en-US" w:eastAsia="zh-CN"/>
              </w:rPr>
              <w:t>分析</w:t>
            </w:r>
          </w:p>
          <w:p w14:paraId="23F97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w:t>
            </w:r>
            <w:r>
              <w:rPr>
                <w:color w:val="auto"/>
                <w:sz w:val="24"/>
                <w:szCs w:val="24"/>
              </w:rPr>
              <w:t>1</w:t>
            </w:r>
            <w:r>
              <w:rPr>
                <w:rFonts w:hint="eastAsia" w:cs="宋体"/>
                <w:color w:val="auto"/>
                <w:sz w:val="24"/>
                <w:szCs w:val="24"/>
              </w:rPr>
              <w:t>）淮北蓝海水处理有限公司概况</w:t>
            </w:r>
          </w:p>
          <w:p w14:paraId="7585A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淮北蓝海水处理有限公司于</w:t>
            </w:r>
            <w:r>
              <w:rPr>
                <w:color w:val="auto"/>
                <w:sz w:val="24"/>
                <w:szCs w:val="24"/>
              </w:rPr>
              <w:t>2014</w:t>
            </w:r>
            <w:r>
              <w:rPr>
                <w:rFonts w:hint="eastAsia" w:cs="宋体"/>
                <w:color w:val="auto"/>
                <w:sz w:val="24"/>
                <w:szCs w:val="24"/>
              </w:rPr>
              <w:t>年建设，目前已建成并投入运营。淮北蓝海水处理有限公司一期规模</w:t>
            </w:r>
            <w:r>
              <w:rPr>
                <w:color w:val="auto"/>
                <w:sz w:val="24"/>
                <w:szCs w:val="24"/>
              </w:rPr>
              <w:t>2</w:t>
            </w:r>
            <w:r>
              <w:rPr>
                <w:rFonts w:hint="eastAsia" w:cs="宋体"/>
                <w:color w:val="auto"/>
                <w:sz w:val="24"/>
                <w:szCs w:val="24"/>
              </w:rPr>
              <w:t>万</w:t>
            </w:r>
            <w:r>
              <w:rPr>
                <w:color w:val="auto"/>
                <w:sz w:val="24"/>
                <w:szCs w:val="24"/>
              </w:rPr>
              <w:t>m</w:t>
            </w:r>
            <w:r>
              <w:rPr>
                <w:color w:val="auto"/>
                <w:sz w:val="24"/>
                <w:szCs w:val="24"/>
                <w:vertAlign w:val="superscript"/>
              </w:rPr>
              <w:t>3</w:t>
            </w:r>
            <w:r>
              <w:rPr>
                <w:color w:val="auto"/>
                <w:sz w:val="24"/>
                <w:szCs w:val="24"/>
              </w:rPr>
              <w:t>/d</w:t>
            </w:r>
            <w:r>
              <w:rPr>
                <w:rFonts w:hint="eastAsia" w:cs="宋体"/>
                <w:color w:val="auto"/>
                <w:sz w:val="24"/>
                <w:szCs w:val="24"/>
              </w:rPr>
              <w:t>，位于滨河路与土山路交口东南角。处理工艺为：曝气生物滤池</w:t>
            </w:r>
            <w:r>
              <w:rPr>
                <w:color w:val="auto"/>
                <w:sz w:val="24"/>
                <w:szCs w:val="24"/>
              </w:rPr>
              <w:t>+</w:t>
            </w:r>
            <w:r>
              <w:rPr>
                <w:rFonts w:hint="eastAsia" w:cs="宋体"/>
                <w:color w:val="auto"/>
                <w:sz w:val="24"/>
                <w:szCs w:val="24"/>
              </w:rPr>
              <w:t>转盘滤池</w:t>
            </w:r>
            <w:r>
              <w:rPr>
                <w:color w:val="auto"/>
                <w:sz w:val="24"/>
                <w:szCs w:val="24"/>
              </w:rPr>
              <w:t>+</w:t>
            </w:r>
            <w:r>
              <w:rPr>
                <w:rFonts w:hint="eastAsia" w:cs="宋体"/>
                <w:color w:val="auto"/>
                <w:sz w:val="24"/>
                <w:szCs w:val="24"/>
              </w:rPr>
              <w:t>二氧化氯消毒，</w:t>
            </w:r>
            <w:r>
              <w:rPr>
                <w:rFonts w:hint="eastAsia" w:cs="宋体"/>
                <w:color w:val="auto"/>
                <w:sz w:val="24"/>
                <w:szCs w:val="24"/>
                <w:shd w:val="clear" w:color="auto" w:fill="FFFFFF"/>
              </w:rPr>
              <w:t>废水经处理后达到</w:t>
            </w:r>
            <w:r>
              <w:rPr>
                <w:rFonts w:hint="eastAsia" w:cs="宋体"/>
                <w:color w:val="auto"/>
                <w:sz w:val="24"/>
                <w:szCs w:val="24"/>
              </w:rPr>
              <w:t>《城镇排水公司污染物排放标准》（</w:t>
            </w:r>
            <w:r>
              <w:rPr>
                <w:color w:val="auto"/>
                <w:sz w:val="24"/>
                <w:szCs w:val="24"/>
              </w:rPr>
              <w:t>GB18918-2002</w:t>
            </w:r>
            <w:r>
              <w:rPr>
                <w:rFonts w:hint="eastAsia" w:cs="宋体"/>
                <w:color w:val="auto"/>
                <w:sz w:val="24"/>
                <w:szCs w:val="24"/>
              </w:rPr>
              <w:t>）中一级</w:t>
            </w:r>
            <w:r>
              <w:rPr>
                <w:color w:val="auto"/>
                <w:sz w:val="24"/>
                <w:szCs w:val="24"/>
              </w:rPr>
              <w:t>A</w:t>
            </w:r>
            <w:r>
              <w:rPr>
                <w:rFonts w:hint="eastAsia" w:cs="宋体"/>
                <w:color w:val="auto"/>
                <w:sz w:val="24"/>
                <w:szCs w:val="24"/>
              </w:rPr>
              <w:t>排放标准，一部分排入萧濉新河</w:t>
            </w:r>
            <w:r>
              <w:rPr>
                <w:rFonts w:hint="eastAsia" w:cs="宋体"/>
                <w:color w:val="auto"/>
                <w:sz w:val="24"/>
                <w:szCs w:val="24"/>
                <w:shd w:val="clear" w:color="auto" w:fill="FFFFFF"/>
              </w:rPr>
              <w:t>，一部分作为中水回用。</w:t>
            </w:r>
            <w:r>
              <w:rPr>
                <w:rFonts w:hint="eastAsia" w:cs="宋体"/>
                <w:color w:val="auto"/>
                <w:sz w:val="24"/>
                <w:szCs w:val="24"/>
              </w:rPr>
              <w:t>中水主要用途：作为平原电厂冷却水，其余排入萧濉新河。</w:t>
            </w:r>
          </w:p>
          <w:p w14:paraId="4B10B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w:t>
            </w:r>
            <w:r>
              <w:rPr>
                <w:color w:val="auto"/>
                <w:sz w:val="24"/>
                <w:szCs w:val="24"/>
              </w:rPr>
              <w:t>2</w:t>
            </w:r>
            <w:r>
              <w:rPr>
                <w:rFonts w:hint="eastAsia" w:cs="宋体"/>
                <w:color w:val="auto"/>
                <w:sz w:val="24"/>
                <w:szCs w:val="24"/>
              </w:rPr>
              <w:t>）污废水接管的水量的可行性分析</w:t>
            </w:r>
          </w:p>
          <w:p w14:paraId="53B3E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本项目</w:t>
            </w:r>
            <w:r>
              <w:rPr>
                <w:rFonts w:hint="eastAsia" w:cs="宋体"/>
                <w:color w:val="auto"/>
                <w:sz w:val="24"/>
                <w:szCs w:val="24"/>
                <w:lang w:val="en-US" w:eastAsia="zh-CN"/>
              </w:rPr>
              <w:t>营运期能源站</w:t>
            </w:r>
            <w:r>
              <w:rPr>
                <w:rFonts w:hint="eastAsia" w:cs="宋体"/>
                <w:color w:val="auto"/>
                <w:sz w:val="24"/>
                <w:szCs w:val="24"/>
              </w:rPr>
              <w:t>污</w:t>
            </w:r>
            <w:r>
              <w:rPr>
                <w:rFonts w:hint="eastAsia" w:cs="宋体"/>
                <w:color w:val="auto"/>
                <w:sz w:val="24"/>
                <w:szCs w:val="24"/>
                <w:lang w:val="en-US" w:eastAsia="zh-CN"/>
              </w:rPr>
              <w:t>水最大</w:t>
            </w:r>
            <w:r>
              <w:rPr>
                <w:rFonts w:hint="eastAsia" w:cs="宋体"/>
                <w:color w:val="auto"/>
                <w:sz w:val="24"/>
                <w:szCs w:val="24"/>
              </w:rPr>
              <w:t>排放量约为</w:t>
            </w:r>
            <w:r>
              <w:rPr>
                <w:rFonts w:hint="eastAsia"/>
                <w:color w:val="auto"/>
                <w:sz w:val="24"/>
                <w:szCs w:val="24"/>
                <w:lang w:val="en-US" w:eastAsia="zh-CN"/>
              </w:rPr>
              <w:t>2.668</w:t>
            </w:r>
            <w:r>
              <w:rPr>
                <w:color w:val="auto"/>
                <w:sz w:val="24"/>
                <w:szCs w:val="24"/>
              </w:rPr>
              <w:t>m</w:t>
            </w:r>
            <w:r>
              <w:rPr>
                <w:color w:val="auto"/>
                <w:sz w:val="24"/>
                <w:szCs w:val="24"/>
                <w:vertAlign w:val="superscript"/>
              </w:rPr>
              <w:t>3</w:t>
            </w:r>
            <w:r>
              <w:rPr>
                <w:color w:val="auto"/>
                <w:sz w:val="24"/>
                <w:szCs w:val="24"/>
              </w:rPr>
              <w:t>/d</w:t>
            </w:r>
            <w:r>
              <w:rPr>
                <w:rFonts w:hint="eastAsia" w:cs="宋体"/>
                <w:color w:val="auto"/>
                <w:sz w:val="24"/>
                <w:szCs w:val="24"/>
              </w:rPr>
              <w:t>。淮北蓝海水处理有限公司实际接纳污水量约</w:t>
            </w:r>
            <w:r>
              <w:rPr>
                <w:color w:val="auto"/>
                <w:sz w:val="24"/>
                <w:szCs w:val="24"/>
              </w:rPr>
              <w:t>1.</w:t>
            </w:r>
            <w:r>
              <w:rPr>
                <w:rFonts w:hint="eastAsia"/>
                <w:color w:val="auto"/>
                <w:sz w:val="24"/>
                <w:szCs w:val="24"/>
                <w:lang w:val="en-US" w:eastAsia="zh-CN"/>
              </w:rPr>
              <w:t>5~1.7</w:t>
            </w:r>
            <w:r>
              <w:rPr>
                <w:rFonts w:hint="eastAsia" w:cs="宋体"/>
                <w:color w:val="auto"/>
                <w:sz w:val="24"/>
                <w:szCs w:val="24"/>
              </w:rPr>
              <w:t>万</w:t>
            </w:r>
            <w:r>
              <w:rPr>
                <w:color w:val="auto"/>
                <w:sz w:val="24"/>
                <w:szCs w:val="24"/>
              </w:rPr>
              <w:t>m</w:t>
            </w:r>
            <w:r>
              <w:rPr>
                <w:color w:val="auto"/>
                <w:sz w:val="24"/>
                <w:szCs w:val="24"/>
                <w:vertAlign w:val="superscript"/>
              </w:rPr>
              <w:t>3</w:t>
            </w:r>
            <w:r>
              <w:rPr>
                <w:color w:val="auto"/>
                <w:sz w:val="24"/>
                <w:szCs w:val="24"/>
              </w:rPr>
              <w:t>/d</w:t>
            </w:r>
            <w:r>
              <w:rPr>
                <w:rFonts w:hint="eastAsia" w:cs="宋体"/>
                <w:color w:val="auto"/>
                <w:sz w:val="24"/>
                <w:szCs w:val="24"/>
              </w:rPr>
              <w:t>，项目建成后，淮北蓝海水处理有限公司完全有能力接收本项目废水，在水量上不会对污水处理厂造成冲击。可确保本项目接管处理的废水得到有效处理。</w:t>
            </w:r>
          </w:p>
          <w:p w14:paraId="35094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w:t>
            </w:r>
            <w:r>
              <w:rPr>
                <w:color w:val="auto"/>
                <w:sz w:val="24"/>
                <w:szCs w:val="24"/>
              </w:rPr>
              <w:t>3</w:t>
            </w:r>
            <w:r>
              <w:rPr>
                <w:rFonts w:hint="eastAsia" w:cs="宋体"/>
                <w:color w:val="auto"/>
                <w:sz w:val="24"/>
                <w:szCs w:val="24"/>
              </w:rPr>
              <w:t>）污废水接管的水质可行性分析</w:t>
            </w:r>
          </w:p>
          <w:p w14:paraId="6098C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为了确保污水处理厂废水能稳定达标，淮北蓝海水处理有限公司给处理接管限值。由工程分析可知，该项目废水经化粪池处理后出水水质达到淮北蓝海水处理有限公司接管限值，不会对其产生冲击负荷。</w:t>
            </w:r>
          </w:p>
          <w:p w14:paraId="49B02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根据对开发区内污水管网的建设调查和分析，目前雨污分流式污水主干管网的建设已基本实现了全覆盖。根据</w:t>
            </w:r>
            <w:r>
              <w:rPr>
                <w:rFonts w:hint="eastAsia" w:cs="宋体"/>
                <w:color w:val="auto"/>
                <w:sz w:val="24"/>
                <w:szCs w:val="24"/>
                <w:lang w:eastAsia="zh-CN"/>
              </w:rPr>
              <w:t>管网铺设</w:t>
            </w:r>
            <w:r>
              <w:rPr>
                <w:rFonts w:hint="eastAsia" w:cs="宋体"/>
                <w:color w:val="auto"/>
                <w:sz w:val="24"/>
                <w:szCs w:val="24"/>
              </w:rPr>
              <w:t>范围，本项目处于其收水范围内。</w:t>
            </w:r>
          </w:p>
          <w:p w14:paraId="29105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w:t>
            </w:r>
            <w:r>
              <w:rPr>
                <w:color w:val="auto"/>
                <w:sz w:val="24"/>
                <w:szCs w:val="24"/>
              </w:rPr>
              <w:t>4</w:t>
            </w:r>
            <w:r>
              <w:rPr>
                <w:rFonts w:hint="eastAsia" w:cs="宋体"/>
                <w:color w:val="auto"/>
                <w:sz w:val="24"/>
                <w:szCs w:val="24"/>
              </w:rPr>
              <w:t>）废、污水接管的可行性分析</w:t>
            </w:r>
          </w:p>
          <w:p w14:paraId="30A50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根据对现场污水管网的建设调查和分析，目前雨污分流式污水主干管网的建设已基本实现了全覆盖。根据</w:t>
            </w:r>
            <w:r>
              <w:rPr>
                <w:rFonts w:hint="eastAsia" w:cs="宋体"/>
                <w:color w:val="auto"/>
                <w:sz w:val="24"/>
                <w:szCs w:val="24"/>
                <w:lang w:eastAsia="zh-CN"/>
              </w:rPr>
              <w:t>管网铺设</w:t>
            </w:r>
            <w:r>
              <w:rPr>
                <w:rFonts w:hint="eastAsia" w:cs="宋体"/>
                <w:color w:val="auto"/>
                <w:sz w:val="24"/>
                <w:szCs w:val="24"/>
              </w:rPr>
              <w:t>范围，本项目处于其收水范围内，目前已接通。</w:t>
            </w:r>
          </w:p>
          <w:p w14:paraId="51F167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w:t>
            </w:r>
            <w:r>
              <w:rPr>
                <w:color w:val="auto"/>
                <w:sz w:val="24"/>
                <w:szCs w:val="24"/>
              </w:rPr>
              <w:t>5</w:t>
            </w:r>
            <w:r>
              <w:rPr>
                <w:rFonts w:hint="eastAsia" w:cs="宋体"/>
                <w:color w:val="auto"/>
                <w:sz w:val="24"/>
                <w:szCs w:val="24"/>
              </w:rPr>
              <w:t>）处理工艺可行性</w:t>
            </w:r>
          </w:p>
          <w:p w14:paraId="54723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淮北蓝海水处理有限公司目前总处理规模为</w:t>
            </w:r>
            <w:r>
              <w:rPr>
                <w:color w:val="auto"/>
                <w:sz w:val="24"/>
                <w:szCs w:val="24"/>
              </w:rPr>
              <w:t>2</w:t>
            </w:r>
            <w:r>
              <w:rPr>
                <w:rFonts w:hint="eastAsia" w:cs="宋体"/>
                <w:color w:val="auto"/>
                <w:sz w:val="24"/>
                <w:szCs w:val="24"/>
              </w:rPr>
              <w:t>万</w:t>
            </w:r>
            <w:r>
              <w:rPr>
                <w:color w:val="auto"/>
                <w:sz w:val="24"/>
                <w:szCs w:val="24"/>
              </w:rPr>
              <w:t>m</w:t>
            </w:r>
            <w:r>
              <w:rPr>
                <w:color w:val="auto"/>
                <w:sz w:val="24"/>
                <w:szCs w:val="24"/>
                <w:vertAlign w:val="superscript"/>
              </w:rPr>
              <w:t>3</w:t>
            </w:r>
            <w:r>
              <w:rPr>
                <w:color w:val="auto"/>
                <w:sz w:val="24"/>
                <w:szCs w:val="24"/>
              </w:rPr>
              <w:t>/d</w:t>
            </w:r>
            <w:r>
              <w:rPr>
                <w:rFonts w:hint="eastAsia" w:cs="宋体"/>
                <w:color w:val="auto"/>
                <w:sz w:val="24"/>
                <w:szCs w:val="24"/>
              </w:rPr>
              <w:t>，主要去除</w:t>
            </w:r>
            <w:r>
              <w:rPr>
                <w:color w:val="auto"/>
                <w:sz w:val="24"/>
                <w:szCs w:val="24"/>
              </w:rPr>
              <w:t>COD</w:t>
            </w:r>
            <w:r>
              <w:rPr>
                <w:rFonts w:hint="eastAsia" w:cs="宋体"/>
                <w:color w:val="auto"/>
                <w:sz w:val="24"/>
                <w:szCs w:val="24"/>
              </w:rPr>
              <w:t>、</w:t>
            </w:r>
            <w:r>
              <w:rPr>
                <w:color w:val="auto"/>
                <w:sz w:val="24"/>
                <w:szCs w:val="24"/>
              </w:rPr>
              <w:t>BOD</w:t>
            </w:r>
            <w:r>
              <w:rPr>
                <w:color w:val="auto"/>
                <w:sz w:val="24"/>
                <w:szCs w:val="24"/>
                <w:vertAlign w:val="subscript"/>
              </w:rPr>
              <w:t>5</w:t>
            </w:r>
            <w:r>
              <w:rPr>
                <w:rFonts w:hint="eastAsia" w:cs="宋体"/>
                <w:color w:val="auto"/>
                <w:sz w:val="24"/>
                <w:szCs w:val="24"/>
              </w:rPr>
              <w:t>、氨氮和总磷、石油类。本项目废水量小、水质简单，项目区的废水预处理效果完全在淮北蓝海水处理有限公司的进水水质范围内，完全可采用污水处理厂的处理工艺进行处理，不会对其工艺造成冲击。</w:t>
            </w:r>
          </w:p>
          <w:p w14:paraId="7CC3E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s="宋体"/>
                <w:color w:val="auto"/>
                <w:sz w:val="24"/>
                <w:szCs w:val="24"/>
              </w:rPr>
              <w:t>因此，本项目</w:t>
            </w:r>
            <w:r>
              <w:rPr>
                <w:rFonts w:hint="eastAsia" w:cs="宋体"/>
                <w:color w:val="auto"/>
                <w:sz w:val="24"/>
                <w:szCs w:val="24"/>
                <w:lang w:val="en-US" w:eastAsia="zh-CN"/>
              </w:rPr>
              <w:t>雨污分流；</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r>
              <w:rPr>
                <w:rFonts w:hint="eastAsia" w:cs="宋体"/>
                <w:color w:val="auto"/>
                <w:sz w:val="24"/>
                <w:szCs w:val="24"/>
              </w:rPr>
              <w:t>，对周边环境影响较小。</w:t>
            </w:r>
          </w:p>
          <w:p w14:paraId="39AF8F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b/>
                <w:bCs/>
                <w:color w:val="auto"/>
                <w:sz w:val="24"/>
                <w:szCs w:val="24"/>
              </w:rPr>
            </w:pPr>
            <w:r>
              <w:rPr>
                <w:rFonts w:hint="eastAsia"/>
                <w:b/>
                <w:bCs/>
                <w:color w:val="auto"/>
                <w:sz w:val="24"/>
                <w:szCs w:val="24"/>
                <w:lang w:val="en-US" w:eastAsia="zh-CN"/>
              </w:rPr>
              <w:t>2</w:t>
            </w:r>
            <w:r>
              <w:rPr>
                <w:b/>
                <w:bCs/>
                <w:color w:val="auto"/>
                <w:sz w:val="24"/>
                <w:szCs w:val="24"/>
              </w:rPr>
              <w:t>.</w:t>
            </w:r>
            <w:r>
              <w:rPr>
                <w:rFonts w:hint="eastAsia"/>
                <w:b/>
                <w:bCs/>
                <w:color w:val="auto"/>
                <w:sz w:val="24"/>
                <w:szCs w:val="24"/>
                <w:lang w:val="en-US" w:eastAsia="zh-CN"/>
              </w:rPr>
              <w:t>4</w:t>
            </w:r>
            <w:r>
              <w:rPr>
                <w:b/>
                <w:bCs/>
                <w:color w:val="auto"/>
                <w:sz w:val="24"/>
                <w:szCs w:val="24"/>
              </w:rPr>
              <w:t xml:space="preserve"> </w:t>
            </w:r>
            <w:r>
              <w:rPr>
                <w:rFonts w:hint="eastAsia" w:cs="宋体"/>
                <w:b/>
                <w:bCs/>
                <w:color w:val="auto"/>
                <w:sz w:val="24"/>
                <w:szCs w:val="24"/>
              </w:rPr>
              <w:t>建设项目废水污染物排放信息表</w:t>
            </w:r>
          </w:p>
          <w:p w14:paraId="061001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宋体"/>
                <w:color w:val="auto"/>
                <w:sz w:val="24"/>
                <w:szCs w:val="24"/>
              </w:rPr>
            </w:pPr>
            <w:r>
              <w:rPr>
                <w:rFonts w:hint="eastAsia" w:cs="宋体"/>
                <w:color w:val="auto"/>
                <w:sz w:val="24"/>
                <w:szCs w:val="24"/>
              </w:rPr>
              <w:t>废水类别、污染物及污染物治理设施信息表，以及废水间接排放口基本情况表、废水污染物排放执行标准表、废水污染物排放信息表，分别如下表所示：</w:t>
            </w:r>
          </w:p>
          <w:p w14:paraId="25DA62BD">
            <w:pPr>
              <w:pStyle w:val="19"/>
              <w:keepNext w:val="0"/>
              <w:keepLines w:val="0"/>
              <w:pageBreakBefore w:val="0"/>
              <w:widowControl w:val="0"/>
              <w:tabs>
                <w:tab w:val="left" w:pos="180"/>
              </w:tabs>
              <w:kinsoku/>
              <w:wordWrap/>
              <w:overflowPunct/>
              <w:topLinePunct w:val="0"/>
              <w:autoSpaceDE/>
              <w:autoSpaceDN/>
              <w:bidi w:val="0"/>
              <w:adjustRightInd/>
              <w:snapToGrid/>
              <w:spacing w:line="240" w:lineRule="auto"/>
              <w:ind w:firstLine="0" w:firstLineChars="0"/>
              <w:jc w:val="center"/>
              <w:textAlignment w:val="auto"/>
              <w:rPr>
                <w:b/>
                <w:bCs/>
                <w:color w:val="auto"/>
                <w:sz w:val="24"/>
                <w:szCs w:val="24"/>
              </w:rPr>
            </w:pPr>
            <w:r>
              <w:rPr>
                <w:rFonts w:hint="eastAsia" w:cs="宋体"/>
                <w:b/>
                <w:bCs/>
                <w:color w:val="auto"/>
                <w:sz w:val="24"/>
                <w:szCs w:val="24"/>
              </w:rPr>
              <w:t>表</w:t>
            </w:r>
            <w:r>
              <w:rPr>
                <w:b/>
                <w:bCs/>
                <w:color w:val="auto"/>
                <w:sz w:val="24"/>
                <w:szCs w:val="24"/>
              </w:rPr>
              <w:t>4-</w:t>
            </w:r>
            <w:r>
              <w:rPr>
                <w:rFonts w:hint="eastAsia"/>
                <w:b/>
                <w:bCs/>
                <w:color w:val="auto"/>
                <w:sz w:val="24"/>
                <w:szCs w:val="24"/>
                <w:lang w:val="en-US" w:eastAsia="zh-CN"/>
              </w:rPr>
              <w:t>19</w:t>
            </w:r>
            <w:r>
              <w:rPr>
                <w:b/>
                <w:bCs/>
                <w:color w:val="auto"/>
                <w:sz w:val="24"/>
                <w:szCs w:val="24"/>
              </w:rPr>
              <w:t xml:space="preserve">  </w:t>
            </w:r>
            <w:r>
              <w:rPr>
                <w:rFonts w:hint="eastAsia" w:cs="宋体"/>
                <w:b/>
                <w:bCs/>
                <w:color w:val="auto"/>
                <w:sz w:val="24"/>
                <w:szCs w:val="24"/>
              </w:rPr>
              <w:t>废水类别、污染物及污染物治理设施信息表</w:t>
            </w:r>
          </w:p>
          <w:tbl>
            <w:tblPr>
              <w:tblStyle w:val="26"/>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63"/>
              <w:gridCol w:w="700"/>
              <w:gridCol w:w="424"/>
              <w:gridCol w:w="877"/>
              <w:gridCol w:w="644"/>
              <w:gridCol w:w="873"/>
              <w:gridCol w:w="768"/>
              <w:gridCol w:w="600"/>
              <w:gridCol w:w="776"/>
              <w:gridCol w:w="1474"/>
            </w:tblGrid>
            <w:tr w14:paraId="76E6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5" w:type="dxa"/>
                  <w:vMerge w:val="restart"/>
                  <w:noWrap w:val="0"/>
                  <w:vAlign w:val="center"/>
                </w:tcPr>
                <w:p w14:paraId="784011EB">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序号</w:t>
                  </w:r>
                </w:p>
              </w:tc>
              <w:tc>
                <w:tcPr>
                  <w:tcW w:w="630" w:type="dxa"/>
                  <w:vMerge w:val="restart"/>
                  <w:noWrap w:val="0"/>
                  <w:vAlign w:val="center"/>
                </w:tcPr>
                <w:p w14:paraId="445F755E">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废水类别</w:t>
                  </w:r>
                </w:p>
              </w:tc>
              <w:tc>
                <w:tcPr>
                  <w:tcW w:w="665" w:type="dxa"/>
                  <w:vMerge w:val="restart"/>
                  <w:noWrap w:val="0"/>
                  <w:vAlign w:val="center"/>
                </w:tcPr>
                <w:p w14:paraId="4CA85FF4">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污染物种类</w:t>
                  </w:r>
                </w:p>
              </w:tc>
              <w:tc>
                <w:tcPr>
                  <w:tcW w:w="403" w:type="dxa"/>
                  <w:vMerge w:val="restart"/>
                  <w:noWrap w:val="0"/>
                  <w:vAlign w:val="center"/>
                </w:tcPr>
                <w:p w14:paraId="691545D0">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排放去向</w:t>
                  </w:r>
                </w:p>
              </w:tc>
              <w:tc>
                <w:tcPr>
                  <w:tcW w:w="833" w:type="dxa"/>
                  <w:vMerge w:val="restart"/>
                  <w:noWrap w:val="0"/>
                  <w:vAlign w:val="center"/>
                </w:tcPr>
                <w:p w14:paraId="29BC5AF4">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排放规律</w:t>
                  </w:r>
                </w:p>
              </w:tc>
              <w:tc>
                <w:tcPr>
                  <w:tcW w:w="2172" w:type="dxa"/>
                  <w:gridSpan w:val="3"/>
                  <w:noWrap w:val="0"/>
                  <w:vAlign w:val="center"/>
                </w:tcPr>
                <w:p w14:paraId="6575E7CF">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污染物治理设施</w:t>
                  </w:r>
                </w:p>
              </w:tc>
              <w:tc>
                <w:tcPr>
                  <w:tcW w:w="570" w:type="dxa"/>
                  <w:vMerge w:val="restart"/>
                  <w:noWrap w:val="0"/>
                  <w:vAlign w:val="center"/>
                </w:tcPr>
                <w:p w14:paraId="13259380">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排放口编号</w:t>
                  </w:r>
                </w:p>
              </w:tc>
              <w:tc>
                <w:tcPr>
                  <w:tcW w:w="737" w:type="dxa"/>
                  <w:vMerge w:val="restart"/>
                  <w:noWrap w:val="0"/>
                  <w:vAlign w:val="center"/>
                </w:tcPr>
                <w:p w14:paraId="63CAAFD2">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排放口设置是否符合要求</w:t>
                  </w:r>
                </w:p>
              </w:tc>
              <w:tc>
                <w:tcPr>
                  <w:tcW w:w="1401" w:type="dxa"/>
                  <w:vMerge w:val="restart"/>
                  <w:noWrap w:val="0"/>
                  <w:vAlign w:val="center"/>
                </w:tcPr>
                <w:p w14:paraId="0D3CD384">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排放口类型</w:t>
                  </w:r>
                </w:p>
              </w:tc>
            </w:tr>
            <w:tr w14:paraId="43AE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5" w:type="dxa"/>
                  <w:vMerge w:val="continue"/>
                  <w:noWrap w:val="0"/>
                  <w:vAlign w:val="center"/>
                </w:tcPr>
                <w:p w14:paraId="5985C569">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630" w:type="dxa"/>
                  <w:vMerge w:val="continue"/>
                  <w:noWrap w:val="0"/>
                  <w:vAlign w:val="center"/>
                </w:tcPr>
                <w:p w14:paraId="71E35AE2">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665" w:type="dxa"/>
                  <w:vMerge w:val="continue"/>
                  <w:noWrap w:val="0"/>
                  <w:vAlign w:val="center"/>
                </w:tcPr>
                <w:p w14:paraId="6A795374">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403" w:type="dxa"/>
                  <w:vMerge w:val="continue"/>
                  <w:noWrap w:val="0"/>
                  <w:vAlign w:val="center"/>
                </w:tcPr>
                <w:p w14:paraId="4C45BC85">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833" w:type="dxa"/>
                  <w:vMerge w:val="continue"/>
                  <w:noWrap w:val="0"/>
                  <w:vAlign w:val="center"/>
                </w:tcPr>
                <w:p w14:paraId="65F3190A">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612" w:type="dxa"/>
                  <w:noWrap w:val="0"/>
                  <w:vAlign w:val="center"/>
                </w:tcPr>
                <w:p w14:paraId="56E41242">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污染治理设施编号</w:t>
                  </w:r>
                </w:p>
              </w:tc>
              <w:tc>
                <w:tcPr>
                  <w:tcW w:w="830" w:type="dxa"/>
                  <w:noWrap w:val="0"/>
                  <w:vAlign w:val="center"/>
                </w:tcPr>
                <w:p w14:paraId="2FA0CC1A">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污染治理设施名称</w:t>
                  </w:r>
                </w:p>
              </w:tc>
              <w:tc>
                <w:tcPr>
                  <w:tcW w:w="730" w:type="dxa"/>
                  <w:noWrap w:val="0"/>
                  <w:vAlign w:val="center"/>
                </w:tcPr>
                <w:p w14:paraId="5E2DAECE">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污染治理设施工艺</w:t>
                  </w:r>
                </w:p>
              </w:tc>
              <w:tc>
                <w:tcPr>
                  <w:tcW w:w="570" w:type="dxa"/>
                  <w:vMerge w:val="continue"/>
                  <w:noWrap w:val="0"/>
                  <w:vAlign w:val="center"/>
                </w:tcPr>
                <w:p w14:paraId="69B3C895">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737" w:type="dxa"/>
                  <w:vMerge w:val="continue"/>
                  <w:noWrap w:val="0"/>
                  <w:vAlign w:val="center"/>
                </w:tcPr>
                <w:p w14:paraId="261D7417">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1401" w:type="dxa"/>
                  <w:vMerge w:val="continue"/>
                  <w:noWrap w:val="0"/>
                  <w:vAlign w:val="center"/>
                </w:tcPr>
                <w:p w14:paraId="3B66913D">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r>
            <w:tr w14:paraId="4B31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5" w:type="dxa"/>
                  <w:noWrap w:val="0"/>
                  <w:vAlign w:val="center"/>
                </w:tcPr>
                <w:p w14:paraId="464FF97C">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1</w:t>
                  </w:r>
                </w:p>
              </w:tc>
              <w:tc>
                <w:tcPr>
                  <w:tcW w:w="630" w:type="dxa"/>
                  <w:noWrap w:val="0"/>
                  <w:vAlign w:val="center"/>
                </w:tcPr>
                <w:p w14:paraId="333BCFC9">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生活污水</w:t>
                  </w:r>
                </w:p>
              </w:tc>
              <w:tc>
                <w:tcPr>
                  <w:tcW w:w="665" w:type="dxa"/>
                  <w:noWrap w:val="0"/>
                  <w:vAlign w:val="center"/>
                </w:tcPr>
                <w:p w14:paraId="5B4AE0EC">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COD、BOD</w:t>
                  </w:r>
                  <w:r>
                    <w:rPr>
                      <w:rFonts w:hint="eastAsia" w:ascii="Times New Roman" w:hAnsi="Times New Roman" w:eastAsia="宋体"/>
                      <w:color w:val="auto"/>
                      <w:kern w:val="0"/>
                      <w:sz w:val="21"/>
                      <w:szCs w:val="21"/>
                      <w:vertAlign w:val="subscript"/>
                      <w:lang w:val="en-US" w:eastAsia="zh-CN"/>
                    </w:rPr>
                    <w:t>5</w:t>
                  </w:r>
                  <w:r>
                    <w:rPr>
                      <w:rFonts w:hint="eastAsia" w:ascii="Times New Roman" w:hAnsi="Times New Roman" w:eastAsia="宋体"/>
                      <w:color w:val="auto"/>
                      <w:kern w:val="0"/>
                      <w:sz w:val="21"/>
                      <w:szCs w:val="21"/>
                      <w:lang w:val="en-US" w:eastAsia="zh-CN"/>
                    </w:rPr>
                    <w:t>、SS</w:t>
                  </w:r>
                </w:p>
                <w:p w14:paraId="10EE4823">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氨氮</w:t>
                  </w:r>
                </w:p>
              </w:tc>
              <w:tc>
                <w:tcPr>
                  <w:tcW w:w="403" w:type="dxa"/>
                  <w:noWrap w:val="0"/>
                  <w:vAlign w:val="center"/>
                </w:tcPr>
                <w:p w14:paraId="25062D12">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color w:val="auto"/>
                      <w:kern w:val="0"/>
                      <w:sz w:val="21"/>
                      <w:szCs w:val="21"/>
                      <w:lang w:val="en-US" w:eastAsia="zh-CN"/>
                    </w:rPr>
                    <w:t>市政</w:t>
                  </w:r>
                  <w:r>
                    <w:rPr>
                      <w:rFonts w:hint="eastAsia" w:ascii="Times New Roman" w:hAnsi="Times New Roman" w:eastAsia="宋体"/>
                      <w:color w:val="auto"/>
                      <w:kern w:val="0"/>
                      <w:sz w:val="21"/>
                      <w:szCs w:val="21"/>
                      <w:lang w:val="en-US" w:eastAsia="zh-CN"/>
                    </w:rPr>
                    <w:t>污水管网</w:t>
                  </w:r>
                </w:p>
              </w:tc>
              <w:tc>
                <w:tcPr>
                  <w:tcW w:w="833" w:type="dxa"/>
                  <w:noWrap w:val="0"/>
                  <w:vAlign w:val="center"/>
                </w:tcPr>
                <w:p w14:paraId="5A5D2D3A">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间歇排放，流量不稳定</w:t>
                  </w:r>
                </w:p>
              </w:tc>
              <w:tc>
                <w:tcPr>
                  <w:tcW w:w="612" w:type="dxa"/>
                  <w:vMerge w:val="restart"/>
                  <w:noWrap w:val="0"/>
                  <w:vAlign w:val="center"/>
                </w:tcPr>
                <w:p w14:paraId="38D980DC">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DW001</w:t>
                  </w:r>
                </w:p>
              </w:tc>
              <w:tc>
                <w:tcPr>
                  <w:tcW w:w="830" w:type="dxa"/>
                  <w:noWrap w:val="0"/>
                  <w:vAlign w:val="center"/>
                </w:tcPr>
                <w:p w14:paraId="3383DAF3">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化粪池</w:t>
                  </w:r>
                </w:p>
              </w:tc>
              <w:tc>
                <w:tcPr>
                  <w:tcW w:w="730" w:type="dxa"/>
                  <w:vMerge w:val="restart"/>
                  <w:noWrap w:val="0"/>
                  <w:vAlign w:val="center"/>
                </w:tcPr>
                <w:p w14:paraId="4978C93F">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w:t>
                  </w:r>
                </w:p>
              </w:tc>
              <w:tc>
                <w:tcPr>
                  <w:tcW w:w="570" w:type="dxa"/>
                  <w:vMerge w:val="restart"/>
                  <w:noWrap w:val="0"/>
                  <w:vAlign w:val="center"/>
                </w:tcPr>
                <w:p w14:paraId="1580F7A3">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DW001</w:t>
                  </w:r>
                </w:p>
              </w:tc>
              <w:tc>
                <w:tcPr>
                  <w:tcW w:w="737" w:type="dxa"/>
                  <w:vMerge w:val="restart"/>
                  <w:noWrap w:val="0"/>
                  <w:vAlign w:val="center"/>
                </w:tcPr>
                <w:p w14:paraId="36E25AE0">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color w:val="auto"/>
                      <w:kern w:val="0"/>
                      <w:sz w:val="21"/>
                      <w:szCs w:val="21"/>
                      <w:lang w:val="en-US" w:eastAsia="zh-CN"/>
                    </w:rPr>
                    <w:t>☑</w:t>
                  </w:r>
                  <w:r>
                    <w:rPr>
                      <w:rFonts w:hint="eastAsia" w:ascii="Times New Roman" w:hAnsi="Times New Roman" w:eastAsia="宋体"/>
                      <w:color w:val="auto"/>
                      <w:kern w:val="0"/>
                      <w:sz w:val="21"/>
                      <w:szCs w:val="21"/>
                      <w:lang w:val="en-US" w:eastAsia="zh-CN"/>
                    </w:rPr>
                    <w:t>是</w:t>
                  </w:r>
                </w:p>
                <w:p w14:paraId="6ACD3CA6">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□否</w:t>
                  </w:r>
                </w:p>
              </w:tc>
              <w:tc>
                <w:tcPr>
                  <w:tcW w:w="1401" w:type="dxa"/>
                  <w:vMerge w:val="restart"/>
                  <w:noWrap w:val="0"/>
                  <w:vAlign w:val="center"/>
                </w:tcPr>
                <w:p w14:paraId="6FA66AE8">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☑企业总排口</w:t>
                  </w:r>
                </w:p>
                <w:p w14:paraId="4F201813">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□雨水排放</w:t>
                  </w:r>
                </w:p>
                <w:p w14:paraId="11461CE9">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□清净下水排放</w:t>
                  </w:r>
                </w:p>
                <w:p w14:paraId="0CE8A50B">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□温排水排放</w:t>
                  </w:r>
                </w:p>
                <w:p w14:paraId="2219F78F">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□车间或车间处理设施排放</w:t>
                  </w:r>
                </w:p>
              </w:tc>
            </w:tr>
            <w:tr w14:paraId="76A9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5" w:type="dxa"/>
                  <w:noWrap w:val="0"/>
                  <w:vAlign w:val="center"/>
                </w:tcPr>
                <w:p w14:paraId="5A0BDB85">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2</w:t>
                  </w:r>
                </w:p>
              </w:tc>
              <w:tc>
                <w:tcPr>
                  <w:tcW w:w="630" w:type="dxa"/>
                  <w:noWrap w:val="0"/>
                  <w:vAlign w:val="center"/>
                </w:tcPr>
                <w:p w14:paraId="38E0C94C">
                  <w:pPr>
                    <w:widowControl/>
                    <w:spacing w:line="240" w:lineRule="auto"/>
                    <w:ind w:firstLine="0" w:firstLineChars="0"/>
                    <w:jc w:val="center"/>
                    <w:textAlignment w:val="center"/>
                    <w:rPr>
                      <w:rFonts w:hint="default"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软水制备废水</w:t>
                  </w:r>
                </w:p>
              </w:tc>
              <w:tc>
                <w:tcPr>
                  <w:tcW w:w="665" w:type="dxa"/>
                  <w:noWrap w:val="0"/>
                  <w:vAlign w:val="center"/>
                </w:tcPr>
                <w:p w14:paraId="7A235D00">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COD、SS</w:t>
                  </w:r>
                </w:p>
              </w:tc>
              <w:tc>
                <w:tcPr>
                  <w:tcW w:w="403" w:type="dxa"/>
                  <w:noWrap w:val="0"/>
                  <w:vAlign w:val="center"/>
                </w:tcPr>
                <w:p w14:paraId="25442460">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color w:val="auto"/>
                      <w:kern w:val="0"/>
                      <w:sz w:val="21"/>
                      <w:szCs w:val="21"/>
                      <w:lang w:val="en-US" w:eastAsia="zh-CN"/>
                    </w:rPr>
                    <w:t>市政</w:t>
                  </w:r>
                  <w:r>
                    <w:rPr>
                      <w:rFonts w:hint="eastAsia" w:ascii="Times New Roman" w:hAnsi="Times New Roman" w:eastAsia="宋体"/>
                      <w:color w:val="auto"/>
                      <w:kern w:val="0"/>
                      <w:sz w:val="21"/>
                      <w:szCs w:val="21"/>
                      <w:lang w:val="en-US" w:eastAsia="zh-CN"/>
                    </w:rPr>
                    <w:t>污水管网</w:t>
                  </w:r>
                </w:p>
              </w:tc>
              <w:tc>
                <w:tcPr>
                  <w:tcW w:w="833" w:type="dxa"/>
                  <w:noWrap w:val="0"/>
                  <w:vAlign w:val="center"/>
                </w:tcPr>
                <w:p w14:paraId="710DC383">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间断排放，流量稳定</w:t>
                  </w:r>
                </w:p>
              </w:tc>
              <w:tc>
                <w:tcPr>
                  <w:tcW w:w="612" w:type="dxa"/>
                  <w:vMerge w:val="continue"/>
                  <w:noWrap w:val="0"/>
                  <w:vAlign w:val="center"/>
                </w:tcPr>
                <w:p w14:paraId="47A2D116">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30" w:type="dxa"/>
                  <w:noWrap w:val="0"/>
                  <w:vAlign w:val="center"/>
                </w:tcPr>
                <w:p w14:paraId="292039F0">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接管网</w:t>
                  </w:r>
                </w:p>
              </w:tc>
              <w:tc>
                <w:tcPr>
                  <w:tcW w:w="730" w:type="dxa"/>
                  <w:vMerge w:val="continue"/>
                  <w:noWrap w:val="0"/>
                  <w:vAlign w:val="center"/>
                </w:tcPr>
                <w:p w14:paraId="4472F49C">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570" w:type="dxa"/>
                  <w:vMerge w:val="continue"/>
                  <w:noWrap w:val="0"/>
                  <w:vAlign w:val="center"/>
                </w:tcPr>
                <w:p w14:paraId="69EA3A4E">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737" w:type="dxa"/>
                  <w:vMerge w:val="continue"/>
                  <w:noWrap w:val="0"/>
                  <w:vAlign w:val="center"/>
                </w:tcPr>
                <w:p w14:paraId="66422D42">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1401" w:type="dxa"/>
                  <w:vMerge w:val="continue"/>
                  <w:noWrap w:val="0"/>
                  <w:vAlign w:val="center"/>
                </w:tcPr>
                <w:p w14:paraId="3112C909">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r>
          </w:tbl>
          <w:p w14:paraId="1D5936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rPr>
            </w:pPr>
            <w:r>
              <w:rPr>
                <w:rFonts w:hint="eastAsia" w:cs="宋体"/>
                <w:b/>
                <w:bCs/>
                <w:color w:val="auto"/>
                <w:sz w:val="24"/>
                <w:szCs w:val="24"/>
              </w:rPr>
              <w:t>表</w:t>
            </w:r>
            <w:r>
              <w:rPr>
                <w:b/>
                <w:bCs/>
                <w:color w:val="auto"/>
                <w:sz w:val="24"/>
                <w:szCs w:val="24"/>
              </w:rPr>
              <w:t>4-</w:t>
            </w:r>
            <w:r>
              <w:rPr>
                <w:rFonts w:hint="eastAsia"/>
                <w:b/>
                <w:bCs/>
                <w:color w:val="auto"/>
                <w:sz w:val="24"/>
                <w:szCs w:val="24"/>
                <w:lang w:val="en-US" w:eastAsia="zh-CN"/>
              </w:rPr>
              <w:t xml:space="preserve">20 </w:t>
            </w:r>
            <w:r>
              <w:rPr>
                <w:b/>
                <w:bCs/>
                <w:color w:val="auto"/>
                <w:sz w:val="24"/>
                <w:szCs w:val="24"/>
              </w:rPr>
              <w:t xml:space="preserve"> </w:t>
            </w:r>
            <w:r>
              <w:rPr>
                <w:rFonts w:hint="eastAsia" w:cs="宋体"/>
                <w:b/>
                <w:bCs/>
                <w:color w:val="auto"/>
                <w:sz w:val="24"/>
                <w:szCs w:val="24"/>
              </w:rPr>
              <w:t>废水间接排放口基本情况表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
              <w:gridCol w:w="543"/>
              <w:gridCol w:w="941"/>
              <w:gridCol w:w="949"/>
              <w:gridCol w:w="820"/>
              <w:gridCol w:w="797"/>
              <w:gridCol w:w="640"/>
              <w:gridCol w:w="612"/>
              <w:gridCol w:w="653"/>
              <w:gridCol w:w="822"/>
              <w:gridCol w:w="1092"/>
            </w:tblGrid>
            <w:tr w14:paraId="616D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 w:type="dxa"/>
                  <w:vMerge w:val="restart"/>
                  <w:shd w:val="clear" w:color="auto" w:fill="FFFFFF"/>
                  <w:noWrap w:val="0"/>
                  <w:vAlign w:val="center"/>
                </w:tcPr>
                <w:p w14:paraId="36AC26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序号</w:t>
                  </w:r>
                </w:p>
              </w:tc>
              <w:tc>
                <w:tcPr>
                  <w:tcW w:w="543" w:type="dxa"/>
                  <w:vMerge w:val="restart"/>
                  <w:shd w:val="clear" w:color="auto" w:fill="FFFFFF"/>
                  <w:noWrap w:val="0"/>
                  <w:vAlign w:val="center"/>
                </w:tcPr>
                <w:p w14:paraId="7FE69C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排放口编号</w:t>
                  </w:r>
                </w:p>
              </w:tc>
              <w:tc>
                <w:tcPr>
                  <w:tcW w:w="1890" w:type="dxa"/>
                  <w:gridSpan w:val="2"/>
                  <w:shd w:val="clear" w:color="auto" w:fill="FFFFFF"/>
                  <w:noWrap w:val="0"/>
                  <w:vAlign w:val="center"/>
                </w:tcPr>
                <w:p w14:paraId="5CD56B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排放口地理坐标</w:t>
                  </w:r>
                </w:p>
              </w:tc>
              <w:tc>
                <w:tcPr>
                  <w:tcW w:w="820" w:type="dxa"/>
                  <w:vMerge w:val="restart"/>
                  <w:shd w:val="clear" w:color="auto" w:fill="FFFFFF"/>
                  <w:noWrap w:val="0"/>
                  <w:vAlign w:val="center"/>
                </w:tcPr>
                <w:p w14:paraId="2A3735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废水排放量/（万t/a）</w:t>
                  </w:r>
                </w:p>
              </w:tc>
              <w:tc>
                <w:tcPr>
                  <w:tcW w:w="797" w:type="dxa"/>
                  <w:vMerge w:val="restart"/>
                  <w:shd w:val="clear" w:color="auto" w:fill="FFFFFF"/>
                  <w:noWrap w:val="0"/>
                  <w:vAlign w:val="center"/>
                </w:tcPr>
                <w:p w14:paraId="608293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排放去向</w:t>
                  </w:r>
                </w:p>
              </w:tc>
              <w:tc>
                <w:tcPr>
                  <w:tcW w:w="640" w:type="dxa"/>
                  <w:vMerge w:val="restart"/>
                  <w:shd w:val="clear" w:color="auto" w:fill="FFFFFF"/>
                  <w:noWrap w:val="0"/>
                  <w:vAlign w:val="center"/>
                </w:tcPr>
                <w:p w14:paraId="6CB471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排放规律</w:t>
                  </w:r>
                </w:p>
              </w:tc>
              <w:tc>
                <w:tcPr>
                  <w:tcW w:w="612" w:type="dxa"/>
                  <w:vMerge w:val="restart"/>
                  <w:shd w:val="clear" w:color="auto" w:fill="FFFFFF"/>
                  <w:noWrap w:val="0"/>
                  <w:vAlign w:val="center"/>
                </w:tcPr>
                <w:p w14:paraId="122881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间歇排放时段</w:t>
                  </w:r>
                </w:p>
              </w:tc>
              <w:tc>
                <w:tcPr>
                  <w:tcW w:w="2567" w:type="dxa"/>
                  <w:gridSpan w:val="3"/>
                  <w:shd w:val="clear" w:color="auto" w:fill="FFFFFF"/>
                  <w:noWrap w:val="0"/>
                  <w:vAlign w:val="center"/>
                </w:tcPr>
                <w:p w14:paraId="1C5C23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受纳污水处理厂信息</w:t>
                  </w:r>
                </w:p>
              </w:tc>
            </w:tr>
            <w:tr w14:paraId="6E4B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 w:type="dxa"/>
                  <w:vMerge w:val="continue"/>
                  <w:shd w:val="clear" w:color="auto" w:fill="FFFFFF"/>
                  <w:noWrap w:val="0"/>
                  <w:vAlign w:val="center"/>
                </w:tcPr>
                <w:p w14:paraId="2624C7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543" w:type="dxa"/>
                  <w:vMerge w:val="continue"/>
                  <w:shd w:val="clear" w:color="auto" w:fill="FFFFFF"/>
                  <w:noWrap w:val="0"/>
                  <w:vAlign w:val="center"/>
                </w:tcPr>
                <w:p w14:paraId="528730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941" w:type="dxa"/>
                  <w:shd w:val="clear" w:color="auto" w:fill="FFFFFF"/>
                  <w:noWrap w:val="0"/>
                  <w:vAlign w:val="center"/>
                </w:tcPr>
                <w:p w14:paraId="634378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经度</w:t>
                  </w:r>
                </w:p>
              </w:tc>
              <w:tc>
                <w:tcPr>
                  <w:tcW w:w="949" w:type="dxa"/>
                  <w:shd w:val="clear" w:color="auto" w:fill="FFFFFF"/>
                  <w:noWrap w:val="0"/>
                  <w:vAlign w:val="center"/>
                </w:tcPr>
                <w:p w14:paraId="12CC81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纬度</w:t>
                  </w:r>
                </w:p>
              </w:tc>
              <w:tc>
                <w:tcPr>
                  <w:tcW w:w="820" w:type="dxa"/>
                  <w:vMerge w:val="continue"/>
                  <w:shd w:val="clear" w:color="auto" w:fill="FFFFFF"/>
                  <w:noWrap w:val="0"/>
                  <w:vAlign w:val="center"/>
                </w:tcPr>
                <w:p w14:paraId="55775D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797" w:type="dxa"/>
                  <w:vMerge w:val="continue"/>
                  <w:shd w:val="clear" w:color="auto" w:fill="FFFFFF"/>
                  <w:noWrap w:val="0"/>
                  <w:vAlign w:val="center"/>
                </w:tcPr>
                <w:p w14:paraId="2FBFE2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640" w:type="dxa"/>
                  <w:vMerge w:val="continue"/>
                  <w:shd w:val="clear" w:color="auto" w:fill="FFFFFF"/>
                  <w:noWrap w:val="0"/>
                  <w:vAlign w:val="center"/>
                </w:tcPr>
                <w:p w14:paraId="3E7E99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612" w:type="dxa"/>
                  <w:vMerge w:val="continue"/>
                  <w:shd w:val="clear" w:color="auto" w:fill="FFFFFF"/>
                  <w:noWrap w:val="0"/>
                  <w:vAlign w:val="center"/>
                </w:tcPr>
                <w:p w14:paraId="632E30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653" w:type="dxa"/>
                  <w:shd w:val="clear" w:color="auto" w:fill="FFFFFF"/>
                  <w:noWrap w:val="0"/>
                  <w:vAlign w:val="center"/>
                </w:tcPr>
                <w:p w14:paraId="6F3E5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名称</w:t>
                  </w:r>
                </w:p>
              </w:tc>
              <w:tc>
                <w:tcPr>
                  <w:tcW w:w="822" w:type="dxa"/>
                  <w:shd w:val="clear" w:color="auto" w:fill="FFFFFF"/>
                  <w:noWrap w:val="0"/>
                  <w:vAlign w:val="center"/>
                </w:tcPr>
                <w:p w14:paraId="280D1B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污染物种类</w:t>
                  </w:r>
                </w:p>
              </w:tc>
              <w:tc>
                <w:tcPr>
                  <w:tcW w:w="1092" w:type="dxa"/>
                  <w:shd w:val="clear" w:color="auto" w:fill="FFFFFF"/>
                  <w:noWrap w:val="0"/>
                  <w:vAlign w:val="center"/>
                </w:tcPr>
                <w:p w14:paraId="6C6983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排放标准/（mg/L）</w:t>
                  </w:r>
                </w:p>
              </w:tc>
            </w:tr>
            <w:tr w14:paraId="2895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 w:type="dxa"/>
                  <w:vMerge w:val="restart"/>
                  <w:shd w:val="clear" w:color="auto" w:fill="FFFFFF"/>
                  <w:noWrap w:val="0"/>
                  <w:vAlign w:val="center"/>
                </w:tcPr>
                <w:p w14:paraId="3ABEA2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1</w:t>
                  </w:r>
                </w:p>
              </w:tc>
              <w:tc>
                <w:tcPr>
                  <w:tcW w:w="543" w:type="dxa"/>
                  <w:vMerge w:val="restart"/>
                  <w:shd w:val="clear" w:color="auto" w:fill="FFFFFF"/>
                  <w:noWrap w:val="0"/>
                  <w:vAlign w:val="center"/>
                </w:tcPr>
                <w:p w14:paraId="0F82D0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DW001</w:t>
                  </w:r>
                </w:p>
              </w:tc>
              <w:tc>
                <w:tcPr>
                  <w:tcW w:w="941" w:type="dxa"/>
                  <w:vMerge w:val="restart"/>
                  <w:shd w:val="clear" w:color="auto" w:fill="FFFFFF"/>
                  <w:noWrap w:val="0"/>
                  <w:vAlign w:val="center"/>
                </w:tcPr>
                <w:p w14:paraId="723ABC69">
                  <w:pPr>
                    <w:pStyle w:val="4"/>
                    <w:keepNext w:val="0"/>
                    <w:keepLines w:val="0"/>
                    <w:pageBreakBefore w:val="0"/>
                    <w:kinsoku/>
                    <w:wordWrap/>
                    <w:overflowPunct/>
                    <w:topLinePunct w:val="0"/>
                    <w:autoSpaceDE/>
                    <w:autoSpaceDN/>
                    <w:bidi w:val="0"/>
                    <w:adjustRightInd/>
                    <w:snapToGrid/>
                    <w:jc w:val="center"/>
                    <w:rPr>
                      <w:rFonts w:hint="eastAsia"/>
                      <w:color w:val="auto"/>
                      <w:lang w:val="en-US" w:eastAsia="zh-CN"/>
                    </w:rPr>
                  </w:pPr>
                  <w:r>
                    <w:rPr>
                      <w:rFonts w:hint="eastAsia"/>
                      <w:color w:val="auto"/>
                      <w:lang w:val="en-US" w:eastAsia="zh-CN"/>
                    </w:rPr>
                    <w:t>116.845947</w:t>
                  </w:r>
                </w:p>
              </w:tc>
              <w:tc>
                <w:tcPr>
                  <w:tcW w:w="949" w:type="dxa"/>
                  <w:vMerge w:val="restart"/>
                  <w:shd w:val="clear" w:color="auto" w:fill="FFFFFF"/>
                  <w:noWrap w:val="0"/>
                  <w:vAlign w:val="center"/>
                </w:tcPr>
                <w:p w14:paraId="7FC75012">
                  <w:pPr>
                    <w:pStyle w:val="4"/>
                    <w:keepNext w:val="0"/>
                    <w:keepLines w:val="0"/>
                    <w:pageBreakBefore w:val="0"/>
                    <w:kinsoku/>
                    <w:wordWrap/>
                    <w:overflowPunct/>
                    <w:topLinePunct w:val="0"/>
                    <w:autoSpaceDE/>
                    <w:autoSpaceDN/>
                    <w:bidi w:val="0"/>
                    <w:adjustRightInd/>
                    <w:snapToGrid/>
                    <w:jc w:val="center"/>
                    <w:rPr>
                      <w:rFonts w:hint="eastAsia"/>
                      <w:color w:val="auto"/>
                      <w:lang w:val="en-US" w:eastAsia="zh-CN"/>
                    </w:rPr>
                  </w:pPr>
                  <w:r>
                    <w:rPr>
                      <w:rFonts w:hint="eastAsia"/>
                      <w:color w:val="auto"/>
                      <w:lang w:val="en-US" w:eastAsia="zh-CN"/>
                    </w:rPr>
                    <w:t>33.905265</w:t>
                  </w:r>
                </w:p>
              </w:tc>
              <w:tc>
                <w:tcPr>
                  <w:tcW w:w="820" w:type="dxa"/>
                  <w:vMerge w:val="restart"/>
                  <w:shd w:val="clear" w:color="auto" w:fill="FFFFFF"/>
                  <w:noWrap w:val="0"/>
                  <w:vAlign w:val="center"/>
                </w:tcPr>
                <w:p w14:paraId="1F9EDB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0.056</w:t>
                  </w:r>
                </w:p>
              </w:tc>
              <w:tc>
                <w:tcPr>
                  <w:tcW w:w="797" w:type="dxa"/>
                  <w:vMerge w:val="restart"/>
                  <w:shd w:val="clear" w:color="auto" w:fill="FFFFFF"/>
                  <w:noWrap w:val="0"/>
                  <w:vAlign w:val="center"/>
                </w:tcPr>
                <w:p w14:paraId="218312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淮北蓝海水处理有限公司</w:t>
                  </w:r>
                </w:p>
              </w:tc>
              <w:tc>
                <w:tcPr>
                  <w:tcW w:w="640" w:type="dxa"/>
                  <w:vMerge w:val="restart"/>
                  <w:shd w:val="clear" w:color="auto" w:fill="FFFFFF"/>
                  <w:noWrap w:val="0"/>
                  <w:vAlign w:val="center"/>
                </w:tcPr>
                <w:p w14:paraId="078237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间歇排放</w:t>
                  </w:r>
                </w:p>
              </w:tc>
              <w:tc>
                <w:tcPr>
                  <w:tcW w:w="612" w:type="dxa"/>
                  <w:vMerge w:val="restart"/>
                  <w:shd w:val="clear" w:color="auto" w:fill="FFFFFF"/>
                  <w:noWrap w:val="0"/>
                  <w:vAlign w:val="center"/>
                </w:tcPr>
                <w:p w14:paraId="2333DF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w:t>
                  </w:r>
                </w:p>
              </w:tc>
              <w:tc>
                <w:tcPr>
                  <w:tcW w:w="653" w:type="dxa"/>
                  <w:vMerge w:val="restart"/>
                  <w:shd w:val="clear" w:color="auto" w:fill="FFFFFF"/>
                  <w:noWrap w:val="0"/>
                  <w:vAlign w:val="center"/>
                </w:tcPr>
                <w:p w14:paraId="43AE68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淮北蓝海水处理有限公司</w:t>
                  </w:r>
                </w:p>
              </w:tc>
              <w:tc>
                <w:tcPr>
                  <w:tcW w:w="822" w:type="dxa"/>
                  <w:shd w:val="clear" w:color="auto" w:fill="FFFFFF"/>
                  <w:noWrap w:val="0"/>
                  <w:vAlign w:val="center"/>
                </w:tcPr>
                <w:p w14:paraId="0FD602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pH</w:t>
                  </w:r>
                </w:p>
              </w:tc>
              <w:tc>
                <w:tcPr>
                  <w:tcW w:w="1092" w:type="dxa"/>
                  <w:shd w:val="clear" w:color="auto" w:fill="FFFFFF"/>
                  <w:noWrap w:val="0"/>
                  <w:vAlign w:val="center"/>
                </w:tcPr>
                <w:p w14:paraId="4940EA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6～9</w:t>
                  </w:r>
                </w:p>
              </w:tc>
            </w:tr>
            <w:tr w14:paraId="180C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 w:type="dxa"/>
                  <w:vMerge w:val="continue"/>
                  <w:shd w:val="clear" w:color="auto" w:fill="FFFFFF"/>
                  <w:noWrap w:val="0"/>
                  <w:vAlign w:val="center"/>
                </w:tcPr>
                <w:p w14:paraId="517AA6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543" w:type="dxa"/>
                  <w:vMerge w:val="continue"/>
                  <w:shd w:val="clear" w:color="auto" w:fill="FFFFFF"/>
                  <w:noWrap w:val="0"/>
                  <w:vAlign w:val="center"/>
                </w:tcPr>
                <w:p w14:paraId="048AC6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941" w:type="dxa"/>
                  <w:vMerge w:val="continue"/>
                  <w:shd w:val="clear" w:color="auto" w:fill="FFFFFF"/>
                  <w:noWrap w:val="0"/>
                  <w:vAlign w:val="center"/>
                </w:tcPr>
                <w:p w14:paraId="600C5C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949" w:type="dxa"/>
                  <w:vMerge w:val="continue"/>
                  <w:shd w:val="clear" w:color="auto" w:fill="FFFFFF"/>
                  <w:noWrap w:val="0"/>
                  <w:vAlign w:val="center"/>
                </w:tcPr>
                <w:p w14:paraId="4FA7BF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20" w:type="dxa"/>
                  <w:vMerge w:val="continue"/>
                  <w:shd w:val="clear" w:color="auto" w:fill="FFFFFF"/>
                  <w:noWrap w:val="0"/>
                  <w:vAlign w:val="center"/>
                </w:tcPr>
                <w:p w14:paraId="3ACF74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797" w:type="dxa"/>
                  <w:vMerge w:val="continue"/>
                  <w:shd w:val="clear" w:color="auto" w:fill="FFFFFF"/>
                  <w:noWrap w:val="0"/>
                  <w:vAlign w:val="center"/>
                </w:tcPr>
                <w:p w14:paraId="477E19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40" w:type="dxa"/>
                  <w:vMerge w:val="continue"/>
                  <w:shd w:val="clear" w:color="auto" w:fill="FFFFFF"/>
                  <w:noWrap w:val="0"/>
                  <w:vAlign w:val="center"/>
                </w:tcPr>
                <w:p w14:paraId="3E59CA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12" w:type="dxa"/>
                  <w:vMerge w:val="continue"/>
                  <w:shd w:val="clear" w:color="auto" w:fill="FFFFFF"/>
                  <w:noWrap w:val="0"/>
                  <w:vAlign w:val="center"/>
                </w:tcPr>
                <w:p w14:paraId="15A7E1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53" w:type="dxa"/>
                  <w:vMerge w:val="continue"/>
                  <w:shd w:val="clear" w:color="auto" w:fill="FFFFFF"/>
                  <w:noWrap w:val="0"/>
                  <w:vAlign w:val="center"/>
                </w:tcPr>
                <w:p w14:paraId="41AE20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22" w:type="dxa"/>
                  <w:shd w:val="clear" w:color="auto" w:fill="FFFFFF"/>
                  <w:noWrap w:val="0"/>
                  <w:vAlign w:val="center"/>
                </w:tcPr>
                <w:p w14:paraId="459467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COD</w:t>
                  </w:r>
                </w:p>
              </w:tc>
              <w:tc>
                <w:tcPr>
                  <w:tcW w:w="1092" w:type="dxa"/>
                  <w:shd w:val="clear" w:color="auto" w:fill="FFFFFF"/>
                  <w:noWrap w:val="0"/>
                  <w:vAlign w:val="center"/>
                </w:tcPr>
                <w:p w14:paraId="1FA21D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50</w:t>
                  </w:r>
                </w:p>
              </w:tc>
            </w:tr>
            <w:tr w14:paraId="1EA9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 w:type="dxa"/>
                  <w:vMerge w:val="continue"/>
                  <w:shd w:val="clear" w:color="auto" w:fill="FFFFFF"/>
                  <w:noWrap w:val="0"/>
                  <w:vAlign w:val="center"/>
                </w:tcPr>
                <w:p w14:paraId="5289E2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543" w:type="dxa"/>
                  <w:vMerge w:val="continue"/>
                  <w:shd w:val="clear" w:color="auto" w:fill="FFFFFF"/>
                  <w:noWrap w:val="0"/>
                  <w:vAlign w:val="center"/>
                </w:tcPr>
                <w:p w14:paraId="1D3F10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941" w:type="dxa"/>
                  <w:vMerge w:val="continue"/>
                  <w:shd w:val="clear" w:color="auto" w:fill="FFFFFF"/>
                  <w:noWrap w:val="0"/>
                  <w:vAlign w:val="center"/>
                </w:tcPr>
                <w:p w14:paraId="3392AC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949" w:type="dxa"/>
                  <w:vMerge w:val="continue"/>
                  <w:shd w:val="clear" w:color="auto" w:fill="FFFFFF"/>
                  <w:noWrap w:val="0"/>
                  <w:vAlign w:val="center"/>
                </w:tcPr>
                <w:p w14:paraId="27276F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20" w:type="dxa"/>
                  <w:vMerge w:val="continue"/>
                  <w:shd w:val="clear" w:color="auto" w:fill="FFFFFF"/>
                  <w:noWrap w:val="0"/>
                  <w:vAlign w:val="center"/>
                </w:tcPr>
                <w:p w14:paraId="150587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797" w:type="dxa"/>
                  <w:vMerge w:val="continue"/>
                  <w:shd w:val="clear" w:color="auto" w:fill="FFFFFF"/>
                  <w:noWrap w:val="0"/>
                  <w:vAlign w:val="center"/>
                </w:tcPr>
                <w:p w14:paraId="047E1C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40" w:type="dxa"/>
                  <w:vMerge w:val="continue"/>
                  <w:shd w:val="clear" w:color="auto" w:fill="FFFFFF"/>
                  <w:noWrap w:val="0"/>
                  <w:vAlign w:val="center"/>
                </w:tcPr>
                <w:p w14:paraId="720F81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12" w:type="dxa"/>
                  <w:vMerge w:val="continue"/>
                  <w:shd w:val="clear" w:color="auto" w:fill="FFFFFF"/>
                  <w:noWrap w:val="0"/>
                  <w:vAlign w:val="center"/>
                </w:tcPr>
                <w:p w14:paraId="744939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53" w:type="dxa"/>
                  <w:vMerge w:val="continue"/>
                  <w:shd w:val="clear" w:color="auto" w:fill="FFFFFF"/>
                  <w:noWrap w:val="0"/>
                  <w:vAlign w:val="center"/>
                </w:tcPr>
                <w:p w14:paraId="388FA9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22" w:type="dxa"/>
                  <w:shd w:val="clear" w:color="auto" w:fill="FFFFFF"/>
                  <w:noWrap w:val="0"/>
                  <w:vAlign w:val="center"/>
                </w:tcPr>
                <w:p w14:paraId="436990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BOD</w:t>
                  </w:r>
                  <w:r>
                    <w:rPr>
                      <w:rFonts w:hint="eastAsia" w:ascii="Times New Roman" w:hAnsi="Times New Roman" w:eastAsia="宋体"/>
                      <w:color w:val="auto"/>
                      <w:kern w:val="0"/>
                      <w:sz w:val="21"/>
                      <w:szCs w:val="21"/>
                      <w:vertAlign w:val="subscript"/>
                      <w:lang w:val="en-US" w:eastAsia="zh-CN"/>
                    </w:rPr>
                    <w:t>5</w:t>
                  </w:r>
                </w:p>
              </w:tc>
              <w:tc>
                <w:tcPr>
                  <w:tcW w:w="1092" w:type="dxa"/>
                  <w:shd w:val="clear" w:color="auto" w:fill="FFFFFF"/>
                  <w:noWrap w:val="0"/>
                  <w:vAlign w:val="center"/>
                </w:tcPr>
                <w:p w14:paraId="6956BB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10</w:t>
                  </w:r>
                </w:p>
              </w:tc>
            </w:tr>
            <w:tr w14:paraId="3711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 w:type="dxa"/>
                  <w:vMerge w:val="continue"/>
                  <w:shd w:val="clear" w:color="auto" w:fill="FFFFFF"/>
                  <w:noWrap w:val="0"/>
                  <w:vAlign w:val="center"/>
                </w:tcPr>
                <w:p w14:paraId="6A2DDF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543" w:type="dxa"/>
                  <w:vMerge w:val="continue"/>
                  <w:shd w:val="clear" w:color="auto" w:fill="FFFFFF"/>
                  <w:noWrap w:val="0"/>
                  <w:vAlign w:val="center"/>
                </w:tcPr>
                <w:p w14:paraId="45A8DC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941" w:type="dxa"/>
                  <w:vMerge w:val="continue"/>
                  <w:shd w:val="clear" w:color="auto" w:fill="FFFFFF"/>
                  <w:noWrap w:val="0"/>
                  <w:vAlign w:val="center"/>
                </w:tcPr>
                <w:p w14:paraId="5367CF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949" w:type="dxa"/>
                  <w:vMerge w:val="continue"/>
                  <w:shd w:val="clear" w:color="auto" w:fill="FFFFFF"/>
                  <w:noWrap w:val="0"/>
                  <w:vAlign w:val="center"/>
                </w:tcPr>
                <w:p w14:paraId="1B623E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20" w:type="dxa"/>
                  <w:vMerge w:val="continue"/>
                  <w:shd w:val="clear" w:color="auto" w:fill="FFFFFF"/>
                  <w:noWrap w:val="0"/>
                  <w:vAlign w:val="center"/>
                </w:tcPr>
                <w:p w14:paraId="580D14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797" w:type="dxa"/>
                  <w:vMerge w:val="continue"/>
                  <w:shd w:val="clear" w:color="auto" w:fill="FFFFFF"/>
                  <w:noWrap w:val="0"/>
                  <w:vAlign w:val="center"/>
                </w:tcPr>
                <w:p w14:paraId="41231C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40" w:type="dxa"/>
                  <w:vMerge w:val="continue"/>
                  <w:shd w:val="clear" w:color="auto" w:fill="FFFFFF"/>
                  <w:noWrap w:val="0"/>
                  <w:vAlign w:val="center"/>
                </w:tcPr>
                <w:p w14:paraId="3E6577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12" w:type="dxa"/>
                  <w:vMerge w:val="continue"/>
                  <w:shd w:val="clear" w:color="auto" w:fill="FFFFFF"/>
                  <w:noWrap w:val="0"/>
                  <w:vAlign w:val="center"/>
                </w:tcPr>
                <w:p w14:paraId="710A9F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53" w:type="dxa"/>
                  <w:vMerge w:val="continue"/>
                  <w:shd w:val="clear" w:color="auto" w:fill="FFFFFF"/>
                  <w:noWrap w:val="0"/>
                  <w:vAlign w:val="center"/>
                </w:tcPr>
                <w:p w14:paraId="00E948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22" w:type="dxa"/>
                  <w:shd w:val="clear" w:color="auto" w:fill="FFFFFF"/>
                  <w:noWrap w:val="0"/>
                  <w:vAlign w:val="center"/>
                </w:tcPr>
                <w:p w14:paraId="0D438B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SS</w:t>
                  </w:r>
                </w:p>
              </w:tc>
              <w:tc>
                <w:tcPr>
                  <w:tcW w:w="1092" w:type="dxa"/>
                  <w:shd w:val="clear" w:color="auto" w:fill="FFFFFF"/>
                  <w:noWrap w:val="0"/>
                  <w:vAlign w:val="center"/>
                </w:tcPr>
                <w:p w14:paraId="7E9A67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10</w:t>
                  </w:r>
                </w:p>
              </w:tc>
            </w:tr>
            <w:tr w14:paraId="6E6F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 w:type="dxa"/>
                  <w:vMerge w:val="continue"/>
                  <w:shd w:val="clear" w:color="auto" w:fill="FFFFFF"/>
                  <w:noWrap w:val="0"/>
                  <w:vAlign w:val="center"/>
                </w:tcPr>
                <w:p w14:paraId="533E05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543" w:type="dxa"/>
                  <w:vMerge w:val="continue"/>
                  <w:shd w:val="clear" w:color="auto" w:fill="FFFFFF"/>
                  <w:noWrap w:val="0"/>
                  <w:vAlign w:val="center"/>
                </w:tcPr>
                <w:p w14:paraId="6B5C29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941" w:type="dxa"/>
                  <w:vMerge w:val="continue"/>
                  <w:shd w:val="clear" w:color="auto" w:fill="FFFFFF"/>
                  <w:noWrap w:val="0"/>
                  <w:vAlign w:val="center"/>
                </w:tcPr>
                <w:p w14:paraId="145CC2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949" w:type="dxa"/>
                  <w:vMerge w:val="continue"/>
                  <w:shd w:val="clear" w:color="auto" w:fill="FFFFFF"/>
                  <w:noWrap w:val="0"/>
                  <w:vAlign w:val="center"/>
                </w:tcPr>
                <w:p w14:paraId="23371D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20" w:type="dxa"/>
                  <w:vMerge w:val="continue"/>
                  <w:shd w:val="clear" w:color="auto" w:fill="FFFFFF"/>
                  <w:noWrap w:val="0"/>
                  <w:vAlign w:val="center"/>
                </w:tcPr>
                <w:p w14:paraId="6290ED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797" w:type="dxa"/>
                  <w:vMerge w:val="continue"/>
                  <w:shd w:val="clear" w:color="auto" w:fill="FFFFFF"/>
                  <w:noWrap w:val="0"/>
                  <w:vAlign w:val="center"/>
                </w:tcPr>
                <w:p w14:paraId="0F6324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40" w:type="dxa"/>
                  <w:vMerge w:val="continue"/>
                  <w:shd w:val="clear" w:color="auto" w:fill="FFFFFF"/>
                  <w:noWrap w:val="0"/>
                  <w:vAlign w:val="center"/>
                </w:tcPr>
                <w:p w14:paraId="203F6F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12" w:type="dxa"/>
                  <w:vMerge w:val="continue"/>
                  <w:shd w:val="clear" w:color="auto" w:fill="FFFFFF"/>
                  <w:noWrap w:val="0"/>
                  <w:vAlign w:val="center"/>
                </w:tcPr>
                <w:p w14:paraId="34DA19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653" w:type="dxa"/>
                  <w:vMerge w:val="continue"/>
                  <w:shd w:val="clear" w:color="auto" w:fill="FFFFFF"/>
                  <w:noWrap w:val="0"/>
                  <w:vAlign w:val="center"/>
                </w:tcPr>
                <w:p w14:paraId="173C4F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22" w:type="dxa"/>
                  <w:shd w:val="clear" w:color="auto" w:fill="FFFFFF"/>
                  <w:noWrap w:val="0"/>
                  <w:vAlign w:val="center"/>
                </w:tcPr>
                <w:p w14:paraId="60E351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氨氮</w:t>
                  </w:r>
                </w:p>
              </w:tc>
              <w:tc>
                <w:tcPr>
                  <w:tcW w:w="1092" w:type="dxa"/>
                  <w:shd w:val="clear" w:color="auto" w:fill="FFFFFF"/>
                  <w:noWrap w:val="0"/>
                  <w:vAlign w:val="center"/>
                </w:tcPr>
                <w:p w14:paraId="1A3276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5</w:t>
                  </w:r>
                </w:p>
              </w:tc>
            </w:tr>
          </w:tbl>
          <w:p w14:paraId="3E2526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4"/>
                <w:szCs w:val="24"/>
              </w:rPr>
            </w:pPr>
            <w:r>
              <w:rPr>
                <w:rFonts w:hint="eastAsia" w:cs="宋体"/>
                <w:b/>
                <w:bCs/>
                <w:color w:val="auto"/>
                <w:sz w:val="24"/>
                <w:szCs w:val="24"/>
              </w:rPr>
              <w:t>表</w:t>
            </w:r>
            <w:r>
              <w:rPr>
                <w:b/>
                <w:bCs/>
                <w:color w:val="auto"/>
                <w:sz w:val="24"/>
                <w:szCs w:val="24"/>
              </w:rPr>
              <w:t>4-</w:t>
            </w:r>
            <w:r>
              <w:rPr>
                <w:rFonts w:hint="eastAsia"/>
                <w:b/>
                <w:bCs/>
                <w:color w:val="auto"/>
                <w:sz w:val="24"/>
                <w:szCs w:val="24"/>
                <w:lang w:val="en-US" w:eastAsia="zh-CN"/>
              </w:rPr>
              <w:t>21</w:t>
            </w:r>
            <w:r>
              <w:rPr>
                <w:b/>
                <w:bCs/>
                <w:color w:val="auto"/>
                <w:sz w:val="24"/>
                <w:szCs w:val="24"/>
              </w:rPr>
              <w:t xml:space="preserve">  </w:t>
            </w:r>
            <w:r>
              <w:rPr>
                <w:rFonts w:hint="eastAsia" w:cs="宋体"/>
                <w:b/>
                <w:bCs/>
                <w:color w:val="auto"/>
                <w:sz w:val="24"/>
                <w:szCs w:val="24"/>
              </w:rPr>
              <w:t>废水污染物排放执行标准表</w:t>
            </w:r>
          </w:p>
          <w:tbl>
            <w:tblPr>
              <w:tblStyle w:val="26"/>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648"/>
              <w:gridCol w:w="1564"/>
              <w:gridCol w:w="2549"/>
              <w:gridCol w:w="3039"/>
            </w:tblGrid>
            <w:tr w14:paraId="7EB6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dxa"/>
                  <w:vMerge w:val="restart"/>
                  <w:noWrap w:val="0"/>
                  <w:vAlign w:val="center"/>
                </w:tcPr>
                <w:p w14:paraId="72707C5E">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序号</w:t>
                  </w:r>
                </w:p>
              </w:tc>
              <w:tc>
                <w:tcPr>
                  <w:tcW w:w="616" w:type="dxa"/>
                  <w:vMerge w:val="restart"/>
                  <w:noWrap w:val="0"/>
                  <w:vAlign w:val="center"/>
                </w:tcPr>
                <w:p w14:paraId="53EE89A3">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排放口编号</w:t>
                  </w:r>
                </w:p>
              </w:tc>
              <w:tc>
                <w:tcPr>
                  <w:tcW w:w="1486" w:type="dxa"/>
                  <w:vMerge w:val="restart"/>
                  <w:noWrap w:val="0"/>
                  <w:vAlign w:val="center"/>
                </w:tcPr>
                <w:p w14:paraId="075D9A7C">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污染物种类</w:t>
                  </w:r>
                </w:p>
              </w:tc>
              <w:tc>
                <w:tcPr>
                  <w:tcW w:w="5310" w:type="dxa"/>
                  <w:gridSpan w:val="2"/>
                  <w:noWrap w:val="0"/>
                  <w:vAlign w:val="center"/>
                </w:tcPr>
                <w:p w14:paraId="633BE0AA">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国家或地方污染物排放标准及其他按规定商定的排放协议</w:t>
                  </w:r>
                </w:p>
              </w:tc>
            </w:tr>
            <w:tr w14:paraId="5084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dxa"/>
                  <w:vMerge w:val="continue"/>
                  <w:noWrap w:val="0"/>
                  <w:vAlign w:val="center"/>
                </w:tcPr>
                <w:p w14:paraId="73468EFB">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616" w:type="dxa"/>
                  <w:vMerge w:val="continue"/>
                  <w:noWrap w:val="0"/>
                  <w:vAlign w:val="center"/>
                </w:tcPr>
                <w:p w14:paraId="5F8F6ECD">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1486" w:type="dxa"/>
                  <w:vMerge w:val="continue"/>
                  <w:noWrap w:val="0"/>
                  <w:vAlign w:val="center"/>
                </w:tcPr>
                <w:p w14:paraId="5FE398E0">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p>
              </w:tc>
              <w:tc>
                <w:tcPr>
                  <w:tcW w:w="2422" w:type="dxa"/>
                  <w:noWrap w:val="0"/>
                  <w:vAlign w:val="center"/>
                </w:tcPr>
                <w:p w14:paraId="04B3F20A">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名称</w:t>
                  </w:r>
                </w:p>
              </w:tc>
              <w:tc>
                <w:tcPr>
                  <w:tcW w:w="2888" w:type="dxa"/>
                  <w:noWrap w:val="0"/>
                  <w:vAlign w:val="center"/>
                </w:tcPr>
                <w:p w14:paraId="78AA5CF7">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浓度限值（mg/L）</w:t>
                  </w:r>
                </w:p>
              </w:tc>
            </w:tr>
            <w:tr w14:paraId="441A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dxa"/>
                  <w:noWrap w:val="0"/>
                  <w:vAlign w:val="center"/>
                </w:tcPr>
                <w:p w14:paraId="6B9C0A29">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1</w:t>
                  </w:r>
                </w:p>
              </w:tc>
              <w:tc>
                <w:tcPr>
                  <w:tcW w:w="616" w:type="dxa"/>
                  <w:noWrap w:val="0"/>
                  <w:vAlign w:val="center"/>
                </w:tcPr>
                <w:p w14:paraId="0C1DFD85">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DW001</w:t>
                  </w:r>
                </w:p>
              </w:tc>
              <w:tc>
                <w:tcPr>
                  <w:tcW w:w="1486" w:type="dxa"/>
                  <w:noWrap w:val="0"/>
                  <w:vAlign w:val="center"/>
                </w:tcPr>
                <w:p w14:paraId="754823C9">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COD、BOD</w:t>
                  </w:r>
                  <w:r>
                    <w:rPr>
                      <w:rFonts w:hint="eastAsia" w:ascii="Times New Roman" w:hAnsi="Times New Roman" w:eastAsia="宋体"/>
                      <w:color w:val="auto"/>
                      <w:kern w:val="0"/>
                      <w:sz w:val="21"/>
                      <w:szCs w:val="21"/>
                      <w:vertAlign w:val="subscript"/>
                      <w:lang w:val="en-US" w:eastAsia="zh-CN"/>
                    </w:rPr>
                    <w:t>5</w:t>
                  </w:r>
                  <w:r>
                    <w:rPr>
                      <w:rFonts w:hint="eastAsia" w:ascii="Times New Roman" w:hAnsi="Times New Roman" w:eastAsia="宋体"/>
                      <w:color w:val="auto"/>
                      <w:kern w:val="0"/>
                      <w:sz w:val="21"/>
                      <w:szCs w:val="21"/>
                      <w:lang w:val="en-US" w:eastAsia="zh-CN"/>
                    </w:rPr>
                    <w:t>、SS、NH</w:t>
                  </w:r>
                  <w:r>
                    <w:rPr>
                      <w:rFonts w:hint="eastAsia" w:ascii="Times New Roman" w:hAnsi="Times New Roman" w:eastAsia="宋体"/>
                      <w:color w:val="auto"/>
                      <w:kern w:val="0"/>
                      <w:sz w:val="21"/>
                      <w:szCs w:val="21"/>
                      <w:vertAlign w:val="subscript"/>
                      <w:lang w:val="en-US" w:eastAsia="zh-CN"/>
                    </w:rPr>
                    <w:t>3</w:t>
                  </w:r>
                  <w:r>
                    <w:rPr>
                      <w:rFonts w:hint="eastAsia" w:ascii="Times New Roman" w:hAnsi="Times New Roman" w:eastAsia="宋体"/>
                      <w:color w:val="auto"/>
                      <w:kern w:val="0"/>
                      <w:sz w:val="21"/>
                      <w:szCs w:val="21"/>
                      <w:lang w:val="en-US" w:eastAsia="zh-CN"/>
                    </w:rPr>
                    <w:t>-H</w:t>
                  </w:r>
                </w:p>
              </w:tc>
              <w:tc>
                <w:tcPr>
                  <w:tcW w:w="2422" w:type="dxa"/>
                  <w:noWrap w:val="0"/>
                  <w:vAlign w:val="center"/>
                </w:tcPr>
                <w:p w14:paraId="00129505">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淮北蓝海水处理有限公司接管标准和《污水综合排放标准》（GB8978-1996））表4的三级标准</w:t>
                  </w:r>
                </w:p>
              </w:tc>
              <w:tc>
                <w:tcPr>
                  <w:tcW w:w="2888" w:type="dxa"/>
                  <w:noWrap w:val="0"/>
                  <w:vAlign w:val="center"/>
                </w:tcPr>
                <w:p w14:paraId="3FD7A004">
                  <w:pPr>
                    <w:widowControl/>
                    <w:spacing w:line="240" w:lineRule="auto"/>
                    <w:ind w:firstLine="0" w:firstLineChars="0"/>
                    <w:jc w:val="center"/>
                    <w:textAlignment w:val="center"/>
                    <w:rPr>
                      <w:rFonts w:hint="default"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vertAlign w:val="subscript"/>
                      <w:lang w:val="en-US" w:eastAsia="zh-CN"/>
                    </w:rPr>
                    <w:t>P</w:t>
                  </w:r>
                  <w:r>
                    <w:rPr>
                      <w:rFonts w:hint="eastAsia" w:ascii="Times New Roman" w:hAnsi="Times New Roman" w:eastAsia="宋体"/>
                      <w:color w:val="auto"/>
                      <w:kern w:val="0"/>
                      <w:sz w:val="21"/>
                      <w:szCs w:val="21"/>
                      <w:lang w:val="en-US" w:eastAsia="zh-CN"/>
                    </w:rPr>
                    <w:t>H：6~9、COD：</w:t>
                  </w:r>
                  <w:r>
                    <w:rPr>
                      <w:rFonts w:hint="eastAsia"/>
                      <w:color w:val="auto"/>
                      <w:kern w:val="0"/>
                      <w:sz w:val="21"/>
                      <w:szCs w:val="21"/>
                      <w:lang w:val="en-US" w:eastAsia="zh-CN"/>
                    </w:rPr>
                    <w:t>480</w:t>
                  </w:r>
                  <w:r>
                    <w:rPr>
                      <w:rFonts w:hint="eastAsia" w:ascii="Times New Roman" w:hAnsi="Times New Roman" w:eastAsia="宋体"/>
                      <w:color w:val="auto"/>
                      <w:kern w:val="0"/>
                      <w:sz w:val="21"/>
                      <w:szCs w:val="21"/>
                      <w:lang w:val="en-US" w:eastAsia="zh-CN"/>
                    </w:rPr>
                    <w:t>、BOD</w:t>
                  </w:r>
                  <w:r>
                    <w:rPr>
                      <w:rFonts w:hint="eastAsia" w:ascii="Times New Roman" w:hAnsi="Times New Roman" w:eastAsia="宋体"/>
                      <w:color w:val="auto"/>
                      <w:kern w:val="0"/>
                      <w:sz w:val="21"/>
                      <w:szCs w:val="21"/>
                      <w:vertAlign w:val="subscript"/>
                      <w:lang w:val="en-US" w:eastAsia="zh-CN"/>
                    </w:rPr>
                    <w:t>5</w:t>
                  </w:r>
                  <w:r>
                    <w:rPr>
                      <w:rFonts w:hint="eastAsia" w:ascii="Times New Roman" w:hAnsi="Times New Roman" w:eastAsia="宋体"/>
                      <w:color w:val="auto"/>
                      <w:kern w:val="0"/>
                      <w:sz w:val="21"/>
                      <w:szCs w:val="21"/>
                      <w:lang w:val="en-US" w:eastAsia="zh-CN"/>
                    </w:rPr>
                    <w:t>：</w:t>
                  </w:r>
                  <w:r>
                    <w:rPr>
                      <w:rFonts w:hint="eastAsia"/>
                      <w:color w:val="auto"/>
                      <w:kern w:val="0"/>
                      <w:sz w:val="21"/>
                      <w:szCs w:val="21"/>
                      <w:lang w:val="en-US" w:eastAsia="zh-CN"/>
                    </w:rPr>
                    <w:t>120</w:t>
                  </w:r>
                  <w:r>
                    <w:rPr>
                      <w:rFonts w:hint="eastAsia" w:ascii="Times New Roman" w:hAnsi="Times New Roman" w:eastAsia="宋体"/>
                      <w:color w:val="auto"/>
                      <w:kern w:val="0"/>
                      <w:sz w:val="21"/>
                      <w:szCs w:val="21"/>
                      <w:lang w:val="en-US" w:eastAsia="zh-CN"/>
                    </w:rPr>
                    <w:t>、SS：</w:t>
                  </w:r>
                  <w:r>
                    <w:rPr>
                      <w:rFonts w:hint="eastAsia"/>
                      <w:color w:val="auto"/>
                      <w:kern w:val="0"/>
                      <w:sz w:val="21"/>
                      <w:szCs w:val="21"/>
                      <w:lang w:val="en-US" w:eastAsia="zh-CN"/>
                    </w:rPr>
                    <w:t>310</w:t>
                  </w:r>
                  <w:r>
                    <w:rPr>
                      <w:rFonts w:hint="eastAsia" w:ascii="Times New Roman" w:hAnsi="Times New Roman" w:eastAsia="宋体"/>
                      <w:color w:val="auto"/>
                      <w:kern w:val="0"/>
                      <w:sz w:val="21"/>
                      <w:szCs w:val="21"/>
                      <w:lang w:val="en-US" w:eastAsia="zh-CN"/>
                    </w:rPr>
                    <w:t>、NH</w:t>
                  </w:r>
                  <w:r>
                    <w:rPr>
                      <w:rFonts w:hint="eastAsia" w:ascii="Times New Roman" w:hAnsi="Times New Roman" w:eastAsia="宋体"/>
                      <w:color w:val="auto"/>
                      <w:kern w:val="0"/>
                      <w:sz w:val="21"/>
                      <w:szCs w:val="21"/>
                      <w:vertAlign w:val="subscript"/>
                      <w:lang w:val="en-US" w:eastAsia="zh-CN"/>
                    </w:rPr>
                    <w:t>3</w:t>
                  </w:r>
                  <w:r>
                    <w:rPr>
                      <w:rFonts w:hint="eastAsia" w:ascii="Times New Roman" w:hAnsi="Times New Roman" w:eastAsia="宋体"/>
                      <w:color w:val="auto"/>
                      <w:kern w:val="0"/>
                      <w:sz w:val="21"/>
                      <w:szCs w:val="21"/>
                      <w:lang w:val="en-US" w:eastAsia="zh-CN"/>
                    </w:rPr>
                    <w:t>-H：35</w:t>
                  </w:r>
                  <w:r>
                    <w:rPr>
                      <w:rFonts w:hint="eastAsia"/>
                      <w:color w:val="auto"/>
                      <w:kern w:val="0"/>
                      <w:sz w:val="21"/>
                      <w:szCs w:val="21"/>
                      <w:lang w:val="en-US" w:eastAsia="zh-CN"/>
                    </w:rPr>
                    <w:t>、</w:t>
                  </w:r>
                  <w:r>
                    <w:rPr>
                      <w:rFonts w:hint="eastAsia"/>
                      <w:b w:val="0"/>
                      <w:bCs w:val="0"/>
                      <w:color w:val="auto"/>
                      <w:sz w:val="21"/>
                      <w:szCs w:val="21"/>
                      <w:lang w:val="en-US" w:eastAsia="zh-CN"/>
                    </w:rPr>
                    <w:t>动植物油：100</w:t>
                  </w:r>
                </w:p>
              </w:tc>
            </w:tr>
          </w:tbl>
          <w:p w14:paraId="39C720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rFonts w:hint="eastAsia" w:cs="宋体"/>
                <w:b/>
                <w:bCs/>
                <w:color w:val="auto"/>
                <w:sz w:val="24"/>
                <w:szCs w:val="24"/>
              </w:rPr>
              <w:t>表</w:t>
            </w:r>
            <w:r>
              <w:rPr>
                <w:b/>
                <w:bCs/>
                <w:color w:val="auto"/>
                <w:sz w:val="24"/>
                <w:szCs w:val="24"/>
              </w:rPr>
              <w:t>4-</w:t>
            </w:r>
            <w:r>
              <w:rPr>
                <w:rFonts w:hint="eastAsia"/>
                <w:b/>
                <w:bCs/>
                <w:color w:val="auto"/>
                <w:sz w:val="24"/>
                <w:szCs w:val="24"/>
                <w:lang w:val="en-US" w:eastAsia="zh-CN"/>
              </w:rPr>
              <w:t>22</w:t>
            </w:r>
            <w:r>
              <w:rPr>
                <w:b/>
                <w:bCs/>
                <w:color w:val="auto"/>
                <w:sz w:val="24"/>
                <w:szCs w:val="24"/>
              </w:rPr>
              <w:t xml:space="preserve">  </w:t>
            </w:r>
            <w:r>
              <w:rPr>
                <w:rFonts w:hint="eastAsia" w:cs="宋体"/>
                <w:b/>
                <w:bCs/>
                <w:color w:val="auto"/>
                <w:sz w:val="24"/>
                <w:szCs w:val="24"/>
              </w:rPr>
              <w:t>废水污染物排放信息表</w:t>
            </w:r>
          </w:p>
          <w:tbl>
            <w:tblPr>
              <w:tblStyle w:val="26"/>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73"/>
              <w:gridCol w:w="1368"/>
              <w:gridCol w:w="1368"/>
              <w:gridCol w:w="1369"/>
              <w:gridCol w:w="1368"/>
            </w:tblGrid>
            <w:tr w14:paraId="3E53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7" w:type="pct"/>
                  <w:noWrap w:val="0"/>
                  <w:vAlign w:val="center"/>
                </w:tcPr>
                <w:p w14:paraId="2FDDFCC2">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序号</w:t>
                  </w:r>
                </w:p>
              </w:tc>
              <w:tc>
                <w:tcPr>
                  <w:tcW w:w="836" w:type="pct"/>
                  <w:noWrap w:val="0"/>
                  <w:vAlign w:val="center"/>
                </w:tcPr>
                <w:p w14:paraId="10F1B4EB">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排放口编号</w:t>
                  </w:r>
                </w:p>
              </w:tc>
              <w:tc>
                <w:tcPr>
                  <w:tcW w:w="833" w:type="pct"/>
                  <w:noWrap w:val="0"/>
                  <w:vAlign w:val="center"/>
                </w:tcPr>
                <w:p w14:paraId="00146E17">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污染物种类</w:t>
                  </w:r>
                </w:p>
              </w:tc>
              <w:tc>
                <w:tcPr>
                  <w:tcW w:w="833" w:type="pct"/>
                  <w:noWrap w:val="0"/>
                  <w:vAlign w:val="center"/>
                </w:tcPr>
                <w:p w14:paraId="5A2F443E">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排放浓度（mg/L）</w:t>
                  </w:r>
                </w:p>
              </w:tc>
              <w:tc>
                <w:tcPr>
                  <w:tcW w:w="834" w:type="pct"/>
                  <w:noWrap w:val="0"/>
                  <w:vAlign w:val="center"/>
                </w:tcPr>
                <w:p w14:paraId="7C6B1292">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日排放量（t/d）</w:t>
                  </w:r>
                </w:p>
              </w:tc>
              <w:tc>
                <w:tcPr>
                  <w:tcW w:w="833" w:type="pct"/>
                  <w:noWrap w:val="0"/>
                  <w:vAlign w:val="center"/>
                </w:tcPr>
                <w:p w14:paraId="7F1E8836">
                  <w:pPr>
                    <w:widowControl/>
                    <w:spacing w:line="240" w:lineRule="auto"/>
                    <w:ind w:firstLine="0" w:firstLineChars="0"/>
                    <w:jc w:val="center"/>
                    <w:textAlignment w:val="center"/>
                    <w:rPr>
                      <w:rFonts w:hint="eastAsia" w:ascii="Times New Roman" w:hAnsi="Times New Roman" w:eastAsia="宋体"/>
                      <w:b/>
                      <w:bCs/>
                      <w:color w:val="auto"/>
                      <w:kern w:val="0"/>
                      <w:sz w:val="21"/>
                      <w:szCs w:val="21"/>
                      <w:lang w:val="en-US" w:eastAsia="zh-CN"/>
                    </w:rPr>
                  </w:pPr>
                  <w:r>
                    <w:rPr>
                      <w:rFonts w:hint="eastAsia" w:ascii="Times New Roman" w:hAnsi="Times New Roman" w:eastAsia="宋体"/>
                      <w:b/>
                      <w:bCs/>
                      <w:color w:val="auto"/>
                      <w:kern w:val="0"/>
                      <w:sz w:val="21"/>
                      <w:szCs w:val="21"/>
                      <w:lang w:val="en-US" w:eastAsia="zh-CN"/>
                    </w:rPr>
                    <w:t>年排放量（t/a）</w:t>
                  </w:r>
                </w:p>
              </w:tc>
            </w:tr>
            <w:tr w14:paraId="5CC1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7" w:type="pct"/>
                  <w:vMerge w:val="restart"/>
                  <w:noWrap w:val="0"/>
                  <w:vAlign w:val="center"/>
                </w:tcPr>
                <w:p w14:paraId="2B9E8072">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1</w:t>
                  </w:r>
                </w:p>
              </w:tc>
              <w:tc>
                <w:tcPr>
                  <w:tcW w:w="836" w:type="pct"/>
                  <w:vMerge w:val="restart"/>
                  <w:noWrap w:val="0"/>
                  <w:vAlign w:val="center"/>
                </w:tcPr>
                <w:p w14:paraId="6539383C">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DW001</w:t>
                  </w:r>
                </w:p>
              </w:tc>
              <w:tc>
                <w:tcPr>
                  <w:tcW w:w="833" w:type="pct"/>
                  <w:noWrap w:val="0"/>
                  <w:vAlign w:val="center"/>
                </w:tcPr>
                <w:p w14:paraId="4BE4413D">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sz w:val="21"/>
                      <w:szCs w:val="21"/>
                      <w:lang w:val="en-US" w:eastAsia="zh-CN"/>
                    </w:rPr>
                    <w:t>COD</w:t>
                  </w:r>
                </w:p>
              </w:tc>
              <w:tc>
                <w:tcPr>
                  <w:tcW w:w="833" w:type="pct"/>
                  <w:noWrap w:val="0"/>
                  <w:vAlign w:val="center"/>
                </w:tcPr>
                <w:p w14:paraId="7F80AE05">
                  <w:pPr>
                    <w:widowControl/>
                    <w:spacing w:line="240" w:lineRule="auto"/>
                    <w:ind w:firstLine="0" w:firstLineChars="0"/>
                    <w:jc w:val="center"/>
                    <w:textAlignment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121.694</w:t>
                  </w:r>
                </w:p>
              </w:tc>
              <w:tc>
                <w:tcPr>
                  <w:tcW w:w="834" w:type="pct"/>
                  <w:noWrap w:val="0"/>
                  <w:vAlign w:val="center"/>
                </w:tcPr>
                <w:p w14:paraId="25075BD3">
                  <w:pPr>
                    <w:widowControl/>
                    <w:spacing w:line="240" w:lineRule="auto"/>
                    <w:ind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0.0003</w:t>
                  </w:r>
                </w:p>
              </w:tc>
              <w:tc>
                <w:tcPr>
                  <w:tcW w:w="833" w:type="pct"/>
                  <w:noWrap w:val="0"/>
                  <w:vAlign w:val="center"/>
                </w:tcPr>
                <w:p w14:paraId="45B96F84">
                  <w:pPr>
                    <w:pStyle w:val="4"/>
                    <w:ind w:firstLine="0" w:firstLineChars="0"/>
                    <w:outlineLvl w:val="0"/>
                    <w:rPr>
                      <w:rFonts w:hint="default" w:ascii="Times New Roman" w:hAnsi="Times New Roman" w:eastAsia="宋体"/>
                      <w:color w:val="auto"/>
                      <w:kern w:val="0"/>
                      <w:sz w:val="21"/>
                      <w:szCs w:val="21"/>
                      <w:lang w:val="en-US" w:eastAsia="zh-CN"/>
                    </w:rPr>
                  </w:pPr>
                  <w:r>
                    <w:rPr>
                      <w:rFonts w:hint="eastAsia"/>
                      <w:color w:val="auto"/>
                      <w:lang w:val="en-US" w:eastAsia="zh-CN"/>
                    </w:rPr>
                    <w:t>0.068</w:t>
                  </w:r>
                </w:p>
              </w:tc>
            </w:tr>
            <w:tr w14:paraId="0BC9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7" w:type="pct"/>
                  <w:vMerge w:val="continue"/>
                  <w:noWrap w:val="0"/>
                  <w:vAlign w:val="center"/>
                </w:tcPr>
                <w:p w14:paraId="04CA849B">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36" w:type="pct"/>
                  <w:vMerge w:val="continue"/>
                  <w:noWrap w:val="0"/>
                  <w:vAlign w:val="center"/>
                </w:tcPr>
                <w:p w14:paraId="7B923395">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33" w:type="pct"/>
                  <w:noWrap w:val="0"/>
                  <w:vAlign w:val="center"/>
                </w:tcPr>
                <w:p w14:paraId="2B8D6C42">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sz w:val="21"/>
                      <w:szCs w:val="21"/>
                      <w:lang w:val="en-US" w:eastAsia="zh-CN"/>
                    </w:rPr>
                    <w:t>BOD</w:t>
                  </w:r>
                  <w:r>
                    <w:rPr>
                      <w:rFonts w:hint="eastAsia" w:ascii="Times New Roman" w:hAnsi="Times New Roman" w:eastAsia="宋体"/>
                      <w:color w:val="auto"/>
                      <w:sz w:val="21"/>
                      <w:szCs w:val="21"/>
                      <w:vertAlign w:val="subscript"/>
                      <w:lang w:val="en-US" w:eastAsia="zh-CN"/>
                    </w:rPr>
                    <w:t>5</w:t>
                  </w:r>
                </w:p>
              </w:tc>
              <w:tc>
                <w:tcPr>
                  <w:tcW w:w="833" w:type="pct"/>
                  <w:noWrap w:val="0"/>
                  <w:vAlign w:val="center"/>
                </w:tcPr>
                <w:p w14:paraId="5663B1BB">
                  <w:pPr>
                    <w:widowControl/>
                    <w:spacing w:line="240" w:lineRule="auto"/>
                    <w:ind w:firstLine="0" w:firstLineChars="0"/>
                    <w:jc w:val="center"/>
                    <w:textAlignment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200</w:t>
                  </w:r>
                </w:p>
              </w:tc>
              <w:tc>
                <w:tcPr>
                  <w:tcW w:w="834" w:type="pct"/>
                  <w:noWrap w:val="0"/>
                  <w:vAlign w:val="center"/>
                </w:tcPr>
                <w:p w14:paraId="7E380EF2">
                  <w:pPr>
                    <w:widowControl/>
                    <w:spacing w:line="240" w:lineRule="auto"/>
                    <w:ind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0.00006</w:t>
                  </w:r>
                </w:p>
              </w:tc>
              <w:tc>
                <w:tcPr>
                  <w:tcW w:w="833" w:type="pct"/>
                  <w:noWrap w:val="0"/>
                  <w:vAlign w:val="center"/>
                </w:tcPr>
                <w:p w14:paraId="1E159259">
                  <w:pPr>
                    <w:pStyle w:val="4"/>
                    <w:ind w:firstLine="0" w:firstLineChars="0"/>
                    <w:outlineLvl w:val="0"/>
                    <w:rPr>
                      <w:rFonts w:hint="default" w:ascii="Times New Roman" w:hAnsi="Times New Roman" w:eastAsia="宋体"/>
                      <w:color w:val="auto"/>
                      <w:kern w:val="0"/>
                      <w:sz w:val="21"/>
                      <w:szCs w:val="21"/>
                      <w:lang w:val="en-US" w:eastAsia="zh-CN"/>
                    </w:rPr>
                  </w:pPr>
                  <w:r>
                    <w:rPr>
                      <w:rFonts w:hint="eastAsia"/>
                      <w:color w:val="auto"/>
                      <w:lang w:val="en-US" w:eastAsia="zh-CN"/>
                    </w:rPr>
                    <w:t>0.012</w:t>
                  </w:r>
                </w:p>
              </w:tc>
            </w:tr>
            <w:tr w14:paraId="46F9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7" w:type="pct"/>
                  <w:vMerge w:val="continue"/>
                  <w:noWrap w:val="0"/>
                  <w:vAlign w:val="center"/>
                </w:tcPr>
                <w:p w14:paraId="541279B1">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36" w:type="pct"/>
                  <w:vMerge w:val="continue"/>
                  <w:noWrap w:val="0"/>
                  <w:vAlign w:val="center"/>
                </w:tcPr>
                <w:p w14:paraId="0DC5192F">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33" w:type="pct"/>
                  <w:noWrap w:val="0"/>
                  <w:vAlign w:val="center"/>
                </w:tcPr>
                <w:p w14:paraId="1021CE2B">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sz w:val="21"/>
                      <w:szCs w:val="21"/>
                      <w:lang w:val="en-US" w:eastAsia="zh-CN"/>
                    </w:rPr>
                    <w:t>SS</w:t>
                  </w:r>
                </w:p>
              </w:tc>
              <w:tc>
                <w:tcPr>
                  <w:tcW w:w="833" w:type="pct"/>
                  <w:noWrap w:val="0"/>
                  <w:vAlign w:val="center"/>
                </w:tcPr>
                <w:p w14:paraId="2BB6C315">
                  <w:pPr>
                    <w:widowControl/>
                    <w:spacing w:line="240" w:lineRule="auto"/>
                    <w:ind w:firstLine="0" w:firstLineChars="0"/>
                    <w:jc w:val="center"/>
                    <w:textAlignment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155.423</w:t>
                  </w:r>
                </w:p>
              </w:tc>
              <w:tc>
                <w:tcPr>
                  <w:tcW w:w="834" w:type="pct"/>
                  <w:noWrap w:val="0"/>
                  <w:vAlign w:val="center"/>
                </w:tcPr>
                <w:p w14:paraId="2D1DBFCD">
                  <w:pPr>
                    <w:widowControl/>
                    <w:spacing w:line="240" w:lineRule="auto"/>
                    <w:ind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0.0004</w:t>
                  </w:r>
                </w:p>
              </w:tc>
              <w:tc>
                <w:tcPr>
                  <w:tcW w:w="833" w:type="pct"/>
                  <w:noWrap w:val="0"/>
                  <w:vAlign w:val="center"/>
                </w:tcPr>
                <w:p w14:paraId="3F19C3EB">
                  <w:pPr>
                    <w:pStyle w:val="4"/>
                    <w:ind w:firstLine="0" w:firstLineChars="0"/>
                    <w:outlineLvl w:val="0"/>
                    <w:rPr>
                      <w:rFonts w:hint="default" w:ascii="Times New Roman" w:hAnsi="Times New Roman" w:eastAsia="宋体"/>
                      <w:color w:val="auto"/>
                      <w:kern w:val="0"/>
                      <w:sz w:val="21"/>
                      <w:szCs w:val="21"/>
                      <w:lang w:val="en-US" w:eastAsia="zh-CN"/>
                    </w:rPr>
                  </w:pPr>
                  <w:r>
                    <w:rPr>
                      <w:rFonts w:hint="eastAsia"/>
                      <w:color w:val="auto"/>
                      <w:lang w:val="en-US" w:eastAsia="zh-CN"/>
                    </w:rPr>
                    <w:t>0.087</w:t>
                  </w:r>
                </w:p>
              </w:tc>
            </w:tr>
            <w:tr w14:paraId="14C0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7" w:type="pct"/>
                  <w:vMerge w:val="continue"/>
                  <w:noWrap w:val="0"/>
                  <w:vAlign w:val="center"/>
                </w:tcPr>
                <w:p w14:paraId="15B4FED8">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36" w:type="pct"/>
                  <w:vMerge w:val="continue"/>
                  <w:noWrap w:val="0"/>
                  <w:vAlign w:val="center"/>
                </w:tcPr>
                <w:p w14:paraId="340B4A3D">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833" w:type="pct"/>
                  <w:noWrap w:val="0"/>
                  <w:vAlign w:val="center"/>
                </w:tcPr>
                <w:p w14:paraId="7A5DCD21">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sz w:val="21"/>
                      <w:szCs w:val="21"/>
                      <w:lang w:val="en-US" w:eastAsia="zh-CN"/>
                    </w:rPr>
                    <w:t>NH</w:t>
                  </w:r>
                  <w:r>
                    <w:rPr>
                      <w:rFonts w:hint="eastAsia" w:ascii="Times New Roman" w:hAnsi="Times New Roman" w:eastAsia="宋体"/>
                      <w:color w:val="auto"/>
                      <w:sz w:val="21"/>
                      <w:szCs w:val="21"/>
                      <w:vertAlign w:val="subscript"/>
                      <w:lang w:val="en-US" w:eastAsia="zh-CN"/>
                    </w:rPr>
                    <w:t>3</w:t>
                  </w:r>
                  <w:r>
                    <w:rPr>
                      <w:rFonts w:hint="eastAsia" w:ascii="Times New Roman" w:hAnsi="Times New Roman" w:eastAsia="宋体"/>
                      <w:color w:val="auto"/>
                      <w:sz w:val="21"/>
                      <w:szCs w:val="21"/>
                      <w:lang w:val="en-US" w:eastAsia="zh-CN"/>
                    </w:rPr>
                    <w:t>-N</w:t>
                  </w:r>
                </w:p>
              </w:tc>
              <w:tc>
                <w:tcPr>
                  <w:tcW w:w="833" w:type="pct"/>
                  <w:noWrap w:val="0"/>
                  <w:vAlign w:val="center"/>
                </w:tcPr>
                <w:p w14:paraId="6A68D7B1">
                  <w:pPr>
                    <w:widowControl/>
                    <w:spacing w:line="240" w:lineRule="auto"/>
                    <w:ind w:firstLine="0" w:firstLineChars="0"/>
                    <w:jc w:val="center"/>
                    <w:textAlignment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35</w:t>
                  </w:r>
                </w:p>
              </w:tc>
              <w:tc>
                <w:tcPr>
                  <w:tcW w:w="834" w:type="pct"/>
                  <w:noWrap w:val="0"/>
                  <w:vAlign w:val="center"/>
                </w:tcPr>
                <w:p w14:paraId="4499219D">
                  <w:pPr>
                    <w:widowControl/>
                    <w:spacing w:line="240" w:lineRule="auto"/>
                    <w:ind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0.00001</w:t>
                  </w:r>
                </w:p>
              </w:tc>
              <w:tc>
                <w:tcPr>
                  <w:tcW w:w="833" w:type="pct"/>
                  <w:noWrap w:val="0"/>
                  <w:vAlign w:val="center"/>
                </w:tcPr>
                <w:p w14:paraId="1EB13FA5">
                  <w:pPr>
                    <w:pStyle w:val="4"/>
                    <w:ind w:firstLine="0" w:firstLineChars="0"/>
                    <w:outlineLvl w:val="0"/>
                    <w:rPr>
                      <w:rFonts w:hint="default" w:ascii="Times New Roman" w:hAnsi="Times New Roman" w:eastAsia="宋体"/>
                      <w:color w:val="auto"/>
                      <w:kern w:val="0"/>
                      <w:sz w:val="21"/>
                      <w:szCs w:val="21"/>
                      <w:lang w:val="en-US" w:eastAsia="zh-CN"/>
                    </w:rPr>
                  </w:pPr>
                  <w:r>
                    <w:rPr>
                      <w:rFonts w:hint="eastAsia"/>
                      <w:color w:val="auto"/>
                      <w:lang w:val="en-US" w:eastAsia="zh-CN"/>
                    </w:rPr>
                    <w:t>0.002</w:t>
                  </w:r>
                </w:p>
              </w:tc>
            </w:tr>
            <w:tr w14:paraId="47BC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4" w:type="pct"/>
                  <w:gridSpan w:val="2"/>
                  <w:vMerge w:val="restart"/>
                  <w:noWrap w:val="0"/>
                  <w:vAlign w:val="center"/>
                </w:tcPr>
                <w:p w14:paraId="29428E69">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全厂排放合计</w:t>
                  </w:r>
                </w:p>
              </w:tc>
              <w:tc>
                <w:tcPr>
                  <w:tcW w:w="2501" w:type="pct"/>
                  <w:gridSpan w:val="3"/>
                  <w:noWrap w:val="0"/>
                  <w:vAlign w:val="center"/>
                </w:tcPr>
                <w:p w14:paraId="484C8479">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sz w:val="21"/>
                      <w:szCs w:val="21"/>
                      <w:lang w:val="en-US" w:eastAsia="zh-CN"/>
                    </w:rPr>
                    <w:t>COD</w:t>
                  </w:r>
                </w:p>
              </w:tc>
              <w:tc>
                <w:tcPr>
                  <w:tcW w:w="1368" w:type="dxa"/>
                  <w:noWrap w:val="0"/>
                  <w:vAlign w:val="center"/>
                </w:tcPr>
                <w:p w14:paraId="4C55E785">
                  <w:pPr>
                    <w:pStyle w:val="4"/>
                    <w:ind w:firstLine="0" w:firstLineChars="0"/>
                    <w:outlineLvl w:val="0"/>
                    <w:rPr>
                      <w:rFonts w:hint="eastAsia" w:ascii="Times New Roman" w:hAnsi="Times New Roman" w:eastAsia="宋体"/>
                      <w:color w:val="auto"/>
                      <w:kern w:val="0"/>
                      <w:sz w:val="21"/>
                      <w:szCs w:val="21"/>
                      <w:lang w:val="en-US" w:eastAsia="zh-CN"/>
                    </w:rPr>
                  </w:pPr>
                  <w:r>
                    <w:rPr>
                      <w:rFonts w:hint="eastAsia"/>
                      <w:color w:val="auto"/>
                      <w:lang w:val="en-US" w:eastAsia="zh-CN"/>
                    </w:rPr>
                    <w:t>0.068</w:t>
                  </w:r>
                </w:p>
              </w:tc>
            </w:tr>
            <w:tr w14:paraId="3F92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4" w:type="pct"/>
                  <w:gridSpan w:val="2"/>
                  <w:vMerge w:val="continue"/>
                  <w:noWrap w:val="0"/>
                  <w:vAlign w:val="center"/>
                </w:tcPr>
                <w:p w14:paraId="2D5FA6F0">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p>
              </w:tc>
              <w:tc>
                <w:tcPr>
                  <w:tcW w:w="2501" w:type="pct"/>
                  <w:gridSpan w:val="3"/>
                  <w:noWrap w:val="0"/>
                  <w:vAlign w:val="center"/>
                </w:tcPr>
                <w:p w14:paraId="661A21A2">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sz w:val="21"/>
                      <w:szCs w:val="21"/>
                      <w:lang w:val="en-US" w:eastAsia="zh-CN"/>
                    </w:rPr>
                    <w:t>BOD</w:t>
                  </w:r>
                  <w:r>
                    <w:rPr>
                      <w:rFonts w:hint="eastAsia" w:ascii="Times New Roman" w:hAnsi="Times New Roman" w:eastAsia="宋体"/>
                      <w:color w:val="auto"/>
                      <w:sz w:val="21"/>
                      <w:szCs w:val="21"/>
                      <w:vertAlign w:val="subscript"/>
                      <w:lang w:val="en-US" w:eastAsia="zh-CN"/>
                    </w:rPr>
                    <w:t>5</w:t>
                  </w:r>
                </w:p>
              </w:tc>
              <w:tc>
                <w:tcPr>
                  <w:tcW w:w="1368" w:type="dxa"/>
                  <w:noWrap w:val="0"/>
                  <w:vAlign w:val="center"/>
                </w:tcPr>
                <w:p w14:paraId="596E14D0">
                  <w:pPr>
                    <w:pStyle w:val="4"/>
                    <w:ind w:firstLine="0" w:firstLineChars="0"/>
                    <w:outlineLvl w:val="0"/>
                    <w:rPr>
                      <w:rFonts w:hint="eastAsia" w:ascii="Times New Roman" w:hAnsi="Times New Roman" w:eastAsia="宋体"/>
                      <w:color w:val="auto"/>
                      <w:kern w:val="0"/>
                      <w:sz w:val="21"/>
                      <w:szCs w:val="21"/>
                      <w:lang w:val="en-US" w:eastAsia="zh-CN"/>
                    </w:rPr>
                  </w:pPr>
                  <w:r>
                    <w:rPr>
                      <w:rFonts w:hint="eastAsia"/>
                      <w:color w:val="auto"/>
                      <w:lang w:val="en-US" w:eastAsia="zh-CN"/>
                    </w:rPr>
                    <w:t>0.012</w:t>
                  </w:r>
                </w:p>
              </w:tc>
            </w:tr>
            <w:tr w14:paraId="3D88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4" w:type="pct"/>
                  <w:gridSpan w:val="2"/>
                  <w:vMerge w:val="continue"/>
                  <w:noWrap w:val="0"/>
                  <w:vAlign w:val="center"/>
                </w:tcPr>
                <w:p w14:paraId="14E75C47">
                  <w:pPr>
                    <w:widowControl/>
                    <w:spacing w:line="240" w:lineRule="auto"/>
                    <w:ind w:firstLine="0" w:firstLineChars="0"/>
                    <w:jc w:val="center"/>
                    <w:textAlignment w:val="center"/>
                    <w:rPr>
                      <w:rFonts w:hint="eastAsia" w:ascii="Times New Roman" w:hAnsi="Times New Roman" w:eastAsia="宋体"/>
                      <w:color w:val="FF0000"/>
                      <w:kern w:val="0"/>
                      <w:sz w:val="21"/>
                      <w:szCs w:val="21"/>
                      <w:lang w:val="en-US" w:eastAsia="zh-CN"/>
                    </w:rPr>
                  </w:pPr>
                </w:p>
              </w:tc>
              <w:tc>
                <w:tcPr>
                  <w:tcW w:w="2501" w:type="pct"/>
                  <w:gridSpan w:val="3"/>
                  <w:noWrap w:val="0"/>
                  <w:vAlign w:val="center"/>
                </w:tcPr>
                <w:p w14:paraId="7D28973E">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sz w:val="21"/>
                      <w:szCs w:val="21"/>
                      <w:lang w:val="en-US" w:eastAsia="zh-CN"/>
                    </w:rPr>
                    <w:t>SS</w:t>
                  </w:r>
                </w:p>
              </w:tc>
              <w:tc>
                <w:tcPr>
                  <w:tcW w:w="1368" w:type="dxa"/>
                  <w:noWrap w:val="0"/>
                  <w:vAlign w:val="center"/>
                </w:tcPr>
                <w:p w14:paraId="71FAF054">
                  <w:pPr>
                    <w:pStyle w:val="4"/>
                    <w:ind w:firstLine="0" w:firstLineChars="0"/>
                    <w:outlineLvl w:val="0"/>
                    <w:rPr>
                      <w:rFonts w:hint="eastAsia" w:ascii="Times New Roman" w:hAnsi="Times New Roman" w:eastAsia="宋体"/>
                      <w:color w:val="auto"/>
                      <w:kern w:val="0"/>
                      <w:sz w:val="21"/>
                      <w:szCs w:val="21"/>
                      <w:lang w:val="en-US" w:eastAsia="zh-CN"/>
                    </w:rPr>
                  </w:pPr>
                  <w:r>
                    <w:rPr>
                      <w:rFonts w:hint="eastAsia"/>
                      <w:color w:val="auto"/>
                      <w:lang w:val="en-US" w:eastAsia="zh-CN"/>
                    </w:rPr>
                    <w:t>0.087</w:t>
                  </w:r>
                </w:p>
              </w:tc>
            </w:tr>
            <w:tr w14:paraId="21A6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4" w:type="pct"/>
                  <w:gridSpan w:val="2"/>
                  <w:vMerge w:val="continue"/>
                  <w:noWrap w:val="0"/>
                  <w:vAlign w:val="center"/>
                </w:tcPr>
                <w:p w14:paraId="74B315AA">
                  <w:pPr>
                    <w:widowControl/>
                    <w:spacing w:line="240" w:lineRule="auto"/>
                    <w:ind w:firstLine="0" w:firstLineChars="0"/>
                    <w:jc w:val="center"/>
                    <w:textAlignment w:val="center"/>
                    <w:rPr>
                      <w:rFonts w:hint="eastAsia" w:ascii="Times New Roman" w:hAnsi="Times New Roman" w:eastAsia="宋体"/>
                      <w:color w:val="FF0000"/>
                      <w:kern w:val="0"/>
                      <w:sz w:val="21"/>
                      <w:szCs w:val="21"/>
                      <w:lang w:val="en-US" w:eastAsia="zh-CN"/>
                    </w:rPr>
                  </w:pPr>
                </w:p>
              </w:tc>
              <w:tc>
                <w:tcPr>
                  <w:tcW w:w="2501" w:type="pct"/>
                  <w:gridSpan w:val="3"/>
                  <w:noWrap w:val="0"/>
                  <w:vAlign w:val="center"/>
                </w:tcPr>
                <w:p w14:paraId="4E3B174F">
                  <w:pPr>
                    <w:widowControl/>
                    <w:spacing w:line="240" w:lineRule="auto"/>
                    <w:ind w:firstLine="0" w:firstLineChars="0"/>
                    <w:jc w:val="center"/>
                    <w:textAlignment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sz w:val="21"/>
                      <w:szCs w:val="21"/>
                      <w:lang w:val="en-US" w:eastAsia="zh-CN"/>
                    </w:rPr>
                    <w:t>NH</w:t>
                  </w:r>
                  <w:r>
                    <w:rPr>
                      <w:rFonts w:hint="eastAsia" w:ascii="Times New Roman" w:hAnsi="Times New Roman" w:eastAsia="宋体"/>
                      <w:color w:val="auto"/>
                      <w:sz w:val="21"/>
                      <w:szCs w:val="21"/>
                      <w:vertAlign w:val="subscript"/>
                      <w:lang w:val="en-US" w:eastAsia="zh-CN"/>
                    </w:rPr>
                    <w:t>3</w:t>
                  </w:r>
                  <w:r>
                    <w:rPr>
                      <w:rFonts w:hint="eastAsia" w:ascii="Times New Roman" w:hAnsi="Times New Roman" w:eastAsia="宋体"/>
                      <w:color w:val="auto"/>
                      <w:sz w:val="21"/>
                      <w:szCs w:val="21"/>
                      <w:lang w:val="en-US" w:eastAsia="zh-CN"/>
                    </w:rPr>
                    <w:t>-N</w:t>
                  </w:r>
                </w:p>
              </w:tc>
              <w:tc>
                <w:tcPr>
                  <w:tcW w:w="1368" w:type="dxa"/>
                  <w:noWrap w:val="0"/>
                  <w:vAlign w:val="center"/>
                </w:tcPr>
                <w:p w14:paraId="12733AF0">
                  <w:pPr>
                    <w:pStyle w:val="4"/>
                    <w:ind w:firstLine="0" w:firstLineChars="0"/>
                    <w:outlineLvl w:val="0"/>
                    <w:rPr>
                      <w:rFonts w:hint="eastAsia" w:ascii="Times New Roman" w:hAnsi="Times New Roman" w:eastAsia="宋体"/>
                      <w:color w:val="auto"/>
                      <w:kern w:val="0"/>
                      <w:sz w:val="21"/>
                      <w:szCs w:val="21"/>
                      <w:lang w:val="en-US" w:eastAsia="zh-CN"/>
                    </w:rPr>
                  </w:pPr>
                  <w:r>
                    <w:rPr>
                      <w:rFonts w:hint="eastAsia"/>
                      <w:color w:val="auto"/>
                      <w:lang w:val="en-US" w:eastAsia="zh-CN"/>
                    </w:rPr>
                    <w:t>0.002</w:t>
                  </w:r>
                </w:p>
              </w:tc>
            </w:tr>
          </w:tbl>
          <w:p w14:paraId="1484EBF2">
            <w:pPr>
              <w:ind w:left="241" w:hanging="241" w:hangingChars="100"/>
              <w:jc w:val="both"/>
              <w:rPr>
                <w:rFonts w:hint="eastAsia"/>
                <w:b/>
                <w:bCs/>
                <w:lang w:val="en-US" w:eastAsia="zh-CN"/>
              </w:rPr>
            </w:pPr>
            <w:r>
              <w:rPr>
                <w:rFonts w:hint="eastAsia"/>
                <w:b/>
                <w:bCs/>
                <w:lang w:val="en-US" w:eastAsia="zh-CN"/>
              </w:rPr>
              <w:t>2.5废水监测计划</w:t>
            </w:r>
          </w:p>
          <w:p w14:paraId="0FC85FE1">
            <w:pPr>
              <w:ind w:firstLine="480"/>
              <w:rPr>
                <w:color w:val="auto"/>
              </w:rPr>
            </w:pPr>
            <w:r>
              <w:rPr>
                <w:rFonts w:hint="eastAsia"/>
                <w:color w:val="auto"/>
                <w:lang w:val="en-US" w:eastAsia="zh-CN"/>
              </w:rPr>
              <w:t>参照《</w:t>
            </w:r>
            <w:r>
              <w:rPr>
                <w:rFonts w:hint="eastAsia"/>
                <w:color w:val="auto"/>
              </w:rPr>
              <w:t>排污许可申请与核发技术规范 总则》（HJ942-2018）</w:t>
            </w:r>
            <w:r>
              <w:rPr>
                <w:rFonts w:hint="eastAsia"/>
                <w:color w:val="auto"/>
                <w:lang w:eastAsia="zh-CN"/>
              </w:rPr>
              <w:t>，</w:t>
            </w:r>
            <w:r>
              <w:rPr>
                <w:rFonts w:hint="eastAsia"/>
                <w:bCs/>
                <w:color w:val="auto"/>
              </w:rPr>
              <w:t>制定污染源监测计划。</w:t>
            </w:r>
          </w:p>
          <w:p w14:paraId="1572EE4B">
            <w:pPr>
              <w:ind w:firstLine="480"/>
              <w:rPr>
                <w:rFonts w:hint="eastAsia" w:cs="宋体"/>
                <w:color w:val="auto"/>
              </w:rPr>
            </w:pPr>
            <w:r>
              <w:rPr>
                <w:color w:val="auto"/>
              </w:rPr>
              <w:t>若企业不具备监测条件，可委托有资质的监测单位进行监测，监测结果以报表形式上报当地环保主管部门。</w:t>
            </w:r>
          </w:p>
          <w:p w14:paraId="048DA7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rPr>
            </w:pPr>
            <w:r>
              <w:rPr>
                <w:b/>
                <w:bCs/>
                <w:color w:val="000000"/>
              </w:rPr>
              <w:t>表</w:t>
            </w:r>
            <w:r>
              <w:rPr>
                <w:rFonts w:hint="eastAsia"/>
                <w:b/>
                <w:bCs/>
                <w:color w:val="000000"/>
              </w:rPr>
              <w:t>4-</w:t>
            </w:r>
            <w:r>
              <w:rPr>
                <w:rFonts w:hint="eastAsia"/>
                <w:b/>
                <w:bCs/>
                <w:color w:val="000000"/>
                <w:lang w:val="en-US" w:eastAsia="zh-CN"/>
              </w:rPr>
              <w:t>23</w:t>
            </w:r>
            <w:r>
              <w:rPr>
                <w:b/>
                <w:bCs/>
                <w:color w:val="000000"/>
              </w:rPr>
              <w:t xml:space="preserve">  </w:t>
            </w:r>
            <w:r>
              <w:rPr>
                <w:rFonts w:hint="eastAsia"/>
                <w:b/>
                <w:bCs/>
                <w:color w:val="000000"/>
              </w:rPr>
              <w:t>建设项目污染源监测</w:t>
            </w:r>
            <w:r>
              <w:rPr>
                <w:b/>
                <w:bCs/>
                <w:color w:val="000000"/>
              </w:rPr>
              <w:t>计划</w:t>
            </w:r>
            <w:r>
              <w:rPr>
                <w:rFonts w:hint="eastAsia"/>
                <w:b/>
                <w:bCs/>
                <w:color w:val="000000"/>
              </w:rPr>
              <w:t>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626"/>
              <w:gridCol w:w="1982"/>
              <w:gridCol w:w="2145"/>
            </w:tblGrid>
            <w:tr w14:paraId="6A69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6B61F968">
                  <w:pPr>
                    <w:pStyle w:val="4"/>
                    <w:jc w:val="center"/>
                    <w:rPr>
                      <w:b/>
                      <w:bCs/>
                      <w:color w:val="auto"/>
                    </w:rPr>
                  </w:pPr>
                  <w:r>
                    <w:rPr>
                      <w:rFonts w:hint="eastAsia"/>
                      <w:b/>
                      <w:bCs/>
                      <w:color w:val="auto"/>
                    </w:rPr>
                    <w:t>监测点位</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5EB20E7F">
                  <w:pPr>
                    <w:pStyle w:val="4"/>
                    <w:jc w:val="center"/>
                    <w:rPr>
                      <w:b/>
                      <w:bCs/>
                      <w:color w:val="auto"/>
                    </w:rPr>
                  </w:pPr>
                  <w:r>
                    <w:rPr>
                      <w:rFonts w:hint="eastAsia"/>
                      <w:b/>
                      <w:bCs/>
                      <w:color w:val="auto"/>
                    </w:rPr>
                    <w:t>监测项目</w:t>
                  </w:r>
                </w:p>
              </w:tc>
              <w:tc>
                <w:tcPr>
                  <w:tcW w:w="1208" w:type="pct"/>
                  <w:tcBorders>
                    <w:top w:val="single" w:color="auto" w:sz="4" w:space="0"/>
                    <w:left w:val="single" w:color="auto" w:sz="4" w:space="0"/>
                    <w:bottom w:val="single" w:color="auto" w:sz="4" w:space="0"/>
                    <w:right w:val="single" w:color="auto" w:sz="4" w:space="0"/>
                  </w:tcBorders>
                  <w:noWrap w:val="0"/>
                  <w:vAlign w:val="center"/>
                </w:tcPr>
                <w:p w14:paraId="5B7D571E">
                  <w:pPr>
                    <w:pStyle w:val="4"/>
                    <w:jc w:val="center"/>
                    <w:rPr>
                      <w:b/>
                      <w:bCs/>
                      <w:color w:val="auto"/>
                    </w:rPr>
                  </w:pPr>
                  <w:r>
                    <w:rPr>
                      <w:rFonts w:hint="eastAsia"/>
                      <w:b/>
                      <w:bCs/>
                      <w:color w:val="auto"/>
                    </w:rPr>
                    <w:t>监测频次</w:t>
                  </w:r>
                </w:p>
              </w:tc>
              <w:tc>
                <w:tcPr>
                  <w:tcW w:w="1306" w:type="pct"/>
                  <w:tcBorders>
                    <w:top w:val="single" w:color="auto" w:sz="4" w:space="0"/>
                    <w:left w:val="single" w:color="auto" w:sz="4" w:space="0"/>
                    <w:bottom w:val="single" w:color="auto" w:sz="4" w:space="0"/>
                    <w:right w:val="single" w:color="auto" w:sz="4" w:space="0"/>
                  </w:tcBorders>
                  <w:noWrap w:val="0"/>
                  <w:vAlign w:val="center"/>
                </w:tcPr>
                <w:p w14:paraId="7227C435">
                  <w:pPr>
                    <w:pStyle w:val="4"/>
                    <w:jc w:val="center"/>
                    <w:rPr>
                      <w:b/>
                      <w:bCs/>
                      <w:color w:val="auto"/>
                    </w:rPr>
                  </w:pPr>
                  <w:r>
                    <w:rPr>
                      <w:rFonts w:hint="eastAsia"/>
                      <w:b/>
                      <w:bCs/>
                      <w:color w:val="auto"/>
                    </w:rPr>
                    <w:t>监测方式</w:t>
                  </w:r>
                </w:p>
              </w:tc>
            </w:tr>
            <w:tr w14:paraId="7A80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059C40E2">
                  <w:pPr>
                    <w:pStyle w:val="4"/>
                    <w:jc w:val="center"/>
                    <w:rPr>
                      <w:color w:val="auto"/>
                    </w:rPr>
                  </w:pPr>
                  <w:r>
                    <w:rPr>
                      <w:color w:val="auto"/>
                    </w:rPr>
                    <w:t>DW001</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6B2412A5">
                  <w:pPr>
                    <w:pStyle w:val="4"/>
                    <w:jc w:val="center"/>
                    <w:rPr>
                      <w:rFonts w:hint="eastAsia" w:eastAsia="宋体"/>
                      <w:color w:val="auto"/>
                      <w:lang w:val="en-US" w:eastAsia="zh-CN"/>
                    </w:rPr>
                  </w:pPr>
                  <w:r>
                    <w:rPr>
                      <w:color w:val="auto"/>
                    </w:rPr>
                    <w:t>COD</w:t>
                  </w:r>
                  <w:r>
                    <w:rPr>
                      <w:rFonts w:hint="eastAsia"/>
                      <w:color w:val="auto"/>
                    </w:rPr>
                    <w:t>、</w:t>
                  </w:r>
                  <w:r>
                    <w:rPr>
                      <w:color w:val="auto"/>
                    </w:rPr>
                    <w:t>BOD</w:t>
                  </w:r>
                  <w:r>
                    <w:rPr>
                      <w:color w:val="auto"/>
                      <w:vertAlign w:val="subscript"/>
                    </w:rPr>
                    <w:t>5</w:t>
                  </w:r>
                  <w:r>
                    <w:rPr>
                      <w:rFonts w:hint="eastAsia"/>
                      <w:color w:val="auto"/>
                    </w:rPr>
                    <w:t>、NH</w:t>
                  </w:r>
                  <w:r>
                    <w:rPr>
                      <w:rFonts w:hint="eastAsia"/>
                      <w:color w:val="auto"/>
                      <w:vertAlign w:val="subscript"/>
                    </w:rPr>
                    <w:t>3</w:t>
                  </w:r>
                  <w:r>
                    <w:rPr>
                      <w:rFonts w:hint="eastAsia"/>
                      <w:color w:val="auto"/>
                    </w:rPr>
                    <w:t>-N、S</w:t>
                  </w:r>
                  <w:r>
                    <w:rPr>
                      <w:rFonts w:hint="eastAsia"/>
                      <w:color w:val="auto"/>
                      <w:lang w:val="en-US" w:eastAsia="zh-CN"/>
                    </w:rPr>
                    <w:t>S等</w:t>
                  </w:r>
                </w:p>
              </w:tc>
              <w:tc>
                <w:tcPr>
                  <w:tcW w:w="1208" w:type="pct"/>
                  <w:tcBorders>
                    <w:top w:val="single" w:color="auto" w:sz="4" w:space="0"/>
                    <w:left w:val="single" w:color="auto" w:sz="4" w:space="0"/>
                    <w:bottom w:val="single" w:color="auto" w:sz="4" w:space="0"/>
                    <w:right w:val="single" w:color="auto" w:sz="4" w:space="0"/>
                  </w:tcBorders>
                  <w:noWrap w:val="0"/>
                  <w:vAlign w:val="center"/>
                </w:tcPr>
                <w:p w14:paraId="4CCE8A3E">
                  <w:pPr>
                    <w:pStyle w:val="4"/>
                    <w:jc w:val="center"/>
                    <w:rPr>
                      <w:color w:val="auto"/>
                    </w:rPr>
                  </w:pPr>
                  <w:r>
                    <w:rPr>
                      <w:color w:val="auto"/>
                    </w:rPr>
                    <w:t>1</w:t>
                  </w:r>
                  <w:r>
                    <w:rPr>
                      <w:rFonts w:hint="eastAsia"/>
                      <w:color w:val="auto"/>
                    </w:rPr>
                    <w:t>次</w:t>
                  </w:r>
                  <w:r>
                    <w:rPr>
                      <w:color w:val="auto"/>
                    </w:rPr>
                    <w:t>/</w:t>
                  </w:r>
                  <w:r>
                    <w:rPr>
                      <w:rFonts w:hint="eastAsia"/>
                      <w:color w:val="auto"/>
                    </w:rPr>
                    <w:t>年</w:t>
                  </w:r>
                </w:p>
              </w:tc>
              <w:tc>
                <w:tcPr>
                  <w:tcW w:w="1306" w:type="pct"/>
                  <w:tcBorders>
                    <w:top w:val="single" w:color="auto" w:sz="4" w:space="0"/>
                    <w:left w:val="single" w:color="auto" w:sz="4" w:space="0"/>
                    <w:bottom w:val="single" w:color="auto" w:sz="4" w:space="0"/>
                    <w:right w:val="single" w:color="auto" w:sz="4" w:space="0"/>
                  </w:tcBorders>
                  <w:noWrap w:val="0"/>
                  <w:vAlign w:val="center"/>
                </w:tcPr>
                <w:p w14:paraId="3F0F280A">
                  <w:pPr>
                    <w:pStyle w:val="4"/>
                    <w:jc w:val="center"/>
                    <w:rPr>
                      <w:color w:val="auto"/>
                    </w:rPr>
                  </w:pPr>
                  <w:r>
                    <w:rPr>
                      <w:rFonts w:hint="eastAsia"/>
                      <w:color w:val="auto"/>
                    </w:rPr>
                    <w:t>委托监测</w:t>
                  </w:r>
                </w:p>
              </w:tc>
            </w:tr>
          </w:tbl>
          <w:p w14:paraId="7B8FA35C">
            <w:pPr>
              <w:keepNext w:val="0"/>
              <w:keepLines w:val="0"/>
              <w:widowControl/>
              <w:suppressLineNumbers w:val="0"/>
              <w:spacing w:before="0" w:beforeAutospacing="0" w:after="0" w:afterAutospacing="0" w:line="360" w:lineRule="auto"/>
              <w:ind w:left="0" w:leftChars="0" w:right="0" w:firstLine="0" w:firstLineChars="0"/>
              <w:jc w:val="left"/>
              <w:rPr>
                <w:rFonts w:hint="default"/>
                <w:b/>
                <w:bCs/>
                <w:color w:val="auto"/>
                <w:sz w:val="24"/>
                <w:szCs w:val="24"/>
              </w:rPr>
            </w:pPr>
            <w:r>
              <w:rPr>
                <w:rFonts w:hint="default"/>
                <w:b/>
                <w:bCs/>
                <w:color w:val="auto"/>
                <w:sz w:val="24"/>
                <w:szCs w:val="24"/>
              </w:rPr>
              <w:t>3</w:t>
            </w:r>
            <w:r>
              <w:rPr>
                <w:rFonts w:hint="eastAsia" w:cs="宋体"/>
                <w:b/>
                <w:bCs/>
                <w:color w:val="auto"/>
                <w:sz w:val="24"/>
                <w:szCs w:val="24"/>
              </w:rPr>
              <w:t>、噪声</w:t>
            </w:r>
          </w:p>
          <w:p w14:paraId="41E7B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评价采用《环境影响评价技术导则</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声环境》（HJ2.4-2021）推荐的工业噪声预测计算模式，对项目运行后厂界噪声变化情况进行分析。根据项目各个噪声源的特征，总体划分为面源和点源。对同个厂房内多个设备可作为面源，将整个厂房等效作为面源；室外的噪声源设备，则均视为单个点源。</w:t>
            </w:r>
          </w:p>
          <w:p w14:paraId="6DFAA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 xml:space="preserve">3.1 </w:t>
            </w:r>
            <w:r>
              <w:rPr>
                <w:rFonts w:hint="default" w:ascii="Times New Roman" w:hAnsi="Times New Roman" w:cs="Times New Roman"/>
                <w:b/>
                <w:bCs/>
                <w:color w:val="auto"/>
                <w:sz w:val="24"/>
                <w:szCs w:val="24"/>
              </w:rPr>
              <w:t>预测模型</w:t>
            </w:r>
          </w:p>
          <w:p w14:paraId="33E29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拟建项目位于</w:t>
            </w:r>
            <w:r>
              <w:rPr>
                <w:rFonts w:hint="eastAsia" w:cs="Times New Roman"/>
                <w:color w:val="auto"/>
                <w:sz w:val="24"/>
                <w:szCs w:val="24"/>
                <w:lang w:val="en-US" w:eastAsia="zh-CN"/>
              </w:rPr>
              <w:t>生产车间内</w:t>
            </w:r>
            <w:r>
              <w:rPr>
                <w:rFonts w:hint="default" w:ascii="Times New Roman" w:hAnsi="Times New Roman" w:cs="Times New Roman"/>
                <w:color w:val="auto"/>
                <w:sz w:val="24"/>
                <w:szCs w:val="24"/>
              </w:rPr>
              <w:t>，根据项目建设内容及《环境影响评价技术导则</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声环境》（HJ2.4-2021）的要求，项目环评采用的模型为</w:t>
            </w:r>
            <w:r>
              <w:rPr>
                <w:rFonts w:hint="eastAsia" w:ascii="Times New Roman" w:hAnsi="Times New Roman" w:cs="Times New Roman"/>
                <w:color w:val="auto"/>
                <w:sz w:val="24"/>
                <w:szCs w:val="24"/>
                <w:lang w:val="en-US" w:eastAsia="zh-CN"/>
              </w:rPr>
              <w:t>其</w:t>
            </w:r>
            <w:r>
              <w:rPr>
                <w:rFonts w:hint="default" w:ascii="Times New Roman" w:hAnsi="Times New Roman" w:cs="Times New Roman"/>
                <w:color w:val="auto"/>
                <w:sz w:val="24"/>
                <w:szCs w:val="24"/>
              </w:rPr>
              <w:t>附录A（规范性附录）户外声传播的衰减和附录B（规范性附录）中“B.1工业噪声预测计算模型”。</w:t>
            </w:r>
          </w:p>
          <w:p w14:paraId="7CCF3EB3">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（1）等效室内声源声功率级法预测模式</w:t>
            </w:r>
          </w:p>
          <w:p w14:paraId="2D80B6CE">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①计算某一室内声源靠近围护结构处产生的倍频带声压级：</w:t>
            </w:r>
          </w:p>
          <w:p w14:paraId="265B973C">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4"/>
                <w:sz w:val="24"/>
                <w:szCs w:val="24"/>
              </w:rPr>
              <w:object>
                <v:shape id="_x0000_i1025" o:spt="75" type="#_x0000_t75" style="height:31pt;width:135pt;" o:ole="t" filled="f" o:preferrelative="t" stroked="f" coordsize="21600,21600">
                  <v:path/>
                  <v:fill on="f" alignshape="1" focussize="0,0"/>
                  <v:stroke on="f"/>
                  <v:imagedata r:id="rId13" o:title=""/>
                  <o:lock v:ext="edit" aspectratio="t"/>
                  <w10:wrap type="none"/>
                  <w10:anchorlock/>
                </v:shape>
                <o:OLEObject Type="Embed" ProgID="Equation.3" ShapeID="_x0000_i1025" DrawAspect="Content" ObjectID="_1468075725" r:id="rId12">
                  <o:LockedField>false</o:LockedField>
                </o:OLEObject>
              </w:object>
            </w:r>
          </w:p>
          <w:p w14:paraId="676E2B10">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P1</w:t>
            </w:r>
            <w:r>
              <w:rPr>
                <w:rFonts w:hint="default" w:ascii="Times New Roman" w:hAnsi="Times New Roman" w:eastAsia="宋体" w:cs="Times New Roman"/>
                <w:color w:val="auto"/>
                <w:sz w:val="24"/>
                <w:szCs w:val="24"/>
              </w:rPr>
              <w:t>——某个室内声源在靠近维护结构处产生的声压级，dB</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5751B638">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W</w:t>
            </w:r>
            <w:r>
              <w:rPr>
                <w:rFonts w:hint="default" w:ascii="Times New Roman" w:hAnsi="Times New Roman" w:eastAsia="宋体" w:cs="Times New Roman"/>
                <w:color w:val="auto"/>
                <w:sz w:val="24"/>
                <w:szCs w:val="24"/>
              </w:rPr>
              <w:t>——某个声源的声功率级，dB</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4038C532">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r——声源到靠近围护结构某点处的距离，m</w:t>
            </w:r>
            <w:r>
              <w:rPr>
                <w:rFonts w:hint="eastAsia" w:ascii="Times New Roman" w:hAnsi="Times New Roman" w:eastAsia="宋体" w:cs="Times New Roman"/>
                <w:color w:val="auto"/>
                <w:sz w:val="24"/>
                <w:szCs w:val="24"/>
                <w:lang w:eastAsia="zh-CN"/>
              </w:rPr>
              <w:t>；</w:t>
            </w:r>
          </w:p>
          <w:p w14:paraId="35566CA3">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Q——指向性因数：通常对无指向性声源，当声源放在房间中心时，Q=1；当放在一面墙的中心时，Q=2；当放在两面墙夹角时，Q=4；当放在三面墙夹角处时，Q=8。R——房间常数：R=Sa/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，S为房间内表面面积，m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；a为平均吸声系数。</w:t>
            </w:r>
          </w:p>
          <w:p w14:paraId="4EA037A1">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②所有室内声源在靠近围护结构处产生的叠加声压级计算式为：</w:t>
            </w:r>
          </w:p>
          <w:p w14:paraId="2DB2A85C">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30"/>
                <w:sz w:val="24"/>
                <w:szCs w:val="24"/>
              </w:rPr>
              <w:object>
                <v:shape id="_x0000_i1026" o:spt="75" type="#_x0000_t75" style="height:37pt;width:129pt;" o:ole="t" filled="f" o:preferrelative="t" stroked="f" coordsize="21600,21600">
                  <v:path/>
                  <v:fill on="f" alignshape="1" focussize="0,0"/>
                  <v:stroke on="f"/>
                  <v:imagedata r:id="rId15" o:title=""/>
                  <o:lock v:ext="edit" aspectratio="t"/>
                  <w10:wrap type="none"/>
                  <w10:anchorlock/>
                </v:shape>
                <o:OLEObject Type="Embed" ProgID="Equation.3" ShapeID="_x0000_i1026" DrawAspect="Content" ObjectID="_1468075726" r:id="rId14">
                  <o:LockedField>false</o:LockedField>
                </o:OLEObject>
              </w:object>
            </w:r>
          </w:p>
          <w:p w14:paraId="56EB6DF4">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P1i</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——靠近围护结构处室内N个声源i倍频带叠加声压级，dB</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4319FA27">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P1ij</w:t>
            </w:r>
            <w:r>
              <w:rPr>
                <w:rFonts w:hint="default" w:ascii="Times New Roman" w:hAnsi="Times New Roman" w:eastAsia="宋体" w:cs="Times New Roman"/>
                <w:color w:val="auto"/>
                <w:sz w:val="24"/>
                <w:szCs w:val="24"/>
              </w:rPr>
              <w:t>——室内j声源i倍频带的声压级，dB</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42F0B8C4">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N——室内声源总数。</w:t>
            </w:r>
          </w:p>
          <w:p w14:paraId="14E937D5">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③靠近室外围护结构处产生的声压级计算式为：</w:t>
            </w:r>
          </w:p>
          <w:p w14:paraId="60D7180E">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4"/>
                <w:sz w:val="24"/>
                <w:szCs w:val="24"/>
              </w:rPr>
              <w:object>
                <v:shape id="_x0000_i1027" o:spt="75" type="#_x0000_t75" style="height:19pt;width:138pt;" o:ole="t" filled="f" o:preferrelative="t" stroked="f" coordsize="21600,21600">
                  <v:path/>
                  <v:fill on="f" alignshape="1" focussize="0,0"/>
                  <v:stroke on="f"/>
                  <v:imagedata r:id="rId17" o:title=""/>
                  <o:lock v:ext="edit" aspectratio="t"/>
                  <w10:wrap type="none"/>
                  <w10:anchorlock/>
                </v:shape>
                <o:OLEObject Type="Embed" ProgID="Equation.3" ShapeID="_x0000_i1027" DrawAspect="Content" ObjectID="_1468075727" r:id="rId16">
                  <o:LockedField>false</o:LockedField>
                </o:OLEObject>
              </w:object>
            </w:r>
          </w:p>
          <w:p w14:paraId="2F6F8261">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P2i</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——靠近围护结构处室外N个声源i倍频带的叠加声压级，dB；</w:t>
            </w:r>
          </w:p>
          <w:p w14:paraId="17F7165C">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TLi——围护结构i倍频带的隔声量，dB；</w:t>
            </w:r>
          </w:p>
          <w:p w14:paraId="78CC8547">
            <w:pPr>
              <w:pStyle w:val="1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④将室内声级透过面积换算成等效的室外声源，计算出中心位置位于透声面积</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S</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处的等效声源的声功率级计算</w:t>
            </w:r>
            <w:r>
              <w:rPr>
                <w:rFonts w:hint="eastAsia"/>
                <w:color w:val="auto"/>
                <w:lang w:val="en-US" w:eastAsia="zh-CN"/>
              </w:rPr>
              <w:t>公式</w:t>
            </w:r>
            <w:r>
              <w:rPr>
                <w:rFonts w:hint="default" w:ascii="Times New Roman" w:hAnsi="Times New Roman" w:eastAsia="宋体" w:cs="Times New Roman"/>
                <w:color w:val="auto"/>
                <w:sz w:val="24"/>
                <w:szCs w:val="24"/>
              </w:rPr>
              <w:t>为：</w:t>
            </w:r>
          </w:p>
          <w:p w14:paraId="358D351F">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2"/>
                <w:sz w:val="24"/>
                <w:szCs w:val="24"/>
              </w:rPr>
              <w:object>
                <v:shape id="_x0000_i1028" o:spt="75" type="#_x0000_t75" style="height:18pt;width:103.95pt;" o:ole="t" filled="f" o:preferrelative="t" stroked="f" coordsize="21600,21600">
                  <v:path/>
                  <v:fill on="f" alignshape="1" focussize="0,0"/>
                  <v:stroke on="f"/>
                  <v:imagedata r:id="rId19" o:title=""/>
                  <o:lock v:ext="edit" aspectratio="t"/>
                  <w10:wrap type="none"/>
                  <w10:anchorlock/>
                </v:shape>
                <o:OLEObject Type="Embed" ProgID="Equation.3" ShapeID="_x0000_i1028" DrawAspect="Content" ObjectID="_1468075728" r:id="rId18">
                  <o:LockedField>false</o:LockedField>
                </o:OLEObject>
              </w:object>
            </w:r>
          </w:p>
          <w:p w14:paraId="2563E8F3">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⑤倍频带声压级和A声级转换</w:t>
            </w:r>
          </w:p>
          <w:p w14:paraId="312D272B">
            <w:pPr>
              <w:pStyle w:val="1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计算出的中心频率为500HZ倍频带声压级Lp</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r</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，再根据导则倍频带声压级和A声级转换公式计算</w:t>
            </w:r>
            <w:r>
              <w:rPr>
                <w:rFonts w:hint="eastAsia"/>
                <w:color w:val="auto"/>
                <w:lang w:val="en-US" w:eastAsia="zh-CN"/>
              </w:rPr>
              <w:t>公式</w:t>
            </w:r>
            <w:r>
              <w:rPr>
                <w:rFonts w:hint="default" w:ascii="Times New Roman" w:hAnsi="Times New Roman" w:eastAsia="宋体" w:cs="Times New Roman"/>
                <w:color w:val="auto"/>
                <w:sz w:val="24"/>
                <w:szCs w:val="24"/>
              </w:rPr>
              <w:t>如下：</w:t>
            </w:r>
          </w:p>
          <w:p w14:paraId="71F4CE78">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8"/>
                <w:sz w:val="24"/>
                <w:szCs w:val="24"/>
              </w:rPr>
              <w:object>
                <v:shape id="_x0000_i1029" o:spt="75" type="#_x0000_t75" style="height:36pt;width:121.95pt;" o:ole="t" filled="f" o:preferrelative="t" stroked="f" coordsize="21600,21600">
                  <v:path/>
                  <v:fill on="f" alignshape="1" focussize="0,0"/>
                  <v:stroke on="f"/>
                  <v:imagedata r:id="rId21" o:title=""/>
                  <o:lock v:ext="edit" aspectratio="t"/>
                  <w10:wrap type="none"/>
                  <w10:anchorlock/>
                </v:shape>
                <o:OLEObject Type="Embed" ProgID="Equation.3" ShapeID="_x0000_i1029" DrawAspect="Content" ObjectID="_1468075729" r:id="rId20">
                  <o:LockedField>false</o:LockedField>
                </o:OLEObject>
              </w:object>
            </w:r>
          </w:p>
          <w:p w14:paraId="25A7F006">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式中：Δ L</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 xml:space="preserve"> ——为第i倍频带的A计权网络修正值，dB；</w:t>
            </w:r>
          </w:p>
          <w:p w14:paraId="7294C1F5">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N——总倍频带数。</w:t>
            </w:r>
          </w:p>
          <w:p w14:paraId="5153D500">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查导则附录B表B1，500HZ对应的Δ L</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为-3.2dB。</w:t>
            </w:r>
          </w:p>
          <w:p w14:paraId="2009355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预测中声功率级、声压级均按照中心频率为500HZ的倍频带做估算。</w:t>
            </w:r>
          </w:p>
          <w:p w14:paraId="62AAC3AB">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（2）室外声源至预测点贡献值计算</w:t>
            </w:r>
          </w:p>
          <w:p w14:paraId="75955DF6">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个大型机器设备的振动表面，车间透声的墙壁，均可以认为是面声源。如果已知面声源单位面积的声功率为W，各面积元噪声的位相是随机的，面声源可看作由无数点声源连续分布组合而成，其合成声级可按能量叠加法求出。</w:t>
            </w:r>
          </w:p>
          <w:p w14:paraId="005E98D2">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当预测点和面声源中心距离r 处于以下条件时，可按下述方法近似计算：</w:t>
            </w:r>
          </w:p>
          <w:p w14:paraId="5B68E58F">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r&lt;a/π时，几乎不衰减（Adiv≈0）；</w:t>
            </w:r>
          </w:p>
          <w:p w14:paraId="54CE107C">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当a/π&lt;r&lt;b/π时，类似于线声源衰减特性，即：L</w:t>
            </w:r>
            <w:r>
              <w:rPr>
                <w:rFonts w:hint="default" w:ascii="Times New Roman" w:hAnsi="Times New Roman" w:eastAsia="宋体" w:cs="Times New Roman"/>
                <w:color w:val="auto"/>
                <w:sz w:val="24"/>
                <w:szCs w:val="24"/>
                <w:vertAlign w:val="subscript"/>
              </w:rPr>
              <w:t>A（r）</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AW</w:t>
            </w:r>
            <w:r>
              <w:rPr>
                <w:rFonts w:hint="eastAsia" w:ascii="Times New Roman" w:hAnsi="Times New Roman" w:eastAsia="宋体" w:cs="Times New Roman"/>
                <w:color w:val="auto"/>
                <w:sz w:val="24"/>
                <w:szCs w:val="24"/>
                <w:vertAlign w:val="subscript"/>
                <w:lang w:val="en-US" w:eastAsia="zh-CN"/>
              </w:rPr>
              <w:t xml:space="preserve"> </w:t>
            </w:r>
            <w:r>
              <w:rPr>
                <w:rFonts w:hint="eastAsia" w:ascii="Times New Roman" w:hAnsi="Times New Roman" w:eastAsia="宋体" w:cs="Times New Roman"/>
                <w:color w:val="auto"/>
                <w:sz w:val="24"/>
                <w:szCs w:val="24"/>
                <w:vertAlign w:val="superscript"/>
                <w:lang w:val="en-US" w:eastAsia="zh-CN"/>
              </w:rPr>
              <w:t xml:space="preserve">- </w:t>
            </w:r>
            <w:r>
              <w:rPr>
                <w:rFonts w:hint="default" w:ascii="Times New Roman" w:hAnsi="Times New Roman" w:eastAsia="宋体" w:cs="Times New Roman"/>
                <w:color w:val="auto"/>
                <w:sz w:val="24"/>
                <w:szCs w:val="24"/>
              </w:rPr>
              <w:t>10lg（r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w:t>
            </w:r>
          </w:p>
          <w:p w14:paraId="68204704">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当r&gt;b/π时，类似于点声源衰减特性，即：L</w:t>
            </w:r>
            <w:r>
              <w:rPr>
                <w:rFonts w:hint="default" w:ascii="Times New Roman" w:hAnsi="Times New Roman" w:eastAsia="宋体" w:cs="Times New Roman"/>
                <w:color w:val="auto"/>
                <w:sz w:val="24"/>
                <w:szCs w:val="24"/>
                <w:vertAlign w:val="subscript"/>
              </w:rPr>
              <w:t>A（r）</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A（b/π）</w:t>
            </w:r>
            <w:r>
              <w:rPr>
                <w:rFonts w:hint="default" w:ascii="Times New Roman" w:hAnsi="Times New Roman" w:eastAsia="宋体" w:cs="Times New Roman"/>
                <w:color w:val="auto"/>
                <w:sz w:val="24"/>
                <w:szCs w:val="24"/>
              </w:rPr>
              <w:t>-20lg[r/（b/π）]；</w:t>
            </w:r>
          </w:p>
          <w:p w14:paraId="28B3DDDA">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其中：a 为面声源宽度，b 为面声源长度</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b&gt;a。</w:t>
            </w:r>
          </w:p>
          <w:p w14:paraId="51FFC22F">
            <w:pPr>
              <w:keepNext w:val="0"/>
              <w:keepLines w:val="0"/>
              <w:suppressLineNumbers w:val="0"/>
              <w:shd w:val="clear" w:color="auto" w:fill="FFFFFF"/>
              <w:spacing w:before="0" w:beforeAutospacing="0" w:after="0" w:afterAutospacing="0" w:line="360" w:lineRule="auto"/>
              <w:ind w:left="0" w:right="0" w:firstLine="48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面声源的几何发散衰减：</w:t>
            </w:r>
          </w:p>
          <w:p w14:paraId="4B5F7F8A">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b/>
                <w:bCs/>
                <w:color w:val="auto"/>
                <w:sz w:val="24"/>
                <w:szCs w:val="24"/>
              </w:rPr>
            </w:pPr>
            <w:r>
              <w:rPr>
                <w:rFonts w:hint="default" w:ascii="Times New Roman" w:hAnsi="Times New Roman" w:eastAsia="宋体" w:cs="Times New Roman"/>
                <w:b w:val="0"/>
                <w:bCs w:val="0"/>
                <w:color w:val="auto"/>
                <w:sz w:val="24"/>
                <w:szCs w:val="24"/>
              </w:rPr>
              <w:t>当r&gt;b/π时，类似于点声源衰减特性，即：LA（r）=LA（b/π）-20lg[r/（b/π）]</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距离加倍衰减趋近于6</w:t>
            </w:r>
            <w:r>
              <w:rPr>
                <w:rFonts w:hint="default" w:ascii="Times New Roman" w:hAnsi="Times New Roman" w:eastAsia="宋体" w:cs="Times New Roman"/>
                <w:color w:val="auto"/>
                <w:sz w:val="24"/>
                <w:szCs w:val="24"/>
              </w:rPr>
              <w:t>dB</w:t>
            </w:r>
            <w:r>
              <w:rPr>
                <w:rFonts w:hint="eastAsia" w:cs="Times New Roman"/>
                <w:color w:val="auto"/>
                <w:sz w:val="24"/>
                <w:szCs w:val="24"/>
                <w:lang w:eastAsia="zh-CN"/>
              </w:rPr>
              <w:t>，</w:t>
            </w:r>
            <w:r>
              <w:rPr>
                <w:rFonts w:hint="eastAsia" w:cs="Times New Roman"/>
                <w:color w:val="auto"/>
                <w:sz w:val="24"/>
                <w:szCs w:val="24"/>
                <w:lang w:val="en-US" w:eastAsia="zh-CN"/>
              </w:rPr>
              <w:t>类似点声源衰减特性A</w:t>
            </w:r>
            <w:r>
              <w:rPr>
                <w:rFonts w:hint="eastAsia" w:cs="Times New Roman"/>
                <w:color w:val="auto"/>
                <w:sz w:val="24"/>
                <w:szCs w:val="24"/>
                <w:vertAlign w:val="subscript"/>
                <w:lang w:val="en-US" w:eastAsia="zh-CN"/>
              </w:rPr>
              <w:t>div</w:t>
            </w:r>
            <w:r>
              <w:rPr>
                <w:rFonts w:hint="eastAsia" w:cs="Times New Roman"/>
                <w:color w:val="auto"/>
                <w:sz w:val="24"/>
                <w:szCs w:val="24"/>
                <w:vertAlign w:val="baseline"/>
                <w:lang w:val="en-US" w:eastAsia="zh-CN"/>
              </w:rPr>
              <w:t>≈</w:t>
            </w:r>
            <w:r>
              <w:rPr>
                <w:rFonts w:hint="eastAsia" w:cs="Times New Roman"/>
                <w:color w:val="auto"/>
                <w:sz w:val="24"/>
                <w:szCs w:val="24"/>
                <w:lang w:val="en-US" w:eastAsia="zh-CN"/>
              </w:rPr>
              <w:t>20</w:t>
            </w:r>
            <w:r>
              <w:rPr>
                <w:rFonts w:hint="default" w:ascii="Times New Roman" w:hAnsi="Times New Roman" w:eastAsia="宋体" w:cs="Times New Roman"/>
                <w:color w:val="auto"/>
                <w:sz w:val="24"/>
                <w:szCs w:val="24"/>
              </w:rPr>
              <w:t>lg（</w:t>
            </w:r>
            <w:r>
              <w:rPr>
                <w:rFonts w:hint="eastAsia" w:cs="Times New Roman"/>
                <w:color w:val="auto"/>
                <w:sz w:val="24"/>
                <w:szCs w:val="24"/>
                <w:lang w:val="en-US" w:eastAsia="zh-CN"/>
              </w:rPr>
              <w:t>r/</w:t>
            </w: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w:t>
            </w:r>
            <w:r>
              <w:rPr>
                <w:rFonts w:hint="eastAsia" w:cs="Times New Roman"/>
                <w:color w:val="auto"/>
                <w:sz w:val="24"/>
                <w:szCs w:val="24"/>
                <w:lang w:eastAsia="zh-CN"/>
              </w:rPr>
              <w:t>。</w:t>
            </w:r>
          </w:p>
          <w:p w14:paraId="791CD27A">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（3）预测点的预测等效声级（L</w:t>
            </w:r>
            <w:r>
              <w:rPr>
                <w:rFonts w:hint="default" w:ascii="Times New Roman" w:hAnsi="Times New Roman" w:eastAsia="宋体" w:cs="Times New Roman"/>
                <w:b/>
                <w:bCs/>
                <w:color w:val="auto"/>
                <w:sz w:val="24"/>
                <w:szCs w:val="24"/>
                <w:vertAlign w:val="subscript"/>
              </w:rPr>
              <w:t>Eq</w:t>
            </w:r>
            <w:r>
              <w:rPr>
                <w:rFonts w:hint="default" w:ascii="Times New Roman" w:hAnsi="Times New Roman" w:eastAsia="宋体" w:cs="Times New Roman"/>
                <w:b/>
                <w:bCs/>
                <w:color w:val="auto"/>
                <w:sz w:val="24"/>
                <w:szCs w:val="24"/>
              </w:rPr>
              <w:t>）计算</w:t>
            </w:r>
          </w:p>
          <w:p w14:paraId="609A44C3">
            <w:pPr>
              <w:keepNext w:val="0"/>
              <w:keepLines w:val="0"/>
              <w:suppressLineNumbers w:val="0"/>
              <w:shd w:val="clear" w:color="auto" w:fill="FFFFFF"/>
              <w:spacing w:before="0" w:beforeAutospacing="0" w:after="0" w:afterAutospacing="0" w:line="360" w:lineRule="auto"/>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8"/>
                <w:sz w:val="24"/>
                <w:szCs w:val="24"/>
              </w:rPr>
              <w:object>
                <v:shape id="_x0000_i1030" o:spt="75" type="#_x0000_t75" style="height:23pt;width:148pt;" o:ole="t" filled="f" o:preferrelative="t" stroked="f" coordsize="21600,21600">
                  <v:path/>
                  <v:fill on="f" focussize="0,0"/>
                  <v:stroke on="f"/>
                  <v:imagedata r:id="rId23" o:title=""/>
                  <o:lock v:ext="edit" aspectratio="t"/>
                  <w10:wrap type="none"/>
                  <w10:anchorlock/>
                </v:shape>
                <o:OLEObject Type="Embed" ProgID="Equation.3" ShapeID="_x0000_i1030" DrawAspect="Content" ObjectID="_1468075730" r:id="rId22">
                  <o:LockedField>false</o:LockedField>
                </o:OLEObject>
              </w:object>
            </w:r>
          </w:p>
          <w:p w14:paraId="52E2D5C7">
            <w:pPr>
              <w:keepNext w:val="0"/>
              <w:keepLines w:val="0"/>
              <w:suppressLineNumbers w:val="0"/>
              <w:shd w:val="clear" w:color="auto" w:fill="FFFFFF"/>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Eqg</w:t>
            </w:r>
            <w:r>
              <w:rPr>
                <w:rFonts w:hint="default" w:ascii="Times New Roman" w:hAnsi="Times New Roman" w:eastAsia="宋体" w:cs="Times New Roman"/>
                <w:color w:val="auto"/>
                <w:sz w:val="24"/>
                <w:szCs w:val="24"/>
              </w:rPr>
              <w:t>——建设项目声源在预测点的等效声级贡献量，dB</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7F864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1200" w:firstLineChars="5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Eqb</w:t>
            </w:r>
            <w:r>
              <w:rPr>
                <w:rFonts w:hint="default" w:ascii="Times New Roman" w:hAnsi="Times New Roman" w:eastAsia="宋体" w:cs="Times New Roman"/>
                <w:color w:val="auto"/>
                <w:sz w:val="24"/>
                <w:szCs w:val="24"/>
              </w:rPr>
              <w:t>——预测点背景值，dB</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7052E43C">
            <w:pPr>
              <w:ind w:firstLine="480"/>
              <w:rPr>
                <w:rFonts w:hint="eastAsia" w:ascii="宋体" w:hAnsi="宋体" w:cs="宋体"/>
                <w:color w:val="auto"/>
                <w:kern w:val="0"/>
                <w:szCs w:val="21"/>
                <w:lang w:val="en-US" w:eastAsia="zh-CN"/>
              </w:rPr>
            </w:pPr>
          </w:p>
          <w:p w14:paraId="66BA1E7E">
            <w:pPr>
              <w:ind w:left="0" w:leftChars="0" w:firstLine="0" w:firstLineChars="0"/>
              <w:rPr>
                <w:rFonts w:hint="eastAsia" w:ascii="宋体" w:hAnsi="宋体" w:cs="宋体"/>
                <w:color w:val="auto"/>
                <w:kern w:val="0"/>
                <w:szCs w:val="21"/>
                <w:lang w:val="en-US" w:eastAsia="zh-CN"/>
              </w:rPr>
            </w:pPr>
          </w:p>
          <w:p w14:paraId="3B0AF54D">
            <w:pPr>
              <w:ind w:left="0" w:leftChars="0" w:firstLine="0" w:firstLineChars="0"/>
              <w:rPr>
                <w:rFonts w:hint="default" w:ascii="宋体" w:hAnsi="宋体" w:eastAsia="宋体" w:cs="宋体"/>
                <w:color w:val="auto"/>
                <w:kern w:val="0"/>
                <w:szCs w:val="21"/>
                <w:lang w:val="en-US" w:eastAsia="zh-CN"/>
              </w:rPr>
            </w:pPr>
          </w:p>
        </w:tc>
      </w:tr>
    </w:tbl>
    <w:p w14:paraId="5F7D48D1">
      <w:pPr>
        <w:ind w:firstLine="480"/>
        <w:rPr>
          <w:color w:val="auto"/>
        </w:rPr>
        <w:sectPr>
          <w:pgSz w:w="11907" w:h="16840"/>
          <w:pgMar w:top="1701" w:right="1531" w:bottom="2127" w:left="1531" w:header="851" w:footer="851" w:gutter="0"/>
          <w:pgNumType w:fmt="decimal"/>
          <w:cols w:space="720" w:num="1"/>
          <w:docGrid w:linePitch="312" w:charSpace="0"/>
        </w:sectPr>
      </w:pPr>
    </w:p>
    <w:tbl>
      <w:tblPr>
        <w:tblStyle w:val="26"/>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2"/>
        <w:gridCol w:w="8687"/>
      </w:tblGrid>
      <w:tr w14:paraId="75EF8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dxa"/>
            <w:vAlign w:val="center"/>
          </w:tcPr>
          <w:p w14:paraId="7EADEF7C">
            <w:pPr>
              <w:spacing w:line="460" w:lineRule="exact"/>
              <w:ind w:firstLine="0" w:firstLineChars="0"/>
              <w:jc w:val="center"/>
              <w:rPr>
                <w:rFonts w:ascii="宋体" w:hAnsi="宋体" w:cs="宋体"/>
                <w:color w:val="auto"/>
                <w:kern w:val="0"/>
                <w:szCs w:val="21"/>
              </w:rPr>
            </w:pPr>
          </w:p>
        </w:tc>
        <w:tc>
          <w:tcPr>
            <w:tcW w:w="8687" w:type="dxa"/>
            <w:vAlign w:val="center"/>
          </w:tcPr>
          <w:p w14:paraId="4316E83A">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firstLine="0" w:firstLineChars="0"/>
              <w:textAlignment w:val="auto"/>
              <w:rPr>
                <w:rFonts w:hint="default"/>
                <w:b/>
                <w:bCs/>
                <w:color w:val="auto"/>
              </w:rPr>
            </w:pPr>
            <w:r>
              <w:rPr>
                <w:rFonts w:hint="eastAsia"/>
                <w:b/>
                <w:bCs/>
                <w:color w:val="auto"/>
                <w:lang w:val="en-US" w:eastAsia="zh-CN"/>
              </w:rPr>
              <w:t>3.3</w:t>
            </w:r>
            <w:r>
              <w:rPr>
                <w:rFonts w:hint="default"/>
                <w:b/>
                <w:bCs/>
                <w:color w:val="auto"/>
              </w:rPr>
              <w:t>噪声预测结果</w:t>
            </w:r>
          </w:p>
          <w:p w14:paraId="36685E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eastAsia="宋体"/>
                <w:color w:val="auto"/>
                <w:lang w:val="en-US" w:eastAsia="zh-CN"/>
              </w:rPr>
            </w:pPr>
            <w:r>
              <w:rPr>
                <w:rFonts w:hint="default" w:eastAsia="宋体"/>
                <w:color w:val="auto"/>
                <w:lang w:val="en-US" w:eastAsia="zh-CN"/>
              </w:rPr>
              <w:t>在考虑各噪声经过减振、隔声等降噪措施后，根据噪声预测模式，将有关参数代入公式计算，预测工程噪声源对各预测点的影响</w:t>
            </w:r>
            <w:r>
              <w:rPr>
                <w:rFonts w:hint="eastAsia"/>
                <w:color w:val="auto"/>
                <w:lang w:val="en-US" w:eastAsia="zh-CN"/>
              </w:rPr>
              <w:t>。</w:t>
            </w:r>
          </w:p>
          <w:p w14:paraId="2D5363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auto"/>
              </w:rPr>
            </w:pPr>
            <w:r>
              <w:rPr>
                <w:b/>
                <w:color w:val="auto"/>
              </w:rPr>
              <w:t>表</w:t>
            </w:r>
            <w:r>
              <w:rPr>
                <w:rFonts w:hint="eastAsia"/>
                <w:b/>
                <w:color w:val="auto"/>
              </w:rPr>
              <w:t>4-</w:t>
            </w:r>
            <w:r>
              <w:rPr>
                <w:rFonts w:hint="eastAsia"/>
                <w:b/>
                <w:color w:val="auto"/>
                <w:lang w:val="en-US" w:eastAsia="zh-CN"/>
              </w:rPr>
              <w:t>29</w:t>
            </w:r>
            <w:r>
              <w:rPr>
                <w:rFonts w:hint="eastAsia"/>
                <w:b/>
                <w:color w:val="auto"/>
              </w:rPr>
              <w:t xml:space="preserve">  </w:t>
            </w:r>
            <w:r>
              <w:rPr>
                <w:rFonts w:hint="eastAsia"/>
                <w:b/>
                <w:color w:val="auto"/>
                <w:lang w:val="en-US" w:eastAsia="zh-CN"/>
              </w:rPr>
              <w:t>能源站锅炉房供热</w:t>
            </w:r>
            <w:r>
              <w:rPr>
                <w:b/>
                <w:color w:val="auto"/>
              </w:rPr>
              <w:t>噪声预测结果</w:t>
            </w:r>
            <w:r>
              <w:rPr>
                <w:rFonts w:hint="eastAsia"/>
                <w:b/>
                <w:color w:val="auto"/>
              </w:rPr>
              <w:t xml:space="preserve">  </w:t>
            </w:r>
            <w:r>
              <w:rPr>
                <w:b/>
                <w:color w:val="auto"/>
              </w:rPr>
              <w:t>单位：dB</w:t>
            </w:r>
            <w:r>
              <w:rPr>
                <w:rFonts w:hint="eastAsia"/>
                <w:b/>
                <w:color w:val="auto"/>
              </w:rPr>
              <w:t>（</w:t>
            </w:r>
            <w:r>
              <w:rPr>
                <w:b/>
                <w:color w:val="auto"/>
              </w:rPr>
              <w:t>A</w:t>
            </w:r>
            <w:r>
              <w:rPr>
                <w:rFonts w:hint="eastAsia"/>
                <w:b/>
                <w:color w:val="auto"/>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734"/>
              <w:gridCol w:w="1849"/>
              <w:gridCol w:w="1849"/>
              <w:gridCol w:w="1849"/>
            </w:tblGrid>
            <w:tr w14:paraId="2DDE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Align w:val="center"/>
                </w:tcPr>
                <w:p w14:paraId="3AADA84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昼/夜</w:t>
                  </w:r>
                </w:p>
              </w:tc>
              <w:tc>
                <w:tcPr>
                  <w:tcW w:w="2222" w:type="dxa"/>
                  <w:vAlign w:val="center"/>
                </w:tcPr>
                <w:p w14:paraId="2B0702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预测点</w:t>
                  </w:r>
                </w:p>
              </w:tc>
              <w:tc>
                <w:tcPr>
                  <w:tcW w:w="2374" w:type="dxa"/>
                  <w:vAlign w:val="center"/>
                </w:tcPr>
                <w:p w14:paraId="28F80A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贡献值</w:t>
                  </w:r>
                </w:p>
              </w:tc>
              <w:tc>
                <w:tcPr>
                  <w:tcW w:w="2374" w:type="dxa"/>
                  <w:vAlign w:val="center"/>
                </w:tcPr>
                <w:p w14:paraId="372DF8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背景值</w:t>
                  </w:r>
                </w:p>
              </w:tc>
              <w:tc>
                <w:tcPr>
                  <w:tcW w:w="2374" w:type="dxa"/>
                  <w:vAlign w:val="center"/>
                </w:tcPr>
                <w:p w14:paraId="33CD65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b/>
                      <w:bCs/>
                      <w:color w:val="auto"/>
                      <w:sz w:val="21"/>
                      <w:szCs w:val="21"/>
                      <w:lang w:val="en-US" w:eastAsia="zh-CN"/>
                    </w:rPr>
                  </w:pPr>
                  <w:r>
                    <w:rPr>
                      <w:rFonts w:hint="eastAsia" w:cs="Times New Roman"/>
                      <w:b/>
                      <w:bCs/>
                      <w:color w:val="auto"/>
                      <w:sz w:val="21"/>
                      <w:szCs w:val="21"/>
                      <w:lang w:val="en-US" w:eastAsia="zh-CN"/>
                    </w:rPr>
                    <w:t>预测值</w:t>
                  </w:r>
                </w:p>
              </w:tc>
            </w:tr>
            <w:tr w14:paraId="02F4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restart"/>
                  <w:vAlign w:val="center"/>
                </w:tcPr>
                <w:p w14:paraId="0CDEA0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昼间</w:t>
                  </w:r>
                </w:p>
              </w:tc>
              <w:tc>
                <w:tcPr>
                  <w:tcW w:w="2222" w:type="dxa"/>
                  <w:vAlign w:val="center"/>
                </w:tcPr>
                <w:p w14:paraId="01B21A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东厂界</w:t>
                  </w:r>
                </w:p>
              </w:tc>
              <w:tc>
                <w:tcPr>
                  <w:tcW w:w="2374" w:type="dxa"/>
                  <w:vAlign w:val="center"/>
                </w:tcPr>
                <w:p w14:paraId="4E8B99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b w:val="0"/>
                      <w:bCs w:val="0"/>
                      <w:color w:val="auto"/>
                      <w:kern w:val="0"/>
                      <w:sz w:val="21"/>
                      <w:szCs w:val="21"/>
                      <w:lang w:val="en-US" w:eastAsia="zh-CN" w:bidi="ar"/>
                    </w:rPr>
                    <w:t>45.0</w:t>
                  </w:r>
                </w:p>
              </w:tc>
              <w:tc>
                <w:tcPr>
                  <w:tcW w:w="2374" w:type="dxa"/>
                  <w:vAlign w:val="center"/>
                </w:tcPr>
                <w:p w14:paraId="43F974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49.5</w:t>
                  </w:r>
                </w:p>
              </w:tc>
              <w:tc>
                <w:tcPr>
                  <w:tcW w:w="2374" w:type="dxa"/>
                  <w:vAlign w:val="center"/>
                </w:tcPr>
                <w:p w14:paraId="763844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50.8</w:t>
                  </w:r>
                </w:p>
              </w:tc>
            </w:tr>
            <w:tr w14:paraId="48F2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vAlign w:val="center"/>
                </w:tcPr>
                <w:p w14:paraId="1E7590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p>
              </w:tc>
              <w:tc>
                <w:tcPr>
                  <w:tcW w:w="2222" w:type="dxa"/>
                  <w:vAlign w:val="center"/>
                </w:tcPr>
                <w:p w14:paraId="0F8269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南厂界</w:t>
                  </w:r>
                </w:p>
              </w:tc>
              <w:tc>
                <w:tcPr>
                  <w:tcW w:w="2374" w:type="dxa"/>
                  <w:vAlign w:val="center"/>
                </w:tcPr>
                <w:p w14:paraId="651DD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w:t>
                  </w:r>
                  <w:r>
                    <w:rPr>
                      <w:rFonts w:hint="eastAsia" w:cs="Times New Roman"/>
                      <w:b w:val="0"/>
                      <w:bCs w:val="0"/>
                      <w:color w:val="auto"/>
                      <w:sz w:val="21"/>
                      <w:szCs w:val="21"/>
                      <w:lang w:val="en-US" w:eastAsia="zh-CN"/>
                    </w:rPr>
                    <w:t>7</w:t>
                  </w:r>
                </w:p>
              </w:tc>
              <w:tc>
                <w:tcPr>
                  <w:tcW w:w="2374" w:type="dxa"/>
                  <w:vAlign w:val="center"/>
                </w:tcPr>
                <w:p w14:paraId="17252D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58</w:t>
                  </w:r>
                </w:p>
              </w:tc>
              <w:tc>
                <w:tcPr>
                  <w:tcW w:w="2374" w:type="dxa"/>
                  <w:vAlign w:val="center"/>
                </w:tcPr>
                <w:p w14:paraId="706AB3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58.0</w:t>
                  </w:r>
                </w:p>
              </w:tc>
            </w:tr>
            <w:tr w14:paraId="1E61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vAlign w:val="center"/>
                </w:tcPr>
                <w:p w14:paraId="43CE73F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p>
              </w:tc>
              <w:tc>
                <w:tcPr>
                  <w:tcW w:w="2222" w:type="dxa"/>
                  <w:vAlign w:val="center"/>
                </w:tcPr>
                <w:p w14:paraId="6D706C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西厂界</w:t>
                  </w:r>
                </w:p>
              </w:tc>
              <w:tc>
                <w:tcPr>
                  <w:tcW w:w="2374" w:type="dxa"/>
                  <w:vAlign w:val="center"/>
                </w:tcPr>
                <w:p w14:paraId="70DAE9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35.0</w:t>
                  </w:r>
                </w:p>
              </w:tc>
              <w:tc>
                <w:tcPr>
                  <w:tcW w:w="2374" w:type="dxa"/>
                  <w:vAlign w:val="center"/>
                </w:tcPr>
                <w:p w14:paraId="56C675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53</w:t>
                  </w:r>
                </w:p>
              </w:tc>
              <w:tc>
                <w:tcPr>
                  <w:tcW w:w="2374" w:type="dxa"/>
                  <w:vAlign w:val="center"/>
                </w:tcPr>
                <w:p w14:paraId="3FD88C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53.1</w:t>
                  </w:r>
                </w:p>
              </w:tc>
            </w:tr>
            <w:tr w14:paraId="2BF5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vAlign w:val="center"/>
                </w:tcPr>
                <w:p w14:paraId="688DBC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p>
              </w:tc>
              <w:tc>
                <w:tcPr>
                  <w:tcW w:w="2222" w:type="dxa"/>
                  <w:vAlign w:val="center"/>
                </w:tcPr>
                <w:p w14:paraId="3062F8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北厂界</w:t>
                  </w:r>
                </w:p>
              </w:tc>
              <w:tc>
                <w:tcPr>
                  <w:tcW w:w="2374" w:type="dxa"/>
                  <w:vAlign w:val="center"/>
                </w:tcPr>
                <w:p w14:paraId="7386B6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b w:val="0"/>
                      <w:bCs w:val="0"/>
                      <w:color w:val="auto"/>
                      <w:kern w:val="0"/>
                      <w:sz w:val="21"/>
                      <w:szCs w:val="21"/>
                      <w:lang w:val="en-US" w:eastAsia="zh-CN" w:bidi="ar"/>
                    </w:rPr>
                    <w:t>47.2</w:t>
                  </w:r>
                </w:p>
              </w:tc>
              <w:tc>
                <w:tcPr>
                  <w:tcW w:w="2374" w:type="dxa"/>
                  <w:vAlign w:val="center"/>
                </w:tcPr>
                <w:p w14:paraId="6FA119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56</w:t>
                  </w:r>
                </w:p>
              </w:tc>
              <w:tc>
                <w:tcPr>
                  <w:tcW w:w="2374" w:type="dxa"/>
                  <w:vAlign w:val="center"/>
                </w:tcPr>
                <w:p w14:paraId="7FDE83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56.5</w:t>
                  </w:r>
                </w:p>
              </w:tc>
            </w:tr>
            <w:tr w14:paraId="663D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restart"/>
                  <w:vAlign w:val="center"/>
                </w:tcPr>
                <w:p w14:paraId="142243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lang w:val="en-US"/>
                    </w:rPr>
                  </w:pPr>
                  <w:r>
                    <w:rPr>
                      <w:rFonts w:hint="default" w:ascii="Times New Roman" w:hAnsi="Times New Roman" w:cs="Times New Roman"/>
                      <w:b w:val="0"/>
                      <w:bCs w:val="0"/>
                      <w:color w:val="auto"/>
                      <w:sz w:val="21"/>
                      <w:szCs w:val="21"/>
                      <w:lang w:val="en-US" w:eastAsia="zh-CN"/>
                    </w:rPr>
                    <w:t>夜间</w:t>
                  </w:r>
                </w:p>
              </w:tc>
              <w:tc>
                <w:tcPr>
                  <w:tcW w:w="2222" w:type="dxa"/>
                  <w:vAlign w:val="center"/>
                </w:tcPr>
                <w:p w14:paraId="123941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东厂界</w:t>
                  </w:r>
                </w:p>
              </w:tc>
              <w:tc>
                <w:tcPr>
                  <w:tcW w:w="2374" w:type="dxa"/>
                  <w:vAlign w:val="center"/>
                </w:tcPr>
                <w:p w14:paraId="164B49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b w:val="0"/>
                      <w:bCs w:val="0"/>
                      <w:color w:val="auto"/>
                      <w:kern w:val="0"/>
                      <w:sz w:val="21"/>
                      <w:szCs w:val="21"/>
                      <w:lang w:val="en-US" w:eastAsia="zh-CN" w:bidi="ar"/>
                    </w:rPr>
                    <w:t>45.0</w:t>
                  </w:r>
                </w:p>
              </w:tc>
              <w:tc>
                <w:tcPr>
                  <w:tcW w:w="2374" w:type="dxa"/>
                  <w:vAlign w:val="center"/>
                </w:tcPr>
                <w:p w14:paraId="75A26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44</w:t>
                  </w:r>
                </w:p>
              </w:tc>
              <w:tc>
                <w:tcPr>
                  <w:tcW w:w="2374" w:type="dxa"/>
                  <w:vAlign w:val="center"/>
                </w:tcPr>
                <w:p w14:paraId="74D4D4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47.6</w:t>
                  </w:r>
                </w:p>
              </w:tc>
            </w:tr>
            <w:tr w14:paraId="03CD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vAlign w:val="center"/>
                </w:tcPr>
                <w:p w14:paraId="0AEBBA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p>
              </w:tc>
              <w:tc>
                <w:tcPr>
                  <w:tcW w:w="2222" w:type="dxa"/>
                  <w:vAlign w:val="center"/>
                </w:tcPr>
                <w:p w14:paraId="75C282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南厂界</w:t>
                  </w:r>
                </w:p>
              </w:tc>
              <w:tc>
                <w:tcPr>
                  <w:tcW w:w="2374" w:type="dxa"/>
                  <w:vAlign w:val="center"/>
                </w:tcPr>
                <w:p w14:paraId="130A7B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35.</w:t>
                  </w:r>
                  <w:r>
                    <w:rPr>
                      <w:rFonts w:hint="eastAsia" w:cs="Times New Roman"/>
                      <w:b w:val="0"/>
                      <w:bCs w:val="0"/>
                      <w:color w:val="auto"/>
                      <w:sz w:val="21"/>
                      <w:szCs w:val="21"/>
                      <w:lang w:val="en-US" w:eastAsia="zh-CN"/>
                    </w:rPr>
                    <w:t>7</w:t>
                  </w:r>
                </w:p>
              </w:tc>
              <w:tc>
                <w:tcPr>
                  <w:tcW w:w="2374" w:type="dxa"/>
                  <w:vAlign w:val="center"/>
                </w:tcPr>
                <w:p w14:paraId="14E68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2"/>
                      <w:szCs w:val="22"/>
                      <w:u w:val="none"/>
                      <w:lang w:val="en-US" w:eastAsia="zh-CN" w:bidi="ar"/>
                    </w:rPr>
                    <w:t>41</w:t>
                  </w:r>
                </w:p>
              </w:tc>
              <w:tc>
                <w:tcPr>
                  <w:tcW w:w="2374" w:type="dxa"/>
                  <w:vAlign w:val="center"/>
                </w:tcPr>
                <w:p w14:paraId="68E6B5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42.1</w:t>
                  </w:r>
                </w:p>
              </w:tc>
            </w:tr>
            <w:tr w14:paraId="76C5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vAlign w:val="center"/>
                </w:tcPr>
                <w:p w14:paraId="60BF40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p>
              </w:tc>
              <w:tc>
                <w:tcPr>
                  <w:tcW w:w="2222" w:type="dxa"/>
                  <w:vAlign w:val="center"/>
                </w:tcPr>
                <w:p w14:paraId="152135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西厂界</w:t>
                  </w:r>
                </w:p>
              </w:tc>
              <w:tc>
                <w:tcPr>
                  <w:tcW w:w="2374" w:type="dxa"/>
                  <w:vAlign w:val="center"/>
                </w:tcPr>
                <w:p w14:paraId="677880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35.0</w:t>
                  </w:r>
                </w:p>
              </w:tc>
              <w:tc>
                <w:tcPr>
                  <w:tcW w:w="2374" w:type="dxa"/>
                  <w:vAlign w:val="center"/>
                </w:tcPr>
                <w:p w14:paraId="3DAE4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b w:val="0"/>
                      <w:bCs w:val="0"/>
                      <w:color w:val="auto"/>
                      <w:kern w:val="0"/>
                      <w:sz w:val="21"/>
                      <w:szCs w:val="21"/>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41</w:t>
                  </w:r>
                </w:p>
              </w:tc>
              <w:tc>
                <w:tcPr>
                  <w:tcW w:w="2374" w:type="dxa"/>
                  <w:vAlign w:val="center"/>
                </w:tcPr>
                <w:p w14:paraId="73D13B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42.0</w:t>
                  </w:r>
                </w:p>
              </w:tc>
            </w:tr>
            <w:tr w14:paraId="14D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vAlign w:val="center"/>
                </w:tcPr>
                <w:p w14:paraId="00FEBD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21"/>
                      <w:szCs w:val="21"/>
                    </w:rPr>
                  </w:pPr>
                </w:p>
              </w:tc>
              <w:tc>
                <w:tcPr>
                  <w:tcW w:w="2222" w:type="dxa"/>
                  <w:vAlign w:val="center"/>
                </w:tcPr>
                <w:p w14:paraId="6AE804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北厂界</w:t>
                  </w:r>
                </w:p>
              </w:tc>
              <w:tc>
                <w:tcPr>
                  <w:tcW w:w="2374" w:type="dxa"/>
                  <w:vAlign w:val="center"/>
                </w:tcPr>
                <w:p w14:paraId="744DE5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b w:val="0"/>
                      <w:bCs w:val="0"/>
                      <w:color w:val="auto"/>
                      <w:kern w:val="0"/>
                      <w:sz w:val="21"/>
                      <w:szCs w:val="21"/>
                      <w:lang w:val="en-US" w:eastAsia="zh-CN" w:bidi="ar"/>
                    </w:rPr>
                    <w:t>47.2</w:t>
                  </w:r>
                </w:p>
              </w:tc>
              <w:tc>
                <w:tcPr>
                  <w:tcW w:w="2374" w:type="dxa"/>
                  <w:vAlign w:val="center"/>
                </w:tcPr>
                <w:p w14:paraId="2DB44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42</w:t>
                  </w:r>
                </w:p>
              </w:tc>
              <w:tc>
                <w:tcPr>
                  <w:tcW w:w="2374" w:type="dxa"/>
                  <w:vAlign w:val="center"/>
                </w:tcPr>
                <w:p w14:paraId="3F6D7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48.4</w:t>
                  </w:r>
                </w:p>
              </w:tc>
            </w:tr>
          </w:tbl>
          <w:p w14:paraId="6BFCC9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auto"/>
              </w:rPr>
            </w:pPr>
            <w:r>
              <w:rPr>
                <w:b/>
                <w:color w:val="auto"/>
              </w:rPr>
              <w:t>表</w:t>
            </w:r>
            <w:r>
              <w:rPr>
                <w:rFonts w:hint="eastAsia"/>
                <w:b/>
                <w:color w:val="auto"/>
              </w:rPr>
              <w:t>4-</w:t>
            </w:r>
            <w:r>
              <w:rPr>
                <w:rFonts w:hint="eastAsia"/>
                <w:b/>
                <w:color w:val="auto"/>
                <w:lang w:val="en-US" w:eastAsia="zh-CN"/>
              </w:rPr>
              <w:t>30</w:t>
            </w:r>
            <w:r>
              <w:rPr>
                <w:rFonts w:hint="eastAsia"/>
                <w:b/>
                <w:color w:val="auto"/>
              </w:rPr>
              <w:t xml:space="preserve">  </w:t>
            </w:r>
            <w:r>
              <w:rPr>
                <w:rFonts w:hint="eastAsia"/>
                <w:b/>
                <w:color w:val="auto"/>
                <w:lang w:val="en-US" w:eastAsia="zh-CN"/>
              </w:rPr>
              <w:t>能源站</w:t>
            </w:r>
            <w:r>
              <w:rPr>
                <w:rFonts w:hint="eastAsia" w:eastAsia="宋体" w:cs="Times New Roman"/>
                <w:b/>
                <w:bCs/>
                <w:snapToGrid w:val="0"/>
                <w:color w:val="auto"/>
                <w:kern w:val="0"/>
                <w:sz w:val="24"/>
                <w:szCs w:val="24"/>
                <w:lang w:val="en-US" w:eastAsia="zh-CN" w:bidi="ar-SA"/>
              </w:rPr>
              <w:t>低温级空气源热泵组供冷项目</w:t>
            </w:r>
            <w:r>
              <w:rPr>
                <w:b/>
                <w:color w:val="auto"/>
              </w:rPr>
              <w:t>噪声预测结果</w:t>
            </w:r>
            <w:r>
              <w:rPr>
                <w:rFonts w:hint="eastAsia"/>
                <w:b/>
                <w:color w:val="auto"/>
              </w:rPr>
              <w:t xml:space="preserve">  </w:t>
            </w:r>
            <w:r>
              <w:rPr>
                <w:b/>
                <w:color w:val="auto"/>
              </w:rPr>
              <w:t>单位：dB</w:t>
            </w:r>
            <w:r>
              <w:rPr>
                <w:rFonts w:hint="eastAsia"/>
                <w:b/>
                <w:color w:val="auto"/>
              </w:rPr>
              <w:t>（</w:t>
            </w:r>
            <w:r>
              <w:rPr>
                <w:b/>
                <w:color w:val="auto"/>
              </w:rPr>
              <w:t>A</w:t>
            </w:r>
            <w:r>
              <w:rPr>
                <w:rFonts w:hint="eastAsia"/>
                <w:b/>
                <w:color w:val="auto"/>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734"/>
              <w:gridCol w:w="1849"/>
              <w:gridCol w:w="1849"/>
              <w:gridCol w:w="1849"/>
            </w:tblGrid>
            <w:tr w14:paraId="1AF7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14:paraId="46B1C3F8">
                  <w:pPr>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昼/夜</w:t>
                  </w:r>
                </w:p>
              </w:tc>
              <w:tc>
                <w:tcPr>
                  <w:tcW w:w="1734" w:type="dxa"/>
                  <w:vAlign w:val="center"/>
                </w:tcPr>
                <w:p w14:paraId="3F939525">
                  <w:pPr>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预测点</w:t>
                  </w:r>
                </w:p>
              </w:tc>
              <w:tc>
                <w:tcPr>
                  <w:tcW w:w="1849" w:type="dxa"/>
                  <w:shd w:val="clear" w:color="auto" w:fill="auto"/>
                  <w:vAlign w:val="center"/>
                </w:tcPr>
                <w:p w14:paraId="0901E56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lang w:val="en-US" w:eastAsia="zh-CN"/>
                    </w:rPr>
                    <w:t>贡献值</w:t>
                  </w:r>
                </w:p>
              </w:tc>
              <w:tc>
                <w:tcPr>
                  <w:tcW w:w="1849" w:type="dxa"/>
                  <w:shd w:val="clear" w:color="auto" w:fill="auto"/>
                  <w:vAlign w:val="center"/>
                </w:tcPr>
                <w:p w14:paraId="5EF041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sz w:val="21"/>
                      <w:szCs w:val="21"/>
                      <w:lang w:val="en-US" w:eastAsia="zh-CN"/>
                    </w:rPr>
                    <w:t>背景值</w:t>
                  </w:r>
                </w:p>
              </w:tc>
              <w:tc>
                <w:tcPr>
                  <w:tcW w:w="1849" w:type="dxa"/>
                  <w:vAlign w:val="center"/>
                </w:tcPr>
                <w:p w14:paraId="16A22DE1">
                  <w:pPr>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预测值</w:t>
                  </w:r>
                </w:p>
              </w:tc>
            </w:tr>
            <w:tr w14:paraId="17BC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502102C3">
                  <w:pPr>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昼间</w:t>
                  </w:r>
                </w:p>
              </w:tc>
              <w:tc>
                <w:tcPr>
                  <w:tcW w:w="1734" w:type="dxa"/>
                  <w:vAlign w:val="center"/>
                </w:tcPr>
                <w:p w14:paraId="66BC9ED3">
                  <w:pPr>
                    <w:spacing w:line="240" w:lineRule="auto"/>
                    <w:ind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东厂界</w:t>
                  </w:r>
                </w:p>
              </w:tc>
              <w:tc>
                <w:tcPr>
                  <w:tcW w:w="1849" w:type="dxa"/>
                  <w:shd w:val="clear" w:color="auto" w:fill="auto"/>
                  <w:vAlign w:val="center"/>
                </w:tcPr>
                <w:p w14:paraId="7F2C79C3">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28.2</w:t>
                  </w:r>
                </w:p>
              </w:tc>
              <w:tc>
                <w:tcPr>
                  <w:tcW w:w="1849" w:type="dxa"/>
                  <w:shd w:val="clear" w:color="auto" w:fill="auto"/>
                  <w:vAlign w:val="center"/>
                </w:tcPr>
                <w:p w14:paraId="64A315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49.5</w:t>
                  </w:r>
                </w:p>
              </w:tc>
              <w:tc>
                <w:tcPr>
                  <w:tcW w:w="1849" w:type="dxa"/>
                  <w:vAlign w:val="center"/>
                </w:tcPr>
                <w:p w14:paraId="60E460A0">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49.5</w:t>
                  </w:r>
                </w:p>
              </w:tc>
            </w:tr>
            <w:tr w14:paraId="7248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11850F66">
                  <w:pPr>
                    <w:spacing w:line="240" w:lineRule="auto"/>
                    <w:ind w:firstLine="0" w:firstLineChars="0"/>
                    <w:jc w:val="center"/>
                    <w:rPr>
                      <w:rFonts w:hint="default" w:ascii="Times New Roman" w:hAnsi="Times New Roman" w:cs="Times New Roman"/>
                      <w:b w:val="0"/>
                      <w:bCs w:val="0"/>
                      <w:color w:val="auto"/>
                      <w:sz w:val="21"/>
                      <w:szCs w:val="21"/>
                    </w:rPr>
                  </w:pPr>
                </w:p>
              </w:tc>
              <w:tc>
                <w:tcPr>
                  <w:tcW w:w="1734" w:type="dxa"/>
                  <w:vAlign w:val="center"/>
                </w:tcPr>
                <w:p w14:paraId="7E61A5F3">
                  <w:pPr>
                    <w:spacing w:line="240" w:lineRule="auto"/>
                    <w:ind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南厂界</w:t>
                  </w:r>
                </w:p>
              </w:tc>
              <w:tc>
                <w:tcPr>
                  <w:tcW w:w="1849" w:type="dxa"/>
                  <w:shd w:val="clear" w:color="auto" w:fill="auto"/>
                  <w:vAlign w:val="center"/>
                </w:tcPr>
                <w:p w14:paraId="61904493">
                  <w:pPr>
                    <w:widowControl/>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22.8</w:t>
                  </w:r>
                </w:p>
              </w:tc>
              <w:tc>
                <w:tcPr>
                  <w:tcW w:w="1849" w:type="dxa"/>
                  <w:shd w:val="clear" w:color="auto" w:fill="auto"/>
                  <w:vAlign w:val="center"/>
                </w:tcPr>
                <w:p w14:paraId="3DAB3D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58</w:t>
                  </w:r>
                </w:p>
              </w:tc>
              <w:tc>
                <w:tcPr>
                  <w:tcW w:w="1849" w:type="dxa"/>
                  <w:vAlign w:val="center"/>
                </w:tcPr>
                <w:p w14:paraId="7D2F28EC">
                  <w:pPr>
                    <w:widowControl/>
                    <w:spacing w:line="240" w:lineRule="auto"/>
                    <w:ind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58.0</w:t>
                  </w:r>
                </w:p>
              </w:tc>
            </w:tr>
            <w:tr w14:paraId="3EE4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7A1DE42C">
                  <w:pPr>
                    <w:spacing w:line="240" w:lineRule="auto"/>
                    <w:ind w:firstLine="0" w:firstLineChars="0"/>
                    <w:jc w:val="center"/>
                    <w:rPr>
                      <w:rFonts w:hint="default" w:ascii="Times New Roman" w:hAnsi="Times New Roman" w:cs="Times New Roman"/>
                      <w:b w:val="0"/>
                      <w:bCs w:val="0"/>
                      <w:color w:val="auto"/>
                      <w:sz w:val="21"/>
                      <w:szCs w:val="21"/>
                    </w:rPr>
                  </w:pPr>
                </w:p>
              </w:tc>
              <w:tc>
                <w:tcPr>
                  <w:tcW w:w="1734" w:type="dxa"/>
                  <w:vAlign w:val="center"/>
                </w:tcPr>
                <w:p w14:paraId="62CB9131">
                  <w:pPr>
                    <w:spacing w:line="240" w:lineRule="auto"/>
                    <w:ind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西厂界</w:t>
                  </w:r>
                </w:p>
              </w:tc>
              <w:tc>
                <w:tcPr>
                  <w:tcW w:w="1849" w:type="dxa"/>
                  <w:shd w:val="clear" w:color="auto" w:fill="auto"/>
                  <w:vAlign w:val="center"/>
                </w:tcPr>
                <w:p w14:paraId="3D50A3CC">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29.8</w:t>
                  </w:r>
                </w:p>
              </w:tc>
              <w:tc>
                <w:tcPr>
                  <w:tcW w:w="1849" w:type="dxa"/>
                  <w:shd w:val="clear" w:color="auto" w:fill="auto"/>
                  <w:vAlign w:val="center"/>
                </w:tcPr>
                <w:p w14:paraId="612526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53</w:t>
                  </w:r>
                </w:p>
              </w:tc>
              <w:tc>
                <w:tcPr>
                  <w:tcW w:w="1849" w:type="dxa"/>
                  <w:vAlign w:val="center"/>
                </w:tcPr>
                <w:p w14:paraId="4533B634">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53.0</w:t>
                  </w:r>
                </w:p>
              </w:tc>
            </w:tr>
            <w:tr w14:paraId="5161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0DC6E16C">
                  <w:pPr>
                    <w:spacing w:line="240" w:lineRule="auto"/>
                    <w:ind w:firstLine="0" w:firstLineChars="0"/>
                    <w:jc w:val="center"/>
                    <w:rPr>
                      <w:rFonts w:hint="default" w:ascii="Times New Roman" w:hAnsi="Times New Roman" w:cs="Times New Roman"/>
                      <w:b w:val="0"/>
                      <w:bCs w:val="0"/>
                      <w:color w:val="auto"/>
                      <w:sz w:val="21"/>
                      <w:szCs w:val="21"/>
                    </w:rPr>
                  </w:pPr>
                </w:p>
              </w:tc>
              <w:tc>
                <w:tcPr>
                  <w:tcW w:w="1734" w:type="dxa"/>
                  <w:vAlign w:val="center"/>
                </w:tcPr>
                <w:p w14:paraId="599B52F5">
                  <w:pPr>
                    <w:spacing w:line="240" w:lineRule="auto"/>
                    <w:ind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北厂界</w:t>
                  </w:r>
                </w:p>
              </w:tc>
              <w:tc>
                <w:tcPr>
                  <w:tcW w:w="1849" w:type="dxa"/>
                  <w:shd w:val="clear" w:color="auto" w:fill="auto"/>
                  <w:vAlign w:val="center"/>
                </w:tcPr>
                <w:p w14:paraId="4A3E8233">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30.1</w:t>
                  </w:r>
                </w:p>
              </w:tc>
              <w:tc>
                <w:tcPr>
                  <w:tcW w:w="1849" w:type="dxa"/>
                  <w:shd w:val="clear" w:color="auto" w:fill="auto"/>
                  <w:vAlign w:val="center"/>
                </w:tcPr>
                <w:p w14:paraId="69A08D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56</w:t>
                  </w:r>
                </w:p>
              </w:tc>
              <w:tc>
                <w:tcPr>
                  <w:tcW w:w="1849" w:type="dxa"/>
                  <w:vAlign w:val="center"/>
                </w:tcPr>
                <w:p w14:paraId="589586D9">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56.0</w:t>
                  </w:r>
                </w:p>
              </w:tc>
            </w:tr>
            <w:tr w14:paraId="2EE4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2395964F">
                  <w:pPr>
                    <w:spacing w:line="240" w:lineRule="auto"/>
                    <w:ind w:firstLine="0" w:firstLineChars="0"/>
                    <w:jc w:val="center"/>
                    <w:rPr>
                      <w:rFonts w:hint="default" w:ascii="Times New Roman" w:hAnsi="Times New Roman" w:cs="Times New Roman"/>
                      <w:b w:val="0"/>
                      <w:bCs w:val="0"/>
                      <w:color w:val="auto"/>
                      <w:sz w:val="21"/>
                      <w:szCs w:val="21"/>
                      <w:lang w:val="en-US"/>
                    </w:rPr>
                  </w:pPr>
                  <w:r>
                    <w:rPr>
                      <w:rFonts w:hint="default" w:ascii="Times New Roman" w:hAnsi="Times New Roman" w:cs="Times New Roman"/>
                      <w:b w:val="0"/>
                      <w:bCs w:val="0"/>
                      <w:color w:val="auto"/>
                      <w:sz w:val="21"/>
                      <w:szCs w:val="21"/>
                      <w:lang w:val="en-US" w:eastAsia="zh-CN"/>
                    </w:rPr>
                    <w:t>夜间</w:t>
                  </w:r>
                </w:p>
              </w:tc>
              <w:tc>
                <w:tcPr>
                  <w:tcW w:w="1734" w:type="dxa"/>
                  <w:vAlign w:val="center"/>
                </w:tcPr>
                <w:p w14:paraId="187402A4">
                  <w:pPr>
                    <w:spacing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东厂界</w:t>
                  </w:r>
                </w:p>
              </w:tc>
              <w:tc>
                <w:tcPr>
                  <w:tcW w:w="1849" w:type="dxa"/>
                  <w:shd w:val="clear" w:color="auto" w:fill="auto"/>
                  <w:vAlign w:val="center"/>
                </w:tcPr>
                <w:p w14:paraId="2E70EDB6">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28.2</w:t>
                  </w:r>
                </w:p>
              </w:tc>
              <w:tc>
                <w:tcPr>
                  <w:tcW w:w="1849" w:type="dxa"/>
                  <w:shd w:val="clear" w:color="auto" w:fill="auto"/>
                  <w:vAlign w:val="center"/>
                </w:tcPr>
                <w:p w14:paraId="19620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44</w:t>
                  </w:r>
                </w:p>
              </w:tc>
              <w:tc>
                <w:tcPr>
                  <w:tcW w:w="1849" w:type="dxa"/>
                  <w:vAlign w:val="center"/>
                </w:tcPr>
                <w:p w14:paraId="211FBEE8">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44.1</w:t>
                  </w:r>
                </w:p>
              </w:tc>
            </w:tr>
            <w:tr w14:paraId="7258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64343567">
                  <w:pPr>
                    <w:spacing w:line="240" w:lineRule="auto"/>
                    <w:ind w:firstLine="0" w:firstLineChars="0"/>
                    <w:jc w:val="center"/>
                    <w:rPr>
                      <w:rFonts w:hint="default" w:ascii="Times New Roman" w:hAnsi="Times New Roman" w:cs="Times New Roman"/>
                      <w:b w:val="0"/>
                      <w:bCs w:val="0"/>
                      <w:color w:val="auto"/>
                      <w:sz w:val="21"/>
                      <w:szCs w:val="21"/>
                    </w:rPr>
                  </w:pPr>
                </w:p>
              </w:tc>
              <w:tc>
                <w:tcPr>
                  <w:tcW w:w="1734" w:type="dxa"/>
                  <w:vAlign w:val="center"/>
                </w:tcPr>
                <w:p w14:paraId="589165B9">
                  <w:pPr>
                    <w:spacing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南厂界</w:t>
                  </w:r>
                </w:p>
              </w:tc>
              <w:tc>
                <w:tcPr>
                  <w:tcW w:w="1849" w:type="dxa"/>
                  <w:shd w:val="clear" w:color="auto" w:fill="auto"/>
                  <w:vAlign w:val="center"/>
                </w:tcPr>
                <w:p w14:paraId="02EFEB2C">
                  <w:pPr>
                    <w:widowControl/>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22.8</w:t>
                  </w:r>
                </w:p>
              </w:tc>
              <w:tc>
                <w:tcPr>
                  <w:tcW w:w="1849" w:type="dxa"/>
                  <w:shd w:val="clear" w:color="auto" w:fill="auto"/>
                  <w:vAlign w:val="center"/>
                </w:tcPr>
                <w:p w14:paraId="44019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41</w:t>
                  </w:r>
                </w:p>
              </w:tc>
              <w:tc>
                <w:tcPr>
                  <w:tcW w:w="1849" w:type="dxa"/>
                  <w:vAlign w:val="center"/>
                </w:tcPr>
                <w:p w14:paraId="0C896A17">
                  <w:pPr>
                    <w:widowControl/>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41.1</w:t>
                  </w:r>
                </w:p>
              </w:tc>
            </w:tr>
            <w:tr w14:paraId="03F7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09F3CDDC">
                  <w:pPr>
                    <w:spacing w:line="240" w:lineRule="auto"/>
                    <w:ind w:firstLine="0" w:firstLineChars="0"/>
                    <w:jc w:val="center"/>
                    <w:rPr>
                      <w:rFonts w:hint="default" w:ascii="Times New Roman" w:hAnsi="Times New Roman" w:cs="Times New Roman"/>
                      <w:b w:val="0"/>
                      <w:bCs w:val="0"/>
                      <w:color w:val="auto"/>
                      <w:sz w:val="21"/>
                      <w:szCs w:val="21"/>
                    </w:rPr>
                  </w:pPr>
                </w:p>
              </w:tc>
              <w:tc>
                <w:tcPr>
                  <w:tcW w:w="1734" w:type="dxa"/>
                  <w:vAlign w:val="center"/>
                </w:tcPr>
                <w:p w14:paraId="1BE0ED46">
                  <w:pPr>
                    <w:spacing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西厂界</w:t>
                  </w:r>
                </w:p>
              </w:tc>
              <w:tc>
                <w:tcPr>
                  <w:tcW w:w="1849" w:type="dxa"/>
                  <w:shd w:val="clear" w:color="auto" w:fill="auto"/>
                  <w:vAlign w:val="center"/>
                </w:tcPr>
                <w:p w14:paraId="0894337D">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29.8</w:t>
                  </w:r>
                </w:p>
              </w:tc>
              <w:tc>
                <w:tcPr>
                  <w:tcW w:w="1849" w:type="dxa"/>
                  <w:shd w:val="clear" w:color="auto" w:fill="auto"/>
                  <w:vAlign w:val="center"/>
                </w:tcPr>
                <w:p w14:paraId="57199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41</w:t>
                  </w:r>
                </w:p>
              </w:tc>
              <w:tc>
                <w:tcPr>
                  <w:tcW w:w="1849" w:type="dxa"/>
                  <w:vAlign w:val="center"/>
                </w:tcPr>
                <w:p w14:paraId="14C0D26D">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41.3</w:t>
                  </w:r>
                </w:p>
              </w:tc>
            </w:tr>
            <w:tr w14:paraId="1BFB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5D71BCC2">
                  <w:pPr>
                    <w:spacing w:line="240" w:lineRule="auto"/>
                    <w:ind w:firstLine="0" w:firstLineChars="0"/>
                    <w:jc w:val="center"/>
                    <w:rPr>
                      <w:rFonts w:hint="default" w:ascii="Times New Roman" w:hAnsi="Times New Roman" w:cs="Times New Roman"/>
                      <w:b w:val="0"/>
                      <w:bCs w:val="0"/>
                      <w:color w:val="auto"/>
                      <w:sz w:val="21"/>
                      <w:szCs w:val="21"/>
                    </w:rPr>
                  </w:pPr>
                </w:p>
              </w:tc>
              <w:tc>
                <w:tcPr>
                  <w:tcW w:w="1734" w:type="dxa"/>
                  <w:vAlign w:val="center"/>
                </w:tcPr>
                <w:p w14:paraId="0CB4B3B5">
                  <w:pPr>
                    <w:spacing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北厂界</w:t>
                  </w:r>
                </w:p>
              </w:tc>
              <w:tc>
                <w:tcPr>
                  <w:tcW w:w="1849" w:type="dxa"/>
                  <w:shd w:val="clear" w:color="auto" w:fill="auto"/>
                  <w:vAlign w:val="center"/>
                </w:tcPr>
                <w:p w14:paraId="3C87570D">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30.1</w:t>
                  </w:r>
                </w:p>
              </w:tc>
              <w:tc>
                <w:tcPr>
                  <w:tcW w:w="1849" w:type="dxa"/>
                  <w:shd w:val="clear" w:color="auto" w:fill="auto"/>
                  <w:vAlign w:val="center"/>
                </w:tcPr>
                <w:p w14:paraId="199570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42</w:t>
                  </w:r>
                </w:p>
              </w:tc>
              <w:tc>
                <w:tcPr>
                  <w:tcW w:w="1849" w:type="dxa"/>
                  <w:vAlign w:val="center"/>
                </w:tcPr>
                <w:p w14:paraId="2CCDD3DC">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
                    </w:rPr>
                  </w:pPr>
                  <w:r>
                    <w:rPr>
                      <w:rFonts w:hint="eastAsia" w:cs="Times New Roman"/>
                      <w:b w:val="0"/>
                      <w:bCs w:val="0"/>
                      <w:color w:val="auto"/>
                      <w:kern w:val="0"/>
                      <w:sz w:val="21"/>
                      <w:szCs w:val="21"/>
                      <w:lang w:val="en-US" w:eastAsia="zh-CN" w:bidi="ar"/>
                    </w:rPr>
                    <w:t>42.3</w:t>
                  </w:r>
                </w:p>
              </w:tc>
            </w:tr>
          </w:tbl>
          <w:p w14:paraId="0307F499">
            <w:pPr>
              <w:bidi w:val="0"/>
              <w:rPr>
                <w:rFonts w:hint="eastAsia"/>
                <w:color w:val="auto"/>
                <w:lang w:val="en-US" w:eastAsia="zh-CN"/>
              </w:rPr>
            </w:pPr>
            <w:r>
              <w:rPr>
                <w:rFonts w:hint="default"/>
                <w:color w:val="auto"/>
              </w:rPr>
              <w:t>由预测结果可知，</w:t>
            </w:r>
            <w:r>
              <w:rPr>
                <w:rFonts w:hint="eastAsia"/>
                <w:color w:val="auto"/>
                <w:lang w:val="en-US" w:eastAsia="zh-CN"/>
              </w:rPr>
              <w:t>项目</w:t>
            </w:r>
            <w:r>
              <w:rPr>
                <w:rFonts w:hint="default"/>
                <w:color w:val="auto"/>
              </w:rPr>
              <w:t>减振、隔声等降噪措施后</w:t>
            </w:r>
            <w:r>
              <w:rPr>
                <w:rFonts w:hint="eastAsia"/>
                <w:color w:val="auto"/>
                <w:lang w:val="en-US" w:eastAsia="zh-CN"/>
              </w:rPr>
              <w:t>厂界噪声可以满足《声环境质量标准》（GB3096-2008）中2类标准，不会改变区域声环境功能。</w:t>
            </w:r>
          </w:p>
          <w:p w14:paraId="587FFA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b/>
                <w:bCs/>
                <w:color w:val="auto"/>
              </w:rPr>
            </w:pPr>
            <w:r>
              <w:rPr>
                <w:rFonts w:hint="eastAsia"/>
                <w:b/>
                <w:bCs/>
                <w:color w:val="auto"/>
              </w:rPr>
              <w:t>3.</w:t>
            </w:r>
            <w:r>
              <w:rPr>
                <w:rFonts w:hint="eastAsia"/>
                <w:b/>
                <w:bCs/>
                <w:color w:val="auto"/>
                <w:lang w:val="en-US" w:eastAsia="zh-CN"/>
              </w:rPr>
              <w:t>4</w:t>
            </w:r>
            <w:r>
              <w:rPr>
                <w:b/>
                <w:bCs/>
                <w:color w:val="auto"/>
              </w:rPr>
              <w:t>噪声治理措施</w:t>
            </w:r>
          </w:p>
          <w:p w14:paraId="6073F21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rPr>
            </w:pPr>
            <w:r>
              <w:rPr>
                <w:rFonts w:hint="eastAsia"/>
                <w:color w:val="auto"/>
              </w:rPr>
              <w:t>为进一步减小本项目对周边环境的影响，企业应加强噪声的治理，具体治理措施如下：</w:t>
            </w:r>
          </w:p>
          <w:p w14:paraId="097646D7">
            <w:pPr>
              <w:keepNext w:val="0"/>
              <w:keepLines w:val="0"/>
              <w:pageBreakBefore w:val="0"/>
              <w:widowControl w:val="0"/>
              <w:kinsoku/>
              <w:wordWrap/>
              <w:overflowPunct/>
              <w:topLinePunct w:val="0"/>
              <w:autoSpaceDN/>
              <w:bidi w:val="0"/>
              <w:adjustRightInd/>
              <w:snapToGrid/>
              <w:spacing w:line="360" w:lineRule="auto"/>
              <w:ind w:firstLine="480"/>
              <w:textAlignment w:val="auto"/>
              <w:rPr>
                <w:rFonts w:hint="eastAsia"/>
                <w:color w:val="auto"/>
              </w:rPr>
            </w:pPr>
            <w:r>
              <w:rPr>
                <w:rFonts w:hint="eastAsia"/>
                <w:color w:val="auto"/>
              </w:rPr>
              <w:fldChar w:fldCharType="begin"/>
            </w:r>
            <w:r>
              <w:rPr>
                <w:rFonts w:hint="eastAsia"/>
                <w:color w:val="auto"/>
              </w:rPr>
              <w:instrText xml:space="preserve"> = 1 \* GB3 \* MERGEFORMAT </w:instrText>
            </w:r>
            <w:r>
              <w:rPr>
                <w:rFonts w:hint="eastAsia"/>
                <w:color w:val="auto"/>
              </w:rPr>
              <w:fldChar w:fldCharType="separate"/>
            </w:r>
            <w:r>
              <w:rPr>
                <w:rFonts w:hint="eastAsia"/>
                <w:color w:val="auto"/>
              </w:rPr>
              <w:t>①</w:t>
            </w:r>
            <w:r>
              <w:rPr>
                <w:rFonts w:hint="eastAsia"/>
                <w:color w:val="auto"/>
              </w:rPr>
              <w:fldChar w:fldCharType="end"/>
            </w:r>
            <w:r>
              <w:rPr>
                <w:rFonts w:hint="eastAsia"/>
                <w:color w:val="auto"/>
              </w:rPr>
              <w:t>尽量选择低噪声和符合国家噪声标准的生产设备，并进行定期检修维护，使其处于良好运行状态；在设备与地面之间安装减振垫，减少机械振动产生的噪声污染；</w:t>
            </w:r>
          </w:p>
          <w:p w14:paraId="7174A07B">
            <w:pPr>
              <w:keepNext w:val="0"/>
              <w:keepLines w:val="0"/>
              <w:pageBreakBefore w:val="0"/>
              <w:widowControl w:val="0"/>
              <w:kinsoku/>
              <w:wordWrap/>
              <w:overflowPunct/>
              <w:topLinePunct w:val="0"/>
              <w:autoSpaceDN/>
              <w:bidi w:val="0"/>
              <w:adjustRightInd/>
              <w:snapToGrid/>
              <w:spacing w:line="360" w:lineRule="auto"/>
              <w:ind w:firstLine="480"/>
              <w:textAlignment w:val="auto"/>
              <w:rPr>
                <w:color w:val="auto"/>
              </w:rPr>
            </w:pPr>
            <w:r>
              <w:rPr>
                <w:rFonts w:hint="eastAsia"/>
                <w:color w:val="auto"/>
              </w:rPr>
              <w:fldChar w:fldCharType="begin"/>
            </w:r>
            <w:r>
              <w:rPr>
                <w:rFonts w:hint="eastAsia"/>
                <w:color w:val="auto"/>
              </w:rPr>
              <w:instrText xml:space="preserve"> = 2 \* GB3 \* MERGEFORMAT </w:instrText>
            </w:r>
            <w:r>
              <w:rPr>
                <w:rFonts w:hint="eastAsia"/>
                <w:color w:val="auto"/>
              </w:rPr>
              <w:fldChar w:fldCharType="separate"/>
            </w:r>
            <w:r>
              <w:rPr>
                <w:rFonts w:hint="eastAsia"/>
                <w:color w:val="auto"/>
              </w:rPr>
              <w:t>②</w:t>
            </w:r>
            <w:r>
              <w:rPr>
                <w:rFonts w:hint="eastAsia"/>
                <w:color w:val="auto"/>
              </w:rPr>
              <w:fldChar w:fldCharType="end"/>
            </w:r>
            <w:r>
              <w:rPr>
                <w:rFonts w:hint="eastAsia"/>
                <w:color w:val="auto"/>
              </w:rPr>
              <w:t>合理布局，合理布置厂内各功能区的位置及厂区内部设备的位置，将高噪声设备尽量安置在厂区中间位置以增加其距离衰减量，减少对周围环境的影响；</w:t>
            </w:r>
          </w:p>
          <w:p w14:paraId="5D56AAEE">
            <w:pPr>
              <w:keepNext w:val="0"/>
              <w:keepLines w:val="0"/>
              <w:pageBreakBefore w:val="0"/>
              <w:widowControl w:val="0"/>
              <w:kinsoku/>
              <w:wordWrap/>
              <w:overflowPunct/>
              <w:topLinePunct w:val="0"/>
              <w:autoSpaceDN/>
              <w:bidi w:val="0"/>
              <w:adjustRightInd/>
              <w:snapToGrid/>
              <w:spacing w:line="360" w:lineRule="auto"/>
              <w:ind w:firstLine="480"/>
              <w:textAlignment w:val="auto"/>
              <w:rPr>
                <w:color w:val="auto"/>
              </w:rPr>
            </w:pPr>
            <w:r>
              <w:rPr>
                <w:color w:val="auto"/>
              </w:rPr>
              <w:fldChar w:fldCharType="begin"/>
            </w:r>
            <w:r>
              <w:rPr>
                <w:color w:val="auto"/>
              </w:rPr>
              <w:instrText xml:space="preserve"> = 3 \* GB3 \* MERGEFORMAT </w:instrText>
            </w:r>
            <w:r>
              <w:rPr>
                <w:color w:val="auto"/>
              </w:rPr>
              <w:fldChar w:fldCharType="separate"/>
            </w:r>
            <w:r>
              <w:rPr>
                <w:color w:val="auto"/>
              </w:rPr>
              <w:t>③</w:t>
            </w:r>
            <w:r>
              <w:rPr>
                <w:color w:val="auto"/>
              </w:rPr>
              <w:fldChar w:fldCharType="end"/>
            </w:r>
            <w:r>
              <w:rPr>
                <w:color w:val="auto"/>
              </w:rPr>
              <w:t>搞好厂区绿化：据资料显示，密植槐树林带可以使中频率的声音衰减3.5dB（A）/10m，高于30cm的草地可以降低0.7dB（A）/10m；</w:t>
            </w:r>
          </w:p>
          <w:p w14:paraId="795A16EE">
            <w:pPr>
              <w:keepNext w:val="0"/>
              <w:keepLines w:val="0"/>
              <w:pageBreakBefore w:val="0"/>
              <w:widowControl w:val="0"/>
              <w:kinsoku/>
              <w:wordWrap/>
              <w:overflowPunct/>
              <w:topLinePunct w:val="0"/>
              <w:autoSpaceDN/>
              <w:bidi w:val="0"/>
              <w:adjustRightInd/>
              <w:snapToGrid/>
              <w:spacing w:line="360" w:lineRule="auto"/>
              <w:ind w:firstLine="480"/>
              <w:textAlignment w:val="auto"/>
              <w:rPr>
                <w:color w:val="auto"/>
              </w:rPr>
            </w:pPr>
            <w:r>
              <w:rPr>
                <w:color w:val="auto"/>
              </w:rPr>
              <w:fldChar w:fldCharType="begin"/>
            </w:r>
            <w:r>
              <w:rPr>
                <w:color w:val="auto"/>
              </w:rPr>
              <w:instrText xml:space="preserve"> = 4 \* GB3 \* MERGEFORMAT </w:instrText>
            </w:r>
            <w:r>
              <w:rPr>
                <w:color w:val="auto"/>
              </w:rPr>
              <w:fldChar w:fldCharType="separate"/>
            </w:r>
            <w:r>
              <w:rPr>
                <w:color w:val="auto"/>
              </w:rPr>
              <w:t>④</w:t>
            </w:r>
            <w:r>
              <w:rPr>
                <w:color w:val="auto"/>
              </w:rPr>
              <w:fldChar w:fldCharType="end"/>
            </w:r>
            <w:r>
              <w:rPr>
                <w:color w:val="auto"/>
              </w:rPr>
              <w:t>利用好距离衰减，减少对场界外环境的影响；</w:t>
            </w:r>
          </w:p>
          <w:p w14:paraId="1B3F1921">
            <w:pPr>
              <w:keepNext w:val="0"/>
              <w:keepLines w:val="0"/>
              <w:pageBreakBefore w:val="0"/>
              <w:widowControl w:val="0"/>
              <w:kinsoku/>
              <w:wordWrap/>
              <w:overflowPunct/>
              <w:topLinePunct w:val="0"/>
              <w:autoSpaceDN/>
              <w:bidi w:val="0"/>
              <w:adjustRightInd/>
              <w:snapToGrid/>
              <w:spacing w:line="360" w:lineRule="auto"/>
              <w:ind w:firstLine="480"/>
              <w:textAlignment w:val="auto"/>
              <w:rPr>
                <w:rFonts w:hint="eastAsia"/>
                <w:color w:val="auto"/>
              </w:rPr>
            </w:pPr>
            <w:r>
              <w:rPr>
                <w:color w:val="auto"/>
              </w:rPr>
              <w:t>通过以上措施，再经距离衰减和建筑物的阻挡作用，预计场区边界</w:t>
            </w:r>
            <w:r>
              <w:rPr>
                <w:rFonts w:hint="eastAsia"/>
                <w:color w:val="auto"/>
                <w:lang w:eastAsia="zh-CN"/>
              </w:rPr>
              <w:t>昼间</w:t>
            </w:r>
            <w:r>
              <w:rPr>
                <w:color w:val="auto"/>
              </w:rPr>
              <w:t>噪声值能够达到《工业企业厂界环境噪声排放标准》（GB12348-2008）中的</w:t>
            </w:r>
            <w:r>
              <w:rPr>
                <w:rFonts w:hint="eastAsia"/>
                <w:color w:val="auto"/>
                <w:lang w:val="en-US" w:eastAsia="zh-CN"/>
              </w:rPr>
              <w:t>2</w:t>
            </w:r>
            <w:r>
              <w:rPr>
                <w:color w:val="auto"/>
              </w:rPr>
              <w:t>类标准，即昼间6</w:t>
            </w:r>
            <w:r>
              <w:rPr>
                <w:rFonts w:hint="eastAsia"/>
                <w:color w:val="auto"/>
                <w:lang w:val="en-US" w:eastAsia="zh-CN"/>
              </w:rPr>
              <w:t>0</w:t>
            </w:r>
            <w:r>
              <w:rPr>
                <w:color w:val="auto"/>
              </w:rPr>
              <w:t>dB（A）</w:t>
            </w:r>
            <w:r>
              <w:rPr>
                <w:rFonts w:hint="eastAsia"/>
                <w:color w:val="auto"/>
                <w:lang w:eastAsia="zh-CN"/>
              </w:rPr>
              <w:t>、</w:t>
            </w:r>
            <w:r>
              <w:rPr>
                <w:rFonts w:hint="eastAsia"/>
                <w:color w:val="auto"/>
                <w:lang w:val="en-US" w:eastAsia="zh-CN"/>
              </w:rPr>
              <w:t>夜间50</w:t>
            </w:r>
            <w:r>
              <w:rPr>
                <w:color w:val="auto"/>
              </w:rPr>
              <w:t>dB</w:t>
            </w:r>
            <w:r>
              <w:rPr>
                <w:rFonts w:hint="eastAsia"/>
                <w:color w:val="auto"/>
                <w:lang w:val="en-US" w:eastAsia="zh-CN"/>
              </w:rPr>
              <w:t>（</w:t>
            </w:r>
            <w:r>
              <w:rPr>
                <w:color w:val="auto"/>
              </w:rPr>
              <w:t>A</w:t>
            </w:r>
            <w:r>
              <w:rPr>
                <w:rFonts w:hint="eastAsia"/>
                <w:color w:val="auto"/>
                <w:lang w:val="en-US" w:eastAsia="zh-CN"/>
              </w:rPr>
              <w:t>）</w:t>
            </w:r>
            <w:r>
              <w:rPr>
                <w:rFonts w:hint="eastAsia"/>
                <w:color w:val="auto"/>
              </w:rPr>
              <w:t>，本项目噪声对周围声环境影响较小。</w:t>
            </w:r>
          </w:p>
          <w:p w14:paraId="1C8034E5">
            <w:pPr>
              <w:pStyle w:val="19"/>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0" w:firstLineChars="0"/>
              <w:textAlignment w:val="auto"/>
              <w:rPr>
                <w:rFonts w:hint="default"/>
                <w:b/>
                <w:bCs/>
                <w:color w:val="auto"/>
              </w:rPr>
            </w:pPr>
            <w:r>
              <w:rPr>
                <w:rFonts w:hint="default"/>
                <w:b/>
                <w:bCs/>
                <w:color w:val="auto"/>
              </w:rPr>
              <w:t>3.</w:t>
            </w:r>
            <w:r>
              <w:rPr>
                <w:rFonts w:hint="eastAsia"/>
                <w:b/>
                <w:bCs/>
                <w:color w:val="auto"/>
                <w:lang w:val="en-US" w:eastAsia="zh-CN"/>
              </w:rPr>
              <w:t>5</w:t>
            </w:r>
            <w:r>
              <w:rPr>
                <w:rFonts w:hint="eastAsia"/>
                <w:b/>
                <w:bCs/>
                <w:color w:val="auto"/>
              </w:rPr>
              <w:t>监测计划</w:t>
            </w:r>
          </w:p>
          <w:p w14:paraId="77FE7D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default"/>
                <w:b w:val="0"/>
                <w:bCs w:val="0"/>
                <w:color w:val="auto"/>
              </w:rPr>
            </w:pPr>
            <w:r>
              <w:rPr>
                <w:rFonts w:hint="eastAsia"/>
                <w:b/>
                <w:bCs/>
                <w:color w:val="auto"/>
              </w:rPr>
              <w:t>表</w:t>
            </w:r>
            <w:r>
              <w:rPr>
                <w:rFonts w:hint="default"/>
                <w:b/>
                <w:bCs/>
                <w:color w:val="auto"/>
              </w:rPr>
              <w:t>4-</w:t>
            </w:r>
            <w:r>
              <w:rPr>
                <w:rFonts w:hint="eastAsia"/>
                <w:b/>
                <w:bCs/>
                <w:color w:val="auto"/>
                <w:lang w:val="en-US" w:eastAsia="zh-CN"/>
              </w:rPr>
              <w:t xml:space="preserve">31 </w:t>
            </w:r>
            <w:r>
              <w:rPr>
                <w:rFonts w:hint="default"/>
                <w:b/>
                <w:bCs/>
                <w:color w:val="auto"/>
              </w:rPr>
              <w:t xml:space="preserve"> </w:t>
            </w:r>
            <w:r>
              <w:rPr>
                <w:rFonts w:hint="eastAsia"/>
                <w:b/>
                <w:bCs/>
                <w:color w:val="auto"/>
              </w:rPr>
              <w:t>项目噪声监测计划</w:t>
            </w:r>
          </w:p>
          <w:tbl>
            <w:tblPr>
              <w:tblStyle w:val="26"/>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158"/>
              <w:gridCol w:w="3241"/>
              <w:gridCol w:w="1132"/>
              <w:gridCol w:w="1394"/>
            </w:tblGrid>
            <w:tr w14:paraId="44BC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6" w:type="dxa"/>
                  <w:tcBorders>
                    <w:top w:val="single" w:color="auto" w:sz="4" w:space="0"/>
                    <w:left w:val="single" w:color="auto" w:sz="4" w:space="0"/>
                    <w:bottom w:val="single" w:color="auto" w:sz="4" w:space="0"/>
                    <w:right w:val="single" w:color="auto" w:sz="4" w:space="0"/>
                  </w:tcBorders>
                  <w:vAlign w:val="center"/>
                </w:tcPr>
                <w:p w14:paraId="308B7838">
                  <w:pPr>
                    <w:pStyle w:val="4"/>
                    <w:pageBreakBefore w:val="0"/>
                    <w:kinsoku/>
                    <w:topLinePunct w:val="0"/>
                    <w:bidi w:val="0"/>
                    <w:adjustRightInd/>
                    <w:snapToGrid/>
                    <w:jc w:val="center"/>
                    <w:textAlignment w:val="auto"/>
                    <w:rPr>
                      <w:rFonts w:hint="default"/>
                      <w:b/>
                      <w:bCs/>
                      <w:color w:val="auto"/>
                    </w:rPr>
                  </w:pPr>
                  <w:r>
                    <w:rPr>
                      <w:rFonts w:hint="eastAsia"/>
                      <w:b/>
                      <w:bCs/>
                      <w:color w:val="auto"/>
                    </w:rPr>
                    <w:t>监测点位</w:t>
                  </w:r>
                </w:p>
              </w:tc>
              <w:tc>
                <w:tcPr>
                  <w:tcW w:w="1158" w:type="dxa"/>
                  <w:tcBorders>
                    <w:top w:val="single" w:color="auto" w:sz="4" w:space="0"/>
                    <w:left w:val="single" w:color="auto" w:sz="4" w:space="0"/>
                    <w:bottom w:val="single" w:color="auto" w:sz="4" w:space="0"/>
                    <w:right w:val="single" w:color="auto" w:sz="4" w:space="0"/>
                  </w:tcBorders>
                  <w:vAlign w:val="center"/>
                </w:tcPr>
                <w:p w14:paraId="08B13E47">
                  <w:pPr>
                    <w:pStyle w:val="4"/>
                    <w:pageBreakBefore w:val="0"/>
                    <w:kinsoku/>
                    <w:topLinePunct w:val="0"/>
                    <w:bidi w:val="0"/>
                    <w:adjustRightInd/>
                    <w:snapToGrid/>
                    <w:jc w:val="center"/>
                    <w:textAlignment w:val="auto"/>
                    <w:rPr>
                      <w:rFonts w:hint="default"/>
                      <w:b/>
                      <w:bCs/>
                      <w:color w:val="auto"/>
                    </w:rPr>
                  </w:pPr>
                  <w:r>
                    <w:rPr>
                      <w:rFonts w:hint="eastAsia"/>
                      <w:b/>
                      <w:bCs/>
                      <w:color w:val="auto"/>
                    </w:rPr>
                    <w:t>监测项目</w:t>
                  </w:r>
                </w:p>
              </w:tc>
              <w:tc>
                <w:tcPr>
                  <w:tcW w:w="3241" w:type="dxa"/>
                  <w:tcBorders>
                    <w:top w:val="single" w:color="auto" w:sz="4" w:space="0"/>
                    <w:left w:val="single" w:color="auto" w:sz="4" w:space="0"/>
                    <w:bottom w:val="single" w:color="auto" w:sz="4" w:space="0"/>
                    <w:right w:val="single" w:color="auto" w:sz="4" w:space="0"/>
                  </w:tcBorders>
                  <w:vAlign w:val="center"/>
                </w:tcPr>
                <w:p w14:paraId="3E1D58B1">
                  <w:pPr>
                    <w:pStyle w:val="4"/>
                    <w:pageBreakBefore w:val="0"/>
                    <w:kinsoku/>
                    <w:topLinePunct w:val="0"/>
                    <w:bidi w:val="0"/>
                    <w:adjustRightInd/>
                    <w:snapToGrid/>
                    <w:jc w:val="center"/>
                    <w:textAlignment w:val="auto"/>
                    <w:rPr>
                      <w:rFonts w:hint="default"/>
                      <w:b/>
                      <w:bCs/>
                      <w:color w:val="auto"/>
                    </w:rPr>
                  </w:pPr>
                  <w:r>
                    <w:rPr>
                      <w:rFonts w:hint="eastAsia"/>
                      <w:b/>
                      <w:bCs/>
                      <w:color w:val="auto"/>
                    </w:rPr>
                    <w:t>执行标准</w:t>
                  </w:r>
                </w:p>
              </w:tc>
              <w:tc>
                <w:tcPr>
                  <w:tcW w:w="1132" w:type="dxa"/>
                  <w:tcBorders>
                    <w:top w:val="single" w:color="auto" w:sz="4" w:space="0"/>
                    <w:left w:val="single" w:color="auto" w:sz="4" w:space="0"/>
                    <w:bottom w:val="single" w:color="auto" w:sz="4" w:space="0"/>
                    <w:right w:val="single" w:color="auto" w:sz="4" w:space="0"/>
                  </w:tcBorders>
                  <w:vAlign w:val="center"/>
                </w:tcPr>
                <w:p w14:paraId="51C1B3B9">
                  <w:pPr>
                    <w:pStyle w:val="4"/>
                    <w:pageBreakBefore w:val="0"/>
                    <w:kinsoku/>
                    <w:topLinePunct w:val="0"/>
                    <w:bidi w:val="0"/>
                    <w:adjustRightInd/>
                    <w:snapToGrid/>
                    <w:jc w:val="center"/>
                    <w:textAlignment w:val="auto"/>
                    <w:rPr>
                      <w:rFonts w:hint="default"/>
                      <w:b/>
                      <w:bCs/>
                      <w:color w:val="auto"/>
                    </w:rPr>
                  </w:pPr>
                  <w:r>
                    <w:rPr>
                      <w:rFonts w:hint="eastAsia"/>
                      <w:b/>
                      <w:bCs/>
                      <w:color w:val="auto"/>
                    </w:rPr>
                    <w:t>监测频次</w:t>
                  </w:r>
                </w:p>
              </w:tc>
              <w:tc>
                <w:tcPr>
                  <w:tcW w:w="1394" w:type="dxa"/>
                  <w:tcBorders>
                    <w:top w:val="single" w:color="auto" w:sz="4" w:space="0"/>
                    <w:left w:val="single" w:color="auto" w:sz="4" w:space="0"/>
                    <w:bottom w:val="single" w:color="auto" w:sz="4" w:space="0"/>
                    <w:right w:val="single" w:color="auto" w:sz="4" w:space="0"/>
                  </w:tcBorders>
                  <w:vAlign w:val="center"/>
                </w:tcPr>
                <w:p w14:paraId="089E2184">
                  <w:pPr>
                    <w:pStyle w:val="4"/>
                    <w:pageBreakBefore w:val="0"/>
                    <w:kinsoku/>
                    <w:topLinePunct w:val="0"/>
                    <w:bidi w:val="0"/>
                    <w:adjustRightInd/>
                    <w:snapToGrid/>
                    <w:jc w:val="center"/>
                    <w:textAlignment w:val="auto"/>
                    <w:rPr>
                      <w:rFonts w:hint="default"/>
                      <w:b/>
                      <w:bCs/>
                      <w:color w:val="auto"/>
                    </w:rPr>
                  </w:pPr>
                  <w:r>
                    <w:rPr>
                      <w:rFonts w:hint="eastAsia"/>
                      <w:b/>
                      <w:bCs/>
                      <w:color w:val="auto"/>
                    </w:rPr>
                    <w:t>监测方式</w:t>
                  </w:r>
                </w:p>
              </w:tc>
            </w:tr>
            <w:tr w14:paraId="0A41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6" w:type="dxa"/>
                  <w:tcBorders>
                    <w:top w:val="single" w:color="auto" w:sz="4" w:space="0"/>
                    <w:left w:val="single" w:color="auto" w:sz="4" w:space="0"/>
                    <w:bottom w:val="single" w:color="auto" w:sz="4" w:space="0"/>
                    <w:right w:val="single" w:color="auto" w:sz="4" w:space="0"/>
                  </w:tcBorders>
                  <w:vAlign w:val="center"/>
                </w:tcPr>
                <w:p w14:paraId="0286F32B">
                  <w:pPr>
                    <w:pStyle w:val="4"/>
                    <w:pageBreakBefore w:val="0"/>
                    <w:kinsoku/>
                    <w:topLinePunct w:val="0"/>
                    <w:bidi w:val="0"/>
                    <w:adjustRightInd/>
                    <w:snapToGrid/>
                    <w:jc w:val="center"/>
                    <w:textAlignment w:val="auto"/>
                    <w:rPr>
                      <w:rFonts w:hint="default"/>
                      <w:color w:val="auto"/>
                    </w:rPr>
                  </w:pPr>
                  <w:r>
                    <w:rPr>
                      <w:rFonts w:hint="eastAsia"/>
                      <w:color w:val="auto"/>
                    </w:rPr>
                    <w:t>厂界四周、厂界外</w:t>
                  </w:r>
                  <w:r>
                    <w:rPr>
                      <w:rFonts w:hint="default"/>
                      <w:color w:val="auto"/>
                    </w:rPr>
                    <w:t>1m</w:t>
                  </w:r>
                  <w:r>
                    <w:rPr>
                      <w:rFonts w:hint="eastAsia"/>
                      <w:color w:val="auto"/>
                    </w:rPr>
                    <w:t>处</w:t>
                  </w:r>
                </w:p>
              </w:tc>
              <w:tc>
                <w:tcPr>
                  <w:tcW w:w="1158" w:type="dxa"/>
                  <w:tcBorders>
                    <w:top w:val="single" w:color="auto" w:sz="4" w:space="0"/>
                    <w:left w:val="single" w:color="auto" w:sz="4" w:space="0"/>
                    <w:bottom w:val="single" w:color="auto" w:sz="4" w:space="0"/>
                    <w:right w:val="single" w:color="auto" w:sz="4" w:space="0"/>
                  </w:tcBorders>
                  <w:vAlign w:val="center"/>
                </w:tcPr>
                <w:p w14:paraId="446D676C">
                  <w:pPr>
                    <w:pStyle w:val="4"/>
                    <w:pageBreakBefore w:val="0"/>
                    <w:kinsoku/>
                    <w:topLinePunct w:val="0"/>
                    <w:bidi w:val="0"/>
                    <w:adjustRightInd/>
                    <w:snapToGrid/>
                    <w:jc w:val="center"/>
                    <w:textAlignment w:val="auto"/>
                    <w:rPr>
                      <w:rFonts w:hint="default"/>
                      <w:color w:val="auto"/>
                    </w:rPr>
                  </w:pPr>
                  <w:r>
                    <w:rPr>
                      <w:rFonts w:hint="default"/>
                      <w:color w:val="auto"/>
                    </w:rPr>
                    <w:t>Leq</w:t>
                  </w:r>
                </w:p>
              </w:tc>
              <w:tc>
                <w:tcPr>
                  <w:tcW w:w="3241" w:type="dxa"/>
                  <w:tcBorders>
                    <w:top w:val="single" w:color="auto" w:sz="4" w:space="0"/>
                    <w:left w:val="single" w:color="auto" w:sz="4" w:space="0"/>
                    <w:bottom w:val="single" w:color="auto" w:sz="4" w:space="0"/>
                    <w:right w:val="single" w:color="auto" w:sz="4" w:space="0"/>
                  </w:tcBorders>
                  <w:vAlign w:val="center"/>
                </w:tcPr>
                <w:p w14:paraId="565C4F46">
                  <w:pPr>
                    <w:pStyle w:val="4"/>
                    <w:pageBreakBefore w:val="0"/>
                    <w:kinsoku/>
                    <w:topLinePunct w:val="0"/>
                    <w:bidi w:val="0"/>
                    <w:adjustRightInd/>
                    <w:snapToGrid/>
                    <w:jc w:val="center"/>
                    <w:textAlignment w:val="auto"/>
                    <w:rPr>
                      <w:rFonts w:hint="default"/>
                      <w:color w:val="auto"/>
                    </w:rPr>
                  </w:pPr>
                  <w:r>
                    <w:rPr>
                      <w:rFonts w:hint="eastAsia"/>
                      <w:color w:val="auto"/>
                    </w:rPr>
                    <w:t>《工业企业厂界环境噪声排放标准》（</w:t>
                  </w:r>
                  <w:r>
                    <w:rPr>
                      <w:rFonts w:hint="default"/>
                      <w:color w:val="auto"/>
                    </w:rPr>
                    <w:t>GB12348—2008</w:t>
                  </w:r>
                  <w:r>
                    <w:rPr>
                      <w:rFonts w:hint="eastAsia"/>
                      <w:color w:val="auto"/>
                    </w:rPr>
                    <w:t>）</w:t>
                  </w:r>
                </w:p>
              </w:tc>
              <w:tc>
                <w:tcPr>
                  <w:tcW w:w="1132" w:type="dxa"/>
                  <w:tcBorders>
                    <w:top w:val="single" w:color="auto" w:sz="4" w:space="0"/>
                    <w:left w:val="single" w:color="auto" w:sz="4" w:space="0"/>
                    <w:bottom w:val="single" w:color="auto" w:sz="4" w:space="0"/>
                    <w:right w:val="single" w:color="auto" w:sz="4" w:space="0"/>
                  </w:tcBorders>
                  <w:vAlign w:val="center"/>
                </w:tcPr>
                <w:p w14:paraId="66358218">
                  <w:pPr>
                    <w:pStyle w:val="4"/>
                    <w:pageBreakBefore w:val="0"/>
                    <w:kinsoku/>
                    <w:topLinePunct w:val="0"/>
                    <w:bidi w:val="0"/>
                    <w:adjustRightInd/>
                    <w:snapToGrid/>
                    <w:jc w:val="center"/>
                    <w:textAlignment w:val="auto"/>
                    <w:rPr>
                      <w:rFonts w:hint="default"/>
                      <w:color w:val="auto"/>
                    </w:rPr>
                  </w:pPr>
                  <w:r>
                    <w:rPr>
                      <w:rFonts w:hint="default"/>
                      <w:color w:val="auto"/>
                    </w:rPr>
                    <w:t>1</w:t>
                  </w:r>
                  <w:r>
                    <w:rPr>
                      <w:rFonts w:hint="eastAsia"/>
                      <w:color w:val="auto"/>
                    </w:rPr>
                    <w:t>次</w:t>
                  </w:r>
                  <w:r>
                    <w:rPr>
                      <w:rFonts w:hint="default"/>
                      <w:color w:val="auto"/>
                    </w:rPr>
                    <w:t>/</w:t>
                  </w:r>
                  <w:r>
                    <w:rPr>
                      <w:rFonts w:hint="eastAsia"/>
                      <w:color w:val="auto"/>
                    </w:rPr>
                    <w:t>季</w:t>
                  </w:r>
                </w:p>
              </w:tc>
              <w:tc>
                <w:tcPr>
                  <w:tcW w:w="1394" w:type="dxa"/>
                  <w:tcBorders>
                    <w:top w:val="single" w:color="auto" w:sz="4" w:space="0"/>
                    <w:left w:val="single" w:color="auto" w:sz="4" w:space="0"/>
                    <w:bottom w:val="single" w:color="auto" w:sz="4" w:space="0"/>
                    <w:right w:val="single" w:color="auto" w:sz="4" w:space="0"/>
                  </w:tcBorders>
                  <w:vAlign w:val="center"/>
                </w:tcPr>
                <w:p w14:paraId="1BAEBBBB">
                  <w:pPr>
                    <w:pStyle w:val="4"/>
                    <w:pageBreakBefore w:val="0"/>
                    <w:kinsoku/>
                    <w:topLinePunct w:val="0"/>
                    <w:bidi w:val="0"/>
                    <w:adjustRightInd/>
                    <w:snapToGrid/>
                    <w:jc w:val="center"/>
                    <w:textAlignment w:val="auto"/>
                    <w:rPr>
                      <w:rFonts w:hint="default"/>
                      <w:color w:val="auto"/>
                    </w:rPr>
                  </w:pPr>
                  <w:r>
                    <w:rPr>
                      <w:rFonts w:hint="eastAsia"/>
                      <w:color w:val="auto"/>
                    </w:rPr>
                    <w:t>委托监测</w:t>
                  </w:r>
                </w:p>
              </w:tc>
            </w:tr>
          </w:tbl>
          <w:p w14:paraId="783D3855">
            <w:pPr>
              <w:ind w:firstLine="0" w:firstLineChars="0"/>
              <w:rPr>
                <w:b/>
                <w:bCs/>
                <w:color w:val="auto"/>
              </w:rPr>
            </w:pPr>
            <w:r>
              <w:rPr>
                <w:rFonts w:hint="eastAsia"/>
                <w:b/>
                <w:bCs/>
                <w:color w:val="auto"/>
              </w:rPr>
              <w:t>4、固废影响分析</w:t>
            </w:r>
          </w:p>
          <w:p w14:paraId="7D8781CB">
            <w:pPr>
              <w:ind w:firstLine="480"/>
              <w:rPr>
                <w:color w:val="auto"/>
                <w:lang w:bidi="ar"/>
              </w:rPr>
            </w:pPr>
            <w:r>
              <w:rPr>
                <w:color w:val="auto"/>
                <w:lang w:bidi="ar"/>
              </w:rPr>
              <w:t>项目固体废弃物主要</w:t>
            </w:r>
            <w:r>
              <w:rPr>
                <w:rFonts w:hint="eastAsia"/>
                <w:color w:val="auto"/>
                <w:lang w:bidi="ar"/>
              </w:rPr>
              <w:t>为生活垃圾</w:t>
            </w:r>
            <w:r>
              <w:rPr>
                <w:rFonts w:hint="eastAsia"/>
                <w:color w:val="auto"/>
                <w:lang w:val="en-US" w:eastAsia="zh-CN" w:bidi="ar"/>
              </w:rPr>
              <w:t>、软水制备装置产生的废树脂、滤芯</w:t>
            </w:r>
            <w:r>
              <w:rPr>
                <w:rFonts w:hint="eastAsia"/>
                <w:color w:val="auto"/>
                <w:lang w:bidi="ar"/>
              </w:rPr>
              <w:t>。</w:t>
            </w:r>
          </w:p>
          <w:p w14:paraId="2970BA98">
            <w:pPr>
              <w:widowControl/>
              <w:ind w:firstLine="482"/>
              <w:rPr>
                <w:b/>
                <w:bCs/>
                <w:color w:val="auto"/>
              </w:rPr>
            </w:pPr>
            <w:r>
              <w:rPr>
                <w:rFonts w:hint="eastAsia"/>
                <w:b/>
                <w:bCs/>
                <w:color w:val="auto"/>
              </w:rPr>
              <w:fldChar w:fldCharType="begin"/>
            </w:r>
            <w:r>
              <w:rPr>
                <w:rFonts w:hint="eastAsia"/>
                <w:b/>
                <w:bCs/>
                <w:color w:val="auto"/>
              </w:rPr>
              <w:instrText xml:space="preserve"> = 1 \* GB3 \* MERGEFORMAT </w:instrText>
            </w:r>
            <w:r>
              <w:rPr>
                <w:rFonts w:hint="eastAsia"/>
                <w:b/>
                <w:bCs/>
                <w:color w:val="auto"/>
              </w:rPr>
              <w:fldChar w:fldCharType="separate"/>
            </w:r>
            <w:r>
              <w:rPr>
                <w:b/>
                <w:bCs/>
                <w:color w:val="auto"/>
              </w:rPr>
              <w:t>①</w:t>
            </w:r>
            <w:r>
              <w:rPr>
                <w:rFonts w:hint="eastAsia"/>
                <w:b/>
                <w:bCs/>
                <w:color w:val="auto"/>
              </w:rPr>
              <w:fldChar w:fldCharType="end"/>
            </w:r>
            <w:r>
              <w:rPr>
                <w:rFonts w:hint="eastAsia"/>
                <w:b/>
                <w:bCs/>
                <w:color w:val="auto"/>
              </w:rPr>
              <w:t>生活垃圾</w:t>
            </w:r>
          </w:p>
          <w:p w14:paraId="6F1A78D4">
            <w:pPr>
              <w:ind w:firstLine="480"/>
              <w:rPr>
                <w:color w:val="auto"/>
                <w:szCs w:val="32"/>
              </w:rPr>
            </w:pPr>
            <w:r>
              <w:rPr>
                <w:rFonts w:hint="eastAsia"/>
                <w:color w:val="auto"/>
              </w:rPr>
              <w:t>本项目劳动定员</w:t>
            </w:r>
            <w:r>
              <w:rPr>
                <w:rFonts w:hint="eastAsia"/>
                <w:color w:val="auto"/>
                <w:lang w:val="en-US" w:eastAsia="zh-CN"/>
              </w:rPr>
              <w:t>6</w:t>
            </w:r>
            <w:r>
              <w:rPr>
                <w:rFonts w:hint="eastAsia"/>
                <w:color w:val="auto"/>
              </w:rPr>
              <w:t>人，</w:t>
            </w:r>
            <w:r>
              <w:rPr>
                <w:color w:val="auto"/>
              </w:rPr>
              <w:t>生活垃圾产生量为0.54kg/d·人</w:t>
            </w:r>
            <w:r>
              <w:rPr>
                <w:color w:val="auto"/>
                <w:szCs w:val="32"/>
              </w:rPr>
              <w:t>，</w:t>
            </w:r>
            <w:r>
              <w:rPr>
                <w:rFonts w:hint="eastAsia"/>
                <w:color w:val="auto"/>
                <w:szCs w:val="32"/>
              </w:rPr>
              <w:t>年工作</w:t>
            </w:r>
            <w:r>
              <w:rPr>
                <w:rFonts w:hint="eastAsia"/>
                <w:color w:val="auto"/>
                <w:szCs w:val="32"/>
                <w:lang w:val="en-US" w:eastAsia="zh-CN"/>
              </w:rPr>
              <w:t>210</w:t>
            </w:r>
            <w:r>
              <w:rPr>
                <w:color w:val="auto"/>
                <w:szCs w:val="32"/>
              </w:rPr>
              <w:t>天，职工生活垃圾产生量</w:t>
            </w:r>
            <w:r>
              <w:rPr>
                <w:rFonts w:hint="eastAsia"/>
                <w:color w:val="auto"/>
                <w:szCs w:val="32"/>
                <w:lang w:val="en-US" w:eastAsia="zh-CN"/>
              </w:rPr>
              <w:t>0.680</w:t>
            </w:r>
            <w:r>
              <w:rPr>
                <w:rFonts w:hint="eastAsia"/>
                <w:color w:val="auto"/>
                <w:szCs w:val="32"/>
              </w:rPr>
              <w:t>t/a。由垃圾桶收集，交由环卫部门清运处理。</w:t>
            </w:r>
          </w:p>
          <w:p w14:paraId="2A6AC8D3">
            <w:pPr>
              <w:bidi w:val="0"/>
              <w:rPr>
                <w:rFonts w:hint="eastAsia"/>
                <w:b/>
                <w:bCs/>
                <w:color w:val="auto"/>
                <w:lang w:val="en-US" w:eastAsia="zh-CN"/>
              </w:rPr>
            </w:pPr>
            <w:r>
              <w:rPr>
                <w:b/>
                <w:bCs/>
                <w:color w:val="auto"/>
              </w:rPr>
              <w:fldChar w:fldCharType="begin"/>
            </w:r>
            <w:r>
              <w:rPr>
                <w:b/>
                <w:bCs/>
                <w:color w:val="auto"/>
              </w:rPr>
              <w:instrText xml:space="preserve"> = 2 \* GB3 \* MERGEFORMAT </w:instrText>
            </w:r>
            <w:r>
              <w:rPr>
                <w:b/>
                <w:bCs/>
                <w:color w:val="auto"/>
              </w:rPr>
              <w:fldChar w:fldCharType="separate"/>
            </w:r>
            <w:r>
              <w:rPr>
                <w:b/>
                <w:bCs/>
                <w:color w:val="auto"/>
              </w:rPr>
              <w:t>②</w:t>
            </w:r>
            <w:r>
              <w:rPr>
                <w:b/>
                <w:bCs/>
                <w:color w:val="auto"/>
              </w:rPr>
              <w:fldChar w:fldCharType="end"/>
            </w:r>
            <w:r>
              <w:rPr>
                <w:rFonts w:hint="eastAsia"/>
                <w:b/>
                <w:bCs/>
                <w:color w:val="auto"/>
                <w:lang w:val="en-US" w:eastAsia="zh-CN"/>
              </w:rPr>
              <w:t>软水制备装置产生的废树脂、滤芯</w:t>
            </w:r>
          </w:p>
          <w:p w14:paraId="49A63E81">
            <w:pPr>
              <w:bidi w:val="0"/>
              <w:rPr>
                <w:rFonts w:hint="default"/>
                <w:color w:val="auto"/>
                <w:lang w:val="en-US" w:eastAsia="zh-CN"/>
              </w:rPr>
            </w:pPr>
            <w:r>
              <w:rPr>
                <w:rFonts w:hint="eastAsia"/>
                <w:color w:val="auto"/>
                <w:lang w:val="en-US" w:eastAsia="zh-CN"/>
              </w:rPr>
              <w:t>本项目设置软水装置对管道定期供水，根据企业提供资料，滤芯、树脂每6个月更换一次，废树脂、滤芯产生量约为0.02t/a，</w:t>
            </w:r>
            <w:r>
              <w:rPr>
                <w:rFonts w:hint="eastAsia"/>
                <w:color w:val="auto"/>
              </w:rPr>
              <w:t>根据《固体废物分类与代码目录》（</w:t>
            </w:r>
            <w:r>
              <w:rPr>
                <w:rFonts w:hint="default" w:ascii="Times New Roman" w:hAnsi="Times New Roman" w:eastAsia="宋体" w:cs="Times New Roman"/>
                <w:color w:val="auto"/>
                <w:kern w:val="0"/>
                <w:sz w:val="24"/>
                <w:szCs w:val="24"/>
              </w:rPr>
              <w:t>2024年第4号公告</w:t>
            </w:r>
            <w:r>
              <w:rPr>
                <w:rFonts w:hint="eastAsia"/>
                <w:color w:val="auto"/>
              </w:rPr>
              <w:t>）中规定废反渗膜属于“非特定行业产生的一般固体废物——99、其他废物——900-999-99”，</w:t>
            </w:r>
            <w:r>
              <w:rPr>
                <w:rFonts w:hint="eastAsia" w:cs="Times New Roman"/>
                <w:color w:val="auto"/>
                <w:lang w:val="en-US" w:eastAsia="zh-CN"/>
              </w:rPr>
              <w:t>软水制备装置产生的废树脂、滤芯</w:t>
            </w:r>
            <w:r>
              <w:rPr>
                <w:rFonts w:hint="eastAsia"/>
                <w:color w:val="auto"/>
                <w:lang w:val="en-US" w:eastAsia="zh-CN"/>
              </w:rPr>
              <w:t>更换后交由厂家处置</w:t>
            </w:r>
            <w:r>
              <w:rPr>
                <w:rFonts w:hint="eastAsia"/>
                <w:color w:val="auto"/>
              </w:rPr>
              <w:t>。</w:t>
            </w:r>
          </w:p>
          <w:p w14:paraId="4A857AB8">
            <w:pPr>
              <w:widowControl/>
              <w:ind w:firstLine="452"/>
              <w:rPr>
                <w:rFonts w:hint="eastAsia"/>
                <w:color w:val="auto"/>
                <w:spacing w:val="-7"/>
              </w:rPr>
            </w:pPr>
            <w:r>
              <w:rPr>
                <w:color w:val="auto"/>
                <w:spacing w:val="-4"/>
              </w:rPr>
              <w:t>判定建设项目的固体废物是否属于危险废物，具</w:t>
            </w:r>
            <w:r>
              <w:rPr>
                <w:color w:val="auto"/>
                <w:spacing w:val="-7"/>
              </w:rPr>
              <w:t>体如下表所示</w:t>
            </w:r>
            <w:r>
              <w:rPr>
                <w:rFonts w:hint="eastAsia"/>
                <w:color w:val="auto"/>
                <w:spacing w:val="-7"/>
              </w:rPr>
              <w:t>。</w:t>
            </w:r>
          </w:p>
          <w:p w14:paraId="4F32F89E">
            <w:pPr>
              <w:widowControl/>
              <w:spacing w:line="240" w:lineRule="auto"/>
              <w:ind w:firstLine="0" w:firstLineChars="0"/>
              <w:jc w:val="center"/>
              <w:rPr>
                <w:color w:val="auto"/>
              </w:rPr>
            </w:pPr>
            <w:r>
              <w:rPr>
                <w:b/>
                <w:bCs/>
                <w:color w:val="auto"/>
              </w:rPr>
              <w:t>表4-</w:t>
            </w:r>
            <w:r>
              <w:rPr>
                <w:rFonts w:hint="eastAsia"/>
                <w:b/>
                <w:bCs/>
                <w:color w:val="auto"/>
                <w:lang w:val="en-US" w:eastAsia="zh-CN"/>
              </w:rPr>
              <w:t>32</w:t>
            </w:r>
            <w:r>
              <w:rPr>
                <w:rFonts w:hint="eastAsia"/>
                <w:b/>
                <w:bCs/>
                <w:color w:val="auto"/>
              </w:rPr>
              <w:t xml:space="preserve"> </w:t>
            </w:r>
            <w:r>
              <w:rPr>
                <w:b/>
                <w:bCs/>
                <w:color w:val="auto"/>
              </w:rPr>
              <w:t xml:space="preserve"> 固废产生量及处理方式</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119"/>
              <w:gridCol w:w="1200"/>
              <w:gridCol w:w="2430"/>
              <w:gridCol w:w="3115"/>
            </w:tblGrid>
            <w:tr w14:paraId="44F8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dxa"/>
                  <w:vAlign w:val="center"/>
                </w:tcPr>
                <w:p w14:paraId="68268E34">
                  <w:pPr>
                    <w:pStyle w:val="4"/>
                    <w:outlineLvl w:val="0"/>
                    <w:rPr>
                      <w:b/>
                      <w:color w:val="auto"/>
                    </w:rPr>
                  </w:pPr>
                  <w:r>
                    <w:rPr>
                      <w:b/>
                      <w:color w:val="auto"/>
                    </w:rPr>
                    <w:t>序号</w:t>
                  </w:r>
                </w:p>
              </w:tc>
              <w:tc>
                <w:tcPr>
                  <w:tcW w:w="1119" w:type="dxa"/>
                  <w:vAlign w:val="center"/>
                </w:tcPr>
                <w:p w14:paraId="56CCE0C6">
                  <w:pPr>
                    <w:pStyle w:val="4"/>
                    <w:outlineLvl w:val="0"/>
                    <w:rPr>
                      <w:b/>
                      <w:color w:val="auto"/>
                    </w:rPr>
                  </w:pPr>
                  <w:r>
                    <w:rPr>
                      <w:b/>
                      <w:color w:val="auto"/>
                    </w:rPr>
                    <w:t>固废种类</w:t>
                  </w:r>
                </w:p>
              </w:tc>
              <w:tc>
                <w:tcPr>
                  <w:tcW w:w="1200" w:type="dxa"/>
                  <w:vAlign w:val="center"/>
                </w:tcPr>
                <w:p w14:paraId="418975BA">
                  <w:pPr>
                    <w:pStyle w:val="4"/>
                    <w:outlineLvl w:val="0"/>
                    <w:rPr>
                      <w:b/>
                      <w:color w:val="auto"/>
                    </w:rPr>
                  </w:pPr>
                  <w:r>
                    <w:rPr>
                      <w:b/>
                      <w:color w:val="auto"/>
                    </w:rPr>
                    <w:t>产生量（t/a）</w:t>
                  </w:r>
                </w:p>
              </w:tc>
              <w:tc>
                <w:tcPr>
                  <w:tcW w:w="2430" w:type="dxa"/>
                  <w:vAlign w:val="center"/>
                </w:tcPr>
                <w:p w14:paraId="5C278B9B">
                  <w:pPr>
                    <w:pStyle w:val="4"/>
                    <w:outlineLvl w:val="0"/>
                    <w:rPr>
                      <w:b/>
                      <w:color w:val="auto"/>
                    </w:rPr>
                  </w:pPr>
                  <w:r>
                    <w:rPr>
                      <w:b/>
                      <w:color w:val="auto"/>
                    </w:rPr>
                    <w:t>环评要求处理方式</w:t>
                  </w:r>
                </w:p>
              </w:tc>
              <w:tc>
                <w:tcPr>
                  <w:tcW w:w="3115" w:type="dxa"/>
                  <w:vAlign w:val="center"/>
                </w:tcPr>
                <w:p w14:paraId="291F8036">
                  <w:pPr>
                    <w:pStyle w:val="4"/>
                    <w:outlineLvl w:val="0"/>
                    <w:rPr>
                      <w:b/>
                      <w:color w:val="auto"/>
                    </w:rPr>
                  </w:pPr>
                  <w:r>
                    <w:rPr>
                      <w:b/>
                      <w:color w:val="auto"/>
                    </w:rPr>
                    <w:t>固废暂存</w:t>
                  </w:r>
                  <w:r>
                    <w:rPr>
                      <w:rFonts w:hint="eastAsia"/>
                      <w:b/>
                      <w:color w:val="auto"/>
                    </w:rPr>
                    <w:t>间</w:t>
                  </w:r>
                  <w:r>
                    <w:rPr>
                      <w:b/>
                      <w:color w:val="auto"/>
                    </w:rPr>
                    <w:t>建设、管理要求</w:t>
                  </w:r>
                </w:p>
              </w:tc>
            </w:tr>
            <w:tr w14:paraId="3FB8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dxa"/>
                  <w:vAlign w:val="center"/>
                </w:tcPr>
                <w:p w14:paraId="635A3B62">
                  <w:pPr>
                    <w:pStyle w:val="4"/>
                    <w:outlineLvl w:val="0"/>
                    <w:rPr>
                      <w:color w:val="auto"/>
                      <w:szCs w:val="30"/>
                    </w:rPr>
                  </w:pPr>
                  <w:r>
                    <w:rPr>
                      <w:rFonts w:hint="eastAsia"/>
                      <w:color w:val="auto"/>
                    </w:rPr>
                    <w:t>1</w:t>
                  </w:r>
                </w:p>
              </w:tc>
              <w:tc>
                <w:tcPr>
                  <w:tcW w:w="1119" w:type="dxa"/>
                  <w:vAlign w:val="center"/>
                </w:tcPr>
                <w:p w14:paraId="635C4ABE">
                  <w:pPr>
                    <w:pStyle w:val="4"/>
                    <w:outlineLvl w:val="0"/>
                    <w:rPr>
                      <w:color w:val="auto"/>
                    </w:rPr>
                  </w:pPr>
                  <w:r>
                    <w:rPr>
                      <w:rFonts w:hint="eastAsia"/>
                      <w:color w:val="auto"/>
                    </w:rPr>
                    <w:t>生活垃圾</w:t>
                  </w:r>
                </w:p>
              </w:tc>
              <w:tc>
                <w:tcPr>
                  <w:tcW w:w="1200" w:type="dxa"/>
                  <w:vAlign w:val="center"/>
                </w:tcPr>
                <w:p w14:paraId="085B1082">
                  <w:pPr>
                    <w:pStyle w:val="4"/>
                    <w:outlineLvl w:val="0"/>
                    <w:rPr>
                      <w:color w:val="auto"/>
                    </w:rPr>
                  </w:pPr>
                  <w:r>
                    <w:rPr>
                      <w:rFonts w:hint="eastAsia"/>
                      <w:color w:val="auto"/>
                      <w:szCs w:val="32"/>
                      <w:lang w:val="en-US" w:eastAsia="zh-CN"/>
                    </w:rPr>
                    <w:t>0.454</w:t>
                  </w:r>
                </w:p>
              </w:tc>
              <w:tc>
                <w:tcPr>
                  <w:tcW w:w="5545" w:type="dxa"/>
                  <w:gridSpan w:val="2"/>
                  <w:vAlign w:val="center"/>
                </w:tcPr>
                <w:p w14:paraId="118905FD">
                  <w:pPr>
                    <w:pStyle w:val="4"/>
                    <w:jc w:val="both"/>
                    <w:outlineLvl w:val="0"/>
                    <w:rPr>
                      <w:color w:val="auto"/>
                    </w:rPr>
                  </w:pPr>
                  <w:bookmarkStart w:id="5" w:name="_Toc25328"/>
                  <w:r>
                    <w:rPr>
                      <w:color w:val="auto"/>
                    </w:rPr>
                    <w:t>a、分类存放、袋装化收集；</w:t>
                  </w:r>
                  <w:bookmarkEnd w:id="5"/>
                </w:p>
                <w:p w14:paraId="7B15E82D">
                  <w:pPr>
                    <w:pStyle w:val="4"/>
                    <w:jc w:val="both"/>
                    <w:outlineLvl w:val="0"/>
                    <w:rPr>
                      <w:color w:val="auto"/>
                    </w:rPr>
                  </w:pPr>
                  <w:bookmarkStart w:id="6" w:name="_Toc12169"/>
                  <w:r>
                    <w:rPr>
                      <w:color w:val="auto"/>
                    </w:rPr>
                    <w:t>b、定点设加盖垃圾收集桶；</w:t>
                  </w:r>
                  <w:bookmarkEnd w:id="6"/>
                </w:p>
                <w:p w14:paraId="2267F036">
                  <w:pPr>
                    <w:pStyle w:val="4"/>
                    <w:jc w:val="both"/>
                    <w:outlineLvl w:val="0"/>
                    <w:rPr>
                      <w:rFonts w:hint="eastAsia" w:eastAsia="宋体"/>
                      <w:color w:val="auto"/>
                      <w:lang w:eastAsia="zh-CN"/>
                    </w:rPr>
                  </w:pPr>
                  <w:bookmarkStart w:id="7" w:name="_Toc22371"/>
                  <w:r>
                    <w:rPr>
                      <w:color w:val="auto"/>
                    </w:rPr>
                    <w:t>c、日产日清，环卫部门统一处理</w:t>
                  </w:r>
                  <w:bookmarkEnd w:id="7"/>
                  <w:r>
                    <w:rPr>
                      <w:rFonts w:hint="eastAsia"/>
                      <w:color w:val="auto"/>
                      <w:lang w:eastAsia="zh-CN"/>
                    </w:rPr>
                    <w:t>；</w:t>
                  </w:r>
                </w:p>
              </w:tc>
            </w:tr>
            <w:tr w14:paraId="6246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dxa"/>
                  <w:vAlign w:val="center"/>
                </w:tcPr>
                <w:p w14:paraId="555413DE">
                  <w:pPr>
                    <w:pStyle w:val="4"/>
                    <w:outlineLvl w:val="0"/>
                    <w:rPr>
                      <w:rFonts w:hint="eastAsia" w:eastAsia="宋体"/>
                      <w:color w:val="auto"/>
                      <w:lang w:val="en-US" w:eastAsia="zh-CN"/>
                    </w:rPr>
                  </w:pPr>
                  <w:r>
                    <w:rPr>
                      <w:rFonts w:hint="eastAsia"/>
                      <w:color w:val="auto"/>
                      <w:lang w:val="en-US" w:eastAsia="zh-CN"/>
                    </w:rPr>
                    <w:t>2</w:t>
                  </w:r>
                </w:p>
              </w:tc>
              <w:tc>
                <w:tcPr>
                  <w:tcW w:w="1119" w:type="dxa"/>
                  <w:vAlign w:val="center"/>
                </w:tcPr>
                <w:p w14:paraId="53E3ECBF">
                  <w:pPr>
                    <w:pStyle w:val="4"/>
                    <w:outlineLvl w:val="0"/>
                    <w:rPr>
                      <w:rFonts w:hint="eastAsia"/>
                      <w:color w:val="auto"/>
                    </w:rPr>
                  </w:pPr>
                  <w:r>
                    <w:rPr>
                      <w:rFonts w:hint="eastAsia" w:cs="Times New Roman"/>
                      <w:color w:val="auto"/>
                      <w:lang w:val="en-US" w:eastAsia="zh-CN"/>
                    </w:rPr>
                    <w:t>软水制备装置产生的废树脂、滤芯</w:t>
                  </w:r>
                </w:p>
              </w:tc>
              <w:tc>
                <w:tcPr>
                  <w:tcW w:w="1200" w:type="dxa"/>
                  <w:vAlign w:val="center"/>
                </w:tcPr>
                <w:p w14:paraId="4BCF0CC2">
                  <w:pPr>
                    <w:pStyle w:val="4"/>
                    <w:outlineLvl w:val="0"/>
                    <w:rPr>
                      <w:rFonts w:hint="eastAsia"/>
                      <w:color w:val="auto"/>
                      <w:szCs w:val="32"/>
                      <w:lang w:val="en-US" w:eastAsia="zh-CN"/>
                    </w:rPr>
                  </w:pPr>
                  <w:r>
                    <w:rPr>
                      <w:rFonts w:hint="eastAsia"/>
                      <w:color w:val="auto"/>
                      <w:szCs w:val="32"/>
                      <w:lang w:val="en-US" w:eastAsia="zh-CN"/>
                    </w:rPr>
                    <w:t>0.02</w:t>
                  </w:r>
                </w:p>
              </w:tc>
              <w:tc>
                <w:tcPr>
                  <w:tcW w:w="5545" w:type="dxa"/>
                  <w:gridSpan w:val="2"/>
                  <w:vAlign w:val="center"/>
                </w:tcPr>
                <w:p w14:paraId="22643FF2">
                  <w:pPr>
                    <w:pStyle w:val="4"/>
                    <w:jc w:val="both"/>
                    <w:outlineLvl w:val="0"/>
                    <w:rPr>
                      <w:color w:val="auto"/>
                    </w:rPr>
                  </w:pPr>
                  <w:r>
                    <w:rPr>
                      <w:rFonts w:hint="eastAsia"/>
                      <w:lang w:val="en-US" w:eastAsia="zh-CN"/>
                    </w:rPr>
                    <w:t>更换后交由厂家处置</w:t>
                  </w:r>
                </w:p>
              </w:tc>
            </w:tr>
          </w:tbl>
          <w:p w14:paraId="0F16FB81">
            <w:pPr>
              <w:pStyle w:val="5"/>
              <w:ind w:firstLine="480"/>
              <w:rPr>
                <w:color w:val="auto"/>
              </w:rPr>
            </w:pPr>
            <w:r>
              <w:rPr>
                <w:color w:val="auto"/>
              </w:rPr>
              <w:t>综上所述，本项目固体产生情况汇总表如下表所示。</w:t>
            </w:r>
          </w:p>
          <w:p w14:paraId="4061F5A5">
            <w:pPr>
              <w:pStyle w:val="5"/>
              <w:spacing w:line="240" w:lineRule="auto"/>
              <w:jc w:val="center"/>
              <w:rPr>
                <w:color w:val="auto"/>
              </w:rPr>
            </w:pPr>
            <w:r>
              <w:rPr>
                <w:b/>
                <w:bCs/>
                <w:color w:val="auto"/>
              </w:rPr>
              <w:t xml:space="preserve">表 </w:t>
            </w:r>
            <w:r>
              <w:rPr>
                <w:rFonts w:hint="eastAsia"/>
                <w:b/>
                <w:bCs/>
                <w:color w:val="auto"/>
              </w:rPr>
              <w:t>4-</w:t>
            </w:r>
            <w:r>
              <w:rPr>
                <w:rFonts w:hint="eastAsia"/>
                <w:b/>
                <w:bCs/>
                <w:color w:val="auto"/>
                <w:lang w:val="en-US" w:eastAsia="zh-CN"/>
              </w:rPr>
              <w:t>33</w:t>
            </w:r>
            <w:r>
              <w:rPr>
                <w:b/>
                <w:bCs/>
                <w:color w:val="auto"/>
              </w:rPr>
              <w:t xml:space="preserve">  建设项目固体废物分析结果汇总表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486"/>
              <w:gridCol w:w="1091"/>
              <w:gridCol w:w="762"/>
              <w:gridCol w:w="1289"/>
              <w:gridCol w:w="990"/>
              <w:gridCol w:w="1275"/>
              <w:gridCol w:w="1052"/>
            </w:tblGrid>
            <w:tr w14:paraId="38E7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Align w:val="center"/>
                </w:tcPr>
                <w:p w14:paraId="78521D7F">
                  <w:pPr>
                    <w:pStyle w:val="4"/>
                    <w:outlineLvl w:val="0"/>
                    <w:rPr>
                      <w:b/>
                      <w:color w:val="auto"/>
                    </w:rPr>
                  </w:pPr>
                  <w:r>
                    <w:rPr>
                      <w:b/>
                      <w:color w:val="auto"/>
                    </w:rPr>
                    <w:t>序</w:t>
                  </w:r>
                </w:p>
                <w:p w14:paraId="2416FE4A">
                  <w:pPr>
                    <w:pStyle w:val="4"/>
                    <w:outlineLvl w:val="0"/>
                    <w:rPr>
                      <w:b/>
                      <w:color w:val="auto"/>
                    </w:rPr>
                  </w:pPr>
                  <w:r>
                    <w:rPr>
                      <w:b/>
                      <w:color w:val="auto"/>
                    </w:rPr>
                    <w:t>号</w:t>
                  </w:r>
                </w:p>
              </w:tc>
              <w:tc>
                <w:tcPr>
                  <w:tcW w:w="1486" w:type="dxa"/>
                  <w:vAlign w:val="center"/>
                </w:tcPr>
                <w:p w14:paraId="29F157DE">
                  <w:pPr>
                    <w:pStyle w:val="4"/>
                    <w:outlineLvl w:val="0"/>
                    <w:rPr>
                      <w:b/>
                      <w:color w:val="auto"/>
                    </w:rPr>
                  </w:pPr>
                  <w:r>
                    <w:rPr>
                      <w:b/>
                      <w:color w:val="auto"/>
                    </w:rPr>
                    <w:t>固体废物名称</w:t>
                  </w:r>
                </w:p>
              </w:tc>
              <w:tc>
                <w:tcPr>
                  <w:tcW w:w="1091" w:type="dxa"/>
                  <w:vAlign w:val="center"/>
                </w:tcPr>
                <w:p w14:paraId="0095DC53">
                  <w:pPr>
                    <w:pStyle w:val="4"/>
                    <w:outlineLvl w:val="0"/>
                    <w:rPr>
                      <w:b/>
                      <w:color w:val="auto"/>
                    </w:rPr>
                  </w:pPr>
                  <w:r>
                    <w:rPr>
                      <w:b/>
                      <w:color w:val="auto"/>
                    </w:rPr>
                    <w:t>产生工序</w:t>
                  </w:r>
                </w:p>
              </w:tc>
              <w:tc>
                <w:tcPr>
                  <w:tcW w:w="762" w:type="dxa"/>
                  <w:vAlign w:val="center"/>
                </w:tcPr>
                <w:p w14:paraId="712488AE">
                  <w:pPr>
                    <w:pStyle w:val="4"/>
                    <w:outlineLvl w:val="0"/>
                    <w:rPr>
                      <w:b/>
                      <w:color w:val="auto"/>
                    </w:rPr>
                  </w:pPr>
                  <w:r>
                    <w:rPr>
                      <w:b/>
                      <w:color w:val="auto"/>
                    </w:rPr>
                    <w:t>形态</w:t>
                  </w:r>
                </w:p>
              </w:tc>
              <w:tc>
                <w:tcPr>
                  <w:tcW w:w="1289" w:type="dxa"/>
                  <w:vAlign w:val="center"/>
                </w:tcPr>
                <w:p w14:paraId="04CA63C3">
                  <w:pPr>
                    <w:pStyle w:val="4"/>
                    <w:outlineLvl w:val="0"/>
                    <w:rPr>
                      <w:b/>
                      <w:color w:val="auto"/>
                    </w:rPr>
                  </w:pPr>
                  <w:r>
                    <w:rPr>
                      <w:b/>
                      <w:color w:val="auto"/>
                    </w:rPr>
                    <w:t>主要成分</w:t>
                  </w:r>
                </w:p>
              </w:tc>
              <w:tc>
                <w:tcPr>
                  <w:tcW w:w="990" w:type="dxa"/>
                  <w:vAlign w:val="center"/>
                </w:tcPr>
                <w:p w14:paraId="44501403">
                  <w:pPr>
                    <w:pStyle w:val="4"/>
                    <w:outlineLvl w:val="0"/>
                    <w:rPr>
                      <w:b/>
                      <w:color w:val="auto"/>
                    </w:rPr>
                  </w:pPr>
                  <w:r>
                    <w:rPr>
                      <w:b/>
                      <w:color w:val="auto"/>
                    </w:rPr>
                    <w:t>属性</w:t>
                  </w:r>
                </w:p>
              </w:tc>
              <w:tc>
                <w:tcPr>
                  <w:tcW w:w="1275" w:type="dxa"/>
                  <w:vAlign w:val="center"/>
                </w:tcPr>
                <w:p w14:paraId="178F5261">
                  <w:pPr>
                    <w:pStyle w:val="4"/>
                    <w:outlineLvl w:val="0"/>
                    <w:rPr>
                      <w:b/>
                      <w:color w:val="auto"/>
                    </w:rPr>
                  </w:pPr>
                  <w:r>
                    <w:rPr>
                      <w:rFonts w:hint="eastAsia"/>
                      <w:b/>
                      <w:color w:val="auto"/>
                    </w:rPr>
                    <w:t>固废</w:t>
                  </w:r>
                  <w:r>
                    <w:rPr>
                      <w:b/>
                      <w:color w:val="auto"/>
                    </w:rPr>
                    <w:t>代码</w:t>
                  </w:r>
                </w:p>
              </w:tc>
              <w:tc>
                <w:tcPr>
                  <w:tcW w:w="1052" w:type="dxa"/>
                  <w:vAlign w:val="center"/>
                </w:tcPr>
                <w:p w14:paraId="2E6AAEDC">
                  <w:pPr>
                    <w:pStyle w:val="4"/>
                    <w:outlineLvl w:val="0"/>
                    <w:rPr>
                      <w:b/>
                      <w:color w:val="auto"/>
                    </w:rPr>
                  </w:pPr>
                  <w:r>
                    <w:rPr>
                      <w:b/>
                      <w:color w:val="auto"/>
                    </w:rPr>
                    <w:t>产生量</w:t>
                  </w:r>
                </w:p>
                <w:p w14:paraId="72EFB0A8">
                  <w:pPr>
                    <w:pStyle w:val="4"/>
                    <w:outlineLvl w:val="0"/>
                    <w:rPr>
                      <w:b/>
                      <w:color w:val="auto"/>
                    </w:rPr>
                  </w:pPr>
                  <w:r>
                    <w:rPr>
                      <w:rFonts w:hint="eastAsia"/>
                      <w:b/>
                      <w:color w:val="auto"/>
                    </w:rPr>
                    <w:t>（</w:t>
                  </w:r>
                  <w:r>
                    <w:rPr>
                      <w:b/>
                      <w:color w:val="auto"/>
                    </w:rPr>
                    <w:t>t/a</w:t>
                  </w:r>
                  <w:r>
                    <w:rPr>
                      <w:rFonts w:hint="eastAsia"/>
                      <w:b/>
                      <w:color w:val="auto"/>
                    </w:rPr>
                    <w:t>）</w:t>
                  </w:r>
                </w:p>
              </w:tc>
            </w:tr>
            <w:tr w14:paraId="6490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Align w:val="center"/>
                </w:tcPr>
                <w:p w14:paraId="316C48E6">
                  <w:pPr>
                    <w:pStyle w:val="4"/>
                    <w:outlineLvl w:val="0"/>
                    <w:rPr>
                      <w:color w:val="auto"/>
                    </w:rPr>
                  </w:pPr>
                  <w:r>
                    <w:rPr>
                      <w:rFonts w:hint="eastAsia"/>
                      <w:color w:val="auto"/>
                    </w:rPr>
                    <w:t>1</w:t>
                  </w:r>
                </w:p>
              </w:tc>
              <w:tc>
                <w:tcPr>
                  <w:tcW w:w="1486" w:type="dxa"/>
                  <w:vAlign w:val="center"/>
                </w:tcPr>
                <w:p w14:paraId="7FAE544C">
                  <w:pPr>
                    <w:pStyle w:val="4"/>
                    <w:outlineLvl w:val="0"/>
                    <w:rPr>
                      <w:color w:val="auto"/>
                    </w:rPr>
                  </w:pPr>
                  <w:r>
                    <w:rPr>
                      <w:rFonts w:hint="eastAsia"/>
                      <w:color w:val="auto"/>
                    </w:rPr>
                    <w:t>生活垃圾</w:t>
                  </w:r>
                </w:p>
              </w:tc>
              <w:tc>
                <w:tcPr>
                  <w:tcW w:w="1091" w:type="dxa"/>
                  <w:vAlign w:val="center"/>
                </w:tcPr>
                <w:p w14:paraId="47C077EE">
                  <w:pPr>
                    <w:pStyle w:val="4"/>
                    <w:outlineLvl w:val="0"/>
                    <w:rPr>
                      <w:color w:val="auto"/>
                    </w:rPr>
                  </w:pPr>
                  <w:r>
                    <w:rPr>
                      <w:rFonts w:hint="eastAsia"/>
                      <w:color w:val="auto"/>
                    </w:rPr>
                    <w:t>办公生活</w:t>
                  </w:r>
                </w:p>
              </w:tc>
              <w:tc>
                <w:tcPr>
                  <w:tcW w:w="762" w:type="dxa"/>
                  <w:vAlign w:val="center"/>
                </w:tcPr>
                <w:p w14:paraId="5AA81808">
                  <w:pPr>
                    <w:pStyle w:val="4"/>
                    <w:outlineLvl w:val="0"/>
                    <w:rPr>
                      <w:color w:val="auto"/>
                    </w:rPr>
                  </w:pPr>
                  <w:r>
                    <w:rPr>
                      <w:rFonts w:hint="eastAsia"/>
                      <w:color w:val="auto"/>
                    </w:rPr>
                    <w:t>固态</w:t>
                  </w:r>
                </w:p>
              </w:tc>
              <w:tc>
                <w:tcPr>
                  <w:tcW w:w="1289" w:type="dxa"/>
                  <w:vAlign w:val="center"/>
                </w:tcPr>
                <w:p w14:paraId="665CBE00">
                  <w:pPr>
                    <w:pStyle w:val="4"/>
                    <w:outlineLvl w:val="0"/>
                    <w:rPr>
                      <w:color w:val="auto"/>
                    </w:rPr>
                  </w:pPr>
                  <w:r>
                    <w:rPr>
                      <w:rFonts w:hint="eastAsia"/>
                      <w:color w:val="auto"/>
                    </w:rPr>
                    <w:t>纸屑、果皮等</w:t>
                  </w:r>
                </w:p>
              </w:tc>
              <w:tc>
                <w:tcPr>
                  <w:tcW w:w="990" w:type="dxa"/>
                  <w:vAlign w:val="center"/>
                </w:tcPr>
                <w:p w14:paraId="549AF02A">
                  <w:pPr>
                    <w:pStyle w:val="4"/>
                    <w:outlineLvl w:val="0"/>
                    <w:rPr>
                      <w:color w:val="auto"/>
                    </w:rPr>
                  </w:pPr>
                  <w:r>
                    <w:rPr>
                      <w:rFonts w:hint="eastAsia"/>
                      <w:color w:val="auto"/>
                    </w:rPr>
                    <w:t>/</w:t>
                  </w:r>
                </w:p>
              </w:tc>
              <w:tc>
                <w:tcPr>
                  <w:tcW w:w="1275" w:type="dxa"/>
                  <w:vAlign w:val="center"/>
                </w:tcPr>
                <w:p w14:paraId="2FCD19CF">
                  <w:pPr>
                    <w:pStyle w:val="4"/>
                    <w:outlineLvl w:val="0"/>
                    <w:rPr>
                      <w:color w:val="auto"/>
                    </w:rPr>
                  </w:pPr>
                  <w:r>
                    <w:rPr>
                      <w:rFonts w:hint="eastAsia"/>
                      <w:color w:val="auto"/>
                    </w:rPr>
                    <w:t>/</w:t>
                  </w:r>
                </w:p>
              </w:tc>
              <w:tc>
                <w:tcPr>
                  <w:tcW w:w="1052" w:type="dxa"/>
                  <w:vAlign w:val="center"/>
                </w:tcPr>
                <w:p w14:paraId="407390A0">
                  <w:pPr>
                    <w:pStyle w:val="4"/>
                    <w:ind w:firstLine="0" w:firstLineChars="0"/>
                    <w:outlineLvl w:val="0"/>
                    <w:rPr>
                      <w:color w:val="auto"/>
                    </w:rPr>
                  </w:pPr>
                  <w:r>
                    <w:rPr>
                      <w:rFonts w:hint="eastAsia"/>
                      <w:color w:val="auto"/>
                      <w:szCs w:val="32"/>
                      <w:lang w:val="en-US" w:eastAsia="zh-CN"/>
                    </w:rPr>
                    <w:t>0.454</w:t>
                  </w:r>
                </w:p>
              </w:tc>
            </w:tr>
            <w:tr w14:paraId="069D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Align w:val="center"/>
                </w:tcPr>
                <w:p w14:paraId="7B9A7CDE">
                  <w:pPr>
                    <w:pStyle w:val="4"/>
                    <w:outlineLvl w:val="0"/>
                    <w:rPr>
                      <w:color w:val="auto"/>
                    </w:rPr>
                  </w:pPr>
                  <w:r>
                    <w:rPr>
                      <w:rFonts w:hint="eastAsia"/>
                      <w:color w:val="auto"/>
                    </w:rPr>
                    <w:t>2</w:t>
                  </w:r>
                </w:p>
              </w:tc>
              <w:tc>
                <w:tcPr>
                  <w:tcW w:w="1486" w:type="dxa"/>
                  <w:vAlign w:val="center"/>
                </w:tcPr>
                <w:p w14:paraId="76B588B0">
                  <w:pPr>
                    <w:pStyle w:val="4"/>
                    <w:outlineLvl w:val="0"/>
                    <w:rPr>
                      <w:color w:val="auto"/>
                    </w:rPr>
                  </w:pPr>
                  <w:r>
                    <w:rPr>
                      <w:rFonts w:hint="eastAsia" w:cs="Times New Roman"/>
                      <w:color w:val="auto"/>
                      <w:lang w:val="en-US" w:eastAsia="zh-CN"/>
                    </w:rPr>
                    <w:t>软水制备装置产生的废树脂、滤芯</w:t>
                  </w:r>
                </w:p>
              </w:tc>
              <w:tc>
                <w:tcPr>
                  <w:tcW w:w="1091" w:type="dxa"/>
                  <w:vAlign w:val="center"/>
                </w:tcPr>
                <w:p w14:paraId="65C5E6C2">
                  <w:pPr>
                    <w:pStyle w:val="4"/>
                    <w:outlineLvl w:val="0"/>
                    <w:rPr>
                      <w:color w:val="auto"/>
                    </w:rPr>
                  </w:pPr>
                  <w:r>
                    <w:rPr>
                      <w:rFonts w:hint="eastAsia"/>
                      <w:color w:val="auto"/>
                      <w:lang w:val="en-US" w:eastAsia="zh-CN"/>
                    </w:rPr>
                    <w:t>软水装置</w:t>
                  </w:r>
                </w:p>
              </w:tc>
              <w:tc>
                <w:tcPr>
                  <w:tcW w:w="762" w:type="dxa"/>
                  <w:vAlign w:val="center"/>
                </w:tcPr>
                <w:p w14:paraId="66DBDCC7">
                  <w:pPr>
                    <w:pStyle w:val="4"/>
                    <w:outlineLvl w:val="0"/>
                    <w:rPr>
                      <w:color w:val="auto"/>
                    </w:rPr>
                  </w:pPr>
                  <w:r>
                    <w:rPr>
                      <w:rFonts w:hint="eastAsia"/>
                      <w:color w:val="auto"/>
                    </w:rPr>
                    <w:t>固态</w:t>
                  </w:r>
                </w:p>
              </w:tc>
              <w:tc>
                <w:tcPr>
                  <w:tcW w:w="1289" w:type="dxa"/>
                  <w:vAlign w:val="center"/>
                </w:tcPr>
                <w:p w14:paraId="7346B600">
                  <w:pPr>
                    <w:pStyle w:val="4"/>
                    <w:outlineLvl w:val="0"/>
                    <w:rPr>
                      <w:rFonts w:hint="default" w:eastAsia="宋体"/>
                      <w:color w:val="auto"/>
                      <w:lang w:val="en-US" w:eastAsia="zh-CN"/>
                    </w:rPr>
                  </w:pPr>
                  <w:r>
                    <w:rPr>
                      <w:rFonts w:hint="eastAsia"/>
                      <w:color w:val="auto"/>
                      <w:lang w:val="en-US" w:eastAsia="zh-CN"/>
                    </w:rPr>
                    <w:t>砂石、杂质</w:t>
                  </w:r>
                </w:p>
              </w:tc>
              <w:tc>
                <w:tcPr>
                  <w:tcW w:w="990" w:type="dxa"/>
                  <w:vAlign w:val="center"/>
                </w:tcPr>
                <w:p w14:paraId="489DD084">
                  <w:pPr>
                    <w:pStyle w:val="4"/>
                    <w:outlineLvl w:val="0"/>
                    <w:rPr>
                      <w:color w:val="auto"/>
                    </w:rPr>
                  </w:pPr>
                  <w:r>
                    <w:rPr>
                      <w:rFonts w:hint="eastAsia"/>
                      <w:color w:val="auto"/>
                    </w:rPr>
                    <w:t>一般固废</w:t>
                  </w:r>
                </w:p>
              </w:tc>
              <w:tc>
                <w:tcPr>
                  <w:tcW w:w="1275" w:type="dxa"/>
                  <w:vAlign w:val="center"/>
                </w:tcPr>
                <w:p w14:paraId="6F6277E1">
                  <w:pPr>
                    <w:pStyle w:val="4"/>
                    <w:outlineLvl w:val="0"/>
                    <w:rPr>
                      <w:color w:val="auto"/>
                    </w:rPr>
                  </w:pPr>
                  <w:r>
                    <w:rPr>
                      <w:rFonts w:hint="eastAsia"/>
                      <w:color w:val="auto"/>
                    </w:rPr>
                    <w:t>900-999-99</w:t>
                  </w:r>
                </w:p>
              </w:tc>
              <w:tc>
                <w:tcPr>
                  <w:tcW w:w="1052" w:type="dxa"/>
                  <w:vAlign w:val="center"/>
                </w:tcPr>
                <w:p w14:paraId="546793BD">
                  <w:pPr>
                    <w:pStyle w:val="4"/>
                    <w:ind w:firstLine="0" w:firstLineChars="0"/>
                    <w:outlineLvl w:val="0"/>
                    <w:rPr>
                      <w:color w:val="auto"/>
                    </w:rPr>
                  </w:pPr>
                  <w:r>
                    <w:rPr>
                      <w:rFonts w:hint="eastAsia"/>
                      <w:color w:val="auto"/>
                      <w:lang w:val="en-US" w:eastAsia="zh-CN"/>
                    </w:rPr>
                    <w:t>0.02</w:t>
                  </w:r>
                </w:p>
              </w:tc>
            </w:tr>
          </w:tbl>
          <w:p w14:paraId="7B788280">
            <w:pPr>
              <w:ind w:firstLine="0" w:firstLineChars="0"/>
              <w:rPr>
                <w:b/>
                <w:bCs/>
                <w:color w:val="auto"/>
              </w:rPr>
            </w:pPr>
            <w:r>
              <w:rPr>
                <w:rFonts w:hint="eastAsia"/>
                <w:b/>
                <w:bCs/>
                <w:color w:val="auto"/>
              </w:rPr>
              <w:t>5</w:t>
            </w:r>
            <w:r>
              <w:rPr>
                <w:b/>
                <w:bCs/>
                <w:color w:val="auto"/>
              </w:rPr>
              <w:t>、地下水</w:t>
            </w:r>
            <w:r>
              <w:rPr>
                <w:rFonts w:hint="eastAsia"/>
                <w:b/>
                <w:bCs/>
                <w:color w:val="auto"/>
              </w:rPr>
              <w:t>、土壤</w:t>
            </w:r>
            <w:r>
              <w:rPr>
                <w:b/>
                <w:bCs/>
                <w:color w:val="auto"/>
              </w:rPr>
              <w:t>影响分析</w:t>
            </w:r>
          </w:p>
          <w:p w14:paraId="30EF812B">
            <w:pPr>
              <w:ind w:firstLine="480"/>
              <w:rPr>
                <w:color w:val="auto"/>
              </w:rPr>
            </w:pPr>
            <w:r>
              <w:rPr>
                <w:rFonts w:hint="eastAsia" w:cs="宋体"/>
                <w:color w:val="auto"/>
                <w:lang w:val="en-US" w:eastAsia="zh-CN"/>
              </w:rPr>
              <w:t>能源站实行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r>
              <w:rPr>
                <w:color w:val="auto"/>
              </w:rPr>
              <w:t>。为避免对地下水体</w:t>
            </w:r>
            <w:r>
              <w:rPr>
                <w:rFonts w:hint="eastAsia"/>
                <w:color w:val="auto"/>
              </w:rPr>
              <w:t>、土壤</w:t>
            </w:r>
            <w:r>
              <w:rPr>
                <w:color w:val="auto"/>
              </w:rPr>
              <w:t>造成影响，建设单位采取主动控制（源头控制措施）及被动控制（末端控制措施）相结合的措施。</w:t>
            </w:r>
          </w:p>
          <w:p w14:paraId="0D0DA9A7">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 1 \* GB3 \* MERGEFORMAT </w:instrText>
            </w:r>
            <w:r>
              <w:rPr>
                <w:rFonts w:hint="default" w:ascii="Times New Roman" w:hAnsi="Times New Roman" w:eastAsia="宋体" w:cs="Times New Roman"/>
                <w:kern w:val="0"/>
                <w:sz w:val="24"/>
                <w:szCs w:val="24"/>
              </w:rPr>
              <w:fldChar w:fldCharType="separate"/>
            </w:r>
            <w:r>
              <w:rPr>
                <w:rFonts w:hint="default" w:ascii="Times New Roman" w:hAnsi="Times New Roman" w:eastAsia="宋体" w:cs="Times New Roman"/>
                <w:kern w:val="0"/>
                <w:sz w:val="24"/>
                <w:szCs w:val="24"/>
              </w:rPr>
              <w:t>①</w:t>
            </w:r>
            <w:r>
              <w:rPr>
                <w:rFonts w:hint="default" w:ascii="Times New Roman" w:hAnsi="Times New Roman" w:eastAsia="宋体" w:cs="Times New Roman"/>
                <w:kern w:val="0"/>
                <w:sz w:val="24"/>
                <w:szCs w:val="24"/>
              </w:rPr>
              <w:fldChar w:fldCharType="end"/>
            </w:r>
            <w:r>
              <w:rPr>
                <w:rFonts w:hint="default" w:ascii="Times New Roman" w:hAnsi="Times New Roman" w:eastAsia="宋体" w:cs="Times New Roman"/>
                <w:kern w:val="0"/>
                <w:sz w:val="24"/>
                <w:szCs w:val="24"/>
              </w:rPr>
              <w:t>主动控制（源头控制措施）</w:t>
            </w:r>
          </w:p>
          <w:p w14:paraId="3E3934A4">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要包括在工艺、设备、物料输送管道、污水输送管线采取相应措施，防止和降低污染物跑、冒、滴、漏，将污染物泄漏的风险事故降到最低。例如针对事故废水设置事故水池、污水管网设置切换阀等，确保发生事故时产生的事故废水能够及时收集进入消防事故池，并通过控制切换阀防止事故废水直接外排；建设单位已制定严格的管理措施，设专人定时对</w:t>
            </w:r>
            <w:r>
              <w:rPr>
                <w:rFonts w:hint="default" w:ascii="Times New Roman" w:hAnsi="Times New Roman" w:eastAsia="宋体" w:cs="Times New Roman"/>
                <w:kern w:val="0"/>
                <w:sz w:val="24"/>
                <w:szCs w:val="24"/>
                <w:lang w:val="en-US" w:eastAsia="zh-CN"/>
              </w:rPr>
              <w:t>本项目室</w:t>
            </w:r>
            <w:r>
              <w:rPr>
                <w:rFonts w:hint="default" w:ascii="Times New Roman" w:hAnsi="Times New Roman" w:eastAsia="宋体" w:cs="Times New Roman"/>
                <w:kern w:val="0"/>
                <w:sz w:val="24"/>
                <w:szCs w:val="24"/>
              </w:rPr>
              <w:t>内管道进行巡检，要求巡检人员对发现的跑冒滴漏现象要及时上报，对出现的问题要求及时妥善处置。同时也要加强对管道、阀门采购的质量管理，如发现问题，应及时更换。</w:t>
            </w:r>
          </w:p>
          <w:p w14:paraId="4F83B0C7">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 2 \* GB3 \* MERGEFORMAT </w:instrText>
            </w:r>
            <w:r>
              <w:rPr>
                <w:rFonts w:hint="default" w:ascii="Times New Roman" w:hAnsi="Times New Roman" w:eastAsia="宋体" w:cs="Times New Roman"/>
                <w:kern w:val="0"/>
                <w:sz w:val="24"/>
                <w:szCs w:val="24"/>
              </w:rPr>
              <w:fldChar w:fldCharType="separate"/>
            </w:r>
            <w:r>
              <w:rPr>
                <w:rFonts w:hint="default" w:ascii="Times New Roman" w:hAnsi="Times New Roman" w:eastAsia="宋体" w:cs="Times New Roman"/>
                <w:kern w:val="0"/>
                <w:sz w:val="24"/>
                <w:szCs w:val="24"/>
              </w:rPr>
              <w:t>②</w:t>
            </w:r>
            <w:r>
              <w:rPr>
                <w:rFonts w:hint="default" w:ascii="Times New Roman" w:hAnsi="Times New Roman" w:eastAsia="宋体" w:cs="Times New Roman"/>
                <w:kern w:val="0"/>
                <w:sz w:val="24"/>
                <w:szCs w:val="24"/>
              </w:rPr>
              <w:fldChar w:fldCharType="end"/>
            </w:r>
            <w:r>
              <w:rPr>
                <w:rFonts w:hint="default" w:ascii="Times New Roman" w:hAnsi="Times New Roman" w:eastAsia="宋体" w:cs="Times New Roman"/>
                <w:kern w:val="0"/>
                <w:sz w:val="24"/>
                <w:szCs w:val="24"/>
              </w:rPr>
              <w:t>被动控制（末端控制措施）</w:t>
            </w:r>
          </w:p>
          <w:p w14:paraId="0121D4AD">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主要包括厂内污染区地面的防渗措施和泄漏、渗漏污染物的收集措施，即在污染区地面进行防渗处理，防止撒落在地面上的污染物渗入地下，并把滞留在地面上的污染物收集起来，集中处理。</w:t>
            </w:r>
          </w:p>
          <w:p w14:paraId="1F93377B">
            <w:pPr>
              <w:widowControl w:val="0"/>
              <w:wordWrap w:val="0"/>
              <w:topLinePunct/>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rPr>
            </w:pPr>
            <w:r>
              <w:rPr>
                <w:rFonts w:hint="default" w:ascii="Times New Roman" w:hAnsi="Times New Roman" w:eastAsia="宋体" w:cs="Times New Roman"/>
                <w:color w:val="auto"/>
                <w:kern w:val="0"/>
                <w:sz w:val="24"/>
                <w:szCs w:val="24"/>
                <w:lang w:val="en-US" w:eastAsia="zh-CN"/>
              </w:rPr>
              <w:t>本项目</w:t>
            </w:r>
            <w:r>
              <w:rPr>
                <w:rFonts w:hint="default" w:ascii="Times New Roman" w:hAnsi="Times New Roman" w:eastAsia="宋体" w:cs="Times New Roman"/>
                <w:color w:val="auto"/>
                <w:kern w:val="0"/>
                <w:sz w:val="24"/>
                <w:szCs w:val="24"/>
              </w:rPr>
              <w:t>厂房地面</w:t>
            </w:r>
            <w:r>
              <w:rPr>
                <w:rFonts w:hint="default" w:ascii="Times New Roman" w:hAnsi="Times New Roman" w:eastAsia="宋体" w:cs="Times New Roman"/>
                <w:color w:val="auto"/>
                <w:kern w:val="0"/>
                <w:sz w:val="24"/>
                <w:szCs w:val="24"/>
                <w:lang w:val="en-US" w:eastAsia="zh-CN"/>
              </w:rPr>
              <w:t>参照《生活垃圾填埋场污染控制标准》（GB16889-2023）中相关要求建设防腐防渗，除重点防渗外做简单防渗</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新建危险废物贮存库需要参照</w:t>
            </w:r>
            <w:r>
              <w:rPr>
                <w:rFonts w:hint="default" w:ascii="Times New Roman" w:hAnsi="Times New Roman" w:eastAsia="宋体" w:cs="Times New Roman"/>
                <w:snapToGrid w:val="0"/>
                <w:color w:val="auto"/>
                <w:kern w:val="0"/>
                <w:sz w:val="24"/>
                <w:szCs w:val="24"/>
                <w:lang w:val="en-US" w:eastAsia="zh-CN"/>
              </w:rPr>
              <w:t>《危险废物贮存污染控制标准》（GB18597-2023）</w:t>
            </w:r>
            <w:r>
              <w:rPr>
                <w:rFonts w:hint="default" w:ascii="Times New Roman" w:hAnsi="Times New Roman" w:eastAsia="宋体" w:cs="Times New Roman"/>
                <w:color w:val="auto"/>
                <w:kern w:val="0"/>
                <w:sz w:val="24"/>
                <w:szCs w:val="24"/>
                <w:lang w:val="en-US" w:eastAsia="zh-CN"/>
              </w:rPr>
              <w:t>中相关要求完成防渗。具体防渗要求见下表：</w:t>
            </w:r>
          </w:p>
          <w:p w14:paraId="34079BF3">
            <w:pPr>
              <w:widowControl w:val="0"/>
              <w:wordWrap/>
              <w:adjustRightInd/>
              <w:snapToGrid/>
              <w:spacing w:before="0" w:beforeAutospacing="0" w:after="0" w:afterAutospacing="0" w:line="240" w:lineRule="auto"/>
              <w:ind w:left="0" w:right="0" w:firstLine="0" w:firstLineChars="0"/>
              <w:jc w:val="center"/>
              <w:textAlignment w:val="auto"/>
              <w:rPr>
                <w:rFonts w:hint="default" w:eastAsia="宋体"/>
                <w:b/>
                <w:bCs/>
                <w:color w:val="auto"/>
                <w:kern w:val="0"/>
                <w:sz w:val="24"/>
                <w:szCs w:val="24"/>
                <w:lang w:val="en-US" w:eastAsia="zh-CN"/>
              </w:rPr>
            </w:pPr>
            <w:r>
              <w:rPr>
                <w:rFonts w:hint="eastAsia" w:eastAsia="宋体"/>
                <w:b/>
                <w:bCs/>
                <w:color w:val="auto"/>
                <w:kern w:val="0"/>
                <w:sz w:val="24"/>
                <w:szCs w:val="24"/>
                <w:lang w:val="en-US" w:eastAsia="zh-CN"/>
              </w:rPr>
              <w:t>表</w:t>
            </w:r>
            <w:r>
              <w:rPr>
                <w:rFonts w:hint="default" w:eastAsia="宋体"/>
                <w:b/>
                <w:bCs/>
                <w:color w:val="auto"/>
                <w:kern w:val="0"/>
                <w:sz w:val="24"/>
                <w:szCs w:val="24"/>
                <w:lang w:val="en-US" w:eastAsia="zh-CN"/>
              </w:rPr>
              <w:t>4-</w:t>
            </w:r>
            <w:r>
              <w:rPr>
                <w:rFonts w:hint="eastAsia"/>
                <w:b/>
                <w:bCs/>
                <w:color w:val="auto"/>
                <w:kern w:val="0"/>
                <w:sz w:val="24"/>
                <w:szCs w:val="24"/>
                <w:lang w:val="en-US" w:eastAsia="zh-CN"/>
              </w:rPr>
              <w:t>34</w:t>
            </w:r>
            <w:r>
              <w:rPr>
                <w:rFonts w:hint="eastAsia" w:eastAsia="宋体"/>
                <w:b/>
                <w:bCs/>
                <w:color w:val="auto"/>
                <w:kern w:val="0"/>
                <w:sz w:val="24"/>
                <w:szCs w:val="24"/>
                <w:lang w:val="en-US" w:eastAsia="zh-CN"/>
              </w:rPr>
              <w:t xml:space="preserve"> </w:t>
            </w:r>
            <w:r>
              <w:rPr>
                <w:rFonts w:hint="default" w:eastAsia="宋体"/>
                <w:b/>
                <w:bCs/>
                <w:color w:val="auto"/>
                <w:kern w:val="0"/>
                <w:sz w:val="24"/>
                <w:szCs w:val="24"/>
                <w:lang w:val="en-US" w:eastAsia="zh-CN"/>
              </w:rPr>
              <w:t xml:space="preserve"> </w:t>
            </w:r>
            <w:r>
              <w:rPr>
                <w:rFonts w:hint="eastAsia" w:eastAsia="宋体"/>
                <w:b/>
                <w:bCs/>
                <w:color w:val="auto"/>
                <w:kern w:val="0"/>
                <w:sz w:val="24"/>
                <w:szCs w:val="24"/>
                <w:lang w:val="en-US" w:eastAsia="zh-CN"/>
              </w:rPr>
              <w:t>土壤、地下水防渗要求</w:t>
            </w:r>
          </w:p>
          <w:tbl>
            <w:tblPr>
              <w:tblStyle w:val="26"/>
              <w:tblW w:w="847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26"/>
              <w:gridCol w:w="1453"/>
              <w:gridCol w:w="2839"/>
              <w:gridCol w:w="2753"/>
            </w:tblGrid>
            <w:tr w14:paraId="3BA810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6" w:type="dxa"/>
                  <w:tcBorders>
                    <w:top w:val="single" w:color="auto" w:sz="4" w:space="0"/>
                    <w:left w:val="single" w:color="auto" w:sz="0" w:space="0"/>
                    <w:bottom w:val="single" w:color="auto" w:sz="4" w:space="0"/>
                    <w:right w:val="single" w:color="auto" w:sz="4" w:space="0"/>
                  </w:tcBorders>
                  <w:vAlign w:val="center"/>
                </w:tcPr>
                <w:p w14:paraId="72D2F292">
                  <w:pPr>
                    <w:pStyle w:val="4"/>
                    <w:spacing w:before="0" w:beforeAutospacing="0" w:after="0" w:afterAutospacing="0"/>
                    <w:ind w:left="0" w:right="0"/>
                    <w:jc w:val="center"/>
                    <w:rPr>
                      <w:rFonts w:hint="default" w:ascii="Calibri" w:hAnsi="Calibri" w:cs="Times New Roman"/>
                      <w:b/>
                      <w:bCs w:val="0"/>
                      <w:kern w:val="2"/>
                      <w:sz w:val="21"/>
                      <w:szCs w:val="22"/>
                    </w:rPr>
                  </w:pPr>
                  <w:r>
                    <w:rPr>
                      <w:rFonts w:hint="default" w:ascii="Calibri" w:hAnsi="Calibri" w:cs="Times New Roman"/>
                      <w:b/>
                      <w:bCs w:val="0"/>
                      <w:kern w:val="2"/>
                      <w:sz w:val="21"/>
                      <w:szCs w:val="22"/>
                    </w:rPr>
                    <w:t>分区</w:t>
                  </w:r>
                </w:p>
              </w:tc>
              <w:tc>
                <w:tcPr>
                  <w:tcW w:w="1453" w:type="dxa"/>
                  <w:tcBorders>
                    <w:top w:val="single" w:color="auto" w:sz="4" w:space="0"/>
                    <w:left w:val="single" w:color="auto" w:sz="4" w:space="0"/>
                    <w:bottom w:val="single" w:color="auto" w:sz="4" w:space="0"/>
                    <w:right w:val="single" w:color="auto" w:sz="4" w:space="0"/>
                  </w:tcBorders>
                  <w:vAlign w:val="center"/>
                </w:tcPr>
                <w:p w14:paraId="4C8BBDBE">
                  <w:pPr>
                    <w:pStyle w:val="4"/>
                    <w:spacing w:before="0" w:beforeAutospacing="0" w:after="0" w:afterAutospacing="0"/>
                    <w:ind w:left="0" w:right="0"/>
                    <w:jc w:val="center"/>
                    <w:rPr>
                      <w:rFonts w:hint="eastAsia" w:ascii="Calibri" w:hAnsi="Calibri" w:cs="Times New Roman"/>
                      <w:b/>
                      <w:bCs w:val="0"/>
                      <w:kern w:val="2"/>
                      <w:sz w:val="21"/>
                      <w:szCs w:val="22"/>
                      <w:lang w:val="en-US" w:eastAsia="zh-CN"/>
                    </w:rPr>
                  </w:pPr>
                  <w:r>
                    <w:rPr>
                      <w:rFonts w:hint="eastAsia" w:ascii="Calibri" w:hAnsi="Calibri" w:cs="Times New Roman"/>
                      <w:b/>
                      <w:bCs w:val="0"/>
                      <w:kern w:val="2"/>
                      <w:sz w:val="21"/>
                      <w:szCs w:val="22"/>
                      <w:lang w:val="en-US" w:eastAsia="zh-CN"/>
                    </w:rPr>
                    <w:t>污染物类型</w:t>
                  </w:r>
                </w:p>
              </w:tc>
              <w:tc>
                <w:tcPr>
                  <w:tcW w:w="2839" w:type="dxa"/>
                  <w:tcBorders>
                    <w:top w:val="single" w:color="auto" w:sz="4" w:space="0"/>
                    <w:left w:val="single" w:color="auto" w:sz="4" w:space="0"/>
                    <w:bottom w:val="single" w:color="auto" w:sz="4" w:space="0"/>
                    <w:right w:val="single" w:color="auto" w:sz="4" w:space="0"/>
                  </w:tcBorders>
                  <w:vAlign w:val="center"/>
                </w:tcPr>
                <w:p w14:paraId="34350D33">
                  <w:pPr>
                    <w:pStyle w:val="4"/>
                    <w:spacing w:before="0" w:beforeAutospacing="0" w:after="0" w:afterAutospacing="0"/>
                    <w:ind w:left="0" w:right="0"/>
                    <w:jc w:val="center"/>
                    <w:rPr>
                      <w:rFonts w:hint="default" w:ascii="Calibri" w:hAnsi="Calibri" w:cs="Times New Roman"/>
                      <w:b/>
                      <w:bCs w:val="0"/>
                      <w:kern w:val="2"/>
                      <w:sz w:val="21"/>
                      <w:szCs w:val="22"/>
                    </w:rPr>
                  </w:pPr>
                  <w:r>
                    <w:rPr>
                      <w:rFonts w:hint="default" w:ascii="Calibri" w:hAnsi="Calibri" w:cs="Times New Roman"/>
                      <w:b/>
                      <w:bCs w:val="0"/>
                      <w:kern w:val="2"/>
                      <w:sz w:val="21"/>
                      <w:szCs w:val="22"/>
                    </w:rPr>
                    <w:t>厂内分区</w:t>
                  </w:r>
                </w:p>
              </w:tc>
              <w:tc>
                <w:tcPr>
                  <w:tcW w:w="2753" w:type="dxa"/>
                  <w:tcBorders>
                    <w:top w:val="single" w:color="auto" w:sz="4" w:space="0"/>
                    <w:left w:val="single" w:color="auto" w:sz="4" w:space="0"/>
                    <w:bottom w:val="single" w:color="auto" w:sz="4" w:space="0"/>
                    <w:right w:val="single" w:color="auto" w:sz="4" w:space="0"/>
                  </w:tcBorders>
                  <w:vAlign w:val="center"/>
                </w:tcPr>
                <w:p w14:paraId="10FCA334">
                  <w:pPr>
                    <w:pStyle w:val="4"/>
                    <w:spacing w:before="0" w:beforeAutospacing="0" w:after="0" w:afterAutospacing="0"/>
                    <w:ind w:left="0" w:right="0"/>
                    <w:jc w:val="center"/>
                    <w:rPr>
                      <w:rFonts w:hint="default" w:ascii="Calibri" w:hAnsi="Calibri" w:cs="Times New Roman"/>
                      <w:b/>
                      <w:bCs w:val="0"/>
                      <w:kern w:val="2"/>
                      <w:sz w:val="21"/>
                      <w:szCs w:val="22"/>
                    </w:rPr>
                  </w:pPr>
                  <w:r>
                    <w:rPr>
                      <w:rFonts w:hint="default" w:ascii="Calibri" w:hAnsi="Calibri" w:cs="Times New Roman"/>
                      <w:b/>
                      <w:bCs w:val="0"/>
                      <w:kern w:val="2"/>
                      <w:sz w:val="21"/>
                      <w:szCs w:val="22"/>
                    </w:rPr>
                    <w:t>防渗技术要求</w:t>
                  </w:r>
                </w:p>
              </w:tc>
            </w:tr>
            <w:tr w14:paraId="3700A5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10E2CAEA">
                  <w:pPr>
                    <w:pStyle w:val="4"/>
                    <w:spacing w:before="0" w:beforeAutospacing="0" w:after="0" w:afterAutospacing="0"/>
                    <w:ind w:left="0" w:right="0"/>
                    <w:jc w:val="center"/>
                    <w:rPr>
                      <w:rFonts w:hint="default" w:ascii="Calibri" w:hAnsi="Calibri" w:cs="Times New Roman"/>
                      <w:kern w:val="2"/>
                      <w:sz w:val="21"/>
                      <w:szCs w:val="22"/>
                    </w:rPr>
                  </w:pPr>
                  <w:r>
                    <w:rPr>
                      <w:rFonts w:hint="default" w:ascii="Calibri" w:hAnsi="Calibri" w:cs="Times New Roman"/>
                      <w:kern w:val="2"/>
                      <w:sz w:val="21"/>
                      <w:szCs w:val="22"/>
                    </w:rPr>
                    <w:t>简单防渗区</w:t>
                  </w:r>
                </w:p>
              </w:tc>
              <w:tc>
                <w:tcPr>
                  <w:tcW w:w="1453" w:type="dxa"/>
                  <w:tcBorders>
                    <w:top w:val="single" w:color="auto" w:sz="4" w:space="0"/>
                    <w:left w:val="single" w:color="auto" w:sz="4" w:space="0"/>
                    <w:bottom w:val="single" w:color="auto" w:sz="4" w:space="0"/>
                    <w:right w:val="single" w:color="auto" w:sz="4" w:space="0"/>
                  </w:tcBorders>
                  <w:vAlign w:val="center"/>
                </w:tcPr>
                <w:p w14:paraId="1FD802EC">
                  <w:pPr>
                    <w:pStyle w:val="4"/>
                    <w:spacing w:before="0" w:beforeAutospacing="0" w:after="0" w:afterAutospacing="0"/>
                    <w:ind w:left="0" w:right="0"/>
                    <w:jc w:val="center"/>
                    <w:rPr>
                      <w:rFonts w:hint="default" w:ascii="Calibri" w:hAnsi="Calibri" w:cs="Times New Roman"/>
                      <w:kern w:val="2"/>
                      <w:sz w:val="21"/>
                      <w:szCs w:val="22"/>
                    </w:rPr>
                  </w:pPr>
                  <w:r>
                    <w:rPr>
                      <w:rFonts w:hint="default" w:ascii="Calibri" w:hAnsi="Calibri" w:cs="Times New Roman"/>
                      <w:kern w:val="2"/>
                      <w:sz w:val="21"/>
                      <w:szCs w:val="22"/>
                      <w:lang w:val="en-US" w:eastAsia="zh-CN"/>
                    </w:rPr>
                    <w:t>除重点、</w:t>
                  </w:r>
                  <w:r>
                    <w:rPr>
                      <w:rFonts w:hint="eastAsia" w:ascii="Calibri" w:hAnsi="Calibri" w:cs="Times New Roman"/>
                      <w:kern w:val="2"/>
                      <w:sz w:val="21"/>
                      <w:szCs w:val="22"/>
                      <w:lang w:val="en-US" w:eastAsia="zh-CN"/>
                    </w:rPr>
                    <w:t>简单防渗之</w:t>
                  </w:r>
                  <w:r>
                    <w:rPr>
                      <w:rFonts w:hint="default" w:ascii="Calibri" w:hAnsi="Calibri" w:cs="Times New Roman"/>
                      <w:kern w:val="2"/>
                      <w:sz w:val="21"/>
                      <w:szCs w:val="22"/>
                      <w:lang w:val="en-US" w:eastAsia="zh-CN"/>
                    </w:rPr>
                    <w:t>外的其他区域</w:t>
                  </w:r>
                </w:p>
              </w:tc>
              <w:tc>
                <w:tcPr>
                  <w:tcW w:w="2839" w:type="dxa"/>
                  <w:tcBorders>
                    <w:top w:val="single" w:color="auto" w:sz="4" w:space="0"/>
                    <w:left w:val="single" w:color="auto" w:sz="4" w:space="0"/>
                    <w:bottom w:val="single" w:color="auto" w:sz="4" w:space="0"/>
                    <w:right w:val="single" w:color="auto" w:sz="4" w:space="0"/>
                  </w:tcBorders>
                  <w:vAlign w:val="center"/>
                </w:tcPr>
                <w:p w14:paraId="3BF067CE">
                  <w:pPr>
                    <w:pStyle w:val="4"/>
                    <w:spacing w:before="0" w:beforeAutospacing="0" w:after="0" w:afterAutospacing="0"/>
                    <w:ind w:left="0" w:right="0"/>
                    <w:jc w:val="center"/>
                    <w:rPr>
                      <w:rFonts w:hint="default" w:ascii="Calibri" w:hAnsi="Calibri" w:eastAsia="宋体" w:cs="Times New Roman"/>
                      <w:kern w:val="2"/>
                      <w:sz w:val="21"/>
                      <w:szCs w:val="22"/>
                      <w:lang w:val="en-US" w:eastAsia="zh-CN"/>
                    </w:rPr>
                  </w:pPr>
                  <w:r>
                    <w:rPr>
                      <w:rFonts w:hint="eastAsia" w:ascii="Calibri" w:hAnsi="Calibri" w:cs="Times New Roman"/>
                      <w:kern w:val="2"/>
                      <w:sz w:val="21"/>
                      <w:szCs w:val="22"/>
                      <w:lang w:val="en-US" w:eastAsia="zh-CN"/>
                    </w:rPr>
                    <w:t>办公楼等做简单防渗</w:t>
                  </w:r>
                </w:p>
              </w:tc>
              <w:tc>
                <w:tcPr>
                  <w:tcW w:w="2753" w:type="dxa"/>
                  <w:tcBorders>
                    <w:top w:val="single" w:color="auto" w:sz="4" w:space="0"/>
                    <w:left w:val="single" w:color="auto" w:sz="4" w:space="0"/>
                    <w:bottom w:val="single" w:color="auto" w:sz="4" w:space="0"/>
                    <w:right w:val="single" w:color="auto" w:sz="4" w:space="0"/>
                  </w:tcBorders>
                  <w:vAlign w:val="center"/>
                </w:tcPr>
                <w:p w14:paraId="2DF2E8B1">
                  <w:pPr>
                    <w:pStyle w:val="4"/>
                    <w:spacing w:before="0" w:beforeAutospacing="0" w:after="0" w:afterAutospacing="0"/>
                    <w:ind w:left="0" w:right="0"/>
                    <w:jc w:val="center"/>
                    <w:rPr>
                      <w:rFonts w:hint="default" w:ascii="Calibri" w:hAnsi="Calibri" w:cs="Times New Roman"/>
                      <w:kern w:val="2"/>
                      <w:sz w:val="21"/>
                      <w:szCs w:val="22"/>
                    </w:rPr>
                  </w:pPr>
                  <w:r>
                    <w:rPr>
                      <w:rFonts w:hint="default" w:ascii="Calibri" w:hAnsi="Calibri" w:cs="Times New Roman"/>
                      <w:kern w:val="2"/>
                      <w:sz w:val="21"/>
                      <w:szCs w:val="22"/>
                    </w:rPr>
                    <w:t>一般地面硬化</w:t>
                  </w:r>
                </w:p>
              </w:tc>
            </w:tr>
            <w:tr w14:paraId="673CFA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6" w:type="dxa"/>
                  <w:tcBorders>
                    <w:left w:val="single" w:color="auto" w:sz="4" w:space="0"/>
                    <w:bottom w:val="single" w:color="auto" w:sz="4" w:space="0"/>
                    <w:right w:val="single" w:color="auto" w:sz="4" w:space="0"/>
                  </w:tcBorders>
                  <w:vAlign w:val="center"/>
                </w:tcPr>
                <w:p w14:paraId="52437222">
                  <w:pPr>
                    <w:pStyle w:val="4"/>
                    <w:spacing w:before="0" w:beforeAutospacing="0" w:after="0" w:afterAutospacing="0"/>
                    <w:ind w:left="0" w:right="0"/>
                    <w:jc w:val="center"/>
                    <w:rPr>
                      <w:rFonts w:hint="eastAsia" w:ascii="Calibri" w:hAnsi="Calibri" w:cs="Times New Roman"/>
                      <w:kern w:val="2"/>
                      <w:sz w:val="21"/>
                      <w:szCs w:val="22"/>
                      <w:lang w:val="en-US" w:eastAsia="zh-CN"/>
                    </w:rPr>
                  </w:pPr>
                  <w:r>
                    <w:rPr>
                      <w:rFonts w:hint="eastAsia" w:ascii="Calibri" w:hAnsi="Calibri" w:cs="Times New Roman"/>
                      <w:kern w:val="2"/>
                      <w:sz w:val="21"/>
                      <w:szCs w:val="22"/>
                      <w:lang w:val="en-US" w:eastAsia="zh-CN"/>
                    </w:rPr>
                    <w:t>一般防渗区</w:t>
                  </w:r>
                </w:p>
              </w:tc>
              <w:tc>
                <w:tcPr>
                  <w:tcW w:w="1453" w:type="dxa"/>
                  <w:tcBorders>
                    <w:top w:val="single" w:color="auto" w:sz="4" w:space="0"/>
                    <w:left w:val="single" w:color="auto" w:sz="4" w:space="0"/>
                    <w:bottom w:val="single" w:color="auto" w:sz="4" w:space="0"/>
                    <w:right w:val="single" w:color="auto" w:sz="4" w:space="0"/>
                  </w:tcBorders>
                  <w:vAlign w:val="center"/>
                </w:tcPr>
                <w:p w14:paraId="4C4108ED">
                  <w:pPr>
                    <w:pStyle w:val="4"/>
                    <w:spacing w:before="0" w:beforeAutospacing="0" w:after="0" w:afterAutospacing="0"/>
                    <w:ind w:left="0" w:right="0"/>
                    <w:jc w:val="center"/>
                    <w:rPr>
                      <w:rFonts w:hint="eastAsia" w:ascii="Calibri" w:hAnsi="Calibri" w:cs="Times New Roman"/>
                      <w:kern w:val="2"/>
                      <w:sz w:val="21"/>
                      <w:szCs w:val="22"/>
                      <w:lang w:val="en-US" w:eastAsia="zh-CN"/>
                    </w:rPr>
                  </w:pPr>
                  <w:r>
                    <w:rPr>
                      <w:rFonts w:hint="eastAsia" w:ascii="Calibri" w:hAnsi="Calibri" w:cs="Times New Roman"/>
                      <w:kern w:val="2"/>
                      <w:sz w:val="21"/>
                      <w:szCs w:val="22"/>
                      <w:lang w:val="en-US" w:eastAsia="zh-CN"/>
                    </w:rPr>
                    <w:t>其他类型</w:t>
                  </w:r>
                </w:p>
              </w:tc>
              <w:tc>
                <w:tcPr>
                  <w:tcW w:w="2839" w:type="dxa"/>
                  <w:tcBorders>
                    <w:top w:val="single" w:color="auto" w:sz="4" w:space="0"/>
                    <w:left w:val="single" w:color="auto" w:sz="4" w:space="0"/>
                    <w:bottom w:val="single" w:color="auto" w:sz="4" w:space="0"/>
                    <w:right w:val="single" w:color="auto" w:sz="4" w:space="0"/>
                  </w:tcBorders>
                  <w:vAlign w:val="center"/>
                </w:tcPr>
                <w:p w14:paraId="7E05EAFD">
                  <w:pPr>
                    <w:pStyle w:val="4"/>
                    <w:spacing w:before="0" w:beforeAutospacing="0" w:after="0" w:afterAutospacing="0"/>
                    <w:ind w:left="0" w:right="0"/>
                    <w:jc w:val="center"/>
                    <w:rPr>
                      <w:rFonts w:hint="eastAsia" w:ascii="Calibri" w:hAnsi="Calibri" w:cs="Times New Roman"/>
                      <w:kern w:val="2"/>
                      <w:sz w:val="21"/>
                      <w:szCs w:val="22"/>
                      <w:lang w:val="en-US" w:eastAsia="zh-CN"/>
                    </w:rPr>
                  </w:pPr>
                  <w:r>
                    <w:rPr>
                      <w:rFonts w:hint="eastAsia" w:ascii="Calibri" w:hAnsi="Calibri" w:cs="Times New Roman"/>
                      <w:kern w:val="2"/>
                      <w:sz w:val="21"/>
                      <w:szCs w:val="22"/>
                      <w:lang w:val="en-US" w:eastAsia="zh-CN"/>
                    </w:rPr>
                    <w:t>/</w:t>
                  </w:r>
                </w:p>
              </w:tc>
              <w:tc>
                <w:tcPr>
                  <w:tcW w:w="2753" w:type="dxa"/>
                  <w:tcBorders>
                    <w:left w:val="single" w:color="auto" w:sz="4" w:space="0"/>
                    <w:bottom w:val="single" w:color="auto" w:sz="4" w:space="0"/>
                    <w:right w:val="single" w:color="auto" w:sz="4" w:space="0"/>
                  </w:tcBorders>
                  <w:vAlign w:val="center"/>
                </w:tcPr>
                <w:p w14:paraId="28D3ADC3">
                  <w:pPr>
                    <w:pStyle w:val="4"/>
                    <w:spacing w:before="0" w:beforeAutospacing="0" w:after="0" w:afterAutospacing="0"/>
                    <w:ind w:left="0" w:right="0"/>
                    <w:jc w:val="center"/>
                    <w:rPr>
                      <w:rFonts w:hint="eastAsia" w:ascii="Calibri" w:hAnsi="Calibri" w:cs="Times New Roman"/>
                      <w:kern w:val="2"/>
                      <w:sz w:val="21"/>
                      <w:szCs w:val="22"/>
                      <w:lang w:val="en-US" w:eastAsia="zh-CN"/>
                    </w:rPr>
                  </w:pPr>
                  <w:r>
                    <w:rPr>
                      <w:rFonts w:hint="eastAsia" w:ascii="Calibri" w:hAnsi="Calibri" w:cs="Times New Roman"/>
                      <w:kern w:val="2"/>
                      <w:sz w:val="21"/>
                      <w:szCs w:val="22"/>
                      <w:lang w:val="en-US" w:eastAsia="zh-CN"/>
                    </w:rPr>
                    <w:t>本项目不涉及</w:t>
                  </w:r>
                </w:p>
              </w:tc>
            </w:tr>
            <w:tr w14:paraId="2B614D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7313E29B">
                  <w:pPr>
                    <w:pStyle w:val="4"/>
                    <w:spacing w:before="0" w:beforeAutospacing="0" w:after="0" w:afterAutospacing="0"/>
                    <w:ind w:left="0" w:right="0"/>
                    <w:jc w:val="center"/>
                    <w:rPr>
                      <w:rFonts w:hint="default" w:ascii="Calibri" w:hAnsi="Calibri" w:cs="Times New Roman"/>
                      <w:kern w:val="2"/>
                      <w:sz w:val="21"/>
                      <w:szCs w:val="22"/>
                    </w:rPr>
                  </w:pPr>
                  <w:r>
                    <w:rPr>
                      <w:rFonts w:hint="default" w:ascii="Calibri" w:hAnsi="Calibri" w:cs="Times New Roman"/>
                      <w:kern w:val="2"/>
                      <w:sz w:val="21"/>
                      <w:szCs w:val="22"/>
                    </w:rPr>
                    <w:t>重点防渗区</w:t>
                  </w:r>
                </w:p>
              </w:tc>
              <w:tc>
                <w:tcPr>
                  <w:tcW w:w="1453" w:type="dxa"/>
                  <w:tcBorders>
                    <w:top w:val="single" w:color="auto" w:sz="4" w:space="0"/>
                    <w:left w:val="single" w:color="auto" w:sz="4" w:space="0"/>
                    <w:bottom w:val="single" w:color="auto" w:sz="4" w:space="0"/>
                    <w:right w:val="single" w:color="auto" w:sz="4" w:space="0"/>
                  </w:tcBorders>
                  <w:vAlign w:val="center"/>
                </w:tcPr>
                <w:p w14:paraId="149A67C1">
                  <w:pPr>
                    <w:pStyle w:val="4"/>
                    <w:spacing w:before="0" w:beforeAutospacing="0" w:after="0" w:afterAutospacing="0"/>
                    <w:ind w:left="0" w:right="0"/>
                    <w:jc w:val="center"/>
                    <w:rPr>
                      <w:rFonts w:hint="eastAsia" w:ascii="Calibri" w:hAnsi="Calibri" w:cs="Times New Roman"/>
                      <w:kern w:val="2"/>
                      <w:sz w:val="21"/>
                      <w:szCs w:val="22"/>
                      <w:lang w:val="en-US" w:eastAsia="zh-CN"/>
                    </w:rPr>
                  </w:pPr>
                  <w:r>
                    <w:rPr>
                      <w:rFonts w:hint="default" w:ascii="Calibri" w:hAnsi="Calibri" w:cs="Times New Roman"/>
                      <w:kern w:val="2"/>
                      <w:sz w:val="21"/>
                      <w:szCs w:val="22"/>
                    </w:rPr>
                    <w:t>危害性大的</w:t>
                  </w:r>
                  <w:r>
                    <w:rPr>
                      <w:rFonts w:hint="eastAsia" w:ascii="Calibri" w:hAnsi="Calibri" w:cs="Times New Roman"/>
                      <w:kern w:val="2"/>
                      <w:sz w:val="21"/>
                      <w:szCs w:val="22"/>
                      <w:lang w:val="en-US" w:eastAsia="zh-CN"/>
                    </w:rPr>
                    <w:t>危险废物暂存区等</w:t>
                  </w:r>
                </w:p>
              </w:tc>
              <w:tc>
                <w:tcPr>
                  <w:tcW w:w="2839" w:type="dxa"/>
                  <w:tcBorders>
                    <w:top w:val="single" w:color="auto" w:sz="4" w:space="0"/>
                    <w:left w:val="single" w:color="auto" w:sz="4" w:space="0"/>
                    <w:bottom w:val="single" w:color="auto" w:sz="4" w:space="0"/>
                    <w:right w:val="single" w:color="auto" w:sz="4" w:space="0"/>
                  </w:tcBorders>
                  <w:vAlign w:val="center"/>
                </w:tcPr>
                <w:p w14:paraId="16433F05">
                  <w:pPr>
                    <w:pStyle w:val="4"/>
                    <w:spacing w:before="0" w:beforeAutospacing="0" w:after="0" w:afterAutospacing="0"/>
                    <w:ind w:left="0" w:right="0"/>
                    <w:jc w:val="center"/>
                    <w:rPr>
                      <w:rFonts w:hint="default" w:ascii="Calibri" w:hAnsi="Calibri" w:eastAsia="宋体" w:cs="Times New Roman"/>
                      <w:kern w:val="2"/>
                      <w:sz w:val="21"/>
                      <w:szCs w:val="22"/>
                      <w:lang w:val="en-US" w:eastAsia="zh-CN"/>
                    </w:rPr>
                  </w:pPr>
                  <w:r>
                    <w:rPr>
                      <w:rFonts w:hint="eastAsia"/>
                      <w:color w:val="auto"/>
                      <w:lang w:val="en-US" w:eastAsia="zh-CN"/>
                    </w:rPr>
                    <w:t>气化间、地埋式储罐区、事故池（有容积不低于240m</w:t>
                  </w:r>
                  <w:r>
                    <w:rPr>
                      <w:rFonts w:hint="eastAsia"/>
                      <w:color w:val="auto"/>
                      <w:vertAlign w:val="superscript"/>
                      <w:lang w:val="en-US" w:eastAsia="zh-CN"/>
                    </w:rPr>
                    <w:t>3</w:t>
                  </w:r>
                  <w:r>
                    <w:rPr>
                      <w:rFonts w:hint="eastAsia"/>
                      <w:color w:val="auto"/>
                      <w:lang w:val="en-US" w:eastAsia="zh-CN"/>
                    </w:rPr>
                    <w:t>）、</w:t>
                  </w:r>
                  <w:r>
                    <w:rPr>
                      <w:rFonts w:hint="default" w:ascii="Times New Roman" w:hAnsi="Times New Roman" w:eastAsia="宋体" w:cs="Times New Roman"/>
                      <w:color w:val="auto"/>
                      <w:kern w:val="44"/>
                      <w:sz w:val="21"/>
                      <w:szCs w:val="24"/>
                      <w:lang w:val="en-US" w:eastAsia="zh-CN" w:bidi="ar-SA"/>
                    </w:rPr>
                    <w:t>节能站机房</w:t>
                  </w:r>
                  <w:r>
                    <w:rPr>
                      <w:rFonts w:hint="eastAsia" w:ascii="Times New Roman" w:hAnsi="Times New Roman" w:eastAsia="宋体" w:cs="Times New Roman"/>
                      <w:b w:val="0"/>
                      <w:bCs/>
                      <w:color w:val="auto"/>
                      <w:kern w:val="2"/>
                      <w:sz w:val="21"/>
                      <w:szCs w:val="21"/>
                      <w:lang w:val="en-US" w:eastAsia="zh-CN" w:bidi="ar-SA"/>
                    </w:rPr>
                    <w:t>，除重点防渗外做简单防渗</w:t>
                  </w:r>
                </w:p>
              </w:tc>
              <w:tc>
                <w:tcPr>
                  <w:tcW w:w="2753" w:type="dxa"/>
                  <w:tcBorders>
                    <w:top w:val="single" w:color="auto" w:sz="4" w:space="0"/>
                    <w:left w:val="single" w:color="auto" w:sz="4" w:space="0"/>
                    <w:bottom w:val="single" w:color="auto" w:sz="4" w:space="0"/>
                    <w:right w:val="single" w:color="auto" w:sz="4" w:space="0"/>
                  </w:tcBorders>
                  <w:vAlign w:val="center"/>
                </w:tcPr>
                <w:p w14:paraId="5F728B92">
                  <w:pPr>
                    <w:pStyle w:val="4"/>
                    <w:spacing w:before="0" w:beforeAutospacing="0" w:after="0" w:afterAutospacing="0"/>
                    <w:ind w:left="0" w:right="0"/>
                    <w:jc w:val="center"/>
                    <w:rPr>
                      <w:rFonts w:hint="eastAsia" w:ascii="Calibri" w:hAnsi="Calibri" w:cs="Times New Roman"/>
                      <w:kern w:val="2"/>
                      <w:sz w:val="21"/>
                      <w:szCs w:val="22"/>
                      <w:lang w:val="en-US" w:eastAsia="zh-CN"/>
                    </w:rPr>
                  </w:pPr>
                  <w:r>
                    <w:rPr>
                      <w:rFonts w:hint="default" w:ascii="Times New Roman" w:hAnsi="Times New Roman" w:cs="Times New Roman"/>
                      <w:snapToGrid w:val="0"/>
                      <w:color w:val="auto"/>
                      <w:kern w:val="2"/>
                      <w:sz w:val="21"/>
                      <w:szCs w:val="21"/>
                      <w:lang w:val="en-US" w:eastAsia="zh-CN"/>
                    </w:rPr>
                    <w:t>根据《危险废物贮存污染控制标准》（GB</w:t>
                  </w:r>
                  <w:r>
                    <w:rPr>
                      <w:rFonts w:hint="eastAsia" w:ascii="Calibri" w:hAnsi="Calibri" w:cs="Times New Roman"/>
                      <w:snapToGrid w:val="0"/>
                      <w:color w:val="auto"/>
                      <w:kern w:val="2"/>
                      <w:sz w:val="21"/>
                      <w:szCs w:val="21"/>
                      <w:lang w:val="en-US" w:eastAsia="zh-CN"/>
                    </w:rPr>
                    <w:t xml:space="preserve">  </w:t>
                  </w:r>
                  <w:r>
                    <w:rPr>
                      <w:rFonts w:hint="default" w:ascii="Times New Roman" w:hAnsi="Times New Roman" w:cs="Times New Roman"/>
                      <w:snapToGrid w:val="0"/>
                      <w:color w:val="auto"/>
                      <w:kern w:val="2"/>
                      <w:sz w:val="21"/>
                      <w:szCs w:val="21"/>
                      <w:lang w:val="en-US" w:eastAsia="zh-CN"/>
                    </w:rPr>
                    <w:t>18597-2023）要求，Mb≥1.0m、K≤1×10</w:t>
                  </w:r>
                  <w:r>
                    <w:rPr>
                      <w:rFonts w:hint="default" w:ascii="Times New Roman" w:hAnsi="Times New Roman" w:cs="Times New Roman"/>
                      <w:snapToGrid w:val="0"/>
                      <w:color w:val="auto"/>
                      <w:kern w:val="2"/>
                      <w:sz w:val="21"/>
                      <w:szCs w:val="21"/>
                      <w:vertAlign w:val="superscript"/>
                      <w:lang w:val="en-US" w:eastAsia="zh-CN"/>
                    </w:rPr>
                    <w:t>-7</w:t>
                  </w:r>
                  <w:r>
                    <w:rPr>
                      <w:rFonts w:hint="default" w:ascii="Times New Roman" w:hAnsi="Times New Roman" w:cs="Times New Roman"/>
                      <w:snapToGrid w:val="0"/>
                      <w:color w:val="auto"/>
                      <w:kern w:val="2"/>
                      <w:sz w:val="21"/>
                      <w:szCs w:val="21"/>
                      <w:lang w:val="en-US" w:eastAsia="zh-CN"/>
                    </w:rPr>
                    <w:t>cm/s</w:t>
                  </w:r>
                </w:p>
              </w:tc>
            </w:tr>
          </w:tbl>
          <w:p w14:paraId="7E855FA9">
            <w:pPr>
              <w:widowControl w:val="0"/>
              <w:wordWrap/>
              <w:adjustRightInd/>
              <w:snapToGrid/>
              <w:spacing w:before="0" w:beforeAutospacing="0" w:after="0" w:afterAutospacing="0" w:line="360" w:lineRule="auto"/>
              <w:ind w:left="0" w:right="0" w:firstLine="480" w:firstLineChars="200"/>
              <w:textAlignment w:val="auto"/>
              <w:rPr>
                <w:rFonts w:hint="default"/>
                <w:kern w:val="0"/>
                <w:sz w:val="24"/>
                <w:szCs w:val="24"/>
              </w:rPr>
            </w:pPr>
            <w:r>
              <w:rPr>
                <w:rFonts w:hint="eastAsia" w:cs="宋体"/>
                <w:kern w:val="0"/>
                <w:sz w:val="24"/>
                <w:szCs w:val="24"/>
              </w:rPr>
              <w:t>除此之外，建议项目运营后还应采取以下污染防治措施：</w:t>
            </w:r>
          </w:p>
          <w:p w14:paraId="11EC443B">
            <w:pPr>
              <w:spacing w:before="0" w:beforeAutospacing="0" w:after="0" w:afterAutospacing="0" w:line="360" w:lineRule="auto"/>
              <w:ind w:left="0" w:right="0" w:firstLine="480" w:firstLineChars="200"/>
              <w:rPr>
                <w:rFonts w:hint="default"/>
                <w:kern w:val="0"/>
                <w:sz w:val="24"/>
                <w:szCs w:val="24"/>
              </w:rPr>
            </w:pPr>
            <w:r>
              <w:rPr>
                <w:rFonts w:hint="default"/>
                <w:kern w:val="0"/>
                <w:sz w:val="24"/>
                <w:szCs w:val="24"/>
              </w:rPr>
              <w:fldChar w:fldCharType="begin"/>
            </w:r>
            <w:r>
              <w:rPr>
                <w:rFonts w:hint="default"/>
                <w:kern w:val="0"/>
                <w:sz w:val="24"/>
                <w:szCs w:val="24"/>
              </w:rPr>
              <w:instrText xml:space="preserve"> = 1 \* GB3 \* MERGEFORMAT </w:instrText>
            </w:r>
            <w:r>
              <w:rPr>
                <w:rFonts w:hint="default"/>
                <w:kern w:val="0"/>
                <w:sz w:val="24"/>
                <w:szCs w:val="24"/>
              </w:rPr>
              <w:fldChar w:fldCharType="separate"/>
            </w:r>
            <w:r>
              <w:rPr>
                <w:rFonts w:hint="eastAsia" w:ascii="宋体" w:hAnsi="宋体" w:cs="宋体"/>
                <w:kern w:val="0"/>
                <w:sz w:val="24"/>
                <w:szCs w:val="24"/>
              </w:rPr>
              <w:t>①</w:t>
            </w:r>
            <w:r>
              <w:rPr>
                <w:rFonts w:hint="default"/>
                <w:kern w:val="0"/>
                <w:sz w:val="24"/>
                <w:szCs w:val="24"/>
              </w:rPr>
              <w:fldChar w:fldCharType="end"/>
            </w:r>
            <w:r>
              <w:rPr>
                <w:rFonts w:hint="eastAsia" w:cs="宋体"/>
                <w:kern w:val="0"/>
                <w:sz w:val="24"/>
                <w:szCs w:val="24"/>
              </w:rPr>
              <w:t>定期对地下水和土壤进行监测，以便及时发现问题，采取有效措施控制和消除污染危害。</w:t>
            </w:r>
          </w:p>
          <w:p w14:paraId="0A8127F5">
            <w:pPr>
              <w:spacing w:before="0" w:beforeAutospacing="0" w:after="0" w:afterAutospacing="0" w:line="360" w:lineRule="auto"/>
              <w:ind w:left="0" w:right="0" w:firstLine="480" w:firstLineChars="200"/>
              <w:rPr>
                <w:rFonts w:hint="default"/>
                <w:b/>
                <w:bCs/>
                <w:snapToGrid w:val="0"/>
                <w:kern w:val="0"/>
                <w:sz w:val="24"/>
                <w:szCs w:val="24"/>
              </w:rPr>
            </w:pPr>
            <w:r>
              <w:rPr>
                <w:rFonts w:hint="default"/>
                <w:kern w:val="0"/>
                <w:sz w:val="24"/>
                <w:szCs w:val="24"/>
              </w:rPr>
              <w:fldChar w:fldCharType="begin"/>
            </w:r>
            <w:r>
              <w:rPr>
                <w:rFonts w:hint="default"/>
                <w:kern w:val="0"/>
                <w:sz w:val="24"/>
                <w:szCs w:val="24"/>
              </w:rPr>
              <w:instrText xml:space="preserve"> = 2 \* GB3 \* MERGEFORMAT </w:instrText>
            </w:r>
            <w:r>
              <w:rPr>
                <w:rFonts w:hint="default"/>
                <w:kern w:val="0"/>
                <w:sz w:val="24"/>
                <w:szCs w:val="24"/>
              </w:rPr>
              <w:fldChar w:fldCharType="separate"/>
            </w:r>
            <w:r>
              <w:rPr>
                <w:rFonts w:hint="eastAsia" w:ascii="宋体" w:hAnsi="宋体" w:cs="宋体"/>
                <w:kern w:val="0"/>
                <w:sz w:val="24"/>
                <w:szCs w:val="24"/>
              </w:rPr>
              <w:t>②</w:t>
            </w:r>
            <w:r>
              <w:rPr>
                <w:rFonts w:hint="default"/>
                <w:kern w:val="0"/>
                <w:sz w:val="24"/>
                <w:szCs w:val="24"/>
              </w:rPr>
              <w:fldChar w:fldCharType="end"/>
            </w:r>
            <w:r>
              <w:rPr>
                <w:rFonts w:hint="eastAsia" w:cs="宋体"/>
                <w:kern w:val="0"/>
                <w:sz w:val="24"/>
                <w:szCs w:val="24"/>
              </w:rPr>
              <w:t>加强现场巡查，特别是在卫生清理、下雨地面水量较大时，重点检查有无渗漏情况。若发现问题，及时分析原因，找到泄漏点制定整改措施，尽快修补，确保防腐防渗层的完整性。</w:t>
            </w:r>
          </w:p>
          <w:p w14:paraId="60B2B632">
            <w:pPr>
              <w:tabs>
                <w:tab w:val="left" w:pos="3558"/>
                <w:tab w:val="left" w:pos="4173"/>
              </w:tabs>
              <w:ind w:firstLine="0" w:firstLineChars="0"/>
              <w:rPr>
                <w:b/>
                <w:color w:val="auto"/>
              </w:rPr>
            </w:pPr>
            <w:r>
              <w:rPr>
                <w:rFonts w:hint="eastAsia"/>
                <w:b/>
                <w:color w:val="auto"/>
              </w:rPr>
              <w:t>6、环境风险</w:t>
            </w:r>
          </w:p>
          <w:p w14:paraId="7B8BF653">
            <w:pPr>
              <w:ind w:firstLine="480"/>
              <w:rPr>
                <w:color w:val="auto"/>
              </w:rPr>
            </w:pPr>
            <w:bookmarkStart w:id="8" w:name="_Toc29489"/>
            <w:bookmarkStart w:id="9" w:name="_Toc15302"/>
            <w:bookmarkStart w:id="10" w:name="_Toc2648"/>
            <w:bookmarkStart w:id="11" w:name="_Toc23958"/>
            <w:r>
              <w:rPr>
                <w:rFonts w:hint="eastAsia"/>
                <w:color w:val="auto"/>
              </w:rPr>
              <w:t>根据（环发〔2012〕77号）《关于进一步加强环境影响评价管理防范环境风险的通知》，新、改、扩建相关建设项目环境影响评价应按照相应技术导则要求，科学预测评价突发性事件或事故可能引发的环境风险，提出环境风险防范和应急措施。</w:t>
            </w:r>
          </w:p>
          <w:bookmarkEnd w:id="8"/>
          <w:bookmarkEnd w:id="9"/>
          <w:bookmarkEnd w:id="10"/>
          <w:bookmarkEnd w:id="11"/>
          <w:p w14:paraId="1C6CAC69">
            <w:pPr>
              <w:pStyle w:val="50"/>
              <w:ind w:right="0" w:rightChars="0" w:firstLine="0" w:firstLineChars="0"/>
              <w:rPr>
                <w:rFonts w:ascii="Times New Roman" w:hAnsi="Times New Roman"/>
                <w:b/>
                <w:bCs/>
                <w:color w:val="auto"/>
                <w:kern w:val="0"/>
              </w:rPr>
            </w:pPr>
            <w:r>
              <w:rPr>
                <w:rFonts w:hint="eastAsia" w:ascii="Times New Roman" w:hAnsi="Times New Roman"/>
                <w:b/>
                <w:bCs/>
                <w:color w:val="auto"/>
                <w:kern w:val="0"/>
              </w:rPr>
              <w:t>6</w:t>
            </w:r>
            <w:r>
              <w:rPr>
                <w:rFonts w:ascii="Times New Roman" w:hAnsi="Times New Roman"/>
                <w:b/>
                <w:bCs/>
                <w:color w:val="auto"/>
                <w:kern w:val="0"/>
              </w:rPr>
              <w:t>.1环境风险调查</w:t>
            </w:r>
          </w:p>
          <w:p w14:paraId="5B124E35">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（1）风险调查</w:t>
            </w:r>
          </w:p>
          <w:p w14:paraId="6E4C41E9">
            <w:pPr>
              <w:spacing w:before="0" w:beforeAutospacing="0" w:after="0" w:afterAutospacing="0"/>
              <w:ind w:left="0" w:right="0" w:firstLine="48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调查建设项目危险物质数量和分布情况、生产工艺特点，收集危险物质安全技术说明书物质风险识别范围包括：主要原材料及辅助材料、燃料、中间产品、最终产品以及生产过程排放的“三废”污染物等。</w:t>
            </w:r>
          </w:p>
          <w:p w14:paraId="7713A643">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（2）风险潜势初判</w:t>
            </w:r>
          </w:p>
          <w:p w14:paraId="42CF431E">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根据《建设项目环境风险评价技术导则》（HJ 169-2018），计算所涉及的项目涉及的突然环境事件风险物质的最大存在总量与其在附录B中对应临界量的比值Q。在不同</w:t>
            </w:r>
            <w:r>
              <w:rPr>
                <w:rFonts w:hint="default" w:ascii="Times New Roman" w:hAnsi="Times New Roman" w:eastAsia="宋体" w:cs="Times New Roman"/>
                <w:color w:val="000000"/>
                <w:kern w:val="0"/>
                <w:sz w:val="24"/>
                <w:szCs w:val="24"/>
                <w:lang w:val="en-US" w:eastAsia="zh-CN"/>
              </w:rPr>
              <w:t>室内</w:t>
            </w:r>
            <w:r>
              <w:rPr>
                <w:rFonts w:hint="default" w:ascii="Times New Roman" w:hAnsi="Times New Roman" w:eastAsia="宋体" w:cs="Times New Roman"/>
                <w:color w:val="000000"/>
                <w:kern w:val="0"/>
                <w:sz w:val="24"/>
                <w:szCs w:val="24"/>
              </w:rPr>
              <w:t>的同一种物质，按其在</w:t>
            </w:r>
            <w:r>
              <w:rPr>
                <w:rFonts w:hint="default" w:ascii="Times New Roman" w:hAnsi="Times New Roman" w:eastAsia="宋体" w:cs="Times New Roman"/>
                <w:color w:val="000000"/>
                <w:kern w:val="0"/>
                <w:sz w:val="24"/>
                <w:szCs w:val="24"/>
                <w:lang w:val="en-US" w:eastAsia="zh-CN"/>
              </w:rPr>
              <w:t>本项目室</w:t>
            </w:r>
            <w:r>
              <w:rPr>
                <w:rFonts w:hint="default" w:ascii="Times New Roman" w:hAnsi="Times New Roman" w:eastAsia="宋体" w:cs="Times New Roman"/>
                <w:color w:val="000000"/>
                <w:kern w:val="0"/>
                <w:sz w:val="24"/>
                <w:szCs w:val="24"/>
              </w:rPr>
              <w:t>内的最大存在总量计算。</w:t>
            </w:r>
          </w:p>
          <w:p w14:paraId="06D11AFA">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当只涉及一种危险物质时，计算该物质的总量与其临界量比值，即为Q；</w:t>
            </w:r>
          </w:p>
          <w:p w14:paraId="312149A4">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当存在多种危险物质时，则按下式计算物质总量与其临界量比值（Q）：</w:t>
            </w:r>
          </w:p>
          <w:p w14:paraId="085A5D6B">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SA"/>
              </w:rPr>
              <w:pict>
                <v:shape id="_x0000_s1026" o:spid="_x0000_s1026" o:spt="75" type="#_x0000_t75" style="position:absolute;left:0pt;margin-left:121.9pt;margin-top:7.75pt;height:33.8pt;width:116.55pt;mso-wrap-distance-bottom:0pt;mso-wrap-distance-top:0pt;z-index:251661312;mso-width-relative:page;mso-height-relative:page;" o:ole="t" fillcolor="#FFFFFF" filled="f" o:preferrelative="t" stroked="f" coordsize="21600,21600">
                  <v:path/>
                  <v:fill on="f" color2="#FFFFFF" focussize="0,0"/>
                  <v:stroke on="f"/>
                  <v:imagedata r:id="rId25" gain="65536f" blacklevel="0f" gamma="0" o:title=""/>
                  <o:lock v:ext="edit" position="f" selection="f" grouping="f" rotation="f" cropping="f" text="f" aspectratio="t"/>
                  <w10:wrap type="topAndBottom"/>
                </v:shape>
                <o:OLEObject Type="Embed" ProgID="Equation.3" ShapeID="_x0000_s1026" DrawAspect="Content" ObjectID="_1468075731" r:id="rId24">
                  <o:LockedField>false</o:LockedField>
                </o:OLEObject>
              </w:pict>
            </w:r>
            <w:r>
              <w:rPr>
                <w:rFonts w:hint="default" w:ascii="Times New Roman" w:hAnsi="Times New Roman" w:eastAsia="宋体" w:cs="Times New Roman"/>
                <w:color w:val="000000"/>
                <w:kern w:val="0"/>
                <w:sz w:val="24"/>
                <w:szCs w:val="24"/>
              </w:rPr>
              <w:t>式中：q</w:t>
            </w:r>
            <w:r>
              <w:rPr>
                <w:rFonts w:hint="default" w:ascii="Times New Roman" w:hAnsi="Times New Roman" w:eastAsia="宋体" w:cs="Times New Roman"/>
                <w:color w:val="000000"/>
                <w:kern w:val="0"/>
                <w:sz w:val="24"/>
                <w:szCs w:val="24"/>
                <w:vertAlign w:val="subscript"/>
              </w:rPr>
              <w:t>1</w:t>
            </w:r>
            <w:r>
              <w:rPr>
                <w:rFonts w:hint="default" w:ascii="Times New Roman" w:hAnsi="Times New Roman" w:eastAsia="宋体" w:cs="Times New Roman"/>
                <w:color w:val="000000"/>
                <w:kern w:val="0"/>
                <w:sz w:val="24"/>
                <w:szCs w:val="24"/>
              </w:rPr>
              <w:t>，q</w:t>
            </w:r>
            <w:r>
              <w:rPr>
                <w:rFonts w:hint="default" w:ascii="Times New Roman" w:hAnsi="Times New Roman" w:eastAsia="宋体" w:cs="Times New Roman"/>
                <w:color w:val="000000"/>
                <w:kern w:val="0"/>
                <w:sz w:val="24"/>
                <w:szCs w:val="24"/>
                <w:vertAlign w:val="subscript"/>
              </w:rPr>
              <w:t>2</w:t>
            </w:r>
            <w:r>
              <w:rPr>
                <w:rFonts w:hint="default" w:ascii="Times New Roman" w:hAnsi="Times New Roman" w:eastAsia="宋体" w:cs="Times New Roman"/>
                <w:color w:val="000000"/>
                <w:kern w:val="0"/>
                <w:sz w:val="24"/>
                <w:szCs w:val="24"/>
              </w:rPr>
              <w:t>，…，q</w:t>
            </w:r>
            <w:r>
              <w:rPr>
                <w:rFonts w:hint="default" w:ascii="Times New Roman" w:hAnsi="Times New Roman" w:eastAsia="宋体" w:cs="Times New Roman"/>
                <w:color w:val="000000"/>
                <w:kern w:val="0"/>
                <w:sz w:val="24"/>
                <w:szCs w:val="24"/>
                <w:vertAlign w:val="subscript"/>
              </w:rPr>
              <w:t>n</w:t>
            </w:r>
            <w:r>
              <w:rPr>
                <w:rFonts w:hint="default" w:ascii="Times New Roman" w:hAnsi="Times New Roman" w:eastAsia="宋体" w:cs="Times New Roman"/>
                <w:color w:val="000000"/>
                <w:kern w:val="0"/>
                <w:sz w:val="24"/>
                <w:szCs w:val="24"/>
              </w:rPr>
              <w:t>——每种危险物质的最大存在总量，t；</w:t>
            </w:r>
          </w:p>
          <w:p w14:paraId="370B10E0">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      Q</w:t>
            </w:r>
            <w:r>
              <w:rPr>
                <w:rFonts w:hint="default" w:ascii="Times New Roman" w:hAnsi="Times New Roman" w:eastAsia="宋体" w:cs="Times New Roman"/>
                <w:color w:val="000000"/>
                <w:kern w:val="0"/>
                <w:sz w:val="24"/>
                <w:szCs w:val="24"/>
                <w:vertAlign w:val="subscript"/>
              </w:rPr>
              <w:t>1</w:t>
            </w:r>
            <w:r>
              <w:rPr>
                <w:rFonts w:hint="default" w:ascii="Times New Roman" w:hAnsi="Times New Roman" w:eastAsia="宋体" w:cs="Times New Roman"/>
                <w:color w:val="000000"/>
                <w:kern w:val="0"/>
                <w:sz w:val="24"/>
                <w:szCs w:val="24"/>
              </w:rPr>
              <w:t>，Q</w:t>
            </w:r>
            <w:r>
              <w:rPr>
                <w:rFonts w:hint="default" w:ascii="Times New Roman" w:hAnsi="Times New Roman" w:eastAsia="宋体" w:cs="Times New Roman"/>
                <w:color w:val="000000"/>
                <w:kern w:val="0"/>
                <w:sz w:val="24"/>
                <w:szCs w:val="24"/>
                <w:vertAlign w:val="subscript"/>
              </w:rPr>
              <w:t>2</w:t>
            </w:r>
            <w:r>
              <w:rPr>
                <w:rFonts w:hint="default" w:ascii="Times New Roman" w:hAnsi="Times New Roman" w:eastAsia="宋体" w:cs="Times New Roman"/>
                <w:color w:val="000000"/>
                <w:kern w:val="0"/>
                <w:sz w:val="24"/>
                <w:szCs w:val="24"/>
              </w:rPr>
              <w:t>，…，Q</w:t>
            </w:r>
            <w:r>
              <w:rPr>
                <w:rFonts w:hint="default" w:ascii="Times New Roman" w:hAnsi="Times New Roman" w:eastAsia="宋体" w:cs="Times New Roman"/>
                <w:color w:val="000000"/>
                <w:kern w:val="0"/>
                <w:sz w:val="24"/>
                <w:szCs w:val="24"/>
                <w:vertAlign w:val="subscript"/>
              </w:rPr>
              <w:t>n</w:t>
            </w:r>
            <w:r>
              <w:rPr>
                <w:rFonts w:hint="default" w:ascii="Times New Roman" w:hAnsi="Times New Roman" w:eastAsia="宋体" w:cs="Times New Roman"/>
                <w:color w:val="000000"/>
                <w:kern w:val="0"/>
                <w:sz w:val="24"/>
                <w:szCs w:val="24"/>
              </w:rPr>
              <w:t>——每种危险物质的临界量，t。</w:t>
            </w:r>
          </w:p>
          <w:p w14:paraId="32CA92A9">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当Q&lt;1时，该项目环境风险潜势为I。</w:t>
            </w:r>
          </w:p>
          <w:p w14:paraId="779A01A0">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当Q≥1时，将Q值划分为：（1）1≤Q&lt;10；（2）10≤Q&lt;100；（3）Q≥100。</w:t>
            </w:r>
          </w:p>
          <w:p w14:paraId="46499E7A">
            <w:pPr>
              <w:spacing w:before="0" w:beforeAutospacing="0" w:after="0" w:afterAutospacing="0"/>
              <w:ind w:left="0" w:right="0"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auto"/>
                <w:kern w:val="0"/>
                <w:sz w:val="24"/>
                <w:szCs w:val="24"/>
              </w:rPr>
              <w:t>（3）风险评价等级确定</w:t>
            </w:r>
          </w:p>
          <w:p w14:paraId="13D1D1A1">
            <w:pPr>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本项目环境风险单元主要为</w:t>
            </w:r>
            <w:r>
              <w:rPr>
                <w:rFonts w:hint="eastAsia" w:cs="Times New Roman"/>
                <w:color w:val="auto"/>
                <w:kern w:val="0"/>
                <w:sz w:val="24"/>
                <w:szCs w:val="24"/>
                <w:lang w:val="en-US" w:eastAsia="zh-CN"/>
              </w:rPr>
              <w:t>地埋式储罐区</w:t>
            </w:r>
            <w:r>
              <w:rPr>
                <w:rFonts w:hint="default" w:ascii="Times New Roman" w:hAnsi="Times New Roman" w:eastAsia="宋体" w:cs="Times New Roman"/>
                <w:color w:val="auto"/>
                <w:kern w:val="0"/>
                <w:sz w:val="24"/>
                <w:szCs w:val="24"/>
              </w:rPr>
              <w:t>，涉及的环境风险物质见以下列表。</w:t>
            </w:r>
          </w:p>
          <w:p w14:paraId="08932C64">
            <w:pPr>
              <w:autoSpaceDE w:val="0"/>
              <w:autoSpaceDN w:val="0"/>
              <w:adjustRightInd w:val="0"/>
              <w:spacing w:before="0" w:beforeAutospacing="0" w:after="0" w:afterAutospacing="0" w:line="240" w:lineRule="auto"/>
              <w:ind w:left="0" w:right="0" w:firstLine="482" w:firstLineChars="200"/>
              <w:jc w:val="center"/>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表4-</w:t>
            </w:r>
            <w:r>
              <w:rPr>
                <w:rFonts w:hint="eastAsia" w:cs="Times New Roman"/>
                <w:b/>
                <w:color w:val="auto"/>
                <w:kern w:val="0"/>
                <w:sz w:val="24"/>
                <w:szCs w:val="24"/>
                <w:lang w:val="en-US" w:eastAsia="zh-CN"/>
              </w:rPr>
              <w:t xml:space="preserve">35 </w:t>
            </w:r>
            <w:r>
              <w:rPr>
                <w:rFonts w:hint="default" w:ascii="Times New Roman" w:hAnsi="Times New Roman" w:eastAsia="宋体" w:cs="Times New Roman"/>
                <w:b/>
                <w:color w:val="auto"/>
                <w:kern w:val="0"/>
                <w:sz w:val="24"/>
                <w:szCs w:val="24"/>
              </w:rPr>
              <w:t xml:space="preserve"> 建设项目危险物质数量和分布情况一览表</w:t>
            </w:r>
          </w:p>
          <w:tbl>
            <w:tblPr>
              <w:tblStyle w:val="26"/>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796"/>
              <w:gridCol w:w="1910"/>
              <w:gridCol w:w="1949"/>
              <w:gridCol w:w="1680"/>
            </w:tblGrid>
            <w:tr w14:paraId="2F46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27DF6B31">
                  <w:pPr>
                    <w:pStyle w:val="4"/>
                    <w:spacing w:before="0" w:beforeAutospacing="0" w:after="0" w:afterAutospacing="0"/>
                    <w:ind w:left="0" w:right="0"/>
                    <w:jc w:val="center"/>
                    <w:rPr>
                      <w:rFonts w:hint="default" w:ascii="Times New Roman" w:hAnsi="Times New Roman" w:cs="Times New Roman"/>
                      <w:b/>
                      <w:bCs w:val="0"/>
                      <w:color w:val="auto"/>
                      <w:kern w:val="2"/>
                      <w:sz w:val="21"/>
                      <w:szCs w:val="21"/>
                    </w:rPr>
                  </w:pPr>
                  <w:r>
                    <w:rPr>
                      <w:rFonts w:hint="default" w:ascii="Times New Roman" w:hAnsi="Times New Roman" w:cs="Times New Roman"/>
                      <w:b/>
                      <w:bCs w:val="0"/>
                      <w:color w:val="auto"/>
                      <w:kern w:val="2"/>
                      <w:sz w:val="21"/>
                      <w:szCs w:val="21"/>
                    </w:rPr>
                    <w:t>名称</w:t>
                  </w:r>
                </w:p>
              </w:tc>
              <w:tc>
                <w:tcPr>
                  <w:tcW w:w="796" w:type="dxa"/>
                  <w:tcBorders>
                    <w:top w:val="single" w:color="auto" w:sz="4" w:space="0"/>
                    <w:left w:val="single" w:color="auto" w:sz="4" w:space="0"/>
                    <w:bottom w:val="single" w:color="auto" w:sz="4" w:space="0"/>
                    <w:right w:val="single" w:color="auto" w:sz="4" w:space="0"/>
                  </w:tcBorders>
                  <w:vAlign w:val="center"/>
                </w:tcPr>
                <w:p w14:paraId="7D82D6E4">
                  <w:pPr>
                    <w:pStyle w:val="4"/>
                    <w:spacing w:before="0" w:beforeAutospacing="0" w:after="0" w:afterAutospacing="0"/>
                    <w:ind w:left="0" w:right="0"/>
                    <w:jc w:val="center"/>
                    <w:rPr>
                      <w:rFonts w:hint="default" w:ascii="Times New Roman" w:hAnsi="Times New Roman" w:cs="Times New Roman"/>
                      <w:b/>
                      <w:bCs w:val="0"/>
                      <w:color w:val="auto"/>
                      <w:kern w:val="2"/>
                      <w:sz w:val="21"/>
                      <w:szCs w:val="21"/>
                    </w:rPr>
                  </w:pPr>
                  <w:r>
                    <w:rPr>
                      <w:rFonts w:hint="default" w:ascii="Times New Roman" w:hAnsi="Times New Roman" w:cs="Times New Roman"/>
                      <w:b/>
                      <w:bCs w:val="0"/>
                      <w:color w:val="auto"/>
                      <w:kern w:val="2"/>
                      <w:sz w:val="21"/>
                      <w:szCs w:val="21"/>
                    </w:rPr>
                    <w:t>单位</w:t>
                  </w:r>
                </w:p>
              </w:tc>
              <w:tc>
                <w:tcPr>
                  <w:tcW w:w="1910" w:type="dxa"/>
                  <w:tcBorders>
                    <w:top w:val="single" w:color="auto" w:sz="4" w:space="0"/>
                    <w:left w:val="single" w:color="auto" w:sz="4" w:space="0"/>
                    <w:bottom w:val="single" w:color="auto" w:sz="4" w:space="0"/>
                    <w:right w:val="single" w:color="auto" w:sz="4" w:space="0"/>
                  </w:tcBorders>
                  <w:vAlign w:val="center"/>
                </w:tcPr>
                <w:p w14:paraId="34B229AD">
                  <w:pPr>
                    <w:pStyle w:val="4"/>
                    <w:spacing w:before="0" w:beforeAutospacing="0" w:after="0" w:afterAutospacing="0"/>
                    <w:ind w:left="0" w:right="0"/>
                    <w:jc w:val="center"/>
                    <w:rPr>
                      <w:rFonts w:hint="default" w:ascii="Times New Roman" w:hAnsi="Times New Roman" w:eastAsia="宋体" w:cs="Times New Roman"/>
                      <w:b/>
                      <w:bCs w:val="0"/>
                      <w:color w:val="auto"/>
                      <w:kern w:val="2"/>
                      <w:sz w:val="21"/>
                      <w:szCs w:val="21"/>
                      <w:lang w:val="en-US" w:eastAsia="zh-CN"/>
                    </w:rPr>
                  </w:pPr>
                  <w:r>
                    <w:rPr>
                      <w:rFonts w:hint="default" w:ascii="Times New Roman" w:hAnsi="Times New Roman" w:cs="Times New Roman"/>
                      <w:b/>
                      <w:bCs w:val="0"/>
                      <w:color w:val="auto"/>
                      <w:kern w:val="2"/>
                      <w:sz w:val="21"/>
                      <w:szCs w:val="21"/>
                    </w:rPr>
                    <w:t>最大存在量qn/t</w:t>
                  </w:r>
                </w:p>
              </w:tc>
              <w:tc>
                <w:tcPr>
                  <w:tcW w:w="1949" w:type="dxa"/>
                  <w:tcBorders>
                    <w:top w:val="single" w:color="auto" w:sz="4" w:space="0"/>
                    <w:left w:val="single" w:color="auto" w:sz="4" w:space="0"/>
                    <w:bottom w:val="single" w:color="auto" w:sz="4" w:space="0"/>
                    <w:right w:val="single" w:color="auto" w:sz="4" w:space="0"/>
                  </w:tcBorders>
                  <w:vAlign w:val="center"/>
                </w:tcPr>
                <w:p w14:paraId="7E7950AB">
                  <w:pPr>
                    <w:pStyle w:val="4"/>
                    <w:spacing w:before="0" w:beforeAutospacing="0" w:after="0" w:afterAutospacing="0"/>
                    <w:ind w:left="0" w:right="0"/>
                    <w:jc w:val="center"/>
                    <w:rPr>
                      <w:rFonts w:hint="default" w:ascii="Times New Roman" w:hAnsi="Times New Roman" w:cs="Times New Roman"/>
                      <w:b/>
                      <w:bCs w:val="0"/>
                      <w:color w:val="auto"/>
                      <w:kern w:val="2"/>
                      <w:sz w:val="21"/>
                      <w:szCs w:val="21"/>
                    </w:rPr>
                  </w:pPr>
                  <w:r>
                    <w:rPr>
                      <w:rFonts w:hint="default" w:ascii="Times New Roman" w:hAnsi="Times New Roman" w:cs="Times New Roman"/>
                      <w:b/>
                      <w:bCs w:val="0"/>
                      <w:color w:val="auto"/>
                      <w:kern w:val="2"/>
                      <w:sz w:val="21"/>
                      <w:szCs w:val="21"/>
                    </w:rPr>
                    <w:t>临界量Qn/t</w:t>
                  </w:r>
                </w:p>
              </w:tc>
              <w:tc>
                <w:tcPr>
                  <w:tcW w:w="1680" w:type="dxa"/>
                  <w:tcBorders>
                    <w:top w:val="single" w:color="auto" w:sz="4" w:space="0"/>
                    <w:left w:val="single" w:color="auto" w:sz="4" w:space="0"/>
                    <w:bottom w:val="single" w:color="auto" w:sz="4" w:space="0"/>
                    <w:right w:val="single" w:color="auto" w:sz="4" w:space="0"/>
                  </w:tcBorders>
                  <w:vAlign w:val="center"/>
                </w:tcPr>
                <w:p w14:paraId="1C8C54B4">
                  <w:pPr>
                    <w:pStyle w:val="4"/>
                    <w:spacing w:before="0" w:beforeAutospacing="0" w:after="0" w:afterAutospacing="0"/>
                    <w:ind w:left="0" w:right="0"/>
                    <w:jc w:val="center"/>
                    <w:rPr>
                      <w:rFonts w:hint="default" w:ascii="Times New Roman" w:hAnsi="Times New Roman" w:cs="Times New Roman"/>
                      <w:b/>
                      <w:bCs w:val="0"/>
                      <w:color w:val="auto"/>
                      <w:kern w:val="2"/>
                      <w:sz w:val="21"/>
                      <w:szCs w:val="21"/>
                    </w:rPr>
                  </w:pPr>
                  <w:r>
                    <w:rPr>
                      <w:rFonts w:hint="default" w:ascii="Times New Roman" w:hAnsi="Times New Roman" w:cs="Times New Roman"/>
                      <w:b/>
                      <w:bCs w:val="0"/>
                      <w:color w:val="auto"/>
                      <w:kern w:val="2"/>
                      <w:sz w:val="21"/>
                      <w:szCs w:val="21"/>
                    </w:rPr>
                    <w:t>该种危险物质Q值</w:t>
                  </w:r>
                </w:p>
              </w:tc>
            </w:tr>
            <w:tr w14:paraId="0CED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53E10CDB">
                  <w:pPr>
                    <w:pStyle w:val="4"/>
                    <w:spacing w:before="0" w:beforeAutospacing="0" w:after="0" w:afterAutospacing="0"/>
                    <w:ind w:left="0" w:right="0"/>
                    <w:jc w:val="center"/>
                    <w:rPr>
                      <w:rFonts w:hint="default" w:ascii="Times New Roman" w:hAnsi="Times New Roman" w:cs="Times New Roman"/>
                      <w:color w:val="auto"/>
                      <w:kern w:val="2"/>
                      <w:sz w:val="21"/>
                      <w:szCs w:val="21"/>
                      <w:lang w:val="en-US"/>
                    </w:rPr>
                  </w:pPr>
                  <w:r>
                    <w:rPr>
                      <w:rFonts w:hint="eastAsia" w:cs="Times New Roman"/>
                      <w:color w:val="auto"/>
                      <w:kern w:val="2"/>
                      <w:sz w:val="21"/>
                      <w:szCs w:val="21"/>
                      <w:lang w:val="en-US" w:eastAsia="zh-CN"/>
                    </w:rPr>
                    <w:t>戊烷液体</w:t>
                  </w:r>
                </w:p>
              </w:tc>
              <w:tc>
                <w:tcPr>
                  <w:tcW w:w="796" w:type="dxa"/>
                  <w:tcBorders>
                    <w:top w:val="single" w:color="auto" w:sz="4" w:space="0"/>
                    <w:left w:val="single" w:color="auto" w:sz="4" w:space="0"/>
                    <w:bottom w:val="single" w:color="auto" w:sz="4" w:space="0"/>
                    <w:right w:val="single" w:color="auto" w:sz="4" w:space="0"/>
                  </w:tcBorders>
                  <w:vAlign w:val="center"/>
                </w:tcPr>
                <w:p w14:paraId="0CA84B61">
                  <w:pPr>
                    <w:pStyle w:val="4"/>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t/a</w:t>
                  </w:r>
                </w:p>
              </w:tc>
              <w:tc>
                <w:tcPr>
                  <w:tcW w:w="1910" w:type="dxa"/>
                  <w:tcBorders>
                    <w:top w:val="single" w:color="auto" w:sz="4" w:space="0"/>
                    <w:left w:val="single" w:color="auto" w:sz="4" w:space="0"/>
                    <w:bottom w:val="single" w:color="auto" w:sz="4" w:space="0"/>
                    <w:right w:val="single" w:color="auto" w:sz="4" w:space="0"/>
                  </w:tcBorders>
                  <w:vAlign w:val="center"/>
                </w:tcPr>
                <w:p w14:paraId="087A6475">
                  <w:pPr>
                    <w:pStyle w:val="4"/>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70</w:t>
                  </w:r>
                </w:p>
              </w:tc>
              <w:tc>
                <w:tcPr>
                  <w:tcW w:w="1949" w:type="dxa"/>
                  <w:tcBorders>
                    <w:top w:val="single" w:color="auto" w:sz="4" w:space="0"/>
                    <w:left w:val="single" w:color="auto" w:sz="4" w:space="0"/>
                    <w:bottom w:val="single" w:color="auto" w:sz="4" w:space="0"/>
                    <w:right w:val="single" w:color="auto" w:sz="4" w:space="0"/>
                  </w:tcBorders>
                  <w:vAlign w:val="center"/>
                </w:tcPr>
                <w:p w14:paraId="6867C223">
                  <w:pPr>
                    <w:pStyle w:val="4"/>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2500</w:t>
                  </w:r>
                </w:p>
              </w:tc>
              <w:tc>
                <w:tcPr>
                  <w:tcW w:w="1680" w:type="dxa"/>
                  <w:tcBorders>
                    <w:top w:val="single" w:color="auto" w:sz="4" w:space="0"/>
                    <w:left w:val="single" w:color="auto" w:sz="4" w:space="0"/>
                    <w:bottom w:val="single" w:color="auto" w:sz="4" w:space="0"/>
                    <w:right w:val="single" w:color="auto" w:sz="4" w:space="0"/>
                  </w:tcBorders>
                  <w:vAlign w:val="center"/>
                </w:tcPr>
                <w:p w14:paraId="7344FEC5">
                  <w:pPr>
                    <w:pStyle w:val="4"/>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0.028</w:t>
                  </w:r>
                </w:p>
              </w:tc>
            </w:tr>
            <w:tr w14:paraId="7BA3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32" w:type="dxa"/>
                  <w:gridSpan w:val="3"/>
                  <w:tcBorders>
                    <w:top w:val="single" w:color="auto" w:sz="4" w:space="0"/>
                    <w:left w:val="single" w:color="auto" w:sz="4" w:space="0"/>
                    <w:bottom w:val="single" w:color="auto" w:sz="4" w:space="0"/>
                    <w:right w:val="single" w:color="auto" w:sz="4" w:space="0"/>
                  </w:tcBorders>
                  <w:vAlign w:val="center"/>
                </w:tcPr>
                <w:p w14:paraId="68B65C25">
                  <w:pPr>
                    <w:pStyle w:val="4"/>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项目Q值∑</w:t>
                  </w:r>
                </w:p>
              </w:tc>
              <w:tc>
                <w:tcPr>
                  <w:tcW w:w="1949" w:type="dxa"/>
                  <w:tcBorders>
                    <w:top w:val="single" w:color="auto" w:sz="4" w:space="0"/>
                    <w:left w:val="single" w:color="auto" w:sz="4" w:space="0"/>
                    <w:bottom w:val="single" w:color="auto" w:sz="4" w:space="0"/>
                    <w:right w:val="single" w:color="auto" w:sz="4" w:space="0"/>
                  </w:tcBorders>
                  <w:vAlign w:val="center"/>
                </w:tcPr>
                <w:p w14:paraId="5A6281EC">
                  <w:pPr>
                    <w:pStyle w:val="4"/>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14:paraId="3A3A4C01">
                  <w:pPr>
                    <w:pStyle w:val="4"/>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0.028</w:t>
                  </w:r>
                </w:p>
              </w:tc>
            </w:tr>
          </w:tbl>
          <w:p w14:paraId="7F5E282C">
            <w:pPr>
              <w:pStyle w:val="59"/>
              <w:spacing w:before="0" w:beforeAutospacing="0" w:after="0" w:afterAutospacing="0"/>
              <w:ind w:left="0" w:right="0" w:firstLine="480"/>
              <w:rPr>
                <w:rFonts w:hint="default"/>
                <w:color w:val="auto"/>
                <w:kern w:val="0"/>
                <w:sz w:val="24"/>
                <w:szCs w:val="24"/>
              </w:rPr>
            </w:pPr>
            <w:r>
              <w:rPr>
                <w:rFonts w:hint="default"/>
                <w:color w:val="auto"/>
                <w:kern w:val="0"/>
                <w:sz w:val="24"/>
                <w:szCs w:val="24"/>
              </w:rPr>
              <w:t>本项目Q=</w:t>
            </w:r>
            <w:r>
              <w:rPr>
                <w:rFonts w:hint="default"/>
                <w:color w:val="auto"/>
                <w:kern w:val="0"/>
                <w:sz w:val="24"/>
                <w:szCs w:val="24"/>
                <w:lang w:val="en-US" w:eastAsia="zh-CN"/>
              </w:rPr>
              <w:t>0.028</w:t>
            </w:r>
            <w:r>
              <w:rPr>
                <w:rFonts w:hint="default"/>
                <w:color w:val="auto"/>
                <w:kern w:val="0"/>
                <w:sz w:val="24"/>
                <w:szCs w:val="24"/>
              </w:rPr>
              <w:t>＜1，因此，该项目环境风险潜势为</w:t>
            </w:r>
            <w:r>
              <w:rPr>
                <w:rFonts w:hint="default" w:ascii="Times New Roman" w:hAnsi="Times New Roman" w:cs="Times New Roman"/>
                <w:color w:val="auto"/>
                <w:kern w:val="0"/>
                <w:sz w:val="24"/>
                <w:szCs w:val="24"/>
              </w:rPr>
              <w:t>Ⅰ</w:t>
            </w:r>
            <w:r>
              <w:rPr>
                <w:rFonts w:hint="eastAsia"/>
                <w:color w:val="auto"/>
                <w:kern w:val="0"/>
                <w:sz w:val="24"/>
                <w:szCs w:val="24"/>
              </w:rPr>
              <w:t>。</w:t>
            </w:r>
          </w:p>
          <w:p w14:paraId="1F8F13A7">
            <w:pPr>
              <w:widowControl/>
              <w:spacing w:before="0" w:beforeAutospacing="0" w:after="0" w:afterAutospacing="0"/>
              <w:ind w:left="0" w:right="0" w:firstLine="0" w:firstLineChars="0"/>
              <w:rPr>
                <w:rFonts w:hint="default" w:ascii="Times New Roman" w:hAnsi="Times New Roman" w:eastAsia="宋体" w:cs="Times New Roman"/>
                <w:b/>
                <w:bCs/>
                <w:snapToGrid w:val="0"/>
                <w:color w:val="000000"/>
                <w:kern w:val="0"/>
                <w:sz w:val="24"/>
                <w:szCs w:val="24"/>
              </w:rPr>
            </w:pPr>
            <w:r>
              <w:rPr>
                <w:rFonts w:hint="default" w:ascii="Times New Roman" w:hAnsi="Times New Roman" w:eastAsia="宋体" w:cs="Times New Roman"/>
                <w:b/>
                <w:bCs/>
                <w:snapToGrid w:val="0"/>
                <w:color w:val="000000"/>
                <w:kern w:val="0"/>
                <w:sz w:val="24"/>
                <w:szCs w:val="24"/>
              </w:rPr>
              <w:t>6.</w:t>
            </w:r>
            <w:r>
              <w:rPr>
                <w:rFonts w:hint="default" w:ascii="Times New Roman" w:hAnsi="Times New Roman" w:eastAsia="宋体" w:cs="Times New Roman"/>
                <w:b/>
                <w:bCs/>
                <w:snapToGrid w:val="0"/>
                <w:color w:val="000000"/>
                <w:kern w:val="0"/>
                <w:sz w:val="24"/>
                <w:szCs w:val="24"/>
                <w:lang w:val="en-US" w:eastAsia="zh-CN"/>
              </w:rPr>
              <w:t>2</w:t>
            </w:r>
            <w:r>
              <w:rPr>
                <w:rFonts w:hint="default" w:ascii="Times New Roman" w:hAnsi="Times New Roman" w:eastAsia="宋体" w:cs="Times New Roman"/>
                <w:b/>
                <w:bCs/>
                <w:snapToGrid w:val="0"/>
                <w:color w:val="000000"/>
                <w:kern w:val="0"/>
                <w:sz w:val="24"/>
                <w:szCs w:val="24"/>
              </w:rPr>
              <w:t>环境风险识别</w:t>
            </w:r>
          </w:p>
          <w:p w14:paraId="41615A38">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本项目运营期存在的主要环境风险为火灾及爆炸伴生和次生污染物对当地大气环境及群众身体健康产生不利影响。</w:t>
            </w:r>
          </w:p>
          <w:p w14:paraId="59557932">
            <w:pPr>
              <w:widowControl w:val="0"/>
              <w:wordWrap/>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6.3环境风险分析</w:t>
            </w:r>
          </w:p>
          <w:p w14:paraId="64D9897F">
            <w:pPr>
              <w:widowControl w:val="0"/>
              <w:wordWrap/>
              <w:adjustRightInd/>
              <w:snapToGrid/>
              <w:spacing w:before="0" w:beforeAutospacing="0" w:after="0" w:afterAutospacing="0" w:line="360" w:lineRule="auto"/>
              <w:ind w:left="0" w:leftChars="0" w:right="0" w:firstLine="480" w:firstLineChars="200"/>
              <w:jc w:val="both"/>
              <w:textAlignment w:val="auto"/>
              <w:outlineLvl w:val="9"/>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（1）戊烷液体泄露</w:t>
            </w:r>
          </w:p>
          <w:p w14:paraId="36CAD254">
            <w:pPr>
              <w:widowControl w:val="0"/>
              <w:wordWrap/>
              <w:adjustRightInd/>
              <w:snapToGrid/>
              <w:spacing w:before="0" w:beforeAutospacing="0" w:after="0" w:afterAutospacing="0" w:line="360" w:lineRule="auto"/>
              <w:ind w:left="0" w:leftChars="0" w:right="0" w:firstLine="480" w:firstLineChars="200"/>
              <w:jc w:val="both"/>
              <w:textAlignment w:val="auto"/>
              <w:outlineLvl w:val="9"/>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戊烷液体在进行液体的装卸、存储过程中，有可能发生液体泄漏事故。当大量的可燃性液体自储罐或附属管泄露到地面后，将向四周流淌、扩展，液体将在限定区域内得以积聚，形成一定厚度的液池。这时，若遇到火源，液池将被点燃，发生火灾。将对人员和设备设施的安全造成严重威胁外，也会对周围人员和设备造成损坏。在热辐射的作用下，受到伤害或破坏的目标可能是人、设备、设施、厂房、建筑物等。</w:t>
            </w:r>
          </w:p>
          <w:p w14:paraId="46A3BEE2">
            <w:pPr>
              <w:bidi w:val="0"/>
              <w:rPr>
                <w:rFonts w:hint="eastAsia"/>
              </w:rPr>
            </w:pPr>
            <w:r>
              <w:rPr>
                <w:rFonts w:hint="eastAsia"/>
                <w:lang w:val="en-US" w:eastAsia="zh-CN"/>
              </w:rPr>
              <w:t>（2）</w:t>
            </w:r>
            <w:r>
              <w:rPr>
                <w:rFonts w:hint="eastAsia"/>
              </w:rPr>
              <w:t>电气设备故障引起的火灾</w:t>
            </w:r>
          </w:p>
          <w:p w14:paraId="7C5B2D07">
            <w:pPr>
              <w:bidi w:val="0"/>
              <w:rPr>
                <w:rFonts w:hint="eastAsia"/>
              </w:rPr>
            </w:pPr>
            <w:r>
              <w:rPr>
                <w:rFonts w:hint="eastAsia"/>
              </w:rPr>
              <w:t>企业员工在厂区吸烟或生产过程中不慎造成电气设备故障等，可能引起火灾，有时会发生火灾连片使大批设备烧毁。火灾是通过放出辐射热影响周围环境。如果辐射热的能量足够大，可引起其他可燃物燃烧。物质在燃烧过程中会产生大量浓烟和烟尘，其中含有大量的一氧化碳、二氧化碳及其他有毒气体，带来大气环境污染。</w:t>
            </w:r>
          </w:p>
          <w:p w14:paraId="2DCD5D0B">
            <w:pPr>
              <w:bidi w:val="0"/>
            </w:pPr>
            <w:r>
              <w:t>①</w:t>
            </w:r>
            <w:r>
              <w:rPr>
                <w:rFonts w:hint="eastAsia"/>
              </w:rPr>
              <w:t>厂区内尤其是生产车间和仓库</w:t>
            </w:r>
            <w:r>
              <w:rPr>
                <w:rFonts w:hint="eastAsia"/>
                <w:lang w:val="en-US" w:eastAsia="zh-CN"/>
              </w:rPr>
              <w:t>禁止明火及</w:t>
            </w:r>
            <w:r>
              <w:rPr>
                <w:rFonts w:hint="eastAsia"/>
              </w:rPr>
              <w:t>吸烟。</w:t>
            </w:r>
          </w:p>
          <w:p w14:paraId="61751DE7">
            <w:pPr>
              <w:bidi w:val="0"/>
              <w:rPr>
                <w:rFonts w:hint="eastAsia"/>
              </w:rPr>
            </w:pPr>
            <w:r>
              <w:t>②</w:t>
            </w:r>
            <w:r>
              <w:rPr>
                <w:rFonts w:hint="eastAsia"/>
              </w:rPr>
              <w:t>定期检查设备的运行状况，发现不良问题及时解决；同时注重加强安全教育，提高职工的安全意识和安全防范能力。</w:t>
            </w:r>
            <w:r>
              <w:t xml:space="preserve"> </w:t>
            </w:r>
          </w:p>
          <w:p w14:paraId="3FB03380">
            <w:pPr>
              <w:bidi w:val="0"/>
              <w:rPr>
                <w:rFonts w:hint="eastAsia"/>
              </w:rPr>
            </w:pPr>
            <w:r>
              <w:rPr>
                <w:rFonts w:hint="eastAsia"/>
              </w:rPr>
              <w:t>③按照相关规定设置逃生系统，设置足够并匹配的消防器材及备用应急电源。</w:t>
            </w:r>
          </w:p>
          <w:p w14:paraId="06A68111">
            <w:pPr>
              <w:widowControl w:val="0"/>
              <w:wordWrap/>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6.4风险防范措施</w:t>
            </w:r>
            <w:r>
              <w:rPr>
                <w:rFonts w:hint="default" w:ascii="Times New Roman" w:hAnsi="Times New Roman" w:eastAsia="宋体" w:cs="Times New Roman"/>
                <w:color w:val="auto"/>
                <w:kern w:val="0"/>
                <w:sz w:val="24"/>
                <w:szCs w:val="24"/>
                <w:lang w:val="en-US" w:eastAsia="zh-CN"/>
              </w:rPr>
              <w:t xml:space="preserve"> </w:t>
            </w:r>
          </w:p>
          <w:p w14:paraId="56082BF4">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w:t>
            </w:r>
            <w:r>
              <w:rPr>
                <w:rFonts w:hint="eastAsia" w:cs="Times New Roman"/>
                <w:b w:val="0"/>
                <w:bCs w:val="0"/>
                <w:color w:val="000000"/>
                <w:kern w:val="0"/>
                <w:sz w:val="24"/>
                <w:szCs w:val="24"/>
                <w:lang w:val="en-US" w:eastAsia="zh-CN"/>
              </w:rPr>
              <w:t>1</w:t>
            </w:r>
            <w:r>
              <w:rPr>
                <w:rFonts w:hint="default" w:ascii="Times New Roman" w:hAnsi="Times New Roman" w:eastAsia="宋体" w:cs="Times New Roman"/>
                <w:b w:val="0"/>
                <w:bCs w:val="0"/>
                <w:color w:val="000000"/>
                <w:kern w:val="0"/>
                <w:sz w:val="24"/>
                <w:szCs w:val="24"/>
                <w:lang w:val="en-US" w:eastAsia="zh-CN"/>
              </w:rPr>
              <w:t>）生产过程风险防范</w:t>
            </w:r>
          </w:p>
          <w:p w14:paraId="3092ED67">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生产过程事故风险防范是安全生产的核心，要严格采取措施加以防范，尽可能降低事故发生概率。</w:t>
            </w:r>
          </w:p>
          <w:p w14:paraId="2C9AF211">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①工艺技术尽量应用自动化、密闭化控制手段，在仪表控制系统尽量使用联锁、声光、报警灯事故应急系统。</w:t>
            </w:r>
          </w:p>
          <w:p w14:paraId="4A8FEDF5">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②生产过程中，要求员工熟悉防火知识和正确掌握灭火器材的使用方法。车间内操作人员已穿戴好防护用品：车间、库房内应严禁烟火，已采用防爆灯照明和防爆风机。</w:t>
            </w:r>
          </w:p>
          <w:p w14:paraId="66D0C1DB">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③企业应安排专门人员对生产过程中的安全进行监督管理，密切注意各类装置易发生事故的部位，并定期对设备进行检查与维修保养，严禁带病或不正常运转。</w:t>
            </w:r>
          </w:p>
          <w:p w14:paraId="23AA7274">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w:t>
            </w:r>
            <w:r>
              <w:rPr>
                <w:rFonts w:hint="eastAsia" w:cs="Times New Roman"/>
                <w:b w:val="0"/>
                <w:bCs w:val="0"/>
                <w:color w:val="000000"/>
                <w:kern w:val="0"/>
                <w:sz w:val="24"/>
                <w:szCs w:val="24"/>
                <w:lang w:val="en-US" w:eastAsia="zh-CN"/>
              </w:rPr>
              <w:t>2</w:t>
            </w:r>
            <w:r>
              <w:rPr>
                <w:rFonts w:hint="default" w:ascii="Times New Roman" w:hAnsi="Times New Roman" w:eastAsia="宋体" w:cs="Times New Roman"/>
                <w:b w:val="0"/>
                <w:bCs w:val="0"/>
                <w:color w:val="000000"/>
                <w:kern w:val="0"/>
                <w:sz w:val="24"/>
                <w:szCs w:val="24"/>
                <w:lang w:val="en-US" w:eastAsia="zh-CN"/>
              </w:rPr>
              <w:t>）废气事故风险预防措施</w:t>
            </w:r>
          </w:p>
          <w:p w14:paraId="66F488ED">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①平时加强废气处理设施的维护保养，及时发现处理设备的隐患，并及时进行维修，确保废气处理系统正常运行；</w:t>
            </w:r>
          </w:p>
          <w:p w14:paraId="0BFFF171">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②已建立健全的环保机构，并定期委托第三方监测单位进行检测，对管理人员和技术人员进行岗位培训，对废气处理实行全过程跟踪控制。实行以上制度及相关措施后，减少了大气环境风险所造成的影响，满足现有工程要求。</w:t>
            </w:r>
          </w:p>
          <w:p w14:paraId="0E8A44A1">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w:t>
            </w:r>
            <w:r>
              <w:rPr>
                <w:rFonts w:hint="eastAsia" w:cs="Times New Roman"/>
                <w:b w:val="0"/>
                <w:bCs w:val="0"/>
                <w:color w:val="000000"/>
                <w:kern w:val="0"/>
                <w:sz w:val="24"/>
                <w:szCs w:val="24"/>
                <w:lang w:val="en-US" w:eastAsia="zh-CN"/>
              </w:rPr>
              <w:t>3</w:t>
            </w:r>
            <w:r>
              <w:rPr>
                <w:rFonts w:hint="default" w:ascii="Times New Roman" w:hAnsi="Times New Roman" w:eastAsia="宋体" w:cs="Times New Roman"/>
                <w:b w:val="0"/>
                <w:bCs w:val="0"/>
                <w:color w:val="000000"/>
                <w:kern w:val="0"/>
                <w:sz w:val="24"/>
                <w:szCs w:val="24"/>
                <w:lang w:val="en-US" w:eastAsia="zh-CN"/>
              </w:rPr>
              <w:t>）固废风险防范措施</w:t>
            </w:r>
          </w:p>
          <w:p w14:paraId="1C8DD415">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本项目固废暂存的一般固废暂存处，分类收集暂存后，一般工业固废综合利用。固废得到有效处置，不会对环境产生二次污染。</w:t>
            </w:r>
          </w:p>
          <w:p w14:paraId="14359867">
            <w:pPr>
              <w:ind w:firstLine="0" w:firstLineChars="0"/>
              <w:rPr>
                <w:b/>
                <w:bCs/>
                <w:color w:val="auto"/>
              </w:rPr>
            </w:pPr>
            <w:r>
              <w:rPr>
                <w:rFonts w:hint="eastAsia"/>
                <w:b/>
                <w:bCs/>
                <w:color w:val="auto"/>
                <w:lang w:bidi="ar"/>
              </w:rPr>
              <w:t>6.4</w:t>
            </w:r>
            <w:r>
              <w:rPr>
                <w:rFonts w:hint="eastAsia"/>
                <w:b/>
                <w:bCs/>
                <w:color w:val="auto"/>
              </w:rPr>
              <w:t>事故池容量计算</w:t>
            </w:r>
          </w:p>
          <w:p w14:paraId="160A9A01">
            <w:pPr>
              <w:bidi w:val="0"/>
              <w:rPr>
                <w:rFonts w:hint="default"/>
                <w:color w:val="auto"/>
              </w:rPr>
            </w:pPr>
            <w:r>
              <w:rPr>
                <w:rFonts w:hint="default"/>
                <w:color w:val="auto"/>
              </w:rPr>
              <w:t>根据《水体污染防控紧急措施设计导则》规定，项目区环境突发事件污水处理系统应能容纳一次消防用水量和初期雨水存储，计算事故排水储存事故池容量：</w:t>
            </w:r>
          </w:p>
          <w:p w14:paraId="609528B3">
            <w:pPr>
              <w:bidi w:val="0"/>
              <w:rPr>
                <w:rFonts w:hint="eastAsia"/>
                <w:color w:val="auto"/>
                <w:lang w:val="en-US" w:eastAsia="zh-CN"/>
              </w:rPr>
            </w:pPr>
            <w:r>
              <w:rPr>
                <w:rFonts w:hint="default"/>
                <w:color w:val="auto"/>
              </w:rPr>
              <w:t>V总=（V1+V2-V3）max+V4+V5</w:t>
            </w:r>
            <w:r>
              <w:rPr>
                <w:rFonts w:hint="eastAsia"/>
                <w:color w:val="auto"/>
                <w:lang w:val="en-US" w:eastAsia="zh-CN"/>
              </w:rPr>
              <w:t xml:space="preserve">  </w:t>
            </w:r>
          </w:p>
          <w:p w14:paraId="643EB318">
            <w:pPr>
              <w:bidi w:val="0"/>
              <w:rPr>
                <w:rFonts w:hint="default"/>
                <w:color w:val="auto"/>
              </w:rPr>
            </w:pPr>
            <w:r>
              <w:rPr>
                <w:rFonts w:hint="default"/>
                <w:color w:val="auto"/>
              </w:rPr>
              <w:t>式中：</w:t>
            </w:r>
          </w:p>
          <w:p w14:paraId="79B7C36A">
            <w:pPr>
              <w:bidi w:val="0"/>
              <w:rPr>
                <w:rFonts w:hint="default"/>
                <w:color w:val="auto"/>
                <w:highlight w:val="none"/>
              </w:rPr>
            </w:pPr>
            <w:r>
              <w:rPr>
                <w:rFonts w:hint="default"/>
                <w:color w:val="auto"/>
              </w:rPr>
              <w:t>V总——为计算各装置最大量，单</w:t>
            </w:r>
            <w:r>
              <w:rPr>
                <w:rFonts w:hint="default"/>
                <w:color w:val="auto"/>
                <w:highlight w:val="none"/>
              </w:rPr>
              <w:t>位m</w:t>
            </w:r>
            <w:r>
              <w:rPr>
                <w:rFonts w:hint="default"/>
                <w:color w:val="auto"/>
                <w:highlight w:val="none"/>
                <w:vertAlign w:val="superscript"/>
              </w:rPr>
              <w:t>3</w:t>
            </w:r>
            <w:r>
              <w:rPr>
                <w:rFonts w:hint="default"/>
                <w:color w:val="auto"/>
                <w:highlight w:val="none"/>
              </w:rPr>
              <w:t>。</w:t>
            </w:r>
          </w:p>
          <w:p w14:paraId="4383B004">
            <w:pPr>
              <w:bidi w:val="0"/>
              <w:rPr>
                <w:rFonts w:hint="default"/>
                <w:color w:val="auto"/>
                <w:highlight w:val="none"/>
              </w:rPr>
            </w:pPr>
            <w:r>
              <w:rPr>
                <w:rFonts w:hint="default"/>
                <w:color w:val="auto"/>
                <w:highlight w:val="none"/>
              </w:rPr>
              <w:t>V1——收集系统内发生事故时一个罐组或装置最大物料泄漏量；罐组事故泄漏量按最大储罐容量、装置事故泄漏量按最大反应容器容量计，为</w:t>
            </w:r>
            <w:r>
              <w:rPr>
                <w:rFonts w:hint="eastAsia"/>
                <w:color w:val="auto"/>
                <w:highlight w:val="none"/>
                <w:lang w:val="en-US" w:eastAsia="zh-CN"/>
              </w:rPr>
              <w:t>72</w:t>
            </w:r>
            <w:r>
              <w:rPr>
                <w:rFonts w:hint="default"/>
                <w:color w:val="auto"/>
                <w:highlight w:val="none"/>
              </w:rPr>
              <w:t>m</w:t>
            </w:r>
            <w:r>
              <w:rPr>
                <w:rFonts w:hint="default"/>
                <w:color w:val="auto"/>
                <w:highlight w:val="none"/>
                <w:vertAlign w:val="superscript"/>
              </w:rPr>
              <w:t>3</w:t>
            </w:r>
            <w:r>
              <w:rPr>
                <w:rFonts w:hint="default"/>
                <w:color w:val="auto"/>
                <w:highlight w:val="none"/>
              </w:rPr>
              <w:t>；</w:t>
            </w:r>
          </w:p>
          <w:p w14:paraId="2AF606B0">
            <w:pPr>
              <w:bidi w:val="0"/>
              <w:rPr>
                <w:rFonts w:hint="default"/>
                <w:color w:val="auto"/>
              </w:rPr>
            </w:pPr>
            <w:r>
              <w:rPr>
                <w:rFonts w:hint="default"/>
                <w:color w:val="auto"/>
                <w:highlight w:val="none"/>
              </w:rPr>
              <w:t>V2—发生事故的储罐或装置的消防水量，参照《消防给水及消火栓系统技术</w:t>
            </w:r>
            <w:r>
              <w:rPr>
                <w:rFonts w:hint="default"/>
                <w:color w:val="auto"/>
              </w:rPr>
              <w:t>规范》（GB50974-2014），表3.3.2建筑物室外消火栓设计流量计算，本项目</w:t>
            </w:r>
            <w:r>
              <w:rPr>
                <w:rFonts w:hint="eastAsia"/>
                <w:color w:val="auto"/>
                <w:lang w:val="en-US" w:eastAsia="zh-CN"/>
              </w:rPr>
              <w:t>最大厂房位于厂区南侧生产车间，</w:t>
            </w:r>
            <w:r>
              <w:rPr>
                <w:rFonts w:hint="default"/>
                <w:color w:val="auto"/>
              </w:rPr>
              <w:t>耐火等级</w:t>
            </w:r>
            <w:r>
              <w:rPr>
                <w:rFonts w:hint="eastAsia"/>
                <w:color w:val="auto"/>
                <w:lang w:val="en-US" w:eastAsia="zh-CN"/>
              </w:rPr>
              <w:t>为</w:t>
            </w:r>
            <w:r>
              <w:rPr>
                <w:rFonts w:hint="default"/>
                <w:color w:val="auto"/>
              </w:rPr>
              <w:t>二级，戊类厂房，建筑面积约为</w:t>
            </w:r>
            <w:r>
              <w:rPr>
                <w:rFonts w:hint="default"/>
                <w:color w:val="auto"/>
                <w:lang w:val="en-US" w:eastAsia="zh-CN"/>
              </w:rPr>
              <w:t>1964.24</w:t>
            </w:r>
            <w:r>
              <w:rPr>
                <w:rFonts w:hint="default"/>
                <w:color w:val="auto"/>
              </w:rPr>
              <w:t>m</w:t>
            </w:r>
            <w:r>
              <w:rPr>
                <w:rFonts w:hint="default"/>
                <w:color w:val="auto"/>
                <w:vertAlign w:val="superscript"/>
              </w:rPr>
              <w:t>2</w:t>
            </w:r>
            <w:r>
              <w:rPr>
                <w:rFonts w:hint="default"/>
                <w:color w:val="auto"/>
              </w:rPr>
              <w:t>，高度</w:t>
            </w:r>
            <w:r>
              <w:rPr>
                <w:rFonts w:hint="eastAsia"/>
                <w:color w:val="auto"/>
                <w:lang w:val="en-US" w:eastAsia="zh-CN"/>
              </w:rPr>
              <w:t>6</w:t>
            </w:r>
            <w:r>
              <w:rPr>
                <w:rFonts w:hint="default"/>
                <w:color w:val="auto"/>
              </w:rPr>
              <w:t>m，建筑体积为</w:t>
            </w:r>
            <w:r>
              <w:rPr>
                <w:rFonts w:hint="eastAsia"/>
                <w:color w:val="auto"/>
                <w:lang w:val="en-US" w:eastAsia="zh-CN"/>
              </w:rPr>
              <w:t>11785.44</w:t>
            </w:r>
            <w:r>
              <w:rPr>
                <w:rFonts w:hint="default"/>
                <w:color w:val="auto"/>
              </w:rPr>
              <w:t>m</w:t>
            </w:r>
            <w:r>
              <w:rPr>
                <w:rFonts w:hint="default"/>
                <w:color w:val="auto"/>
                <w:vertAlign w:val="superscript"/>
              </w:rPr>
              <w:t>3</w:t>
            </w:r>
            <w:r>
              <w:rPr>
                <w:rFonts w:hint="default"/>
                <w:color w:val="auto"/>
              </w:rPr>
              <w:t>，则消火栓设计流量为20L/s。</w:t>
            </w:r>
          </w:p>
          <w:p w14:paraId="3BB3B563">
            <w:pPr>
              <w:bidi w:val="0"/>
              <w:rPr>
                <w:rFonts w:hint="default"/>
                <w:color w:val="auto"/>
              </w:rPr>
            </w:pPr>
            <w:r>
              <w:rPr>
                <w:rFonts w:hint="default"/>
                <w:color w:val="auto"/>
              </w:rPr>
              <w:t>参照《消防给水及消火栓系统技术规范》（GB50974-2014）中表3.5.2建筑物室内消火栓设计流量，本项目</w:t>
            </w:r>
            <w:r>
              <w:rPr>
                <w:rFonts w:hint="eastAsia"/>
                <w:color w:val="auto"/>
                <w:lang w:val="en-US" w:eastAsia="zh-CN"/>
              </w:rPr>
              <w:t>最大厂房为</w:t>
            </w:r>
            <w:r>
              <w:rPr>
                <w:rFonts w:hint="default"/>
                <w:color w:val="auto"/>
              </w:rPr>
              <w:t>耐火等级二级，戊类厂房，厂房高度小于24m，则消防栓设计流量10L/s，消防水枪个数2个。</w:t>
            </w:r>
          </w:p>
          <w:p w14:paraId="788AFA63">
            <w:pPr>
              <w:bidi w:val="0"/>
              <w:rPr>
                <w:rFonts w:hint="default"/>
                <w:color w:val="auto"/>
              </w:rPr>
            </w:pPr>
            <w:r>
              <w:rPr>
                <w:rFonts w:hint="default"/>
                <w:color w:val="auto"/>
              </w:rPr>
              <w:t>综上，确定厂房建筑一次灭火的室内消火栓用水量</w:t>
            </w:r>
            <w:r>
              <w:rPr>
                <w:rFonts w:hint="eastAsia"/>
                <w:color w:val="auto"/>
                <w:lang w:val="en-US" w:eastAsia="zh-CN"/>
              </w:rPr>
              <w:t>2</w:t>
            </w:r>
            <w:r>
              <w:rPr>
                <w:rFonts w:hint="default"/>
                <w:color w:val="auto"/>
              </w:rPr>
              <w:t>0L/S，以消防历时</w:t>
            </w:r>
            <w:r>
              <w:rPr>
                <w:rFonts w:hint="eastAsia"/>
                <w:color w:val="auto"/>
                <w:lang w:val="en-US" w:eastAsia="zh-CN"/>
              </w:rPr>
              <w:t>2h</w:t>
            </w:r>
            <w:r>
              <w:rPr>
                <w:rFonts w:hint="default"/>
                <w:color w:val="auto"/>
              </w:rPr>
              <w:t>计，事故情况下总用水量为</w:t>
            </w:r>
            <w:r>
              <w:rPr>
                <w:rFonts w:hint="eastAsia"/>
                <w:color w:val="auto"/>
                <w:lang w:val="en-US" w:eastAsia="zh-CN"/>
              </w:rPr>
              <w:t>144</w:t>
            </w:r>
            <w:r>
              <w:rPr>
                <w:rFonts w:hint="default"/>
                <w:color w:val="auto"/>
              </w:rPr>
              <w:t>m</w:t>
            </w:r>
            <w:r>
              <w:rPr>
                <w:rFonts w:hint="default"/>
                <w:color w:val="auto"/>
                <w:vertAlign w:val="superscript"/>
              </w:rPr>
              <w:t>3</w:t>
            </w:r>
            <w:r>
              <w:rPr>
                <w:rFonts w:hint="eastAsia"/>
                <w:color w:val="auto"/>
                <w:vertAlign w:val="baseline"/>
                <w:lang w:val="en-US" w:eastAsia="zh-CN"/>
              </w:rPr>
              <w:t>，</w:t>
            </w:r>
            <w:r>
              <w:rPr>
                <w:rFonts w:hint="default"/>
                <w:color w:val="auto"/>
              </w:rPr>
              <w:t>则事故废水排放量</w:t>
            </w:r>
            <w:r>
              <w:rPr>
                <w:rFonts w:hint="eastAsia"/>
                <w:color w:val="auto"/>
                <w:lang w:val="en-US" w:eastAsia="zh-CN"/>
              </w:rPr>
              <w:t>43.2</w:t>
            </w:r>
            <w:r>
              <w:rPr>
                <w:rFonts w:hint="default"/>
                <w:color w:val="auto"/>
              </w:rPr>
              <w:t>m</w:t>
            </w:r>
            <w:r>
              <w:rPr>
                <w:rFonts w:hint="default"/>
                <w:color w:val="auto"/>
                <w:vertAlign w:val="superscript"/>
              </w:rPr>
              <w:t>3</w:t>
            </w:r>
            <w:r>
              <w:rPr>
                <w:rFonts w:hint="default"/>
                <w:color w:val="auto"/>
              </w:rPr>
              <w:t>；V2为</w:t>
            </w:r>
            <w:r>
              <w:rPr>
                <w:rFonts w:hint="eastAsia"/>
                <w:color w:val="auto"/>
                <w:lang w:val="en-US" w:eastAsia="zh-CN"/>
              </w:rPr>
              <w:t>144</w:t>
            </w:r>
            <w:r>
              <w:rPr>
                <w:rFonts w:hint="default"/>
                <w:color w:val="auto"/>
              </w:rPr>
              <w:t>m</w:t>
            </w:r>
            <w:r>
              <w:rPr>
                <w:rFonts w:hint="default"/>
                <w:color w:val="auto"/>
                <w:vertAlign w:val="superscript"/>
              </w:rPr>
              <w:t>3</w:t>
            </w:r>
            <w:r>
              <w:rPr>
                <w:rFonts w:hint="default"/>
                <w:color w:val="auto"/>
              </w:rPr>
              <w:t>。</w:t>
            </w:r>
          </w:p>
          <w:p w14:paraId="77BF5197">
            <w:pPr>
              <w:bidi w:val="0"/>
              <w:rPr>
                <w:rFonts w:hint="default"/>
                <w:color w:val="auto"/>
              </w:rPr>
            </w:pPr>
            <w:r>
              <w:rPr>
                <w:rFonts w:hint="default"/>
                <w:color w:val="auto"/>
              </w:rPr>
              <w:t>V3——发生事故时物料转移至其他容器及单元量，罐区配套一个备用储罐，V3为0；</w:t>
            </w:r>
          </w:p>
          <w:p w14:paraId="112F1843">
            <w:pPr>
              <w:bidi w:val="0"/>
              <w:rPr>
                <w:rFonts w:hint="default"/>
                <w:color w:val="auto"/>
              </w:rPr>
            </w:pPr>
            <w:r>
              <w:rPr>
                <w:rFonts w:hint="default"/>
                <w:color w:val="auto"/>
              </w:rPr>
              <w:t>V4——发生事故时必须进入该系统的生产废水量根据项目情况，本项目无生产废水产生。故发生事故时进入该收集系统的生产废水量V4为0m</w:t>
            </w:r>
            <w:r>
              <w:rPr>
                <w:rFonts w:hint="default"/>
                <w:color w:val="auto"/>
                <w:vertAlign w:val="superscript"/>
              </w:rPr>
              <w:t>3</w:t>
            </w:r>
            <w:r>
              <w:rPr>
                <w:rFonts w:hint="default"/>
                <w:color w:val="auto"/>
              </w:rPr>
              <w:t>；</w:t>
            </w:r>
          </w:p>
          <w:p w14:paraId="1EB40E50">
            <w:pPr>
              <w:bidi w:val="0"/>
              <w:rPr>
                <w:rFonts w:hint="default"/>
                <w:color w:val="auto"/>
              </w:rPr>
            </w:pPr>
            <w:r>
              <w:rPr>
                <w:rFonts w:hint="default"/>
                <w:color w:val="auto"/>
              </w:rPr>
              <w:t>V5——发生事故时可能进入该收集系统的降雨量。</w:t>
            </w:r>
          </w:p>
          <w:p w14:paraId="34C12FF7">
            <w:pPr>
              <w:bidi w:val="0"/>
              <w:rPr>
                <w:rFonts w:hint="default"/>
                <w:color w:val="auto"/>
              </w:rPr>
            </w:pPr>
            <w:r>
              <w:rPr>
                <w:rFonts w:hint="default"/>
                <w:color w:val="auto"/>
              </w:rPr>
              <w:t xml:space="preserve">V5=10qF              </w:t>
            </w:r>
          </w:p>
          <w:p w14:paraId="77EA7B79">
            <w:pPr>
              <w:bidi w:val="0"/>
              <w:rPr>
                <w:rFonts w:hint="default"/>
                <w:color w:val="auto"/>
              </w:rPr>
            </w:pPr>
            <w:r>
              <w:rPr>
                <w:rFonts w:hint="default"/>
                <w:color w:val="auto"/>
              </w:rPr>
              <w:t>q——降雨强度，mm；按平均日降雨量；q=qa/n</w:t>
            </w:r>
          </w:p>
          <w:p w14:paraId="467EB56E">
            <w:pPr>
              <w:bidi w:val="0"/>
              <w:rPr>
                <w:rFonts w:hint="default"/>
                <w:color w:val="auto"/>
              </w:rPr>
            </w:pPr>
            <w:r>
              <w:rPr>
                <w:rFonts w:hint="default"/>
                <w:color w:val="auto"/>
              </w:rPr>
              <w:t>qa——年平均降雨量，根据淮北市人民政府网站公布的数据，淮北市年平均降雨量为849.6mm；</w:t>
            </w:r>
          </w:p>
          <w:p w14:paraId="5BF905B4">
            <w:pPr>
              <w:bidi w:val="0"/>
              <w:rPr>
                <w:rFonts w:hint="default"/>
                <w:color w:val="auto"/>
              </w:rPr>
            </w:pPr>
            <w:r>
              <w:rPr>
                <w:rFonts w:hint="default"/>
                <w:color w:val="auto"/>
              </w:rPr>
              <w:t>n——年平均降雨日数，根据淮北市人民政府网站公布的数据，淮北市年平均降雨日数84天；</w:t>
            </w:r>
          </w:p>
          <w:p w14:paraId="4DC5DF64">
            <w:pPr>
              <w:bidi w:val="0"/>
              <w:rPr>
                <w:rFonts w:hint="default"/>
                <w:color w:val="auto"/>
              </w:rPr>
            </w:pPr>
            <w:r>
              <w:rPr>
                <w:rFonts w:hint="default"/>
                <w:color w:val="auto"/>
              </w:rPr>
              <w:t>则q=849.6/84=10.114mm；</w:t>
            </w:r>
            <w:r>
              <w:rPr>
                <w:rFonts w:hint="eastAsia"/>
                <w:color w:val="auto"/>
                <w:lang w:val="en-US" w:eastAsia="zh-CN"/>
              </w:rPr>
              <w:t>本项目</w:t>
            </w:r>
            <w:r>
              <w:rPr>
                <w:rFonts w:hint="default"/>
                <w:color w:val="auto"/>
              </w:rPr>
              <w:t>厂房面积为</w:t>
            </w:r>
            <w:r>
              <w:rPr>
                <w:rFonts w:hint="default"/>
                <w:color w:val="auto"/>
                <w:lang w:val="en-US" w:eastAsia="zh-CN"/>
              </w:rPr>
              <w:t>1964.24</w:t>
            </w:r>
            <w:r>
              <w:rPr>
                <w:rFonts w:hint="default"/>
                <w:color w:val="auto"/>
              </w:rPr>
              <w:t>m</w:t>
            </w:r>
            <w:r>
              <w:rPr>
                <w:rFonts w:hint="default"/>
                <w:color w:val="auto"/>
                <w:vertAlign w:val="superscript"/>
              </w:rPr>
              <w:t>2</w:t>
            </w:r>
            <w:r>
              <w:rPr>
                <w:rFonts w:hint="default"/>
                <w:color w:val="auto"/>
              </w:rPr>
              <w:t>，则汇水面积为</w:t>
            </w:r>
            <w:r>
              <w:rPr>
                <w:rFonts w:hint="eastAsia"/>
                <w:color w:val="auto"/>
                <w:lang w:val="en-US" w:eastAsia="zh-CN"/>
              </w:rPr>
              <w:t>0.1964</w:t>
            </w:r>
            <w:r>
              <w:rPr>
                <w:rFonts w:hint="default"/>
                <w:color w:val="auto"/>
              </w:rPr>
              <w:t>hm</w:t>
            </w:r>
            <w:r>
              <w:rPr>
                <w:rFonts w:hint="default"/>
                <w:color w:val="auto"/>
                <w:vertAlign w:val="superscript"/>
              </w:rPr>
              <w:t>2</w:t>
            </w:r>
            <w:r>
              <w:rPr>
                <w:rFonts w:hint="default"/>
                <w:color w:val="auto"/>
              </w:rPr>
              <w:t>。</w:t>
            </w:r>
          </w:p>
          <w:p w14:paraId="201C0D73">
            <w:pPr>
              <w:bidi w:val="0"/>
              <w:rPr>
                <w:rFonts w:hint="default"/>
                <w:color w:val="auto"/>
              </w:rPr>
            </w:pPr>
            <w:r>
              <w:rPr>
                <w:rFonts w:hint="default"/>
                <w:color w:val="auto"/>
              </w:rPr>
              <w:t>则V5=10×10.114×</w:t>
            </w:r>
            <w:r>
              <w:rPr>
                <w:rFonts w:hint="eastAsia"/>
                <w:color w:val="auto"/>
                <w:lang w:val="en-US" w:eastAsia="zh-CN"/>
              </w:rPr>
              <w:t>0.1964</w:t>
            </w:r>
            <w:r>
              <w:rPr>
                <w:rFonts w:hint="default"/>
                <w:color w:val="auto"/>
              </w:rPr>
              <w:t>=</w:t>
            </w:r>
            <w:r>
              <w:rPr>
                <w:rFonts w:hint="eastAsia"/>
                <w:color w:val="auto"/>
                <w:lang w:val="en-US" w:eastAsia="zh-CN"/>
              </w:rPr>
              <w:t>19.914</w:t>
            </w:r>
            <w:r>
              <w:rPr>
                <w:rFonts w:hint="default"/>
                <w:color w:val="auto"/>
              </w:rPr>
              <w:t>m</w:t>
            </w:r>
            <w:r>
              <w:rPr>
                <w:rFonts w:hint="default"/>
                <w:color w:val="auto"/>
                <w:vertAlign w:val="superscript"/>
              </w:rPr>
              <w:t>3</w:t>
            </w:r>
            <w:r>
              <w:rPr>
                <w:rFonts w:hint="default"/>
                <w:color w:val="auto"/>
              </w:rPr>
              <w:t>。</w:t>
            </w:r>
          </w:p>
          <w:p w14:paraId="5CD4BA18">
            <w:pPr>
              <w:bidi w:val="0"/>
              <w:rPr>
                <w:rFonts w:hint="default"/>
                <w:color w:val="auto"/>
              </w:rPr>
            </w:pPr>
            <w:r>
              <w:rPr>
                <w:rFonts w:hint="default"/>
                <w:color w:val="auto"/>
              </w:rPr>
              <w:t>V=（</w:t>
            </w:r>
            <w:r>
              <w:rPr>
                <w:rFonts w:hint="eastAsia"/>
                <w:color w:val="auto"/>
                <w:highlight w:val="none"/>
                <w:lang w:val="en-US" w:eastAsia="zh-CN"/>
              </w:rPr>
              <w:t>72</w:t>
            </w:r>
            <w:r>
              <w:rPr>
                <w:rFonts w:hint="default"/>
                <w:color w:val="auto"/>
              </w:rPr>
              <w:t>+</w:t>
            </w:r>
            <w:r>
              <w:rPr>
                <w:rFonts w:hint="eastAsia"/>
                <w:color w:val="auto"/>
                <w:lang w:val="en-US" w:eastAsia="zh-CN"/>
              </w:rPr>
              <w:t>144</w:t>
            </w:r>
            <w:r>
              <w:rPr>
                <w:rFonts w:hint="default"/>
                <w:color w:val="auto"/>
              </w:rPr>
              <w:t>-0）+0+</w:t>
            </w:r>
            <w:r>
              <w:rPr>
                <w:rFonts w:hint="eastAsia"/>
                <w:color w:val="auto"/>
                <w:lang w:val="en-US" w:eastAsia="zh-CN"/>
              </w:rPr>
              <w:t>19.914</w:t>
            </w:r>
            <w:r>
              <w:rPr>
                <w:rFonts w:hint="default"/>
                <w:color w:val="auto"/>
              </w:rPr>
              <w:t>=</w:t>
            </w:r>
            <w:r>
              <w:rPr>
                <w:rFonts w:hint="eastAsia"/>
                <w:color w:val="auto"/>
                <w:lang w:val="en-US" w:eastAsia="zh-CN"/>
              </w:rPr>
              <w:t>235.914</w:t>
            </w:r>
            <w:r>
              <w:rPr>
                <w:rFonts w:hint="default"/>
                <w:color w:val="auto"/>
              </w:rPr>
              <w:t>m</w:t>
            </w:r>
            <w:r>
              <w:rPr>
                <w:rFonts w:hint="default"/>
                <w:color w:val="auto"/>
                <w:vertAlign w:val="superscript"/>
              </w:rPr>
              <w:t>3</w:t>
            </w:r>
          </w:p>
          <w:p w14:paraId="11F304DE">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0"/>
                <w:sz w:val="24"/>
                <w:szCs w:val="24"/>
                <w:lang w:val="en-US" w:eastAsia="zh-CN"/>
              </w:rPr>
            </w:pPr>
            <w:r>
              <w:rPr>
                <w:rFonts w:hint="default"/>
                <w:color w:val="auto"/>
              </w:rPr>
              <w:t>因此，事故废水量为</w:t>
            </w:r>
            <w:r>
              <w:rPr>
                <w:rFonts w:hint="eastAsia"/>
                <w:color w:val="auto"/>
                <w:lang w:val="en-US" w:eastAsia="zh-CN"/>
              </w:rPr>
              <w:t>235.914</w:t>
            </w:r>
            <w:r>
              <w:rPr>
                <w:rFonts w:hint="default"/>
                <w:color w:val="auto"/>
              </w:rPr>
              <w:t>m</w:t>
            </w:r>
            <w:r>
              <w:rPr>
                <w:rFonts w:hint="default"/>
                <w:color w:val="auto"/>
                <w:vertAlign w:val="superscript"/>
              </w:rPr>
              <w:t>3</w:t>
            </w:r>
            <w:r>
              <w:rPr>
                <w:rFonts w:hint="eastAsia"/>
                <w:color w:val="auto"/>
                <w:lang w:val="en-US" w:eastAsia="zh-CN"/>
              </w:rPr>
              <w:t>，本项目需一座有</w:t>
            </w:r>
            <w:r>
              <w:rPr>
                <w:rFonts w:hint="default"/>
                <w:color w:val="auto"/>
              </w:rPr>
              <w:t>容积</w:t>
            </w:r>
            <w:r>
              <w:rPr>
                <w:rFonts w:hint="eastAsia"/>
                <w:color w:val="auto"/>
                <w:lang w:val="en-US" w:eastAsia="zh-CN"/>
              </w:rPr>
              <w:t>不低于240</w:t>
            </w:r>
            <w:r>
              <w:rPr>
                <w:rFonts w:hint="default"/>
                <w:color w:val="auto"/>
              </w:rPr>
              <w:t>m</w:t>
            </w:r>
            <w:r>
              <w:rPr>
                <w:rFonts w:hint="default"/>
                <w:color w:val="auto"/>
                <w:vertAlign w:val="superscript"/>
              </w:rPr>
              <w:t>3</w:t>
            </w:r>
            <w:r>
              <w:rPr>
                <w:rFonts w:hint="eastAsia"/>
                <w:color w:val="auto"/>
                <w:vertAlign w:val="baseline"/>
                <w:lang w:val="en-US" w:eastAsia="zh-CN"/>
              </w:rPr>
              <w:t>的事故池。</w:t>
            </w:r>
          </w:p>
          <w:p w14:paraId="21832FE2">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5D563022">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63226D6E">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280A7574">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62F5BB8B">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43E35A17">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5613A48D">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5AC11A33">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37877767">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221A81E1">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0830281D">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7728026D">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350FD7EE">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62FDEDC7">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447EA611">
            <w:pPr>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0"/>
                <w:szCs w:val="21"/>
                <w:lang w:val="en-US" w:eastAsia="zh-CN"/>
              </w:rPr>
            </w:pPr>
          </w:p>
          <w:p w14:paraId="5079D42E">
            <w:pPr>
              <w:widowControl w:val="0"/>
              <w:wordWrap/>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kern w:val="0"/>
                <w:szCs w:val="21"/>
                <w:lang w:val="en-US" w:eastAsia="zh-CN"/>
              </w:rPr>
            </w:pPr>
          </w:p>
        </w:tc>
      </w:tr>
    </w:tbl>
    <w:p w14:paraId="1D911DB1">
      <w:pPr>
        <w:pStyle w:val="13"/>
        <w:sectPr>
          <w:pgSz w:w="11907" w:h="16840"/>
          <w:pgMar w:top="1701" w:right="1531" w:bottom="2127" w:left="1531" w:header="851" w:footer="851" w:gutter="0"/>
          <w:pgNumType w:fmt="decimal"/>
          <w:cols w:space="720" w:num="1"/>
          <w:docGrid w:linePitch="312" w:charSpace="0"/>
        </w:sectPr>
      </w:pPr>
    </w:p>
    <w:p w14:paraId="069CF8D4">
      <w:pPr>
        <w:pStyle w:val="24"/>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12" w:name="_Hlk54167917"/>
      <w:r>
        <w:rPr>
          <w:rFonts w:hint="eastAsia" w:ascii="黑体" w:hAnsi="黑体" w:eastAsia="黑体"/>
          <w:snapToGrid w:val="0"/>
          <w:color w:val="auto"/>
          <w:sz w:val="30"/>
          <w:szCs w:val="30"/>
        </w:rPr>
        <w:t>环境保护措施监督检查清单</w:t>
      </w:r>
      <w:bookmarkEnd w:id="12"/>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7"/>
        <w:gridCol w:w="922"/>
        <w:gridCol w:w="581"/>
        <w:gridCol w:w="582"/>
        <w:gridCol w:w="930"/>
        <w:gridCol w:w="3645"/>
        <w:gridCol w:w="1633"/>
      </w:tblGrid>
      <w:tr w14:paraId="55C09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tcBorders>
              <w:tl2br w:val="single" w:color="auto" w:sz="4" w:space="0"/>
            </w:tcBorders>
            <w:vAlign w:val="center"/>
          </w:tcPr>
          <w:p w14:paraId="2138C520">
            <w:pPr>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内容</w:t>
            </w:r>
          </w:p>
          <w:p w14:paraId="3E96020A">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bCs/>
                <w:color w:val="auto"/>
                <w:szCs w:val="21"/>
              </w:rPr>
            </w:pPr>
          </w:p>
          <w:p w14:paraId="5AB83379">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要素</w:t>
            </w:r>
          </w:p>
        </w:tc>
        <w:tc>
          <w:tcPr>
            <w:tcW w:w="922" w:type="dxa"/>
            <w:vAlign w:val="center"/>
          </w:tcPr>
          <w:p w14:paraId="5156058D">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排放口</w:t>
            </w:r>
            <w:r>
              <w:rPr>
                <w:rFonts w:hint="eastAsia" w:cs="Times New Roman"/>
                <w:b/>
                <w:bCs/>
                <w:color w:val="auto"/>
                <w:szCs w:val="21"/>
                <w:lang w:eastAsia="zh-CN"/>
              </w:rPr>
              <w:t>（</w:t>
            </w:r>
            <w:r>
              <w:rPr>
                <w:rFonts w:hint="default" w:ascii="Times New Roman" w:hAnsi="Times New Roman" w:cs="Times New Roman"/>
                <w:b/>
                <w:bCs/>
                <w:color w:val="auto"/>
                <w:szCs w:val="21"/>
              </w:rPr>
              <w:t>编号、名称</w:t>
            </w:r>
            <w:r>
              <w:rPr>
                <w:rFonts w:hint="eastAsia" w:cs="Times New Roman"/>
                <w:b/>
                <w:bCs/>
                <w:color w:val="auto"/>
                <w:szCs w:val="21"/>
                <w:lang w:eastAsia="zh-CN"/>
              </w:rPr>
              <w:t>）</w:t>
            </w:r>
            <w:r>
              <w:rPr>
                <w:rFonts w:hint="default" w:ascii="Times New Roman" w:hAnsi="Times New Roman" w:cs="Times New Roman"/>
                <w:b/>
                <w:bCs/>
                <w:color w:val="auto"/>
                <w:szCs w:val="21"/>
              </w:rPr>
              <w:t>/污染源</w:t>
            </w:r>
          </w:p>
        </w:tc>
        <w:tc>
          <w:tcPr>
            <w:tcW w:w="2093" w:type="dxa"/>
            <w:gridSpan w:val="3"/>
            <w:vAlign w:val="center"/>
          </w:tcPr>
          <w:p w14:paraId="6324F29B">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污染物项目</w:t>
            </w:r>
          </w:p>
        </w:tc>
        <w:tc>
          <w:tcPr>
            <w:tcW w:w="3645" w:type="dxa"/>
            <w:vAlign w:val="center"/>
          </w:tcPr>
          <w:p w14:paraId="407A3181">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环境保护措施</w:t>
            </w:r>
          </w:p>
        </w:tc>
        <w:tc>
          <w:tcPr>
            <w:tcW w:w="1633" w:type="dxa"/>
            <w:vAlign w:val="center"/>
          </w:tcPr>
          <w:p w14:paraId="65BC96F2">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执行标准</w:t>
            </w:r>
          </w:p>
        </w:tc>
      </w:tr>
      <w:tr w14:paraId="6D611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Merge w:val="restart"/>
            <w:vAlign w:val="center"/>
          </w:tcPr>
          <w:p w14:paraId="6498A60D">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大气环境</w:t>
            </w:r>
          </w:p>
        </w:tc>
        <w:tc>
          <w:tcPr>
            <w:tcW w:w="922" w:type="dxa"/>
            <w:vAlign w:val="center"/>
          </w:tcPr>
          <w:p w14:paraId="54167902">
            <w:pPr>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施工期</w:t>
            </w:r>
          </w:p>
        </w:tc>
        <w:tc>
          <w:tcPr>
            <w:tcW w:w="1163" w:type="dxa"/>
            <w:gridSpan w:val="2"/>
            <w:vAlign w:val="center"/>
          </w:tcPr>
          <w:p w14:paraId="0DD2C505">
            <w:pPr>
              <w:pageBreakBefore w:val="0"/>
              <w:widowControl w:val="0"/>
              <w:kinsoku/>
              <w:wordWrap/>
              <w:overflowPunct/>
              <w:topLinePunct w:val="0"/>
              <w:autoSpaceDE/>
              <w:autoSpaceDN/>
              <w:bidi w:val="0"/>
              <w:spacing w:line="360" w:lineRule="auto"/>
              <w:ind w:firstLine="0" w:firstLineChars="0"/>
              <w:jc w:val="center"/>
              <w:textAlignment w:val="auto"/>
              <w:rPr>
                <w:rFonts w:hint="default" w:cs="Times New Roman"/>
                <w:color w:val="auto"/>
                <w:lang w:val="en-US" w:eastAsia="zh-CN"/>
              </w:rPr>
            </w:pPr>
            <w:r>
              <w:rPr>
                <w:rFonts w:hint="eastAsia"/>
                <w:color w:val="auto"/>
                <w:sz w:val="24"/>
                <w:szCs w:val="24"/>
              </w:rPr>
              <w:t>施工扬尘</w:t>
            </w:r>
            <w:r>
              <w:rPr>
                <w:rFonts w:hint="eastAsia"/>
                <w:color w:val="auto"/>
                <w:sz w:val="24"/>
                <w:szCs w:val="24"/>
                <w:lang w:eastAsia="zh-CN"/>
              </w:rPr>
              <w:t>、</w:t>
            </w:r>
            <w:r>
              <w:rPr>
                <w:rFonts w:hint="eastAsia"/>
                <w:color w:val="auto"/>
                <w:sz w:val="24"/>
                <w:szCs w:val="24"/>
                <w:lang w:val="en-US" w:eastAsia="zh-CN"/>
              </w:rPr>
              <w:t>焊接烟尘、</w:t>
            </w:r>
            <w:r>
              <w:rPr>
                <w:rFonts w:hint="eastAsia"/>
                <w:color w:val="auto"/>
                <w:sz w:val="24"/>
                <w:szCs w:val="24"/>
              </w:rPr>
              <w:t>施工机械和运输车辆废气</w:t>
            </w:r>
          </w:p>
        </w:tc>
        <w:tc>
          <w:tcPr>
            <w:tcW w:w="930" w:type="dxa"/>
            <w:vAlign w:val="center"/>
          </w:tcPr>
          <w:p w14:paraId="5E41EE04">
            <w:pPr>
              <w:pageBreakBefore w:val="0"/>
              <w:widowControl w:val="0"/>
              <w:kinsoku/>
              <w:wordWrap/>
              <w:overflowPunct/>
              <w:topLinePunct w:val="0"/>
              <w:autoSpaceDE/>
              <w:autoSpaceDN/>
              <w:bidi w:val="0"/>
              <w:spacing w:line="360" w:lineRule="auto"/>
              <w:ind w:firstLine="0" w:firstLineChars="0"/>
              <w:jc w:val="center"/>
              <w:textAlignment w:val="auto"/>
              <w:rPr>
                <w:rFonts w:hint="default" w:cs="Times New Roman"/>
                <w:color w:val="auto"/>
                <w:lang w:val="en-US" w:eastAsia="zh-CN"/>
              </w:rPr>
            </w:pPr>
            <w:r>
              <w:rPr>
                <w:rFonts w:hint="eastAsia" w:cs="Times New Roman"/>
                <w:color w:val="auto"/>
                <w:lang w:val="en-US" w:eastAsia="zh-CN"/>
              </w:rPr>
              <w:t>颗粒物</w:t>
            </w:r>
          </w:p>
        </w:tc>
        <w:tc>
          <w:tcPr>
            <w:tcW w:w="3645" w:type="dxa"/>
            <w:vAlign w:val="center"/>
          </w:tcPr>
          <w:p w14:paraId="3D86A752">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auto"/>
                <w:sz w:val="24"/>
                <w:szCs w:val="24"/>
                <w:lang w:eastAsia="zh-CN"/>
              </w:rPr>
            </w:pPr>
            <w:r>
              <w:rPr>
                <w:rFonts w:hint="eastAsia"/>
                <w:color w:val="auto"/>
                <w:sz w:val="24"/>
                <w:szCs w:val="24"/>
              </w:rPr>
              <w:fldChar w:fldCharType="begin"/>
            </w:r>
            <w:r>
              <w:rPr>
                <w:rFonts w:hint="eastAsia"/>
                <w:color w:val="auto"/>
                <w:sz w:val="24"/>
                <w:szCs w:val="24"/>
              </w:rPr>
              <w:instrText xml:space="preserve"> = 1 \* GB3 \* MERGEFORMAT </w:instrText>
            </w:r>
            <w:r>
              <w:rPr>
                <w:rFonts w:hint="eastAsia"/>
                <w:color w:val="auto"/>
                <w:sz w:val="24"/>
                <w:szCs w:val="24"/>
              </w:rPr>
              <w:fldChar w:fldCharType="separate"/>
            </w:r>
            <w:r>
              <w:rPr>
                <w:color w:val="auto"/>
                <w:sz w:val="24"/>
                <w:szCs w:val="24"/>
              </w:rPr>
              <w:t>①</w:t>
            </w:r>
            <w:r>
              <w:rPr>
                <w:rFonts w:hint="eastAsia"/>
                <w:color w:val="auto"/>
                <w:sz w:val="24"/>
                <w:szCs w:val="24"/>
              </w:rPr>
              <w:fldChar w:fldCharType="end"/>
            </w:r>
            <w:r>
              <w:rPr>
                <w:rFonts w:hint="eastAsia"/>
                <w:color w:val="auto"/>
                <w:sz w:val="24"/>
                <w:szCs w:val="24"/>
              </w:rPr>
              <w:t>施工扬尘在施工现场周边安装密目网封闭式围档、定时洒水、运输车辆限速限载、运输车辆及临时堆场采取篷布遮挡、清理渣土运输车轮胎及车身等措施</w:t>
            </w:r>
            <w:r>
              <w:rPr>
                <w:rFonts w:hint="eastAsia"/>
                <w:color w:val="auto"/>
                <w:sz w:val="24"/>
                <w:szCs w:val="24"/>
                <w:lang w:eastAsia="zh-CN"/>
              </w:rPr>
              <w:t>；</w:t>
            </w:r>
          </w:p>
          <w:p w14:paraId="28062043">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eastAsia"/>
                <w:color w:val="auto"/>
                <w:sz w:val="24"/>
                <w:szCs w:val="24"/>
                <w:lang w:eastAsia="zh-CN"/>
              </w:rPr>
              <w:fldChar w:fldCharType="begin"/>
            </w:r>
            <w:r>
              <w:rPr>
                <w:rFonts w:hint="eastAsia"/>
                <w:color w:val="auto"/>
                <w:sz w:val="24"/>
                <w:szCs w:val="24"/>
                <w:lang w:eastAsia="zh-CN"/>
              </w:rPr>
              <w:instrText xml:space="preserve"> = 2 \* GB3 \* MERGEFORMAT </w:instrText>
            </w:r>
            <w:r>
              <w:rPr>
                <w:rFonts w:hint="eastAsia"/>
                <w:color w:val="auto"/>
                <w:sz w:val="24"/>
                <w:szCs w:val="24"/>
                <w:lang w:eastAsia="zh-CN"/>
              </w:rPr>
              <w:fldChar w:fldCharType="separate"/>
            </w:r>
            <w:r>
              <w:rPr>
                <w:color w:val="auto"/>
                <w:sz w:val="24"/>
                <w:szCs w:val="24"/>
              </w:rPr>
              <w:t>②</w:t>
            </w:r>
            <w:r>
              <w:rPr>
                <w:rFonts w:hint="eastAsia"/>
                <w:color w:val="auto"/>
                <w:sz w:val="24"/>
                <w:szCs w:val="24"/>
                <w:lang w:eastAsia="zh-CN"/>
              </w:rPr>
              <w:fldChar w:fldCharType="end"/>
            </w:r>
            <w:r>
              <w:rPr>
                <w:rFonts w:hint="eastAsia"/>
                <w:color w:val="auto"/>
                <w:sz w:val="24"/>
                <w:szCs w:val="24"/>
              </w:rPr>
              <w:t>施工机械和运输车辆废气加强设备维修保养工作、对故障设备和运输车辆及时维修处理、运输路线绕开敏感点集中区等措施</w:t>
            </w:r>
            <w:r>
              <w:rPr>
                <w:rFonts w:hint="eastAsia"/>
                <w:color w:val="auto"/>
                <w:sz w:val="24"/>
                <w:szCs w:val="24"/>
                <w:lang w:eastAsia="zh-CN"/>
              </w:rPr>
              <w:t>；</w:t>
            </w:r>
            <w:r>
              <w:rPr>
                <w:rFonts w:hint="eastAsia"/>
                <w:color w:val="auto"/>
                <w:sz w:val="24"/>
                <w:szCs w:val="24"/>
                <w:lang w:val="en-US" w:eastAsia="zh-CN"/>
              </w:rPr>
              <w:fldChar w:fldCharType="begin"/>
            </w:r>
            <w:r>
              <w:rPr>
                <w:rFonts w:hint="eastAsia"/>
                <w:color w:val="auto"/>
                <w:sz w:val="24"/>
                <w:szCs w:val="24"/>
                <w:lang w:val="en-US" w:eastAsia="zh-CN"/>
              </w:rPr>
              <w:instrText xml:space="preserve"> = 3 \* GB3 \* MERGEFORMAT </w:instrText>
            </w:r>
            <w:r>
              <w:rPr>
                <w:rFonts w:hint="eastAsia"/>
                <w:color w:val="auto"/>
                <w:sz w:val="24"/>
                <w:szCs w:val="24"/>
                <w:lang w:val="en-US" w:eastAsia="zh-CN"/>
              </w:rPr>
              <w:fldChar w:fldCharType="separate"/>
            </w:r>
            <w:r>
              <w:rPr>
                <w:color w:val="auto"/>
                <w:sz w:val="24"/>
                <w:szCs w:val="24"/>
              </w:rPr>
              <w:t>③</w:t>
            </w:r>
            <w:r>
              <w:rPr>
                <w:rFonts w:hint="eastAsia"/>
                <w:color w:val="auto"/>
                <w:sz w:val="24"/>
                <w:szCs w:val="24"/>
                <w:lang w:val="en-US" w:eastAsia="zh-CN"/>
              </w:rPr>
              <w:fldChar w:fldCharType="end"/>
            </w:r>
            <w:r>
              <w:rPr>
                <w:rFonts w:hint="eastAsia"/>
                <w:color w:val="auto"/>
                <w:sz w:val="24"/>
                <w:szCs w:val="24"/>
                <w:lang w:val="en-US" w:eastAsia="zh-CN"/>
              </w:rPr>
              <w:t>焊接烟尘产生量小、产生点分散，采取在施工期内尽快完成，以减小对周边环境的影响时间</w:t>
            </w:r>
          </w:p>
        </w:tc>
        <w:tc>
          <w:tcPr>
            <w:tcW w:w="1633" w:type="dxa"/>
            <w:vAlign w:val="center"/>
          </w:tcPr>
          <w:p w14:paraId="0CD1782D">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4"/>
                <w:szCs w:val="24"/>
              </w:rPr>
              <w:t>《大气污物综合排放标准》（GB16297-1996）</w:t>
            </w:r>
            <w:r>
              <w:rPr>
                <w:rFonts w:hint="eastAsia" w:cs="Times New Roman"/>
                <w:color w:val="auto"/>
                <w:sz w:val="24"/>
                <w:szCs w:val="24"/>
                <w:lang w:val="en-US" w:eastAsia="zh-CN"/>
              </w:rPr>
              <w:t>及</w:t>
            </w:r>
            <w:r>
              <w:rPr>
                <w:rFonts w:hint="eastAsia" w:cs="宋体"/>
                <w:color w:val="auto"/>
                <w:sz w:val="24"/>
                <w:szCs w:val="24"/>
                <w:lang w:val="en-US" w:eastAsia="zh-CN"/>
              </w:rPr>
              <w:t>《施工场地颗粒物排放标准》（DB34/ 4811-2024）</w:t>
            </w:r>
            <w:r>
              <w:rPr>
                <w:rFonts w:hint="eastAsia" w:cs="宋体"/>
                <w:color w:val="auto"/>
                <w:sz w:val="24"/>
                <w:szCs w:val="24"/>
              </w:rPr>
              <w:t>中的相关标准</w:t>
            </w:r>
          </w:p>
        </w:tc>
      </w:tr>
      <w:tr w14:paraId="1C202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Merge w:val="continue"/>
            <w:vAlign w:val="center"/>
          </w:tcPr>
          <w:p w14:paraId="7E7BB589">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p>
        </w:tc>
        <w:tc>
          <w:tcPr>
            <w:tcW w:w="922" w:type="dxa"/>
            <w:vMerge w:val="restart"/>
            <w:vAlign w:val="center"/>
          </w:tcPr>
          <w:p w14:paraId="25F868AF">
            <w:pPr>
              <w:pageBreakBefore w:val="0"/>
              <w:widowControl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营运期</w:t>
            </w:r>
          </w:p>
        </w:tc>
        <w:tc>
          <w:tcPr>
            <w:tcW w:w="581" w:type="dxa"/>
            <w:shd w:val="clear" w:color="auto" w:fill="auto"/>
            <w:vAlign w:val="center"/>
          </w:tcPr>
          <w:p w14:paraId="74987057">
            <w:pPr>
              <w:pageBreakBefore w:val="0"/>
              <w:widowControl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Cs w:val="21"/>
              </w:rPr>
              <w:t>无组织</w:t>
            </w:r>
          </w:p>
        </w:tc>
        <w:tc>
          <w:tcPr>
            <w:tcW w:w="582" w:type="dxa"/>
            <w:shd w:val="clear" w:color="auto" w:fill="auto"/>
            <w:vAlign w:val="center"/>
          </w:tcPr>
          <w:p w14:paraId="02A7DEAF">
            <w:pPr>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cs="Times New Roman"/>
                <w:color w:val="auto"/>
                <w:lang w:val="en-US" w:eastAsia="zh-CN"/>
              </w:rPr>
              <w:t>储罐呼吸废气</w:t>
            </w:r>
          </w:p>
        </w:tc>
        <w:tc>
          <w:tcPr>
            <w:tcW w:w="930" w:type="dxa"/>
            <w:vAlign w:val="center"/>
          </w:tcPr>
          <w:p w14:paraId="458BE37F">
            <w:pPr>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非甲烷总烃</w:t>
            </w:r>
          </w:p>
        </w:tc>
        <w:tc>
          <w:tcPr>
            <w:tcW w:w="3645" w:type="dxa"/>
            <w:vAlign w:val="center"/>
          </w:tcPr>
          <w:p w14:paraId="5316FDE6">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eastAsia" w:ascii="宋体" w:hAnsi="宋体" w:cs="宋体"/>
                <w:color w:val="auto"/>
                <w:kern w:val="0"/>
                <w:lang w:bidi="ar"/>
              </w:rPr>
              <w:t>大呼吸废气</w:t>
            </w:r>
            <w:r>
              <w:rPr>
                <w:rFonts w:hint="eastAsia"/>
                <w:color w:val="auto"/>
                <w:lang w:val="en-US" w:eastAsia="zh-CN"/>
              </w:rPr>
              <w:t>采取装卸料时使用平衡管，减少无组织废气排放；小呼吸废气采取储罐密闭，设置呼吸阀无组织排放</w:t>
            </w:r>
          </w:p>
        </w:tc>
        <w:tc>
          <w:tcPr>
            <w:tcW w:w="1633" w:type="dxa"/>
            <w:vAlign w:val="center"/>
          </w:tcPr>
          <w:p w14:paraId="48B1693D">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《大气污染物综合排放标准》（GB16297-1996）</w:t>
            </w:r>
            <w:r>
              <w:rPr>
                <w:rFonts w:hint="eastAsia"/>
                <w:color w:val="auto"/>
                <w:lang w:val="en-US" w:eastAsia="zh-CN"/>
              </w:rPr>
              <w:t>中相关标准及</w:t>
            </w:r>
            <w:r>
              <w:rPr>
                <w:rFonts w:hint="default" w:ascii="Times New Roman" w:hAnsi="Times New Roman" w:eastAsia="宋体" w:cs="Times New Roman"/>
                <w:b w:val="0"/>
                <w:bCs w:val="0"/>
                <w:color w:val="auto"/>
                <w:sz w:val="24"/>
                <w:szCs w:val="24"/>
              </w:rPr>
              <w:t>《挥发性有机物无组织排放控制标准》（GB37822-2019）中表A.1</w:t>
            </w:r>
            <w:r>
              <w:rPr>
                <w:rFonts w:hint="eastAsia" w:cs="Times New Roman"/>
                <w:b w:val="0"/>
                <w:bCs w:val="0"/>
                <w:color w:val="auto"/>
                <w:sz w:val="24"/>
                <w:szCs w:val="24"/>
                <w:lang w:val="en-US" w:eastAsia="zh-CN"/>
              </w:rPr>
              <w:t>特别</w:t>
            </w:r>
            <w:r>
              <w:rPr>
                <w:rFonts w:hint="default" w:ascii="Times New Roman" w:hAnsi="Times New Roman" w:eastAsia="宋体" w:cs="Times New Roman"/>
                <w:b w:val="0"/>
                <w:bCs w:val="0"/>
                <w:color w:val="auto"/>
                <w:sz w:val="24"/>
                <w:szCs w:val="24"/>
              </w:rPr>
              <w:t>排放限值要求</w:t>
            </w:r>
          </w:p>
          <w:p w14:paraId="11F64BFC">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Cs w:val="21"/>
                <w:lang w:val="en-US" w:eastAsia="zh-CN"/>
              </w:rPr>
            </w:pPr>
          </w:p>
        </w:tc>
      </w:tr>
      <w:tr w14:paraId="17A34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Merge w:val="continue"/>
            <w:vAlign w:val="center"/>
          </w:tcPr>
          <w:p w14:paraId="40FE85E7">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p>
        </w:tc>
        <w:tc>
          <w:tcPr>
            <w:tcW w:w="922" w:type="dxa"/>
            <w:vMerge w:val="continue"/>
            <w:vAlign w:val="center"/>
          </w:tcPr>
          <w:p w14:paraId="1D1E85C3">
            <w:pPr>
              <w:pageBreakBefore w:val="0"/>
              <w:widowControl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color w:val="auto"/>
                <w:lang w:val="en-US" w:eastAsia="zh-CN"/>
              </w:rPr>
            </w:pPr>
          </w:p>
        </w:tc>
        <w:tc>
          <w:tcPr>
            <w:tcW w:w="581" w:type="dxa"/>
            <w:shd w:val="clear" w:color="auto" w:fill="auto"/>
            <w:vAlign w:val="center"/>
          </w:tcPr>
          <w:p w14:paraId="78B8FC3B">
            <w:pPr>
              <w:pageBreakBefore w:val="0"/>
              <w:widowControl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lang w:val="en-US" w:eastAsia="zh-CN"/>
              </w:rPr>
              <w:t>DA00</w:t>
            </w:r>
            <w:r>
              <w:rPr>
                <w:rFonts w:hint="eastAsia" w:cs="Times New Roman"/>
                <w:color w:val="auto"/>
                <w:lang w:val="en-US" w:eastAsia="zh-CN"/>
              </w:rPr>
              <w:t>1</w:t>
            </w:r>
          </w:p>
        </w:tc>
        <w:tc>
          <w:tcPr>
            <w:tcW w:w="582" w:type="dxa"/>
            <w:shd w:val="clear" w:color="auto" w:fill="auto"/>
            <w:vAlign w:val="center"/>
          </w:tcPr>
          <w:p w14:paraId="2FAB4870">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cs="Times New Roman"/>
                <w:color w:val="auto"/>
                <w:lang w:val="en-US" w:eastAsia="zh-CN"/>
              </w:rPr>
              <w:t>锅炉燃烧废气</w:t>
            </w:r>
          </w:p>
        </w:tc>
        <w:tc>
          <w:tcPr>
            <w:tcW w:w="930" w:type="dxa"/>
            <w:vAlign w:val="center"/>
          </w:tcPr>
          <w:p w14:paraId="7A14E6D0">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颗粒物、SO</w:t>
            </w:r>
            <w:r>
              <w:rPr>
                <w:rFonts w:hint="eastAsia" w:cs="Times New Roman"/>
                <w:color w:val="auto"/>
                <w:szCs w:val="21"/>
                <w:vertAlign w:val="subscript"/>
                <w:lang w:val="en-US" w:eastAsia="zh-CN"/>
              </w:rPr>
              <w:t>2</w:t>
            </w:r>
            <w:r>
              <w:rPr>
                <w:rFonts w:hint="eastAsia" w:cs="Times New Roman"/>
                <w:color w:val="auto"/>
                <w:szCs w:val="21"/>
                <w:lang w:val="en-US" w:eastAsia="zh-CN"/>
              </w:rPr>
              <w:t>、NO</w:t>
            </w:r>
            <w:r>
              <w:rPr>
                <w:rFonts w:hint="eastAsia" w:cs="Times New Roman"/>
                <w:color w:val="auto"/>
                <w:szCs w:val="21"/>
                <w:vertAlign w:val="subscript"/>
                <w:lang w:val="en-US" w:eastAsia="zh-CN"/>
              </w:rPr>
              <w:t>X</w:t>
            </w:r>
          </w:p>
        </w:tc>
        <w:tc>
          <w:tcPr>
            <w:tcW w:w="3645" w:type="dxa"/>
            <w:vAlign w:val="center"/>
          </w:tcPr>
          <w:p w14:paraId="74E579D7">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eastAsia="宋体"/>
                <w:color w:val="auto"/>
                <w:lang w:val="en-US" w:eastAsia="zh-CN"/>
              </w:rPr>
              <w:t>经设备自带的低氮燃烧器燃烧后过DA001排气筒排放（排放高度18m）</w:t>
            </w:r>
          </w:p>
        </w:tc>
        <w:tc>
          <w:tcPr>
            <w:tcW w:w="1633" w:type="dxa"/>
            <w:vAlign w:val="center"/>
          </w:tcPr>
          <w:p w14:paraId="294B17CF">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eastAsia"/>
                <w:color w:val="auto"/>
              </w:rPr>
              <w:t>《锅炉大气污染物排放标准》（GB13271-2014）</w:t>
            </w:r>
            <w:r>
              <w:rPr>
                <w:rFonts w:hint="eastAsia"/>
                <w:color w:val="auto"/>
                <w:lang w:val="en-US" w:eastAsia="zh-CN"/>
              </w:rPr>
              <w:t>中相关标准</w:t>
            </w:r>
          </w:p>
        </w:tc>
      </w:tr>
      <w:tr w14:paraId="6C366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Merge w:val="restart"/>
            <w:vAlign w:val="center"/>
          </w:tcPr>
          <w:p w14:paraId="6BC2E38C">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地表水环境</w:t>
            </w:r>
          </w:p>
        </w:tc>
        <w:tc>
          <w:tcPr>
            <w:tcW w:w="922" w:type="dxa"/>
            <w:vAlign w:val="center"/>
          </w:tcPr>
          <w:p w14:paraId="6FCFB9A3">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施工期</w:t>
            </w:r>
          </w:p>
        </w:tc>
        <w:tc>
          <w:tcPr>
            <w:tcW w:w="1163" w:type="dxa"/>
            <w:gridSpan w:val="2"/>
            <w:vAlign w:val="center"/>
          </w:tcPr>
          <w:p w14:paraId="550AF9CE">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lang w:val="de-DE"/>
              </w:rPr>
            </w:pPr>
            <w:r>
              <w:rPr>
                <w:rFonts w:hint="eastAsia"/>
                <w:color w:val="auto"/>
                <w:sz w:val="24"/>
                <w:szCs w:val="24"/>
              </w:rPr>
              <w:t>施工废水</w:t>
            </w:r>
            <w:r>
              <w:rPr>
                <w:rFonts w:hint="eastAsia"/>
                <w:color w:val="auto"/>
                <w:sz w:val="24"/>
                <w:szCs w:val="24"/>
                <w:lang w:eastAsia="zh-CN"/>
              </w:rPr>
              <w:t>、</w:t>
            </w:r>
            <w:r>
              <w:rPr>
                <w:rFonts w:hint="eastAsia"/>
                <w:color w:val="auto"/>
                <w:sz w:val="24"/>
                <w:szCs w:val="24"/>
                <w:lang w:val="en-US" w:eastAsia="zh-CN"/>
              </w:rPr>
              <w:t>试压废水、生活污水</w:t>
            </w:r>
          </w:p>
        </w:tc>
        <w:tc>
          <w:tcPr>
            <w:tcW w:w="930" w:type="dxa"/>
            <w:vMerge w:val="restart"/>
            <w:vAlign w:val="center"/>
          </w:tcPr>
          <w:p w14:paraId="6F6A1F63">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lang w:val="de-DE"/>
              </w:rPr>
            </w:pPr>
            <w:r>
              <w:rPr>
                <w:rFonts w:hint="default" w:ascii="Times New Roman" w:hAnsi="Times New Roman" w:cs="Times New Roman"/>
                <w:color w:val="auto"/>
                <w:lang w:val="de-DE"/>
              </w:rPr>
              <w:t>COD、</w:t>
            </w:r>
            <w:r>
              <w:rPr>
                <w:rFonts w:hint="default" w:ascii="Times New Roman" w:hAnsi="Times New Roman" w:cs="Times New Roman"/>
                <w:color w:val="auto"/>
              </w:rPr>
              <w:t>BOD</w:t>
            </w:r>
            <w:r>
              <w:rPr>
                <w:rFonts w:hint="default" w:ascii="Times New Roman" w:hAnsi="Times New Roman" w:cs="Times New Roman"/>
                <w:color w:val="auto"/>
                <w:vertAlign w:val="subscript"/>
              </w:rPr>
              <w:t>5</w:t>
            </w:r>
            <w:r>
              <w:rPr>
                <w:rFonts w:hint="default" w:ascii="Times New Roman" w:hAnsi="Times New Roman" w:cs="Times New Roman"/>
                <w:color w:val="auto"/>
                <w:lang w:val="de-DE"/>
              </w:rPr>
              <w:t>、SS等</w:t>
            </w:r>
          </w:p>
        </w:tc>
        <w:tc>
          <w:tcPr>
            <w:tcW w:w="3645" w:type="dxa"/>
            <w:vAlign w:val="center"/>
          </w:tcPr>
          <w:p w14:paraId="355D61D5">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宋体"/>
                <w:color w:val="auto"/>
              </w:rPr>
            </w:pPr>
            <w:r>
              <w:rPr>
                <w:rFonts w:hint="eastAsia" w:cs="宋体"/>
                <w:color w:val="auto"/>
                <w:lang w:val="en-US" w:eastAsia="zh-CN"/>
              </w:rPr>
              <w:t>生活污水依托附近公厕的化粪池处理，管道试压废水接管网进入淮北蓝海水处理有限公司进一步处理，部分作为平山电厂冷却循环水，剩余部分排入萧濉新河。施工结束后恢复原有功能；施工废水经临时沉淀池处理后循环使用，施工结束后原样恢复</w:t>
            </w:r>
          </w:p>
        </w:tc>
        <w:tc>
          <w:tcPr>
            <w:tcW w:w="1633" w:type="dxa"/>
            <w:vAlign w:val="center"/>
          </w:tcPr>
          <w:p w14:paraId="2303344C">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auto"/>
                <w:sz w:val="24"/>
                <w:szCs w:val="24"/>
                <w:lang w:val="en-US" w:eastAsia="zh-CN"/>
              </w:rPr>
            </w:pPr>
            <w:r>
              <w:rPr>
                <w:rFonts w:hint="default" w:ascii="Times New Roman" w:hAnsi="Times New Roman" w:eastAsia="宋体" w:cs="Times New Roman"/>
                <w:color w:val="auto"/>
                <w:sz w:val="24"/>
                <w:szCs w:val="24"/>
              </w:rPr>
              <w:t>施工废水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施工生活污水禁止外排至地表水环境</w:t>
            </w:r>
          </w:p>
        </w:tc>
      </w:tr>
      <w:tr w14:paraId="4F9FA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Merge w:val="continue"/>
            <w:vAlign w:val="center"/>
          </w:tcPr>
          <w:p w14:paraId="4860195C">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p>
        </w:tc>
        <w:tc>
          <w:tcPr>
            <w:tcW w:w="922" w:type="dxa"/>
            <w:vAlign w:val="center"/>
          </w:tcPr>
          <w:p w14:paraId="69EA31DE">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color w:val="auto"/>
                <w:lang w:val="en-US" w:eastAsia="zh-CN"/>
              </w:rPr>
            </w:pPr>
            <w:r>
              <w:rPr>
                <w:rFonts w:hint="eastAsia" w:cs="Times New Roman"/>
                <w:color w:val="auto"/>
                <w:szCs w:val="21"/>
                <w:lang w:val="en-US" w:eastAsia="zh-CN"/>
              </w:rPr>
              <w:t>营运期</w:t>
            </w:r>
          </w:p>
        </w:tc>
        <w:tc>
          <w:tcPr>
            <w:tcW w:w="1163" w:type="dxa"/>
            <w:gridSpan w:val="2"/>
            <w:vAlign w:val="center"/>
          </w:tcPr>
          <w:p w14:paraId="71EC2366">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auto"/>
                <w:sz w:val="24"/>
                <w:szCs w:val="24"/>
              </w:rPr>
            </w:pPr>
            <w:r>
              <w:rPr>
                <w:rFonts w:hint="default" w:ascii="Times New Roman" w:hAnsi="Times New Roman" w:cs="Times New Roman"/>
                <w:color w:val="auto"/>
              </w:rPr>
              <w:t>生活污水</w:t>
            </w:r>
            <w:r>
              <w:rPr>
                <w:rFonts w:hint="eastAsia" w:cs="Times New Roman"/>
                <w:color w:val="auto"/>
                <w:lang w:eastAsia="zh-CN"/>
              </w:rPr>
              <w:t>、</w:t>
            </w:r>
            <w:r>
              <w:rPr>
                <w:rFonts w:hint="eastAsia" w:cs="Times New Roman"/>
                <w:color w:val="auto"/>
                <w:lang w:val="en-US" w:eastAsia="zh-CN"/>
              </w:rPr>
              <w:t>软水制备废水</w:t>
            </w:r>
          </w:p>
        </w:tc>
        <w:tc>
          <w:tcPr>
            <w:tcW w:w="930" w:type="dxa"/>
            <w:vMerge w:val="continue"/>
            <w:vAlign w:val="center"/>
          </w:tcPr>
          <w:p w14:paraId="2AA327A9">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lang w:val="de-DE"/>
              </w:rPr>
            </w:pPr>
          </w:p>
        </w:tc>
        <w:tc>
          <w:tcPr>
            <w:tcW w:w="3645" w:type="dxa"/>
            <w:vAlign w:val="center"/>
          </w:tcPr>
          <w:p w14:paraId="2C733EC2">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宋体"/>
                <w:color w:val="auto"/>
                <w:lang w:val="en-US" w:eastAsia="zh-CN"/>
              </w:rPr>
            </w:pPr>
            <w:r>
              <w:rPr>
                <w:rFonts w:hint="eastAsia" w:cs="宋体"/>
                <w:color w:val="auto"/>
                <w:lang w:val="en-US" w:eastAsia="zh-CN"/>
              </w:rPr>
              <w:t>能源站实行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p>
        </w:tc>
        <w:tc>
          <w:tcPr>
            <w:tcW w:w="1633" w:type="dxa"/>
            <w:vAlign w:val="center"/>
          </w:tcPr>
          <w:p w14:paraId="1CE2923D">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eastAsia"/>
                <w:color w:val="auto"/>
                <w:sz w:val="24"/>
                <w:szCs w:val="24"/>
                <w:lang w:val="en-US" w:eastAsia="zh-CN"/>
              </w:rPr>
              <w:t>接管</w:t>
            </w:r>
            <w:r>
              <w:rPr>
                <w:color w:val="auto"/>
                <w:sz w:val="24"/>
                <w:szCs w:val="24"/>
              </w:rPr>
              <w:t>废水</w:t>
            </w:r>
            <w:r>
              <w:rPr>
                <w:rFonts w:hint="eastAsia"/>
                <w:color w:val="auto"/>
                <w:sz w:val="24"/>
                <w:szCs w:val="24"/>
                <w:lang w:val="en-US" w:eastAsia="zh-CN"/>
              </w:rPr>
              <w:t>从严执行</w:t>
            </w:r>
            <w:r>
              <w:rPr>
                <w:color w:val="auto"/>
                <w:sz w:val="24"/>
                <w:szCs w:val="24"/>
              </w:rPr>
              <w:t>《污水综合排放标准》</w:t>
            </w:r>
            <w:r>
              <w:rPr>
                <w:rFonts w:hint="eastAsia"/>
                <w:color w:val="auto"/>
                <w:sz w:val="24"/>
                <w:szCs w:val="24"/>
                <w:lang w:eastAsia="zh-CN"/>
              </w:rPr>
              <w:t>（</w:t>
            </w:r>
            <w:r>
              <w:rPr>
                <w:color w:val="auto"/>
                <w:sz w:val="24"/>
                <w:szCs w:val="24"/>
              </w:rPr>
              <w:t>GB8978-1996</w:t>
            </w:r>
            <w:r>
              <w:rPr>
                <w:rFonts w:hint="eastAsia"/>
                <w:color w:val="auto"/>
                <w:sz w:val="24"/>
                <w:szCs w:val="24"/>
                <w:lang w:eastAsia="zh-CN"/>
              </w:rPr>
              <w:t>）</w:t>
            </w:r>
            <w:r>
              <w:rPr>
                <w:color w:val="auto"/>
                <w:sz w:val="24"/>
                <w:szCs w:val="24"/>
              </w:rPr>
              <w:t xml:space="preserve"> 表4的三级标准浓度限值和</w:t>
            </w:r>
            <w:r>
              <w:rPr>
                <w:rFonts w:hint="eastAsia"/>
                <w:color w:val="auto"/>
                <w:lang w:val="en-US" w:eastAsia="zh-CN"/>
              </w:rPr>
              <w:t>淮北蓝海水处理有限公司</w:t>
            </w:r>
            <w:r>
              <w:rPr>
                <w:rFonts w:hint="eastAsia"/>
                <w:color w:val="auto"/>
                <w:sz w:val="24"/>
                <w:szCs w:val="24"/>
              </w:rPr>
              <w:t>限值</w:t>
            </w:r>
          </w:p>
        </w:tc>
      </w:tr>
      <w:tr w14:paraId="45C0C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Merge w:val="restart"/>
            <w:vAlign w:val="center"/>
          </w:tcPr>
          <w:p w14:paraId="507A4473">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声环境</w:t>
            </w:r>
          </w:p>
        </w:tc>
        <w:tc>
          <w:tcPr>
            <w:tcW w:w="922" w:type="dxa"/>
            <w:vAlign w:val="center"/>
          </w:tcPr>
          <w:p w14:paraId="041D7A5F">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rPr>
            </w:pPr>
            <w:r>
              <w:rPr>
                <w:rFonts w:hint="eastAsia" w:cs="Times New Roman"/>
                <w:color w:val="auto"/>
                <w:szCs w:val="21"/>
                <w:lang w:val="en-US" w:eastAsia="zh-CN"/>
              </w:rPr>
              <w:t>施工期</w:t>
            </w:r>
          </w:p>
        </w:tc>
        <w:tc>
          <w:tcPr>
            <w:tcW w:w="1163" w:type="dxa"/>
            <w:gridSpan w:val="2"/>
            <w:vAlign w:val="center"/>
          </w:tcPr>
          <w:p w14:paraId="0187C8DF">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施工设备</w:t>
            </w:r>
          </w:p>
        </w:tc>
        <w:tc>
          <w:tcPr>
            <w:tcW w:w="930" w:type="dxa"/>
            <w:vAlign w:val="center"/>
          </w:tcPr>
          <w:p w14:paraId="4A226E5B">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施工噪声</w:t>
            </w:r>
          </w:p>
        </w:tc>
        <w:tc>
          <w:tcPr>
            <w:tcW w:w="3645" w:type="dxa"/>
            <w:vAlign w:val="center"/>
          </w:tcPr>
          <w:p w14:paraId="3223E6C7">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rPr>
            </w:pPr>
            <w:r>
              <w:rPr>
                <w:rFonts w:hint="eastAsia" w:ascii="Times New Roman" w:hAnsi="Times New Roman" w:eastAsia="宋体"/>
                <w:color w:val="auto"/>
                <w:kern w:val="2"/>
                <w:sz w:val="24"/>
                <w:szCs w:val="24"/>
                <w:lang w:eastAsia="zh-CN"/>
              </w:rPr>
              <w:t>在施工场地边界设围墙、禁止夜间进行高噪声施工作业、高噪声设备尽量远离</w:t>
            </w:r>
            <w:r>
              <w:rPr>
                <w:rFonts w:hint="eastAsia"/>
                <w:color w:val="auto"/>
                <w:kern w:val="2"/>
                <w:sz w:val="24"/>
                <w:szCs w:val="24"/>
                <w:lang w:val="en-US" w:eastAsia="zh-CN"/>
              </w:rPr>
              <w:t>居民区</w:t>
            </w:r>
            <w:r>
              <w:rPr>
                <w:rFonts w:hint="eastAsia" w:ascii="Times New Roman" w:hAnsi="Times New Roman" w:eastAsia="宋体"/>
                <w:color w:val="auto"/>
                <w:kern w:val="2"/>
                <w:sz w:val="24"/>
                <w:szCs w:val="24"/>
                <w:lang w:eastAsia="zh-CN"/>
              </w:rPr>
              <w:t>布置、</w:t>
            </w:r>
            <w:r>
              <w:rPr>
                <w:rFonts w:hint="eastAsia"/>
                <w:color w:val="auto"/>
                <w:kern w:val="2"/>
                <w:sz w:val="24"/>
                <w:szCs w:val="24"/>
                <w:lang w:val="en-US" w:eastAsia="zh-CN"/>
              </w:rPr>
              <w:t>并设置隔声屏障，</w:t>
            </w:r>
            <w:r>
              <w:rPr>
                <w:rFonts w:hint="eastAsia" w:ascii="Times New Roman" w:hAnsi="Times New Roman" w:eastAsia="宋体"/>
                <w:color w:val="auto"/>
                <w:kern w:val="2"/>
                <w:sz w:val="24"/>
                <w:szCs w:val="24"/>
                <w:lang w:eastAsia="zh-CN"/>
              </w:rPr>
              <w:t>加强对施工机械和设备维护保养等</w:t>
            </w:r>
          </w:p>
        </w:tc>
        <w:tc>
          <w:tcPr>
            <w:tcW w:w="1633" w:type="dxa"/>
            <w:vAlign w:val="center"/>
          </w:tcPr>
          <w:p w14:paraId="5B216A2A">
            <w:pPr>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cs="Times New Roman"/>
                <w:color w:val="auto"/>
                <w:sz w:val="24"/>
                <w:szCs w:val="24"/>
                <w:lang w:val="en-US" w:eastAsia="zh-CN"/>
              </w:rPr>
            </w:pPr>
            <w:r>
              <w:rPr>
                <w:rFonts w:hint="default" w:ascii="Times New Roman" w:hAnsi="Times New Roman" w:eastAsia="宋体" w:cs="Times New Roman"/>
                <w:color w:val="auto"/>
                <w:sz w:val="24"/>
                <w:szCs w:val="24"/>
              </w:rPr>
              <w:t>《建筑施工场界环境噪声排放标准》</w:t>
            </w:r>
            <w:r>
              <w:rPr>
                <w:rFonts w:hint="eastAsia" w:cs="Times New Roman"/>
                <w:color w:val="auto"/>
                <w:sz w:val="24"/>
                <w:szCs w:val="24"/>
                <w:lang w:eastAsia="zh-CN"/>
              </w:rPr>
              <w:t>（</w:t>
            </w:r>
            <w:r>
              <w:rPr>
                <w:rFonts w:hint="eastAsia" w:cs="Times New Roman"/>
                <w:color w:val="auto"/>
                <w:sz w:val="24"/>
                <w:szCs w:val="24"/>
                <w:lang w:val="en-US" w:eastAsia="zh-CN"/>
              </w:rPr>
              <w:t>GB</w:t>
            </w:r>
          </w:p>
          <w:p w14:paraId="546BC6B9">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lang w:val="en-US" w:eastAsia="zh-CN"/>
              </w:rPr>
            </w:pPr>
            <w:r>
              <w:rPr>
                <w:rFonts w:hint="eastAsia" w:cs="Times New Roman"/>
                <w:color w:val="auto"/>
                <w:sz w:val="24"/>
                <w:szCs w:val="24"/>
                <w:lang w:val="en-US" w:eastAsia="zh-CN"/>
              </w:rPr>
              <w:t>12523-2011</w:t>
            </w:r>
            <w:r>
              <w:rPr>
                <w:rFonts w:hint="eastAsia" w:cs="Times New Roman"/>
                <w:color w:val="auto"/>
                <w:sz w:val="24"/>
                <w:szCs w:val="24"/>
                <w:lang w:eastAsia="zh-CN"/>
              </w:rPr>
              <w:t>）</w:t>
            </w:r>
          </w:p>
        </w:tc>
      </w:tr>
      <w:tr w14:paraId="03234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Merge w:val="continue"/>
            <w:vAlign w:val="center"/>
          </w:tcPr>
          <w:p w14:paraId="103CA0B2">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p>
        </w:tc>
        <w:tc>
          <w:tcPr>
            <w:tcW w:w="922" w:type="dxa"/>
            <w:vAlign w:val="center"/>
          </w:tcPr>
          <w:p w14:paraId="77C57601">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color w:val="auto"/>
                <w:szCs w:val="21"/>
                <w:lang w:val="en-US" w:eastAsia="zh-CN"/>
              </w:rPr>
            </w:pPr>
            <w:r>
              <w:rPr>
                <w:rFonts w:hint="eastAsia" w:cs="Times New Roman"/>
                <w:color w:val="auto"/>
                <w:szCs w:val="21"/>
                <w:lang w:val="en-US" w:eastAsia="zh-CN"/>
              </w:rPr>
              <w:t>营运期</w:t>
            </w:r>
          </w:p>
        </w:tc>
        <w:tc>
          <w:tcPr>
            <w:tcW w:w="1163" w:type="dxa"/>
            <w:gridSpan w:val="2"/>
            <w:vAlign w:val="center"/>
          </w:tcPr>
          <w:p w14:paraId="130C900A">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color w:val="auto"/>
                <w:lang w:val="en-US" w:eastAsia="zh-CN"/>
              </w:rPr>
            </w:pPr>
            <w:r>
              <w:rPr>
                <w:rFonts w:hint="default" w:ascii="Times New Roman" w:hAnsi="Times New Roman" w:cs="Times New Roman"/>
                <w:color w:val="auto"/>
              </w:rPr>
              <w:t>设备</w:t>
            </w:r>
          </w:p>
        </w:tc>
        <w:tc>
          <w:tcPr>
            <w:tcW w:w="930" w:type="dxa"/>
            <w:vAlign w:val="center"/>
          </w:tcPr>
          <w:p w14:paraId="0B160213">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color w:val="auto"/>
                <w:lang w:val="en-US" w:eastAsia="zh-CN"/>
              </w:rPr>
            </w:pPr>
            <w:r>
              <w:rPr>
                <w:rFonts w:hint="default" w:ascii="Times New Roman" w:hAnsi="Times New Roman" w:cs="Times New Roman"/>
                <w:color w:val="auto"/>
              </w:rPr>
              <w:t>噪声</w:t>
            </w:r>
          </w:p>
        </w:tc>
        <w:tc>
          <w:tcPr>
            <w:tcW w:w="3645" w:type="dxa"/>
            <w:vAlign w:val="center"/>
          </w:tcPr>
          <w:p w14:paraId="3D8BF770">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olor w:val="auto"/>
                <w:kern w:val="2"/>
                <w:sz w:val="24"/>
                <w:szCs w:val="24"/>
                <w:lang w:eastAsia="zh-CN"/>
              </w:rPr>
            </w:pPr>
            <w:r>
              <w:rPr>
                <w:rFonts w:hint="default" w:ascii="Times New Roman" w:hAnsi="Times New Roman" w:cs="Times New Roman"/>
                <w:color w:val="auto"/>
              </w:rPr>
              <w:t>选用低噪声设备、距离衰减、隔声减振、合理布置等措施</w:t>
            </w:r>
          </w:p>
        </w:tc>
        <w:tc>
          <w:tcPr>
            <w:tcW w:w="1633" w:type="dxa"/>
            <w:vAlign w:val="center"/>
          </w:tcPr>
          <w:p w14:paraId="31E0EDB6">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color w:val="auto"/>
                <w:sz w:val="24"/>
                <w:szCs w:val="24"/>
                <w:lang w:val="en-US" w:eastAsia="zh-CN"/>
              </w:rPr>
            </w:pPr>
            <w:r>
              <w:rPr>
                <w:rFonts w:hint="default" w:ascii="Times New Roman" w:hAnsi="Times New Roman" w:cs="Times New Roman"/>
                <w:color w:val="auto"/>
                <w:lang w:val="en-US" w:eastAsia="zh-CN"/>
              </w:rPr>
              <w:t>满足</w:t>
            </w:r>
            <w:r>
              <w:rPr>
                <w:rFonts w:hint="default" w:ascii="Times New Roman" w:hAnsi="Times New Roman" w:cs="Times New Roman"/>
                <w:color w:val="auto"/>
              </w:rPr>
              <w:t>《工业企业厂界环境噪声排放标准》（GB12348-2008）2类标准</w:t>
            </w:r>
          </w:p>
        </w:tc>
      </w:tr>
      <w:tr w14:paraId="4C885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Align w:val="center"/>
          </w:tcPr>
          <w:p w14:paraId="7A3468EC">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电磁辐射</w:t>
            </w:r>
          </w:p>
        </w:tc>
        <w:tc>
          <w:tcPr>
            <w:tcW w:w="8293" w:type="dxa"/>
            <w:gridSpan w:val="6"/>
            <w:vAlign w:val="center"/>
          </w:tcPr>
          <w:p w14:paraId="04558129">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73415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Align w:val="center"/>
          </w:tcPr>
          <w:p w14:paraId="6E974A2B">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固体废物</w:t>
            </w:r>
          </w:p>
        </w:tc>
        <w:tc>
          <w:tcPr>
            <w:tcW w:w="8293" w:type="dxa"/>
            <w:gridSpan w:val="6"/>
            <w:vAlign w:val="center"/>
          </w:tcPr>
          <w:p w14:paraId="1A416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lang w:val="en-US" w:eastAsia="zh-CN"/>
              </w:rPr>
            </w:pPr>
            <w:r>
              <w:rPr>
                <w:rFonts w:hint="eastAsia"/>
                <w:color w:val="auto"/>
                <w:lang w:val="en-US" w:eastAsia="zh-CN"/>
              </w:rPr>
              <w:t>管网施工期产生的建筑垃圾能利用的部分合理利用，不能利用的部分运至相关部门指定地点；临时弃土用于沿途地面平整；沉淀池沉渣全部回用于临时施工段恢复时的绿化覆土；废焊材废焊材收集后交由物资部门回收；生活垃圾施工生活垃圾由环卫部门定期清运；</w:t>
            </w:r>
          </w:p>
          <w:p w14:paraId="085329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lang w:val="en-US" w:eastAsia="zh-CN"/>
              </w:rPr>
            </w:pPr>
            <w:r>
              <w:rPr>
                <w:rFonts w:hint="eastAsia" w:cs="Times New Roman"/>
                <w:b w:val="0"/>
                <w:bCs w:val="0"/>
                <w:color w:val="auto"/>
                <w:lang w:val="en-US" w:eastAsia="zh-CN"/>
              </w:rPr>
              <w:t>能源站营运期产生的</w:t>
            </w:r>
            <w:r>
              <w:rPr>
                <w:rFonts w:hint="default" w:ascii="Times New Roman" w:hAnsi="Times New Roman" w:cs="Times New Roman"/>
                <w:color w:val="auto"/>
              </w:rPr>
              <w:t>生活垃圾经收集后由环卫部门统一清运处理；</w:t>
            </w:r>
            <w:r>
              <w:rPr>
                <w:rFonts w:hint="eastAsia" w:cs="Times New Roman"/>
                <w:color w:val="auto"/>
                <w:lang w:val="en-US" w:eastAsia="zh-CN"/>
              </w:rPr>
              <w:t>软水制备装置产生的废树脂、滤芯定期</w:t>
            </w:r>
            <w:r>
              <w:rPr>
                <w:rFonts w:hint="eastAsia"/>
                <w:color w:val="auto"/>
                <w:lang w:val="en-US" w:eastAsia="zh-CN"/>
              </w:rPr>
              <w:t>更换后交由厂家处置</w:t>
            </w:r>
            <w:r>
              <w:rPr>
                <w:rFonts w:hint="default" w:ascii="Times New Roman" w:hAnsi="Times New Roman" w:cs="Times New Roman"/>
                <w:color w:val="auto"/>
                <w:lang w:eastAsia="zh-CN"/>
              </w:rPr>
              <w:t>；</w:t>
            </w:r>
          </w:p>
        </w:tc>
      </w:tr>
      <w:tr w14:paraId="09B3D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Align w:val="center"/>
          </w:tcPr>
          <w:p w14:paraId="505D0B02">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土壤及地下水污染防治措施</w:t>
            </w:r>
          </w:p>
        </w:tc>
        <w:tc>
          <w:tcPr>
            <w:tcW w:w="8293" w:type="dxa"/>
            <w:gridSpan w:val="6"/>
            <w:vAlign w:val="center"/>
          </w:tcPr>
          <w:p w14:paraId="5FC676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Cs w:val="21"/>
                <w:lang w:val="en-US" w:eastAsia="zh-CN"/>
              </w:rPr>
            </w:pPr>
            <w:r>
              <w:rPr>
                <w:rFonts w:hint="eastAsia"/>
                <w:color w:val="auto"/>
                <w:lang w:val="en-US" w:eastAsia="zh-CN"/>
              </w:rPr>
              <w:t>营运期采取气化间、地埋式储罐区、事故池（有容积不低于240m</w:t>
            </w:r>
            <w:r>
              <w:rPr>
                <w:rFonts w:hint="eastAsia"/>
                <w:color w:val="auto"/>
                <w:vertAlign w:val="superscript"/>
                <w:lang w:val="en-US" w:eastAsia="zh-CN"/>
              </w:rPr>
              <w:t>3</w:t>
            </w:r>
            <w:r>
              <w:rPr>
                <w:rFonts w:hint="eastAsia"/>
                <w:color w:val="auto"/>
                <w:lang w:val="en-US" w:eastAsia="zh-CN"/>
              </w:rPr>
              <w:t>）、节能站机房</w:t>
            </w:r>
            <w:r>
              <w:rPr>
                <w:color w:val="auto"/>
              </w:rPr>
              <w:t>等设重点防渗；</w:t>
            </w:r>
            <w:r>
              <w:rPr>
                <w:rFonts w:hint="eastAsia"/>
                <w:color w:val="auto"/>
                <w:lang w:val="en-US" w:eastAsia="zh-CN"/>
              </w:rPr>
              <w:t>办公楼简单</w:t>
            </w:r>
            <w:r>
              <w:rPr>
                <w:color w:val="auto"/>
              </w:rPr>
              <w:t>防渗；</w:t>
            </w:r>
            <w:r>
              <w:rPr>
                <w:rFonts w:hint="eastAsia"/>
                <w:color w:val="auto"/>
                <w:lang w:val="en-US" w:eastAsia="zh-CN"/>
              </w:rPr>
              <w:t>施工期采取</w:t>
            </w:r>
            <w:r>
              <w:rPr>
                <w:rFonts w:hint="eastAsia" w:ascii="Times New Roman" w:hAnsi="Times New Roman"/>
                <w:color w:val="auto"/>
                <w:kern w:val="2"/>
                <w:sz w:val="24"/>
                <w:szCs w:val="24"/>
              </w:rPr>
              <w:t>进行封闭性施工，严格控制施工范围；地表开挖尽量避开暴雨季节，做到分期分区开挖；合理选择施工工序；合理选择施工工期</w:t>
            </w:r>
          </w:p>
        </w:tc>
      </w:tr>
      <w:tr w14:paraId="77F5A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Align w:val="center"/>
          </w:tcPr>
          <w:p w14:paraId="0C628EFB">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生态保护措施</w:t>
            </w:r>
          </w:p>
        </w:tc>
        <w:tc>
          <w:tcPr>
            <w:tcW w:w="8293" w:type="dxa"/>
            <w:gridSpan w:val="6"/>
            <w:vAlign w:val="center"/>
          </w:tcPr>
          <w:p w14:paraId="32E9BF2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eastAsia" w:cs="Times New Roman"/>
                <w:color w:val="auto"/>
                <w:szCs w:val="21"/>
                <w:lang w:val="en-US" w:eastAsia="zh-CN"/>
              </w:rPr>
              <w:t>施工期生态保护措施为</w:t>
            </w:r>
            <w:r>
              <w:rPr>
                <w:rFonts w:hint="default" w:ascii="Times New Roman" w:hAnsi="Times New Roman" w:cs="Times New Roman"/>
                <w:color w:val="auto"/>
                <w:szCs w:val="21"/>
                <w:lang w:val="en-US" w:eastAsia="zh-CN"/>
              </w:rPr>
              <w:t>过河段应避开雨季施工，对管网施工作业带临时堆土区表面采用塑料彩条布覆盖，尽快覆土恢复植被；施工期加强管理，文明施工，分期分区进行开挖和施工；分段式开挖、逐层回填、及时恢复地表原貌，恢复植被绿化；合理设置施工围挡；施工后及时合理绿化等减轻项目对周围生态环境的影响，施工过程加强管理，设置围挡、禁止固废、废水进入河流。</w:t>
            </w:r>
          </w:p>
        </w:tc>
      </w:tr>
      <w:tr w14:paraId="3C605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Align w:val="center"/>
          </w:tcPr>
          <w:p w14:paraId="740307A1">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pacing w:val="-8"/>
                <w:szCs w:val="21"/>
              </w:rPr>
            </w:pPr>
            <w:r>
              <w:rPr>
                <w:rFonts w:hint="default" w:ascii="Times New Roman" w:hAnsi="Times New Roman" w:cs="Times New Roman"/>
                <w:color w:val="auto"/>
                <w:spacing w:val="-8"/>
                <w:szCs w:val="21"/>
              </w:rPr>
              <w:t>环境风险</w:t>
            </w:r>
          </w:p>
          <w:p w14:paraId="24AF259B">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pacing w:val="-8"/>
                <w:szCs w:val="21"/>
              </w:rPr>
            </w:pPr>
            <w:r>
              <w:rPr>
                <w:rFonts w:hint="default" w:ascii="Times New Roman" w:hAnsi="Times New Roman" w:cs="Times New Roman"/>
                <w:color w:val="auto"/>
                <w:spacing w:val="-8"/>
                <w:szCs w:val="21"/>
              </w:rPr>
              <w:t>防范措施</w:t>
            </w:r>
          </w:p>
        </w:tc>
        <w:tc>
          <w:tcPr>
            <w:tcW w:w="8293" w:type="dxa"/>
            <w:gridSpan w:val="6"/>
            <w:vAlign w:val="center"/>
          </w:tcPr>
          <w:p w14:paraId="6179155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lang w:bidi="ar"/>
              </w:rPr>
              <w:t>设消防、火灾报警系统；编制应急预案</w:t>
            </w:r>
          </w:p>
        </w:tc>
      </w:tr>
      <w:tr w14:paraId="00674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vAlign w:val="center"/>
          </w:tcPr>
          <w:p w14:paraId="135CA2B0">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pacing w:val="-8"/>
                <w:szCs w:val="21"/>
              </w:rPr>
            </w:pPr>
            <w:r>
              <w:rPr>
                <w:rFonts w:hint="default" w:ascii="Times New Roman" w:hAnsi="Times New Roman" w:cs="Times New Roman"/>
                <w:color w:val="auto"/>
                <w:spacing w:val="-8"/>
                <w:szCs w:val="21"/>
              </w:rPr>
              <w:t>其他环境</w:t>
            </w:r>
          </w:p>
          <w:p w14:paraId="7EE35C61">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pacing w:val="-8"/>
                <w:szCs w:val="21"/>
              </w:rPr>
            </w:pPr>
            <w:r>
              <w:rPr>
                <w:rFonts w:hint="default" w:ascii="Times New Roman" w:hAnsi="Times New Roman" w:cs="Times New Roman"/>
                <w:color w:val="auto"/>
                <w:spacing w:val="-8"/>
                <w:szCs w:val="21"/>
              </w:rPr>
              <w:t>管理要求</w:t>
            </w:r>
          </w:p>
        </w:tc>
        <w:tc>
          <w:tcPr>
            <w:tcW w:w="8293" w:type="dxa"/>
            <w:gridSpan w:val="6"/>
            <w:vAlign w:val="center"/>
          </w:tcPr>
          <w:p w14:paraId="26177C7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b/>
                <w:bCs/>
                <w:color w:val="auto"/>
              </w:rPr>
            </w:pPr>
            <w:r>
              <w:rPr>
                <w:rFonts w:hint="default" w:ascii="Times New Roman" w:hAnsi="Times New Roman" w:cs="Times New Roman"/>
                <w:b/>
                <w:bCs/>
                <w:color w:val="auto"/>
              </w:rPr>
              <w:t>5.1 标识牌设置</w:t>
            </w:r>
          </w:p>
          <w:p w14:paraId="1B712B85">
            <w:pPr>
              <w:pageBreakBefore w:val="0"/>
              <w:widowControl w:val="0"/>
              <w:kinsoku/>
              <w:wordWrap/>
              <w:overflowPunct/>
              <w:topLinePunct w:val="0"/>
              <w:autoSpaceDE/>
              <w:autoSpaceDN/>
              <w:bidi w:val="0"/>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标识牌的设置应按《关于印发排放口标志牌技术规范的通知》（环办〔2005〕95号）中相关规定实施，统计所有排污口的名称、位置、数量、以及排放污染物的名称、数量等内容上报当地环保部门，以便进行验收和排污口规范性管理。图形符号分别为提示图形和警告图形符号两种，分别为（GB15562.1-1995）、（GB15562.2-1995）执行，环境保护图形标志的形状及颜色见下表：</w:t>
            </w:r>
          </w:p>
          <w:p w14:paraId="09181163">
            <w:pPr>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auto"/>
                <w:szCs w:val="24"/>
              </w:rPr>
            </w:pPr>
            <w:r>
              <w:rPr>
                <w:rFonts w:hint="default" w:ascii="Times New Roman" w:hAnsi="Times New Roman" w:cs="Times New Roman"/>
                <w:b/>
                <w:bCs/>
                <w:color w:val="auto"/>
                <w:szCs w:val="24"/>
              </w:rPr>
              <w:t>表5-1  环境保护图形符号一览表</w:t>
            </w:r>
          </w:p>
          <w:tbl>
            <w:tblPr>
              <w:tblStyle w:val="27"/>
              <w:tblW w:w="8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10"/>
              <w:gridCol w:w="3096"/>
              <w:gridCol w:w="2402"/>
            </w:tblGrid>
            <w:tr w14:paraId="5B0D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07DCBDA8">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1610" w:type="dxa"/>
                  <w:vAlign w:val="center"/>
                </w:tcPr>
                <w:p w14:paraId="2455DB23">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排放口</w:t>
                  </w:r>
                </w:p>
              </w:tc>
              <w:tc>
                <w:tcPr>
                  <w:tcW w:w="3096" w:type="dxa"/>
                  <w:vAlign w:val="center"/>
                </w:tcPr>
                <w:p w14:paraId="66EEBB4E">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提示/警告图形标识</w:t>
                  </w:r>
                </w:p>
              </w:tc>
              <w:tc>
                <w:tcPr>
                  <w:tcW w:w="2402" w:type="dxa"/>
                  <w:vAlign w:val="center"/>
                </w:tcPr>
                <w:p w14:paraId="2F440F2F">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功能</w:t>
                  </w:r>
                </w:p>
              </w:tc>
            </w:tr>
            <w:tr w14:paraId="5883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7E2CA7EF">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1</w:t>
                  </w:r>
                </w:p>
              </w:tc>
              <w:tc>
                <w:tcPr>
                  <w:tcW w:w="1610" w:type="dxa"/>
                  <w:vAlign w:val="center"/>
                </w:tcPr>
                <w:p w14:paraId="6CC5E8A6">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排气筒</w:t>
                  </w:r>
                </w:p>
              </w:tc>
              <w:tc>
                <w:tcPr>
                  <w:tcW w:w="3096" w:type="dxa"/>
                  <w:vAlign w:val="center"/>
                </w:tcPr>
                <w:p w14:paraId="14B33E30">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687070" cy="694055"/>
                        <wp:effectExtent l="0" t="0" r="17780" b="10795"/>
                        <wp:docPr id="16" name="图片 8" descr="说明: 说明: 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说明: 说明: 说明: 13003"/>
                                <pic:cNvPicPr>
                                  <a:picLocks noChangeAspect="1"/>
                                </pic:cNvPicPr>
                              </pic:nvPicPr>
                              <pic:blipFill>
                                <a:blip r:embed="rId26"/>
                                <a:stretch>
                                  <a:fillRect/>
                                </a:stretch>
                              </pic:blipFill>
                              <pic:spPr>
                                <a:xfrm>
                                  <a:off x="0" y="0"/>
                                  <a:ext cx="687070" cy="694055"/>
                                </a:xfrm>
                                <a:prstGeom prst="rect">
                                  <a:avLst/>
                                </a:prstGeom>
                                <a:noFill/>
                                <a:ln>
                                  <a:noFill/>
                                </a:ln>
                              </pic:spPr>
                            </pic:pic>
                          </a:graphicData>
                        </a:graphic>
                      </wp:inline>
                    </w:drawing>
                  </w:r>
                </w:p>
              </w:tc>
              <w:tc>
                <w:tcPr>
                  <w:tcW w:w="2402" w:type="dxa"/>
                  <w:vAlign w:val="center"/>
                </w:tcPr>
                <w:p w14:paraId="18871953">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表示废气向大气排放</w:t>
                  </w:r>
                </w:p>
              </w:tc>
            </w:tr>
            <w:tr w14:paraId="1FE1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52A9CFD2">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2</w:t>
                  </w:r>
                </w:p>
              </w:tc>
              <w:tc>
                <w:tcPr>
                  <w:tcW w:w="1610" w:type="dxa"/>
                  <w:vAlign w:val="center"/>
                </w:tcPr>
                <w:p w14:paraId="711467B7">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噪声源</w:t>
                  </w:r>
                </w:p>
              </w:tc>
              <w:tc>
                <w:tcPr>
                  <w:tcW w:w="3096" w:type="dxa"/>
                  <w:vAlign w:val="center"/>
                </w:tcPr>
                <w:p w14:paraId="23733215">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714375" cy="714375"/>
                        <wp:effectExtent l="0" t="0" r="9525" b="9525"/>
                        <wp:docPr id="22" name="图片 9" descr="说明: 说明: 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descr="说明: 说明: 说明: 200602201518049853"/>
                                <pic:cNvPicPr>
                                  <a:picLocks noChangeAspect="1"/>
                                </pic:cNvPicPr>
                              </pic:nvPicPr>
                              <pic:blipFill>
                                <a:blip r:embed="rId27"/>
                                <a:stretch>
                                  <a:fillRect/>
                                </a:stretch>
                              </pic:blipFill>
                              <pic:spPr>
                                <a:xfrm>
                                  <a:off x="0" y="0"/>
                                  <a:ext cx="714375" cy="714375"/>
                                </a:xfrm>
                                <a:prstGeom prst="rect">
                                  <a:avLst/>
                                </a:prstGeom>
                                <a:noFill/>
                                <a:ln>
                                  <a:noFill/>
                                </a:ln>
                              </pic:spPr>
                            </pic:pic>
                          </a:graphicData>
                        </a:graphic>
                      </wp:inline>
                    </w:drawing>
                  </w:r>
                </w:p>
              </w:tc>
              <w:tc>
                <w:tcPr>
                  <w:tcW w:w="2402" w:type="dxa"/>
                  <w:vAlign w:val="center"/>
                </w:tcPr>
                <w:p w14:paraId="140E26A7">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表示噪声向外环境排放</w:t>
                  </w:r>
                </w:p>
              </w:tc>
            </w:tr>
          </w:tbl>
          <w:p w14:paraId="08D6C434">
            <w:pPr>
              <w:keepLines w:val="0"/>
              <w:pageBreakBefore w:val="0"/>
              <w:kinsoku/>
              <w:wordWrap/>
              <w:topLinePunct w:val="0"/>
              <w:autoSpaceDE/>
              <w:autoSpaceDN/>
              <w:bidi w:val="0"/>
              <w:adjustRightInd/>
              <w:snapToGrid/>
              <w:spacing w:line="360" w:lineRule="auto"/>
              <w:ind w:firstLine="0" w:firstLineChars="0"/>
              <w:textAlignment w:val="auto"/>
              <w:rPr>
                <w:rFonts w:hint="eastAsia" w:ascii="宋体" w:hAnsi="宋体" w:cs="宋体"/>
                <w:b/>
                <w:bCs/>
                <w:color w:val="auto"/>
              </w:rPr>
            </w:pPr>
            <w:r>
              <w:rPr>
                <w:rFonts w:hint="eastAsia"/>
                <w:b/>
                <w:bCs/>
                <w:color w:val="auto"/>
                <w:lang w:val="en-US" w:eastAsia="zh-CN"/>
              </w:rPr>
              <w:t>5.2</w:t>
            </w:r>
            <w:r>
              <w:rPr>
                <w:rFonts w:hint="eastAsia" w:ascii="宋体" w:hAnsi="宋体" w:cs="宋体"/>
                <w:b/>
                <w:bCs/>
                <w:color w:val="auto"/>
              </w:rPr>
              <w:t>环保投资</w:t>
            </w:r>
          </w:p>
          <w:p w14:paraId="18219F55">
            <w:pPr>
              <w:keepLines w:val="0"/>
              <w:pageBreakBefore w:val="0"/>
              <w:kinsoku/>
              <w:wordWrap/>
              <w:topLinePunct w:val="0"/>
              <w:autoSpaceDE/>
              <w:autoSpaceDN/>
              <w:bidi w:val="0"/>
              <w:adjustRightInd/>
              <w:snapToGrid/>
              <w:spacing w:line="360" w:lineRule="auto"/>
              <w:ind w:firstLine="480"/>
              <w:textAlignment w:val="auto"/>
              <w:rPr>
                <w:rFonts w:hint="eastAsia"/>
                <w:color w:val="auto"/>
              </w:rPr>
            </w:pPr>
            <w:r>
              <w:rPr>
                <w:rStyle w:val="38"/>
                <w:rFonts w:hint="eastAsia"/>
                <w:color w:val="auto"/>
              </w:rPr>
              <w:t>本项目总投资</w:t>
            </w:r>
            <w:r>
              <w:rPr>
                <w:rFonts w:hint="eastAsia"/>
                <w:color w:val="auto"/>
                <w:lang w:val="en-US" w:eastAsia="zh-CN"/>
              </w:rPr>
              <w:t>16000</w:t>
            </w:r>
            <w:r>
              <w:rPr>
                <w:rStyle w:val="38"/>
                <w:rFonts w:hint="eastAsia"/>
                <w:color w:val="auto"/>
              </w:rPr>
              <w:t>万元，其中环保投资</w:t>
            </w:r>
            <w:r>
              <w:rPr>
                <w:rStyle w:val="38"/>
                <w:rFonts w:hint="eastAsia"/>
                <w:color w:val="auto"/>
                <w:lang w:val="en-US" w:eastAsia="zh-CN"/>
              </w:rPr>
              <w:t>140</w:t>
            </w:r>
            <w:r>
              <w:rPr>
                <w:rStyle w:val="38"/>
                <w:rFonts w:hint="eastAsia"/>
                <w:color w:val="auto"/>
              </w:rPr>
              <w:t>万元，占总投资的</w:t>
            </w:r>
            <w:r>
              <w:rPr>
                <w:rStyle w:val="38"/>
                <w:rFonts w:hint="eastAsia"/>
                <w:color w:val="auto"/>
                <w:lang w:val="en-US" w:eastAsia="zh-CN"/>
              </w:rPr>
              <w:t>0.875</w:t>
            </w:r>
            <w:r>
              <w:rPr>
                <w:rStyle w:val="38"/>
                <w:rFonts w:hint="eastAsia"/>
                <w:color w:val="auto"/>
              </w:rPr>
              <w:t>%，主要用于大气、废水、固体废物和噪声污染的治理。环保投资估算详见下表。</w:t>
            </w:r>
            <w:r>
              <w:rPr>
                <w:rFonts w:hint="eastAsia"/>
                <w:color w:val="auto"/>
              </w:rPr>
              <w:t xml:space="preserve"> </w:t>
            </w:r>
          </w:p>
          <w:p w14:paraId="4BAFD3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kern w:val="0"/>
                <w:sz w:val="24"/>
                <w:szCs w:val="24"/>
                <w:lang w:val="en-US" w:eastAsia="zh-CN"/>
              </w:rPr>
            </w:pPr>
            <w:r>
              <w:rPr>
                <w:rFonts w:hint="default" w:ascii="Times New Roman" w:hAnsi="Times New Roman" w:cs="Times New Roman"/>
                <w:b/>
                <w:color w:val="auto"/>
                <w:kern w:val="0"/>
                <w:sz w:val="24"/>
                <w:szCs w:val="24"/>
              </w:rPr>
              <w:t>表</w:t>
            </w:r>
            <w:r>
              <w:rPr>
                <w:rFonts w:hint="eastAsia" w:ascii="Times New Roman" w:hAnsi="Times New Roman" w:cs="Times New Roman"/>
                <w:b/>
                <w:color w:val="auto"/>
                <w:kern w:val="0"/>
                <w:sz w:val="24"/>
                <w:szCs w:val="24"/>
                <w:lang w:val="en-US" w:eastAsia="zh-CN"/>
              </w:rPr>
              <w:t xml:space="preserve">5-2 </w:t>
            </w:r>
            <w:r>
              <w:rPr>
                <w:rFonts w:hint="default" w:ascii="Times New Roman" w:hAnsi="Times New Roman" w:cs="Times New Roman"/>
                <w:b/>
                <w:color w:val="auto"/>
                <w:kern w:val="0"/>
                <w:sz w:val="24"/>
                <w:szCs w:val="24"/>
              </w:rPr>
              <w:t xml:space="preserve"> 环保治理投资估算</w:t>
            </w:r>
            <w:r>
              <w:rPr>
                <w:rFonts w:hint="eastAsia" w:ascii="Times New Roman" w:hAnsi="Times New Roman" w:cs="Times New Roman"/>
                <w:b/>
                <w:color w:val="auto"/>
                <w:kern w:val="0"/>
                <w:sz w:val="24"/>
                <w:szCs w:val="24"/>
                <w:lang w:val="en-US" w:eastAsia="zh-CN"/>
              </w:rPr>
              <w:t xml:space="preserve">  单位：万元</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563"/>
              <w:gridCol w:w="4"/>
              <w:gridCol w:w="1525"/>
              <w:gridCol w:w="4649"/>
              <w:gridCol w:w="839"/>
            </w:tblGrid>
            <w:tr w14:paraId="506A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noWrap w:val="0"/>
                  <w:vAlign w:val="center"/>
                </w:tcPr>
                <w:p w14:paraId="4B7AD405">
                  <w:pPr>
                    <w:pStyle w:val="4"/>
                    <w:keepLines w:val="0"/>
                    <w:pageBreakBefore w:val="0"/>
                    <w:kinsoku/>
                    <w:wordWrap/>
                    <w:topLinePunct w:val="0"/>
                    <w:autoSpaceDE/>
                    <w:autoSpaceDN/>
                    <w:bidi w:val="0"/>
                    <w:adjustRightInd/>
                    <w:snapToGrid/>
                    <w:spacing w:line="240" w:lineRule="auto"/>
                    <w:jc w:val="center"/>
                    <w:textAlignment w:val="auto"/>
                    <w:rPr>
                      <w:b/>
                      <w:bCs w:val="0"/>
                      <w:color w:val="auto"/>
                    </w:rPr>
                  </w:pPr>
                  <w:r>
                    <w:rPr>
                      <w:rFonts w:hint="default"/>
                      <w:b/>
                      <w:bCs w:val="0"/>
                      <w:color w:val="auto"/>
                    </w:rPr>
                    <w:t>序号</w:t>
                  </w:r>
                </w:p>
              </w:tc>
              <w:tc>
                <w:tcPr>
                  <w:tcW w:w="2092" w:type="dxa"/>
                  <w:gridSpan w:val="3"/>
                  <w:noWrap w:val="0"/>
                  <w:vAlign w:val="center"/>
                </w:tcPr>
                <w:p w14:paraId="3CEB664A">
                  <w:pPr>
                    <w:pStyle w:val="4"/>
                    <w:keepLines w:val="0"/>
                    <w:pageBreakBefore w:val="0"/>
                    <w:kinsoku/>
                    <w:wordWrap/>
                    <w:topLinePunct w:val="0"/>
                    <w:autoSpaceDE/>
                    <w:autoSpaceDN/>
                    <w:bidi w:val="0"/>
                    <w:adjustRightInd/>
                    <w:snapToGrid/>
                    <w:spacing w:line="240" w:lineRule="auto"/>
                    <w:jc w:val="center"/>
                    <w:textAlignment w:val="auto"/>
                    <w:rPr>
                      <w:b/>
                      <w:bCs w:val="0"/>
                      <w:color w:val="auto"/>
                    </w:rPr>
                  </w:pPr>
                  <w:r>
                    <w:rPr>
                      <w:rFonts w:hint="default"/>
                      <w:b/>
                      <w:bCs w:val="0"/>
                      <w:color w:val="auto"/>
                    </w:rPr>
                    <w:t>类别</w:t>
                  </w:r>
                </w:p>
              </w:tc>
              <w:tc>
                <w:tcPr>
                  <w:tcW w:w="4649" w:type="dxa"/>
                  <w:noWrap w:val="0"/>
                  <w:vAlign w:val="center"/>
                </w:tcPr>
                <w:p w14:paraId="02B318F1">
                  <w:pPr>
                    <w:pStyle w:val="4"/>
                    <w:keepLines w:val="0"/>
                    <w:pageBreakBefore w:val="0"/>
                    <w:kinsoku/>
                    <w:wordWrap/>
                    <w:topLinePunct w:val="0"/>
                    <w:autoSpaceDE/>
                    <w:autoSpaceDN/>
                    <w:bidi w:val="0"/>
                    <w:adjustRightInd/>
                    <w:snapToGrid/>
                    <w:spacing w:line="240" w:lineRule="auto"/>
                    <w:jc w:val="center"/>
                    <w:textAlignment w:val="auto"/>
                    <w:rPr>
                      <w:b/>
                      <w:bCs w:val="0"/>
                      <w:color w:val="auto"/>
                    </w:rPr>
                  </w:pPr>
                  <w:r>
                    <w:rPr>
                      <w:rFonts w:hint="default"/>
                      <w:b/>
                      <w:bCs w:val="0"/>
                      <w:color w:val="auto"/>
                    </w:rPr>
                    <w:t>项目</w:t>
                  </w:r>
                </w:p>
              </w:tc>
              <w:tc>
                <w:tcPr>
                  <w:tcW w:w="839" w:type="dxa"/>
                  <w:noWrap w:val="0"/>
                  <w:vAlign w:val="center"/>
                </w:tcPr>
                <w:p w14:paraId="378D29F1">
                  <w:pPr>
                    <w:pStyle w:val="4"/>
                    <w:keepLines w:val="0"/>
                    <w:pageBreakBefore w:val="0"/>
                    <w:kinsoku/>
                    <w:wordWrap/>
                    <w:topLinePunct w:val="0"/>
                    <w:autoSpaceDE/>
                    <w:autoSpaceDN/>
                    <w:bidi w:val="0"/>
                    <w:adjustRightInd/>
                    <w:snapToGrid/>
                    <w:spacing w:line="240" w:lineRule="auto"/>
                    <w:jc w:val="center"/>
                    <w:textAlignment w:val="auto"/>
                    <w:rPr>
                      <w:b/>
                      <w:bCs w:val="0"/>
                      <w:color w:val="auto"/>
                    </w:rPr>
                  </w:pPr>
                  <w:r>
                    <w:rPr>
                      <w:rFonts w:hint="default"/>
                      <w:b/>
                      <w:bCs w:val="0"/>
                      <w:color w:val="auto"/>
                    </w:rPr>
                    <w:t>投资</w:t>
                  </w:r>
                </w:p>
              </w:tc>
            </w:tr>
            <w:tr w14:paraId="23C4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restart"/>
                  <w:noWrap w:val="0"/>
                  <w:vAlign w:val="center"/>
                </w:tcPr>
                <w:p w14:paraId="613F25C5">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1</w:t>
                  </w:r>
                </w:p>
              </w:tc>
              <w:tc>
                <w:tcPr>
                  <w:tcW w:w="567" w:type="dxa"/>
                  <w:gridSpan w:val="2"/>
                  <w:vMerge w:val="restart"/>
                  <w:noWrap w:val="0"/>
                  <w:vAlign w:val="center"/>
                </w:tcPr>
                <w:p w14:paraId="651B6337">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废水</w:t>
                  </w:r>
                </w:p>
              </w:tc>
              <w:tc>
                <w:tcPr>
                  <w:tcW w:w="1525" w:type="dxa"/>
                  <w:noWrap w:val="0"/>
                  <w:vAlign w:val="center"/>
                </w:tcPr>
                <w:p w14:paraId="51B5345A">
                  <w:pPr>
                    <w:pStyle w:val="4"/>
                    <w:keepLines w:val="0"/>
                    <w:pageBreakBefore w:val="0"/>
                    <w:kinsoku/>
                    <w:wordWrap/>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lang w:val="en-US" w:eastAsia="zh-CN"/>
                    </w:rPr>
                    <w:t>生活污水</w:t>
                  </w:r>
                </w:p>
              </w:tc>
              <w:tc>
                <w:tcPr>
                  <w:tcW w:w="4649" w:type="dxa"/>
                  <w:vMerge w:val="restart"/>
                  <w:noWrap w:val="0"/>
                  <w:vAlign w:val="center"/>
                </w:tcPr>
                <w:p w14:paraId="79E7E3D1">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s="宋体"/>
                      <w:color w:val="auto"/>
                      <w:lang w:val="en-US" w:eastAsia="zh-CN"/>
                    </w:rPr>
                    <w:t>厂区实行</w:t>
                  </w:r>
                  <w:r>
                    <w:rPr>
                      <w:rFonts w:hint="eastAsia" w:cs="宋体"/>
                      <w:color w:val="auto"/>
                    </w:rPr>
                    <w:t>雨污分流</w:t>
                  </w:r>
                  <w:r>
                    <w:rPr>
                      <w:rFonts w:hint="eastAsia" w:cs="宋体"/>
                      <w:color w:val="auto"/>
                      <w:lang w:val="en-US" w:eastAsia="zh-CN"/>
                    </w:rPr>
                    <w:t>制</w:t>
                  </w:r>
                  <w:r>
                    <w:rPr>
                      <w:rFonts w:hint="eastAsia" w:cs="宋体"/>
                      <w:color w:val="auto"/>
                    </w:rPr>
                    <w:t>；</w:t>
                  </w:r>
                  <w:r>
                    <w:rPr>
                      <w:rFonts w:hint="eastAsia"/>
                      <w:color w:val="auto"/>
                      <w:lang w:val="en-US" w:eastAsia="zh-CN"/>
                    </w:rPr>
                    <w:t>经化粪池预处理的生活污水汇同软水制备废水，接管网进入淮北蓝海水处理有限公司进一步处理，部分作为平山电厂冷却循环水，剩余部分排入萧濉新河</w:t>
                  </w:r>
                </w:p>
              </w:tc>
              <w:tc>
                <w:tcPr>
                  <w:tcW w:w="839" w:type="dxa"/>
                  <w:noWrap w:val="0"/>
                  <w:vAlign w:val="center"/>
                </w:tcPr>
                <w:p w14:paraId="750D3BA3">
                  <w:pPr>
                    <w:pStyle w:val="4"/>
                    <w:keepLines w:val="0"/>
                    <w:pageBreakBefore w:val="0"/>
                    <w:kinsoku/>
                    <w:wordWrap/>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lang w:val="en-US" w:eastAsia="zh-CN"/>
                    </w:rPr>
                    <w:t>2.0</w:t>
                  </w:r>
                </w:p>
              </w:tc>
            </w:tr>
            <w:tr w14:paraId="3C08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tcBorders>
                    <w:bottom w:val="single" w:color="auto" w:sz="4" w:space="0"/>
                  </w:tcBorders>
                  <w:noWrap w:val="0"/>
                  <w:vAlign w:val="center"/>
                </w:tcPr>
                <w:p w14:paraId="49DFEC47">
                  <w:pPr>
                    <w:pStyle w:val="4"/>
                    <w:keepLines w:val="0"/>
                    <w:pageBreakBefore w:val="0"/>
                    <w:kinsoku/>
                    <w:wordWrap/>
                    <w:topLinePunct w:val="0"/>
                    <w:autoSpaceDE/>
                    <w:autoSpaceDN/>
                    <w:bidi w:val="0"/>
                    <w:adjustRightInd/>
                    <w:snapToGrid/>
                    <w:spacing w:line="240" w:lineRule="auto"/>
                    <w:jc w:val="center"/>
                    <w:textAlignment w:val="auto"/>
                    <w:rPr>
                      <w:rFonts w:hint="default"/>
                      <w:color w:val="auto"/>
                    </w:rPr>
                  </w:pPr>
                </w:p>
              </w:tc>
              <w:tc>
                <w:tcPr>
                  <w:tcW w:w="567" w:type="dxa"/>
                  <w:gridSpan w:val="2"/>
                  <w:vMerge w:val="continue"/>
                  <w:noWrap w:val="0"/>
                  <w:vAlign w:val="center"/>
                </w:tcPr>
                <w:p w14:paraId="7EDE28C2">
                  <w:pPr>
                    <w:pStyle w:val="4"/>
                    <w:keepLines w:val="0"/>
                    <w:pageBreakBefore w:val="0"/>
                    <w:kinsoku/>
                    <w:wordWrap/>
                    <w:topLinePunct w:val="0"/>
                    <w:autoSpaceDE/>
                    <w:autoSpaceDN/>
                    <w:bidi w:val="0"/>
                    <w:adjustRightInd/>
                    <w:snapToGrid/>
                    <w:spacing w:line="240" w:lineRule="auto"/>
                    <w:jc w:val="center"/>
                    <w:textAlignment w:val="auto"/>
                    <w:rPr>
                      <w:rFonts w:hint="default"/>
                      <w:color w:val="auto"/>
                    </w:rPr>
                  </w:pPr>
                </w:p>
              </w:tc>
              <w:tc>
                <w:tcPr>
                  <w:tcW w:w="1525" w:type="dxa"/>
                  <w:noWrap w:val="0"/>
                  <w:vAlign w:val="center"/>
                </w:tcPr>
                <w:p w14:paraId="31AD0497">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eastAsia="zh-CN"/>
                    </w:rPr>
                  </w:pPr>
                  <w:r>
                    <w:rPr>
                      <w:rFonts w:hint="eastAsia"/>
                      <w:color w:val="auto"/>
                      <w:lang w:val="en-US" w:eastAsia="zh-CN"/>
                    </w:rPr>
                    <w:t>软水制备废水</w:t>
                  </w:r>
                </w:p>
              </w:tc>
              <w:tc>
                <w:tcPr>
                  <w:tcW w:w="4649" w:type="dxa"/>
                  <w:vMerge w:val="continue"/>
                  <w:noWrap w:val="0"/>
                  <w:vAlign w:val="center"/>
                </w:tcPr>
                <w:p w14:paraId="387C1CB7">
                  <w:pPr>
                    <w:pStyle w:val="4"/>
                    <w:keepLines w:val="0"/>
                    <w:pageBreakBefore w:val="0"/>
                    <w:kinsoku/>
                    <w:wordWrap/>
                    <w:topLinePunct w:val="0"/>
                    <w:autoSpaceDE/>
                    <w:autoSpaceDN/>
                    <w:bidi w:val="0"/>
                    <w:adjustRightInd/>
                    <w:snapToGrid/>
                    <w:spacing w:line="240" w:lineRule="auto"/>
                    <w:jc w:val="center"/>
                    <w:textAlignment w:val="auto"/>
                    <w:rPr>
                      <w:rFonts w:hint="eastAsia"/>
                      <w:color w:val="auto"/>
                      <w:lang w:val="en-US" w:eastAsia="zh-CN"/>
                    </w:rPr>
                  </w:pPr>
                </w:p>
              </w:tc>
              <w:tc>
                <w:tcPr>
                  <w:tcW w:w="839" w:type="dxa"/>
                  <w:noWrap w:val="0"/>
                  <w:vAlign w:val="center"/>
                </w:tcPr>
                <w:p w14:paraId="4FAF1EB7">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eastAsia="zh-CN"/>
                    </w:rPr>
                  </w:pPr>
                  <w:r>
                    <w:rPr>
                      <w:rFonts w:hint="eastAsia"/>
                      <w:color w:val="auto"/>
                      <w:lang w:val="en-US" w:eastAsia="zh-CN"/>
                    </w:rPr>
                    <w:t>5.0</w:t>
                  </w:r>
                </w:p>
              </w:tc>
            </w:tr>
            <w:tr w14:paraId="5230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7" w:type="dxa"/>
                  <w:vMerge w:val="restart"/>
                  <w:noWrap w:val="0"/>
                  <w:vAlign w:val="center"/>
                </w:tcPr>
                <w:p w14:paraId="21ABA973">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olor w:val="auto"/>
                      <w:lang w:val="en-US" w:eastAsia="zh-CN"/>
                    </w:rPr>
                    <w:t>2</w:t>
                  </w:r>
                </w:p>
              </w:tc>
              <w:tc>
                <w:tcPr>
                  <w:tcW w:w="567" w:type="dxa"/>
                  <w:gridSpan w:val="2"/>
                  <w:vMerge w:val="restart"/>
                  <w:noWrap w:val="0"/>
                  <w:vAlign w:val="center"/>
                </w:tcPr>
                <w:p w14:paraId="6C336B9B">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olor w:val="auto"/>
                      <w:lang w:val="en-US" w:eastAsia="zh-CN"/>
                    </w:rPr>
                    <w:t>废气</w:t>
                  </w:r>
                </w:p>
              </w:tc>
              <w:tc>
                <w:tcPr>
                  <w:tcW w:w="1525" w:type="dxa"/>
                  <w:noWrap w:val="0"/>
                  <w:vAlign w:val="center"/>
                </w:tcPr>
                <w:p w14:paraId="236E17A0">
                  <w:pPr>
                    <w:pStyle w:val="4"/>
                    <w:ind w:firstLine="0" w:firstLineChars="0"/>
                    <w:outlineLvl w:val="0"/>
                    <w:rPr>
                      <w:rFonts w:hint="default" w:eastAsia="宋体"/>
                      <w:color w:val="auto"/>
                      <w:lang w:val="en-US" w:eastAsia="zh-CN"/>
                    </w:rPr>
                  </w:pPr>
                  <w:r>
                    <w:rPr>
                      <w:rFonts w:hint="default" w:eastAsia="宋体"/>
                      <w:color w:val="auto"/>
                      <w:lang w:val="en-US" w:eastAsia="zh-CN"/>
                    </w:rPr>
                    <w:t>锅炉燃烧废气</w:t>
                  </w:r>
                </w:p>
              </w:tc>
              <w:tc>
                <w:tcPr>
                  <w:tcW w:w="4649" w:type="dxa"/>
                  <w:noWrap w:val="0"/>
                  <w:vAlign w:val="center"/>
                </w:tcPr>
                <w:p w14:paraId="7B93E024">
                  <w:pPr>
                    <w:pStyle w:val="4"/>
                    <w:ind w:firstLine="0" w:firstLineChars="0"/>
                    <w:jc w:val="center"/>
                    <w:outlineLvl w:val="0"/>
                    <w:rPr>
                      <w:rFonts w:hint="default"/>
                      <w:color w:val="auto"/>
                      <w:lang w:val="en-US"/>
                    </w:rPr>
                  </w:pPr>
                  <w:r>
                    <w:rPr>
                      <w:rFonts w:hint="eastAsia"/>
                      <w:color w:val="auto"/>
                      <w:lang w:val="en-US" w:eastAsia="zh-CN"/>
                    </w:rPr>
                    <w:t>经设备自带的低氮燃烧器燃烧后通过18m高</w:t>
                  </w:r>
                  <w:r>
                    <w:rPr>
                      <w:rFonts w:hint="default"/>
                      <w:color w:val="auto"/>
                      <w:lang w:val="en-US" w:eastAsia="zh-CN"/>
                    </w:rPr>
                    <w:t>DA001排气筒排放</w:t>
                  </w:r>
                </w:p>
              </w:tc>
              <w:tc>
                <w:tcPr>
                  <w:tcW w:w="839" w:type="dxa"/>
                  <w:noWrap w:val="0"/>
                  <w:vAlign w:val="center"/>
                </w:tcPr>
                <w:p w14:paraId="20D31920">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lang w:val="en-US" w:eastAsia="zh-CN"/>
                    </w:rPr>
                    <w:t>50.0</w:t>
                  </w:r>
                </w:p>
              </w:tc>
            </w:tr>
            <w:tr w14:paraId="5D70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noWrap w:val="0"/>
                  <w:vAlign w:val="center"/>
                </w:tcPr>
                <w:p w14:paraId="21528F10">
                  <w:pPr>
                    <w:pStyle w:val="4"/>
                    <w:keepLines w:val="0"/>
                    <w:pageBreakBefore w:val="0"/>
                    <w:kinsoku/>
                    <w:wordWrap/>
                    <w:topLinePunct w:val="0"/>
                    <w:autoSpaceDE/>
                    <w:autoSpaceDN/>
                    <w:bidi w:val="0"/>
                    <w:adjustRightInd/>
                    <w:snapToGrid/>
                    <w:spacing w:line="240" w:lineRule="auto"/>
                    <w:jc w:val="center"/>
                    <w:textAlignment w:val="auto"/>
                    <w:rPr>
                      <w:color w:val="auto"/>
                    </w:rPr>
                  </w:pPr>
                </w:p>
              </w:tc>
              <w:tc>
                <w:tcPr>
                  <w:tcW w:w="567" w:type="dxa"/>
                  <w:gridSpan w:val="2"/>
                  <w:vMerge w:val="continue"/>
                  <w:noWrap w:val="0"/>
                  <w:vAlign w:val="center"/>
                </w:tcPr>
                <w:p w14:paraId="22E1620C">
                  <w:pPr>
                    <w:pStyle w:val="4"/>
                    <w:keepLines w:val="0"/>
                    <w:pageBreakBefore w:val="0"/>
                    <w:kinsoku/>
                    <w:wordWrap/>
                    <w:topLinePunct w:val="0"/>
                    <w:autoSpaceDE/>
                    <w:autoSpaceDN/>
                    <w:bidi w:val="0"/>
                    <w:adjustRightInd/>
                    <w:snapToGrid/>
                    <w:spacing w:line="240" w:lineRule="auto"/>
                    <w:jc w:val="center"/>
                    <w:textAlignment w:val="auto"/>
                    <w:rPr>
                      <w:color w:val="auto"/>
                    </w:rPr>
                  </w:pPr>
                </w:p>
              </w:tc>
              <w:tc>
                <w:tcPr>
                  <w:tcW w:w="1525" w:type="dxa"/>
                  <w:noWrap w:val="0"/>
                  <w:vAlign w:val="center"/>
                </w:tcPr>
                <w:p w14:paraId="1F744E53">
                  <w:pPr>
                    <w:pStyle w:val="4"/>
                    <w:ind w:firstLine="0" w:firstLineChars="0"/>
                    <w:outlineLvl w:val="0"/>
                    <w:rPr>
                      <w:color w:val="auto"/>
                    </w:rPr>
                  </w:pPr>
                  <w:r>
                    <w:rPr>
                      <w:rFonts w:hint="eastAsia" w:eastAsia="宋体"/>
                      <w:color w:val="auto"/>
                      <w:lang w:val="en-US" w:eastAsia="zh-CN"/>
                    </w:rPr>
                    <w:t>储罐呼吸废气</w:t>
                  </w:r>
                </w:p>
              </w:tc>
              <w:tc>
                <w:tcPr>
                  <w:tcW w:w="4649" w:type="dxa"/>
                  <w:noWrap w:val="0"/>
                  <w:vAlign w:val="center"/>
                </w:tcPr>
                <w:p w14:paraId="65329820">
                  <w:pPr>
                    <w:pStyle w:val="4"/>
                    <w:ind w:firstLine="0" w:firstLineChars="0"/>
                    <w:jc w:val="center"/>
                    <w:outlineLvl w:val="0"/>
                    <w:rPr>
                      <w:color w:val="auto"/>
                    </w:rPr>
                  </w:pPr>
                  <w:r>
                    <w:rPr>
                      <w:rFonts w:hint="eastAsia" w:ascii="宋体" w:hAnsi="宋体" w:cs="宋体"/>
                      <w:color w:val="auto"/>
                      <w:kern w:val="0"/>
                      <w:lang w:bidi="ar"/>
                    </w:rPr>
                    <w:t>大呼吸废气</w:t>
                  </w:r>
                  <w:r>
                    <w:rPr>
                      <w:rFonts w:hint="eastAsia"/>
                      <w:color w:val="auto"/>
                      <w:lang w:val="en-US" w:eastAsia="zh-CN"/>
                    </w:rPr>
                    <w:t>采取装卸料时使用平衡管，减少无组织废气排放；小呼吸废气采取储罐密闭，设置呼吸阀无组织排放</w:t>
                  </w:r>
                </w:p>
              </w:tc>
              <w:tc>
                <w:tcPr>
                  <w:tcW w:w="839" w:type="dxa"/>
                  <w:noWrap w:val="0"/>
                  <w:vAlign w:val="center"/>
                </w:tcPr>
                <w:p w14:paraId="24BBB03A">
                  <w:pPr>
                    <w:pStyle w:val="4"/>
                    <w:keepLines w:val="0"/>
                    <w:pageBreakBefore w:val="0"/>
                    <w:kinsoku/>
                    <w:wordWrap/>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lang w:val="en-US" w:eastAsia="zh-CN"/>
                    </w:rPr>
                    <w:t>10.0</w:t>
                  </w:r>
                </w:p>
              </w:tc>
            </w:tr>
            <w:tr w14:paraId="3950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tcBorders>
                    <w:bottom w:val="single" w:color="auto" w:sz="4" w:space="0"/>
                  </w:tcBorders>
                  <w:noWrap w:val="0"/>
                  <w:vAlign w:val="center"/>
                </w:tcPr>
                <w:p w14:paraId="027A03C0">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3</w:t>
                  </w:r>
                </w:p>
              </w:tc>
              <w:tc>
                <w:tcPr>
                  <w:tcW w:w="2092" w:type="dxa"/>
                  <w:gridSpan w:val="3"/>
                  <w:noWrap w:val="0"/>
                  <w:vAlign w:val="center"/>
                </w:tcPr>
                <w:p w14:paraId="257D8AF5">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lang w:val="en-US" w:eastAsia="zh-CN"/>
                    </w:rPr>
                    <w:t>噪声</w:t>
                  </w:r>
                </w:p>
              </w:tc>
              <w:tc>
                <w:tcPr>
                  <w:tcW w:w="4649" w:type="dxa"/>
                  <w:noWrap w:val="0"/>
                  <w:vAlign w:val="center"/>
                </w:tcPr>
                <w:p w14:paraId="524027B2">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优选低噪设备、基础减振、合理布局、墙体隔声</w:t>
                  </w:r>
                </w:p>
              </w:tc>
              <w:tc>
                <w:tcPr>
                  <w:tcW w:w="839" w:type="dxa"/>
                  <w:noWrap w:val="0"/>
                  <w:vAlign w:val="center"/>
                </w:tcPr>
                <w:p w14:paraId="458FC901">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lang w:val="en-US" w:eastAsia="zh-CN"/>
                    </w:rPr>
                    <w:t>30.0</w:t>
                  </w:r>
                </w:p>
              </w:tc>
            </w:tr>
            <w:tr w14:paraId="1C35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restart"/>
                  <w:noWrap w:val="0"/>
                  <w:vAlign w:val="center"/>
                </w:tcPr>
                <w:p w14:paraId="7F23E267">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4</w:t>
                  </w:r>
                </w:p>
              </w:tc>
              <w:tc>
                <w:tcPr>
                  <w:tcW w:w="563" w:type="dxa"/>
                  <w:vMerge w:val="restart"/>
                  <w:noWrap w:val="0"/>
                  <w:vAlign w:val="center"/>
                </w:tcPr>
                <w:p w14:paraId="55DAF993">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固废</w:t>
                  </w:r>
                </w:p>
              </w:tc>
              <w:tc>
                <w:tcPr>
                  <w:tcW w:w="1529" w:type="dxa"/>
                  <w:gridSpan w:val="2"/>
                  <w:noWrap w:val="0"/>
                  <w:vAlign w:val="center"/>
                </w:tcPr>
                <w:p w14:paraId="3E9F9939">
                  <w:pPr>
                    <w:pStyle w:val="4"/>
                    <w:keepLines w:val="0"/>
                    <w:pageBreakBefore w:val="0"/>
                    <w:kinsoku/>
                    <w:wordWrap/>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lang w:val="en-US" w:eastAsia="zh-CN"/>
                    </w:rPr>
                    <w:t>生活污水</w:t>
                  </w:r>
                </w:p>
              </w:tc>
              <w:tc>
                <w:tcPr>
                  <w:tcW w:w="4649" w:type="dxa"/>
                  <w:noWrap w:val="0"/>
                  <w:vAlign w:val="center"/>
                </w:tcPr>
                <w:p w14:paraId="6BC57A67">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ascii="Times New Roman" w:hAnsi="Times New Roman" w:cs="Times New Roman"/>
                      <w:color w:val="auto"/>
                    </w:rPr>
                    <w:t>经收集后由环卫部门统一清运处理</w:t>
                  </w:r>
                </w:p>
              </w:tc>
              <w:tc>
                <w:tcPr>
                  <w:tcW w:w="839" w:type="dxa"/>
                  <w:noWrap w:val="0"/>
                  <w:vAlign w:val="center"/>
                </w:tcPr>
                <w:p w14:paraId="4025F39F">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lang w:val="en-US" w:eastAsia="zh-CN"/>
                    </w:rPr>
                    <w:t>5.0</w:t>
                  </w:r>
                </w:p>
              </w:tc>
            </w:tr>
            <w:tr w14:paraId="32DF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noWrap w:val="0"/>
                  <w:vAlign w:val="center"/>
                </w:tcPr>
                <w:p w14:paraId="6FA942DB">
                  <w:pPr>
                    <w:pStyle w:val="4"/>
                    <w:keepLines w:val="0"/>
                    <w:pageBreakBefore w:val="0"/>
                    <w:kinsoku/>
                    <w:wordWrap/>
                    <w:topLinePunct w:val="0"/>
                    <w:autoSpaceDE/>
                    <w:autoSpaceDN/>
                    <w:bidi w:val="0"/>
                    <w:adjustRightInd/>
                    <w:snapToGrid/>
                    <w:spacing w:line="240" w:lineRule="auto"/>
                    <w:jc w:val="center"/>
                    <w:textAlignment w:val="auto"/>
                    <w:rPr>
                      <w:color w:val="auto"/>
                    </w:rPr>
                  </w:pPr>
                </w:p>
              </w:tc>
              <w:tc>
                <w:tcPr>
                  <w:tcW w:w="563" w:type="dxa"/>
                  <w:vMerge w:val="continue"/>
                  <w:noWrap w:val="0"/>
                  <w:vAlign w:val="center"/>
                </w:tcPr>
                <w:p w14:paraId="5CEFE5BC">
                  <w:pPr>
                    <w:pStyle w:val="4"/>
                    <w:keepLines w:val="0"/>
                    <w:pageBreakBefore w:val="0"/>
                    <w:kinsoku/>
                    <w:wordWrap/>
                    <w:topLinePunct w:val="0"/>
                    <w:autoSpaceDE/>
                    <w:autoSpaceDN/>
                    <w:bidi w:val="0"/>
                    <w:adjustRightInd/>
                    <w:snapToGrid/>
                    <w:spacing w:line="240" w:lineRule="auto"/>
                    <w:jc w:val="center"/>
                    <w:textAlignment w:val="auto"/>
                    <w:rPr>
                      <w:color w:val="auto"/>
                    </w:rPr>
                  </w:pPr>
                </w:p>
              </w:tc>
              <w:tc>
                <w:tcPr>
                  <w:tcW w:w="1529" w:type="dxa"/>
                  <w:gridSpan w:val="2"/>
                  <w:noWrap w:val="0"/>
                  <w:vAlign w:val="center"/>
                </w:tcPr>
                <w:p w14:paraId="1558975F">
                  <w:pPr>
                    <w:pStyle w:val="4"/>
                    <w:keepLines w:val="0"/>
                    <w:pageBreakBefore w:val="0"/>
                    <w:kinsoku/>
                    <w:wordWrap/>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s="Times New Roman"/>
                      <w:color w:val="auto"/>
                      <w:lang w:val="en-US" w:eastAsia="zh-CN"/>
                    </w:rPr>
                    <w:t>废树脂、滤芯</w:t>
                  </w:r>
                </w:p>
              </w:tc>
              <w:tc>
                <w:tcPr>
                  <w:tcW w:w="4649" w:type="dxa"/>
                  <w:noWrap w:val="0"/>
                  <w:vAlign w:val="center"/>
                </w:tcPr>
                <w:p w14:paraId="65D70CF5">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s="Times New Roman"/>
                      <w:color w:val="auto"/>
                      <w:lang w:val="en-US" w:eastAsia="zh-CN"/>
                    </w:rPr>
                    <w:t>软水制备装置产生的废树脂、滤芯定期</w:t>
                  </w:r>
                  <w:r>
                    <w:rPr>
                      <w:rFonts w:hint="eastAsia"/>
                      <w:color w:val="auto"/>
                      <w:lang w:val="en-US" w:eastAsia="zh-CN"/>
                    </w:rPr>
                    <w:t>更换后交由厂家处置</w:t>
                  </w:r>
                </w:p>
              </w:tc>
              <w:tc>
                <w:tcPr>
                  <w:tcW w:w="839" w:type="dxa"/>
                  <w:noWrap w:val="0"/>
                  <w:vAlign w:val="center"/>
                </w:tcPr>
                <w:p w14:paraId="6CABC7D8">
                  <w:pPr>
                    <w:pStyle w:val="4"/>
                    <w:keepLines w:val="0"/>
                    <w:pageBreakBefore w:val="0"/>
                    <w:kinsoku/>
                    <w:wordWrap/>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lang w:val="en-US" w:eastAsia="zh-CN"/>
                    </w:rPr>
                    <w:t>8.0</w:t>
                  </w:r>
                </w:p>
              </w:tc>
            </w:tr>
            <w:tr w14:paraId="1AA5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noWrap w:val="0"/>
                  <w:vAlign w:val="center"/>
                </w:tcPr>
                <w:p w14:paraId="0911DCCD">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5</w:t>
                  </w:r>
                </w:p>
              </w:tc>
              <w:tc>
                <w:tcPr>
                  <w:tcW w:w="2092" w:type="dxa"/>
                  <w:gridSpan w:val="3"/>
                  <w:noWrap w:val="0"/>
                  <w:vAlign w:val="center"/>
                </w:tcPr>
                <w:p w14:paraId="2B7B2C05">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地下水</w:t>
                  </w:r>
                  <w:r>
                    <w:rPr>
                      <w:rFonts w:hint="eastAsia"/>
                      <w:color w:val="auto"/>
                      <w:lang w:eastAsia="zh-CN"/>
                    </w:rPr>
                    <w:t>、</w:t>
                  </w:r>
                  <w:r>
                    <w:rPr>
                      <w:rFonts w:hint="eastAsia"/>
                      <w:color w:val="auto"/>
                      <w:lang w:val="en-US" w:eastAsia="zh-CN"/>
                    </w:rPr>
                    <w:t>土壤防渗</w:t>
                  </w:r>
                </w:p>
              </w:tc>
              <w:tc>
                <w:tcPr>
                  <w:tcW w:w="4649" w:type="dxa"/>
                  <w:noWrap w:val="0"/>
                  <w:vAlign w:val="center"/>
                </w:tcPr>
                <w:p w14:paraId="3328C3F0">
                  <w:pPr>
                    <w:pStyle w:val="4"/>
                    <w:keepLines w:val="0"/>
                    <w:pageBreakBefore w:val="0"/>
                    <w:kinsoku/>
                    <w:wordWrap/>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lang w:val="en-US" w:eastAsia="zh-CN"/>
                    </w:rPr>
                    <w:t>气化间、地埋式储罐区、事故池（有容积不低于240m</w:t>
                  </w:r>
                  <w:r>
                    <w:rPr>
                      <w:rFonts w:hint="eastAsia"/>
                      <w:color w:val="auto"/>
                      <w:vertAlign w:val="superscript"/>
                      <w:lang w:val="en-US" w:eastAsia="zh-CN"/>
                    </w:rPr>
                    <w:t>3</w:t>
                  </w:r>
                  <w:r>
                    <w:rPr>
                      <w:rFonts w:hint="eastAsia"/>
                      <w:color w:val="auto"/>
                      <w:lang w:val="en-US" w:eastAsia="zh-CN"/>
                    </w:rPr>
                    <w:t>）、</w:t>
                  </w:r>
                  <w:r>
                    <w:rPr>
                      <w:rFonts w:hint="default" w:ascii="Times New Roman" w:hAnsi="Times New Roman" w:eastAsia="宋体" w:cs="Times New Roman"/>
                      <w:color w:val="auto"/>
                      <w:kern w:val="44"/>
                      <w:sz w:val="21"/>
                      <w:szCs w:val="24"/>
                      <w:lang w:val="en-US" w:eastAsia="zh-CN" w:bidi="ar-SA"/>
                    </w:rPr>
                    <w:t>节能站机房</w:t>
                  </w:r>
                  <w:r>
                    <w:rPr>
                      <w:color w:val="auto"/>
                    </w:rPr>
                    <w:t>等设重点防渗；</w:t>
                  </w:r>
                  <w:r>
                    <w:rPr>
                      <w:rFonts w:hint="eastAsia"/>
                      <w:color w:val="auto"/>
                      <w:lang w:val="en-US" w:eastAsia="zh-CN"/>
                    </w:rPr>
                    <w:t>办公楼等其他区域简单</w:t>
                  </w:r>
                  <w:r>
                    <w:rPr>
                      <w:color w:val="auto"/>
                    </w:rPr>
                    <w:t>防渗；</w:t>
                  </w:r>
                </w:p>
              </w:tc>
              <w:tc>
                <w:tcPr>
                  <w:tcW w:w="839" w:type="dxa"/>
                  <w:noWrap w:val="0"/>
                  <w:vAlign w:val="center"/>
                </w:tcPr>
                <w:p w14:paraId="7010291D">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lang w:val="en-US" w:eastAsia="zh-CN"/>
                    </w:rPr>
                    <w:t>5.0</w:t>
                  </w:r>
                </w:p>
              </w:tc>
            </w:tr>
            <w:tr w14:paraId="0D51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noWrap w:val="0"/>
                  <w:vAlign w:val="center"/>
                </w:tcPr>
                <w:p w14:paraId="0A6EFCD8">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6</w:t>
                  </w:r>
                </w:p>
              </w:tc>
              <w:tc>
                <w:tcPr>
                  <w:tcW w:w="2092" w:type="dxa"/>
                  <w:gridSpan w:val="3"/>
                  <w:noWrap w:val="0"/>
                  <w:vAlign w:val="center"/>
                </w:tcPr>
                <w:p w14:paraId="1B353512">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olor w:val="auto"/>
                      <w:lang w:val="en-US" w:eastAsia="zh-CN"/>
                    </w:rPr>
                    <w:t>环境</w:t>
                  </w:r>
                  <w:r>
                    <w:rPr>
                      <w:rFonts w:hint="default"/>
                      <w:color w:val="auto"/>
                      <w:lang w:val="en-US" w:eastAsia="zh-CN"/>
                    </w:rPr>
                    <w:t>风险</w:t>
                  </w:r>
                </w:p>
              </w:tc>
              <w:tc>
                <w:tcPr>
                  <w:tcW w:w="4649" w:type="dxa"/>
                  <w:noWrap w:val="0"/>
                  <w:vAlign w:val="center"/>
                </w:tcPr>
                <w:p w14:paraId="7CDA951B">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sz w:val="21"/>
                      <w:szCs w:val="21"/>
                      <w:lang w:val="en-US" w:eastAsia="zh-CN"/>
                    </w:rPr>
                    <w:t>编制环境风险</w:t>
                  </w:r>
                  <w:r>
                    <w:rPr>
                      <w:color w:val="auto"/>
                      <w:sz w:val="21"/>
                      <w:szCs w:val="21"/>
                    </w:rPr>
                    <w:t>应急预案、</w:t>
                  </w:r>
                  <w:r>
                    <w:rPr>
                      <w:rStyle w:val="33"/>
                      <w:rFonts w:hint="eastAsia"/>
                      <w:color w:val="auto"/>
                      <w:kern w:val="0"/>
                      <w:szCs w:val="20"/>
                      <w:lang w:val="en-US" w:eastAsia="zh-CN"/>
                    </w:rPr>
                    <w:t>配置</w:t>
                  </w:r>
                  <w:r>
                    <w:rPr>
                      <w:color w:val="auto"/>
                      <w:sz w:val="21"/>
                      <w:szCs w:val="21"/>
                    </w:rPr>
                    <w:t>消防器材、</w:t>
                  </w:r>
                  <w:r>
                    <w:rPr>
                      <w:rFonts w:hint="eastAsia"/>
                      <w:color w:val="auto"/>
                      <w:lang w:val="en-US" w:eastAsia="zh-CN"/>
                    </w:rPr>
                    <w:t>事故池（有容积不低于240m</w:t>
                  </w:r>
                  <w:r>
                    <w:rPr>
                      <w:rFonts w:hint="eastAsia"/>
                      <w:color w:val="auto"/>
                      <w:vertAlign w:val="superscript"/>
                      <w:lang w:val="en-US" w:eastAsia="zh-CN"/>
                    </w:rPr>
                    <w:t>3</w:t>
                  </w:r>
                  <w:r>
                    <w:rPr>
                      <w:rFonts w:hint="eastAsia"/>
                      <w:color w:val="auto"/>
                      <w:lang w:val="en-US" w:eastAsia="zh-CN"/>
                    </w:rPr>
                    <w:t>）</w:t>
                  </w:r>
                </w:p>
              </w:tc>
              <w:tc>
                <w:tcPr>
                  <w:tcW w:w="839" w:type="dxa"/>
                  <w:noWrap w:val="0"/>
                  <w:vAlign w:val="center"/>
                </w:tcPr>
                <w:p w14:paraId="5498A91E">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lang w:val="en-US" w:eastAsia="zh-CN"/>
                    </w:rPr>
                    <w:t>20.0</w:t>
                  </w:r>
                </w:p>
              </w:tc>
            </w:tr>
            <w:tr w14:paraId="0C6C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noWrap w:val="0"/>
                  <w:vAlign w:val="center"/>
                </w:tcPr>
                <w:p w14:paraId="071C9BD3">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olor w:val="auto"/>
                      <w:lang w:val="en-US" w:eastAsia="zh-CN"/>
                    </w:rPr>
                    <w:t>7</w:t>
                  </w:r>
                </w:p>
              </w:tc>
              <w:tc>
                <w:tcPr>
                  <w:tcW w:w="2092" w:type="dxa"/>
                  <w:gridSpan w:val="3"/>
                  <w:noWrap w:val="0"/>
                  <w:vAlign w:val="center"/>
                </w:tcPr>
                <w:p w14:paraId="47447641">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olor w:val="auto"/>
                      <w:lang w:val="en-US" w:eastAsia="zh-CN"/>
                    </w:rPr>
                    <w:t>环境管理和监测</w:t>
                  </w:r>
                </w:p>
              </w:tc>
              <w:tc>
                <w:tcPr>
                  <w:tcW w:w="4649" w:type="dxa"/>
                  <w:noWrap w:val="0"/>
                  <w:vAlign w:val="center"/>
                </w:tcPr>
                <w:p w14:paraId="0ACD96FE">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olor w:val="auto"/>
                    </w:rPr>
                    <w:t>定期监测</w:t>
                  </w:r>
                </w:p>
              </w:tc>
              <w:tc>
                <w:tcPr>
                  <w:tcW w:w="839" w:type="dxa"/>
                  <w:noWrap w:val="0"/>
                  <w:vAlign w:val="center"/>
                </w:tcPr>
                <w:p w14:paraId="1092CE4B">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lang w:val="en-US" w:eastAsia="zh-CN"/>
                    </w:rPr>
                    <w:t>3.0</w:t>
                  </w:r>
                </w:p>
              </w:tc>
            </w:tr>
            <w:tr w14:paraId="3FE1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noWrap w:val="0"/>
                  <w:vAlign w:val="center"/>
                </w:tcPr>
                <w:p w14:paraId="6C1D95B5">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olor w:val="auto"/>
                      <w:lang w:val="en-US" w:eastAsia="zh-CN"/>
                    </w:rPr>
                    <w:t>8</w:t>
                  </w:r>
                </w:p>
              </w:tc>
              <w:tc>
                <w:tcPr>
                  <w:tcW w:w="2092" w:type="dxa"/>
                  <w:gridSpan w:val="3"/>
                  <w:noWrap w:val="0"/>
                  <w:vAlign w:val="center"/>
                </w:tcPr>
                <w:p w14:paraId="13DE228D">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eastAsia"/>
                      <w:color w:val="auto"/>
                      <w:lang w:val="en-US" w:eastAsia="zh-CN"/>
                    </w:rPr>
                    <w:t>绿化</w:t>
                  </w:r>
                </w:p>
              </w:tc>
              <w:tc>
                <w:tcPr>
                  <w:tcW w:w="4649" w:type="dxa"/>
                  <w:noWrap w:val="0"/>
                  <w:vAlign w:val="center"/>
                </w:tcPr>
                <w:p w14:paraId="379C054F">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lang w:val="en-US" w:eastAsia="zh-CN"/>
                    </w:rPr>
                    <w:t>种植草木等</w:t>
                  </w:r>
                </w:p>
              </w:tc>
              <w:tc>
                <w:tcPr>
                  <w:tcW w:w="839" w:type="dxa"/>
                  <w:noWrap w:val="0"/>
                  <w:vAlign w:val="center"/>
                </w:tcPr>
                <w:p w14:paraId="1DB8F6B8">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lang w:val="en-US" w:eastAsia="zh-CN"/>
                    </w:rPr>
                    <w:t>2.0</w:t>
                  </w:r>
                </w:p>
              </w:tc>
            </w:tr>
            <w:tr w14:paraId="7FD1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8" w:type="dxa"/>
                  <w:gridSpan w:val="5"/>
                  <w:tcBorders>
                    <w:bottom w:val="single" w:color="auto" w:sz="4" w:space="0"/>
                  </w:tcBorders>
                  <w:noWrap w:val="0"/>
                  <w:vAlign w:val="center"/>
                </w:tcPr>
                <w:p w14:paraId="0D45871F">
                  <w:pPr>
                    <w:pStyle w:val="4"/>
                    <w:keepLines w:val="0"/>
                    <w:pageBreakBefore w:val="0"/>
                    <w:kinsoku/>
                    <w:wordWrap/>
                    <w:topLinePunct w:val="0"/>
                    <w:autoSpaceDE/>
                    <w:autoSpaceDN/>
                    <w:bidi w:val="0"/>
                    <w:adjustRightInd/>
                    <w:snapToGrid/>
                    <w:spacing w:line="240" w:lineRule="auto"/>
                    <w:jc w:val="center"/>
                    <w:textAlignment w:val="auto"/>
                    <w:rPr>
                      <w:color w:val="auto"/>
                    </w:rPr>
                  </w:pPr>
                  <w:r>
                    <w:rPr>
                      <w:rFonts w:hint="default"/>
                      <w:color w:val="auto"/>
                    </w:rPr>
                    <w:t>合 计</w:t>
                  </w:r>
                </w:p>
              </w:tc>
              <w:tc>
                <w:tcPr>
                  <w:tcW w:w="839" w:type="dxa"/>
                  <w:noWrap w:val="0"/>
                  <w:vAlign w:val="center"/>
                </w:tcPr>
                <w:p w14:paraId="3D588E90">
                  <w:pPr>
                    <w:pStyle w:val="4"/>
                    <w:keepLines w:val="0"/>
                    <w:pageBreakBefore w:val="0"/>
                    <w:kinsoku/>
                    <w:wordWrap/>
                    <w:topLinePunct w:val="0"/>
                    <w:autoSpaceDE/>
                    <w:autoSpaceDN/>
                    <w:bidi w:val="0"/>
                    <w:adjustRightInd/>
                    <w:snapToGrid/>
                    <w:spacing w:line="240" w:lineRule="auto"/>
                    <w:jc w:val="center"/>
                    <w:textAlignment w:val="auto"/>
                    <w:rPr>
                      <w:rFonts w:hint="default"/>
                      <w:color w:val="auto"/>
                      <w:lang w:val="en-US"/>
                    </w:rPr>
                  </w:pPr>
                  <w:r>
                    <w:rPr>
                      <w:rFonts w:hint="eastAsia"/>
                      <w:color w:val="auto"/>
                      <w:lang w:val="en-US" w:eastAsia="zh-CN"/>
                    </w:rPr>
                    <w:t>140.0</w:t>
                  </w:r>
                </w:p>
              </w:tc>
            </w:tr>
          </w:tbl>
          <w:p w14:paraId="4FEACD25">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b/>
                <w:bCs/>
                <w:color w:val="auto"/>
              </w:rPr>
            </w:pPr>
            <w:r>
              <w:rPr>
                <w:rFonts w:hint="eastAsia" w:cs="Times New Roman"/>
                <w:b/>
                <w:bCs/>
                <w:color w:val="auto"/>
                <w:lang w:val="en-US" w:eastAsia="zh-CN"/>
              </w:rPr>
              <w:t>5.3</w:t>
            </w:r>
            <w:r>
              <w:rPr>
                <w:rFonts w:hint="default" w:ascii="Times New Roman" w:hAnsi="Times New Roman" w:cs="Times New Roman"/>
                <w:b/>
                <w:bCs/>
                <w:color w:val="auto"/>
              </w:rPr>
              <w:t>排污许可联动内容</w:t>
            </w:r>
          </w:p>
          <w:p w14:paraId="120AE3C9">
            <w:pPr>
              <w:pStyle w:val="14"/>
              <w:pageBreakBefore w:val="0"/>
              <w:widowControl w:val="0"/>
              <w:kinsoku/>
              <w:wordWrap/>
              <w:overflowPunct/>
              <w:topLinePunct w:val="0"/>
              <w:autoSpaceDE/>
              <w:autoSpaceDN/>
              <w:bidi w:val="0"/>
              <w:spacing w:line="360" w:lineRule="auto"/>
              <w:ind w:firstLine="480"/>
              <w:jc w:val="left"/>
              <w:textAlignment w:val="auto"/>
              <w:rPr>
                <w:rFonts w:hint="default" w:ascii="Times New Roman" w:hAnsi="Times New Roman" w:cs="Times New Roman"/>
                <w:b/>
                <w:bCs/>
                <w:color w:val="auto"/>
                <w:szCs w:val="24"/>
              </w:rPr>
            </w:pPr>
            <w:r>
              <w:rPr>
                <w:rFonts w:hint="default" w:ascii="Times New Roman" w:hAnsi="Times New Roman" w:cs="Times New Roman"/>
                <w:color w:val="auto"/>
                <w:szCs w:val="24"/>
              </w:rPr>
              <w:t>根据安徽省生态环境厅文件2021年1月30号《安徽省生态环境厅关于统筹做好固定污染源排污许可日常监管工作的通知》（皖环发</w:t>
            </w:r>
            <w:r>
              <w:rPr>
                <w:rFonts w:hint="eastAsia" w:cs="Times New Roman"/>
                <w:color w:val="auto"/>
                <w:szCs w:val="24"/>
                <w:lang w:eastAsia="zh-CN"/>
              </w:rPr>
              <w:t>（</w:t>
            </w:r>
            <w:r>
              <w:rPr>
                <w:rFonts w:hint="default" w:ascii="Times New Roman" w:hAnsi="Times New Roman" w:cs="Times New Roman"/>
                <w:color w:val="auto"/>
                <w:szCs w:val="24"/>
              </w:rPr>
              <w:t>2021</w:t>
            </w:r>
            <w:r>
              <w:rPr>
                <w:rFonts w:hint="eastAsia" w:cs="Times New Roman"/>
                <w:color w:val="auto"/>
                <w:szCs w:val="24"/>
                <w:lang w:eastAsia="zh-CN"/>
              </w:rPr>
              <w:t>）</w:t>
            </w:r>
            <w:r>
              <w:rPr>
                <w:rFonts w:hint="default" w:ascii="Times New Roman" w:hAnsi="Times New Roman" w:cs="Times New Roman"/>
                <w:color w:val="auto"/>
                <w:szCs w:val="24"/>
              </w:rPr>
              <w:t xml:space="preserve"> 7号）文件内容：二、主要任务——第（七）条积极探索排污许可与环评制度的联动试点中——属于现行《固定污染源排污许可分类管理名录》内重点管理和简化管理的行业，在环评文件中一并明确“建设项目环境影响评价与排污许可联动内容”</w:t>
            </w:r>
            <w:r>
              <w:rPr>
                <w:rFonts w:hint="eastAsia" w:cs="Times New Roman"/>
                <w:color w:val="auto"/>
                <w:szCs w:val="24"/>
                <w:lang w:eastAsia="zh-CN"/>
              </w:rPr>
              <w:t>（</w:t>
            </w:r>
            <w:r>
              <w:rPr>
                <w:rFonts w:hint="default" w:ascii="Times New Roman" w:hAnsi="Times New Roman" w:cs="Times New Roman"/>
                <w:color w:val="auto"/>
                <w:szCs w:val="24"/>
              </w:rPr>
              <w:t>附件1</w:t>
            </w:r>
            <w:r>
              <w:rPr>
                <w:rFonts w:hint="eastAsia" w:cs="Times New Roman"/>
                <w:color w:val="auto"/>
                <w:szCs w:val="24"/>
                <w:lang w:eastAsia="zh-CN"/>
              </w:rPr>
              <w:t>）</w:t>
            </w:r>
            <w:r>
              <w:rPr>
                <w:rFonts w:hint="default" w:ascii="Times New Roman" w:hAnsi="Times New Roman" w:cs="Times New Roman"/>
                <w:color w:val="auto"/>
                <w:szCs w:val="24"/>
              </w:rPr>
              <w:t>和《建设项目排污许可申请与填报信息表》</w:t>
            </w:r>
            <w:r>
              <w:rPr>
                <w:rFonts w:hint="eastAsia" w:cs="Times New Roman"/>
                <w:color w:val="auto"/>
                <w:szCs w:val="24"/>
                <w:lang w:eastAsia="zh-CN"/>
              </w:rPr>
              <w:t>（</w:t>
            </w:r>
            <w:r>
              <w:rPr>
                <w:rFonts w:hint="default" w:ascii="Times New Roman" w:hAnsi="Times New Roman" w:cs="Times New Roman"/>
                <w:color w:val="auto"/>
                <w:szCs w:val="24"/>
              </w:rPr>
              <w:t>附件2</w:t>
            </w:r>
            <w:r>
              <w:rPr>
                <w:rFonts w:hint="eastAsia" w:cs="Times New Roman"/>
                <w:color w:val="auto"/>
                <w:szCs w:val="24"/>
                <w:lang w:eastAsia="zh-CN"/>
              </w:rPr>
              <w:t>）</w:t>
            </w:r>
            <w:r>
              <w:rPr>
                <w:rFonts w:hint="default" w:ascii="Times New Roman" w:hAnsi="Times New Roman" w:cs="Times New Roman"/>
                <w:color w:val="auto"/>
                <w:szCs w:val="24"/>
              </w:rPr>
              <w:t>，生态环境部门在环评文件受理和审批过程中同步审核。</w:t>
            </w:r>
          </w:p>
          <w:p w14:paraId="752C07C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lang w:val="en-US" w:eastAsia="zh-CN"/>
              </w:rPr>
            </w:pPr>
            <w:r>
              <w:rPr>
                <w:rFonts w:hint="eastAsia"/>
                <w:color w:val="auto"/>
                <w:lang w:val="en-US" w:eastAsia="zh-CN"/>
              </w:rPr>
              <w:t>根据</w:t>
            </w:r>
            <w:r>
              <w:rPr>
                <w:rFonts w:hint="default" w:ascii="Times New Roman" w:hAnsi="Times New Roman" w:cs="Times New Roman"/>
                <w:color w:val="auto"/>
              </w:rPr>
              <w:t>《固定污染源排污许可分类管理名录》中</w:t>
            </w:r>
            <w:r>
              <w:rPr>
                <w:rFonts w:hint="eastAsia" w:ascii="Times New Roman" w:hAnsi="Times New Roman" w:cs="Times New Roman"/>
                <w:color w:val="auto"/>
                <w:lang w:val="en-US" w:eastAsia="zh-CN"/>
              </w:rPr>
              <w:t>可知</w:t>
            </w:r>
            <w:r>
              <w:rPr>
                <w:rFonts w:hint="eastAsia" w:ascii="Times New Roman" w:hAnsi="Times New Roman" w:cs="Times New Roman"/>
                <w:color w:val="auto"/>
                <w:lang w:eastAsia="zh-CN"/>
              </w:rPr>
              <w:t>，</w:t>
            </w:r>
            <w:r>
              <w:rPr>
                <w:rFonts w:hint="eastAsia"/>
                <w:color w:val="auto"/>
                <w:lang w:val="en-US" w:eastAsia="zh-CN"/>
              </w:rPr>
              <w:t>由于本项目管网不涉及固定污染源排污许可分类管理，能源站为</w:t>
            </w:r>
            <w:r>
              <w:rPr>
                <w:rFonts w:hint="eastAsia" w:cs="Times New Roman"/>
                <w:color w:val="auto"/>
                <w:lang w:eastAsia="zh-CN"/>
              </w:rPr>
              <w:t>“</w:t>
            </w:r>
            <w:r>
              <w:rPr>
                <w:rFonts w:hint="default" w:ascii="Times New Roman" w:hAnsi="Times New Roman" w:cs="Times New Roman"/>
                <w:color w:val="auto"/>
                <w:lang w:val="en-US" w:eastAsia="zh-CN"/>
              </w:rPr>
              <w:t>十九、电力、热力生产和供应业 44</w:t>
            </w:r>
            <w:r>
              <w:rPr>
                <w:rFonts w:hint="eastAsia" w:cs="Times New Roman"/>
                <w:color w:val="auto"/>
                <w:lang w:val="en-US" w:eastAsia="zh-CN"/>
              </w:rPr>
              <w:t>、单台且合计出力20吨/小时（14 兆瓦）以</w:t>
            </w:r>
            <w:r>
              <w:rPr>
                <w:rFonts w:hint="eastAsia" w:cs="Times New Roman"/>
                <w:color w:val="auto"/>
                <w:sz w:val="21"/>
                <w:szCs w:val="21"/>
                <w:vertAlign w:val="baseline"/>
                <w:lang w:val="en-US" w:eastAsia="zh-CN"/>
              </w:rPr>
              <w:t>上</w:t>
            </w:r>
            <w:r>
              <w:rPr>
                <w:rFonts w:hint="eastAsia" w:cs="Times New Roman"/>
                <w:color w:val="auto"/>
                <w:lang w:val="en-US" w:eastAsia="zh-CN"/>
              </w:rPr>
              <w:t>的锅炉（不含电热锅炉和单台且合计出力1吨/小时（0.7 兆瓦）及以下的天然气锅炉）</w:t>
            </w:r>
            <w:r>
              <w:rPr>
                <w:rFonts w:hint="eastAsia" w:cs="Times New Roman"/>
                <w:color w:val="auto"/>
                <w:lang w:eastAsia="zh-CN"/>
              </w:rPr>
              <w:t>”</w:t>
            </w:r>
            <w:r>
              <w:rPr>
                <w:rFonts w:hint="default" w:ascii="Times New Roman" w:hAnsi="Times New Roman" w:cs="Times New Roman"/>
                <w:color w:val="auto"/>
              </w:rPr>
              <w:t>属于</w:t>
            </w:r>
            <w:r>
              <w:rPr>
                <w:rFonts w:hint="eastAsia" w:cs="Times New Roman"/>
                <w:color w:val="auto"/>
                <w:lang w:val="en-US" w:eastAsia="zh-CN"/>
              </w:rPr>
              <w:t>重点</w:t>
            </w:r>
            <w:r>
              <w:rPr>
                <w:rFonts w:hint="default" w:ascii="Times New Roman" w:hAnsi="Times New Roman" w:cs="Times New Roman"/>
                <w:color w:val="auto"/>
              </w:rPr>
              <w:t>管理</w:t>
            </w:r>
            <w:r>
              <w:rPr>
                <w:rFonts w:hint="eastAsia"/>
                <w:color w:val="auto"/>
                <w:lang w:val="en-US" w:eastAsia="zh-CN"/>
              </w:rPr>
              <w:t>。因此，本项目为</w:t>
            </w:r>
            <w:r>
              <w:rPr>
                <w:rFonts w:hint="eastAsia" w:cs="Times New Roman"/>
                <w:color w:val="auto"/>
                <w:lang w:val="en-US" w:eastAsia="zh-CN"/>
              </w:rPr>
              <w:t>重点</w:t>
            </w:r>
            <w:r>
              <w:rPr>
                <w:rFonts w:hint="eastAsia"/>
                <w:color w:val="auto"/>
                <w:lang w:val="en-US" w:eastAsia="zh-CN"/>
              </w:rPr>
              <w:t>管理。</w:t>
            </w:r>
          </w:p>
          <w:p w14:paraId="0FEC524B">
            <w:pPr>
              <w:pStyle w:val="14"/>
              <w:pageBreakBefore w:val="0"/>
              <w:widowControl w:val="0"/>
              <w:kinsoku/>
              <w:wordWrap/>
              <w:overflowPunct/>
              <w:topLinePunct w:val="0"/>
              <w:autoSpaceDE/>
              <w:autoSpaceDN/>
              <w:bidi w:val="0"/>
              <w:spacing w:line="360" w:lineRule="auto"/>
              <w:ind w:firstLine="480"/>
              <w:jc w:val="left"/>
              <w:textAlignment w:val="auto"/>
              <w:rPr>
                <w:rFonts w:hint="eastAsia" w:cs="Times New Roman"/>
                <w:color w:val="auto"/>
                <w:lang w:val="en-US" w:eastAsia="zh-CN"/>
              </w:rPr>
            </w:pPr>
          </w:p>
          <w:p w14:paraId="17DB7131">
            <w:pPr>
              <w:pStyle w:val="14"/>
              <w:pageBreakBefore w:val="0"/>
              <w:widowControl w:val="0"/>
              <w:kinsoku/>
              <w:wordWrap/>
              <w:overflowPunct/>
              <w:topLinePunct w:val="0"/>
              <w:autoSpaceDE/>
              <w:autoSpaceDN/>
              <w:bidi w:val="0"/>
              <w:spacing w:line="360" w:lineRule="auto"/>
              <w:ind w:firstLine="480"/>
              <w:jc w:val="left"/>
              <w:textAlignment w:val="auto"/>
              <w:rPr>
                <w:rFonts w:hint="eastAsia" w:cs="Times New Roman"/>
                <w:color w:val="auto"/>
                <w:lang w:val="en-US" w:eastAsia="zh-CN"/>
              </w:rPr>
            </w:pPr>
          </w:p>
          <w:p w14:paraId="3473EFA4">
            <w:pPr>
              <w:pStyle w:val="14"/>
              <w:pageBreakBefore w:val="0"/>
              <w:widowControl w:val="0"/>
              <w:kinsoku/>
              <w:wordWrap/>
              <w:overflowPunct/>
              <w:topLinePunct w:val="0"/>
              <w:autoSpaceDE/>
              <w:autoSpaceDN/>
              <w:bidi w:val="0"/>
              <w:spacing w:line="360" w:lineRule="auto"/>
              <w:ind w:firstLine="480"/>
              <w:jc w:val="left"/>
              <w:textAlignment w:val="auto"/>
              <w:rPr>
                <w:rFonts w:hint="eastAsia" w:cs="Times New Roman"/>
                <w:color w:val="auto"/>
                <w:lang w:val="en-US" w:eastAsia="zh-CN"/>
              </w:rPr>
            </w:pPr>
          </w:p>
          <w:p w14:paraId="0DC51F1B">
            <w:pPr>
              <w:pStyle w:val="14"/>
              <w:pageBreakBefore w:val="0"/>
              <w:widowControl w:val="0"/>
              <w:kinsoku/>
              <w:wordWrap/>
              <w:overflowPunct/>
              <w:topLinePunct w:val="0"/>
              <w:autoSpaceDE/>
              <w:autoSpaceDN/>
              <w:bidi w:val="0"/>
              <w:spacing w:line="360" w:lineRule="auto"/>
              <w:ind w:firstLine="480"/>
              <w:jc w:val="left"/>
              <w:textAlignment w:val="auto"/>
              <w:rPr>
                <w:rFonts w:hint="eastAsia" w:cs="Times New Roman"/>
                <w:color w:val="auto"/>
                <w:lang w:val="en-US" w:eastAsia="zh-CN"/>
              </w:rPr>
            </w:pPr>
          </w:p>
          <w:p w14:paraId="4B44488C">
            <w:pPr>
              <w:pageBreakBefore w:val="0"/>
              <w:widowControl w:val="0"/>
              <w:kinsoku/>
              <w:wordWrap/>
              <w:overflowPunct/>
              <w:topLinePunct w:val="0"/>
              <w:autoSpaceDE/>
              <w:autoSpaceDN/>
              <w:bidi w:val="0"/>
              <w:spacing w:line="360" w:lineRule="auto"/>
              <w:ind w:firstLine="0" w:firstLineChars="0"/>
              <w:jc w:val="both"/>
              <w:textAlignment w:val="auto"/>
              <w:rPr>
                <w:rFonts w:hint="default" w:ascii="Times New Roman" w:hAnsi="Times New Roman" w:eastAsia="宋体" w:cs="Times New Roman"/>
                <w:color w:val="auto"/>
                <w:szCs w:val="21"/>
                <w:lang w:val="en-US" w:eastAsia="zh-CN"/>
              </w:rPr>
            </w:pPr>
          </w:p>
        </w:tc>
      </w:tr>
    </w:tbl>
    <w:p w14:paraId="6CAFEF87">
      <w:pPr>
        <w:pStyle w:val="24"/>
        <w:spacing w:before="0" w:beforeAutospacing="0" w:after="0" w:afterAutospacing="0"/>
        <w:ind w:firstLine="0" w:firstLineChars="0"/>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6"/>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88BA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tcPr>
          <w:p w14:paraId="5DB88441">
            <w:pPr>
              <w:ind w:firstLine="480"/>
              <w:rPr>
                <w:color w:val="auto"/>
              </w:rPr>
            </w:pPr>
            <w:r>
              <w:rPr>
                <w:color w:val="auto"/>
              </w:rPr>
              <w:t>本项目选址于</w:t>
            </w:r>
            <w:r>
              <w:rPr>
                <w:rFonts w:hint="eastAsia"/>
                <w:sz w:val="24"/>
                <w:lang w:val="en-US" w:eastAsia="zh-CN"/>
              </w:rPr>
              <w:t>安徽省淮北市烈山区</w:t>
            </w:r>
            <w:r>
              <w:rPr>
                <w:color w:val="auto"/>
              </w:rPr>
              <w:t>，项目建设符合我国现行的产业政策，选址合理，符合当地区域总体规划，总图布置可行。污染治理措施技术经济可行，采取相应的污染防治措施后可使污染物达标排放，对评价区域环境质量的影响不明显，项目选址与周边用地功能相容性较好，无重大环境制约因素。只要严格落实环境影响报告表和工程设计提出的环保对策措施，确保项目产生的污染物达标排放，从环境保护角度，本项目的建设是可行的</w:t>
            </w:r>
            <w:r>
              <w:rPr>
                <w:rFonts w:hint="eastAsia"/>
                <w:color w:val="auto"/>
              </w:rPr>
              <w:t>。</w:t>
            </w:r>
          </w:p>
          <w:p w14:paraId="4770AA16">
            <w:pPr>
              <w:ind w:firstLine="480"/>
              <w:rPr>
                <w:rFonts w:ascii="宋体" w:cs="宋体"/>
                <w:color w:val="auto"/>
              </w:rPr>
            </w:pPr>
          </w:p>
        </w:tc>
      </w:tr>
    </w:tbl>
    <w:p w14:paraId="3EA5A6F4">
      <w:pPr>
        <w:ind w:firstLine="480"/>
        <w:rPr>
          <w:rFonts w:ascii="宋体"/>
          <w:color w:val="auto"/>
        </w:rPr>
        <w:sectPr>
          <w:pgSz w:w="11906" w:h="16838"/>
          <w:pgMar w:top="1701" w:right="1531" w:bottom="1701" w:left="1531" w:header="851" w:footer="851" w:gutter="0"/>
          <w:pgNumType w:fmt="decimal"/>
          <w:cols w:space="720" w:num="1"/>
          <w:docGrid w:linePitch="312" w:charSpace="0"/>
        </w:sectPr>
      </w:pPr>
    </w:p>
    <w:p w14:paraId="24326EB0">
      <w:pPr>
        <w:pStyle w:val="24"/>
        <w:spacing w:before="0" w:beforeAutospacing="0" w:after="0" w:afterAutospacing="0" w:line="240" w:lineRule="auto"/>
        <w:ind w:firstLine="0" w:firstLineChars="0"/>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14:paraId="694839BB">
      <w:pPr>
        <w:pStyle w:val="24"/>
        <w:spacing w:before="0" w:beforeAutospacing="0" w:after="0" w:afterAutospacing="0" w:line="240" w:lineRule="auto"/>
        <w:ind w:firstLine="0" w:firstLineChars="0"/>
        <w:jc w:val="center"/>
        <w:outlineLvl w:val="0"/>
        <w:rPr>
          <w:rFonts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02"/>
        <w:gridCol w:w="1149"/>
        <w:gridCol w:w="1250"/>
        <w:gridCol w:w="1664"/>
        <w:gridCol w:w="1525"/>
        <w:gridCol w:w="1722"/>
        <w:gridCol w:w="1598"/>
        <w:gridCol w:w="1128"/>
      </w:tblGrid>
      <w:tr w14:paraId="073CB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4" w:type="dxa"/>
            <w:tcBorders>
              <w:tl2br w:val="single" w:color="auto" w:sz="4" w:space="0"/>
            </w:tcBorders>
            <w:tcMar>
              <w:left w:w="28" w:type="dxa"/>
              <w:right w:w="28" w:type="dxa"/>
            </w:tcMar>
            <w:vAlign w:val="center"/>
          </w:tcPr>
          <w:p w14:paraId="0F16025F">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rFonts w:hint="eastAsia"/>
                <w:b/>
                <w:bCs/>
                <w:color w:val="auto"/>
              </w:rPr>
              <w:t>项目</w:t>
            </w:r>
          </w:p>
          <w:p w14:paraId="10806E64">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rFonts w:hint="eastAsia"/>
                <w:b/>
                <w:bCs/>
                <w:color w:val="auto"/>
              </w:rPr>
              <w:t>分类</w:t>
            </w:r>
          </w:p>
        </w:tc>
        <w:tc>
          <w:tcPr>
            <w:tcW w:w="1902" w:type="dxa"/>
            <w:tcMar>
              <w:left w:w="28" w:type="dxa"/>
              <w:right w:w="28" w:type="dxa"/>
            </w:tcMar>
            <w:vAlign w:val="center"/>
          </w:tcPr>
          <w:p w14:paraId="49B24F1E">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rFonts w:hint="eastAsia"/>
                <w:b/>
                <w:bCs/>
                <w:color w:val="auto"/>
              </w:rPr>
              <w:t>污染物名称</w:t>
            </w:r>
          </w:p>
        </w:tc>
        <w:tc>
          <w:tcPr>
            <w:tcW w:w="1149" w:type="dxa"/>
            <w:tcMar>
              <w:left w:w="28" w:type="dxa"/>
              <w:right w:w="28" w:type="dxa"/>
            </w:tcMar>
            <w:vAlign w:val="center"/>
          </w:tcPr>
          <w:p w14:paraId="5AD45631">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现有工程</w:t>
            </w:r>
          </w:p>
          <w:p w14:paraId="46DF285D">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排放量（固</w:t>
            </w:r>
            <w:r>
              <w:rPr>
                <w:rFonts w:hint="eastAsia"/>
                <w:b/>
                <w:bCs/>
                <w:color w:val="auto"/>
              </w:rPr>
              <w:t>体</w:t>
            </w:r>
            <w:r>
              <w:rPr>
                <w:b/>
                <w:bCs/>
                <w:color w:val="auto"/>
              </w:rPr>
              <w:t>废</w:t>
            </w:r>
            <w:r>
              <w:rPr>
                <w:rFonts w:hint="eastAsia"/>
                <w:b/>
                <w:bCs/>
                <w:color w:val="auto"/>
              </w:rPr>
              <w:t>物</w:t>
            </w:r>
            <w:r>
              <w:rPr>
                <w:b/>
                <w:bCs/>
                <w:color w:val="auto"/>
              </w:rPr>
              <w:t>产生量）</w:t>
            </w:r>
            <w:r>
              <w:rPr>
                <w:b/>
                <w:bCs/>
                <w:color w:val="auto"/>
              </w:rPr>
              <w:fldChar w:fldCharType="begin"/>
            </w:r>
            <w:r>
              <w:rPr>
                <w:b/>
                <w:bCs/>
                <w:color w:val="auto"/>
              </w:rPr>
              <w:instrText xml:space="preserve"> = 1 \* GB3 \* MERGEFORMAT </w:instrText>
            </w:r>
            <w:r>
              <w:rPr>
                <w:b/>
                <w:bCs/>
                <w:color w:val="auto"/>
              </w:rPr>
              <w:fldChar w:fldCharType="separate"/>
            </w:r>
            <w:r>
              <w:rPr>
                <w:rFonts w:hint="eastAsia"/>
                <w:b/>
                <w:bCs/>
                <w:color w:val="auto"/>
              </w:rPr>
              <w:t>①</w:t>
            </w:r>
            <w:r>
              <w:rPr>
                <w:b/>
                <w:bCs/>
                <w:color w:val="auto"/>
              </w:rPr>
              <w:fldChar w:fldCharType="end"/>
            </w:r>
          </w:p>
        </w:tc>
        <w:tc>
          <w:tcPr>
            <w:tcW w:w="1250" w:type="dxa"/>
            <w:tcMar>
              <w:left w:w="28" w:type="dxa"/>
              <w:right w:w="28" w:type="dxa"/>
            </w:tcMar>
            <w:vAlign w:val="center"/>
          </w:tcPr>
          <w:p w14:paraId="6C68D2FC">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现有工程</w:t>
            </w:r>
          </w:p>
          <w:p w14:paraId="23AC8527">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许可排放量</w:t>
            </w:r>
          </w:p>
          <w:p w14:paraId="2A22050D">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fldChar w:fldCharType="begin"/>
            </w:r>
            <w:r>
              <w:rPr>
                <w:b/>
                <w:bCs/>
                <w:color w:val="auto"/>
              </w:rPr>
              <w:instrText xml:space="preserve"> = 2 \* GB3 \* MERGEFORMAT </w:instrText>
            </w:r>
            <w:r>
              <w:rPr>
                <w:b/>
                <w:bCs/>
                <w:color w:val="auto"/>
              </w:rPr>
              <w:fldChar w:fldCharType="separate"/>
            </w:r>
            <w:r>
              <w:rPr>
                <w:rFonts w:hint="eastAsia"/>
                <w:b/>
                <w:bCs/>
                <w:color w:val="auto"/>
              </w:rPr>
              <w:t>②</w:t>
            </w:r>
            <w:r>
              <w:rPr>
                <w:b/>
                <w:bCs/>
                <w:color w:val="auto"/>
              </w:rPr>
              <w:fldChar w:fldCharType="end"/>
            </w:r>
          </w:p>
        </w:tc>
        <w:tc>
          <w:tcPr>
            <w:tcW w:w="1664" w:type="dxa"/>
            <w:tcMar>
              <w:left w:w="28" w:type="dxa"/>
              <w:right w:w="28" w:type="dxa"/>
            </w:tcMar>
            <w:vAlign w:val="center"/>
          </w:tcPr>
          <w:p w14:paraId="31ECB1FB">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在建工程</w:t>
            </w:r>
          </w:p>
          <w:p w14:paraId="4F6EC3F5">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排放量（固</w:t>
            </w:r>
            <w:r>
              <w:rPr>
                <w:rFonts w:hint="eastAsia"/>
                <w:b/>
                <w:bCs/>
                <w:color w:val="auto"/>
              </w:rPr>
              <w:t>体</w:t>
            </w:r>
            <w:r>
              <w:rPr>
                <w:b/>
                <w:bCs/>
                <w:color w:val="auto"/>
              </w:rPr>
              <w:t>废</w:t>
            </w:r>
            <w:r>
              <w:rPr>
                <w:rFonts w:hint="eastAsia"/>
                <w:b/>
                <w:bCs/>
                <w:color w:val="auto"/>
              </w:rPr>
              <w:t>物</w:t>
            </w:r>
            <w:r>
              <w:rPr>
                <w:b/>
                <w:bCs/>
                <w:color w:val="auto"/>
              </w:rPr>
              <w:t>产生量）</w:t>
            </w:r>
            <w:r>
              <w:rPr>
                <w:b/>
                <w:bCs/>
                <w:color w:val="auto"/>
              </w:rPr>
              <w:fldChar w:fldCharType="begin"/>
            </w:r>
            <w:r>
              <w:rPr>
                <w:b/>
                <w:bCs/>
                <w:color w:val="auto"/>
              </w:rPr>
              <w:instrText xml:space="preserve"> = 3 \* GB3 \* MERGEFORMAT </w:instrText>
            </w:r>
            <w:r>
              <w:rPr>
                <w:b/>
                <w:bCs/>
                <w:color w:val="auto"/>
              </w:rPr>
              <w:fldChar w:fldCharType="separate"/>
            </w:r>
            <w:r>
              <w:rPr>
                <w:rFonts w:hint="eastAsia"/>
                <w:b/>
                <w:bCs/>
                <w:color w:val="auto"/>
              </w:rPr>
              <w:t>③</w:t>
            </w:r>
            <w:r>
              <w:rPr>
                <w:b/>
                <w:bCs/>
                <w:color w:val="auto"/>
              </w:rPr>
              <w:fldChar w:fldCharType="end"/>
            </w:r>
          </w:p>
        </w:tc>
        <w:tc>
          <w:tcPr>
            <w:tcW w:w="1525" w:type="dxa"/>
            <w:tcMar>
              <w:left w:w="28" w:type="dxa"/>
              <w:right w:w="28" w:type="dxa"/>
            </w:tcMar>
            <w:vAlign w:val="center"/>
          </w:tcPr>
          <w:p w14:paraId="2B3B1118">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本项目</w:t>
            </w:r>
          </w:p>
          <w:p w14:paraId="7CEEF69D">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排放量（固</w:t>
            </w:r>
            <w:r>
              <w:rPr>
                <w:rFonts w:hint="eastAsia"/>
                <w:b/>
                <w:bCs/>
                <w:color w:val="auto"/>
              </w:rPr>
              <w:t>体</w:t>
            </w:r>
            <w:r>
              <w:rPr>
                <w:b/>
                <w:bCs/>
                <w:color w:val="auto"/>
              </w:rPr>
              <w:t>废</w:t>
            </w:r>
            <w:r>
              <w:rPr>
                <w:rFonts w:hint="eastAsia"/>
                <w:b/>
                <w:bCs/>
                <w:color w:val="auto"/>
              </w:rPr>
              <w:t>物</w:t>
            </w:r>
            <w:r>
              <w:rPr>
                <w:b/>
                <w:bCs/>
                <w:color w:val="auto"/>
              </w:rPr>
              <w:t>产生量）</w:t>
            </w:r>
            <w:r>
              <w:rPr>
                <w:b/>
                <w:bCs/>
                <w:color w:val="auto"/>
              </w:rPr>
              <w:fldChar w:fldCharType="begin"/>
            </w:r>
            <w:r>
              <w:rPr>
                <w:b/>
                <w:bCs/>
                <w:color w:val="auto"/>
              </w:rPr>
              <w:instrText xml:space="preserve"> = 4 \* GB3 \* MERGEFORMAT </w:instrText>
            </w:r>
            <w:r>
              <w:rPr>
                <w:b/>
                <w:bCs/>
                <w:color w:val="auto"/>
              </w:rPr>
              <w:fldChar w:fldCharType="separate"/>
            </w:r>
            <w:r>
              <w:rPr>
                <w:rFonts w:hint="eastAsia"/>
                <w:b/>
                <w:bCs/>
                <w:color w:val="auto"/>
              </w:rPr>
              <w:t>④</w:t>
            </w:r>
            <w:r>
              <w:rPr>
                <w:b/>
                <w:bCs/>
                <w:color w:val="auto"/>
              </w:rPr>
              <w:fldChar w:fldCharType="end"/>
            </w:r>
          </w:p>
        </w:tc>
        <w:tc>
          <w:tcPr>
            <w:tcW w:w="1722" w:type="dxa"/>
            <w:tcMar>
              <w:left w:w="28" w:type="dxa"/>
              <w:right w:w="28" w:type="dxa"/>
            </w:tcMar>
            <w:vAlign w:val="center"/>
          </w:tcPr>
          <w:p w14:paraId="246463DE">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以新带老削减量</w:t>
            </w:r>
          </w:p>
          <w:p w14:paraId="0CC27625">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（新建项目不填）</w:t>
            </w:r>
            <w:r>
              <w:rPr>
                <w:b/>
                <w:bCs/>
                <w:color w:val="auto"/>
              </w:rPr>
              <w:fldChar w:fldCharType="begin"/>
            </w:r>
            <w:r>
              <w:rPr>
                <w:b/>
                <w:bCs/>
                <w:color w:val="auto"/>
              </w:rPr>
              <w:instrText xml:space="preserve"> = 5 \* GB3 \* MERGEFORMAT </w:instrText>
            </w:r>
            <w:r>
              <w:rPr>
                <w:b/>
                <w:bCs/>
                <w:color w:val="auto"/>
              </w:rPr>
              <w:fldChar w:fldCharType="separate"/>
            </w:r>
            <w:r>
              <w:rPr>
                <w:rFonts w:hint="eastAsia"/>
                <w:b/>
                <w:bCs/>
                <w:color w:val="auto"/>
              </w:rPr>
              <w:t>⑤</w:t>
            </w:r>
            <w:r>
              <w:rPr>
                <w:b/>
                <w:bCs/>
                <w:color w:val="auto"/>
              </w:rPr>
              <w:fldChar w:fldCharType="end"/>
            </w:r>
          </w:p>
        </w:tc>
        <w:tc>
          <w:tcPr>
            <w:tcW w:w="1598" w:type="dxa"/>
            <w:tcMar>
              <w:left w:w="28" w:type="dxa"/>
              <w:right w:w="28" w:type="dxa"/>
            </w:tcMar>
            <w:vAlign w:val="center"/>
          </w:tcPr>
          <w:p w14:paraId="6A2AF565">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本项目建成后</w:t>
            </w:r>
          </w:p>
          <w:p w14:paraId="000EE831">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rFonts w:hint="eastAsia"/>
                <w:b/>
                <w:bCs/>
                <w:color w:val="auto"/>
              </w:rPr>
              <w:t>全厂</w:t>
            </w:r>
            <w:r>
              <w:rPr>
                <w:b/>
                <w:bCs/>
                <w:color w:val="auto"/>
              </w:rPr>
              <w:t>排放量（固</w:t>
            </w:r>
            <w:r>
              <w:rPr>
                <w:rFonts w:hint="eastAsia"/>
                <w:b/>
                <w:bCs/>
                <w:color w:val="auto"/>
              </w:rPr>
              <w:t>体</w:t>
            </w:r>
            <w:r>
              <w:rPr>
                <w:b/>
                <w:bCs/>
                <w:color w:val="auto"/>
              </w:rPr>
              <w:t>废</w:t>
            </w:r>
            <w:r>
              <w:rPr>
                <w:rFonts w:hint="eastAsia"/>
                <w:b/>
                <w:bCs/>
                <w:color w:val="auto"/>
              </w:rPr>
              <w:t>物</w:t>
            </w:r>
            <w:r>
              <w:rPr>
                <w:b/>
                <w:bCs/>
                <w:color w:val="auto"/>
              </w:rPr>
              <w:t>产生量）</w:t>
            </w:r>
            <w:r>
              <w:rPr>
                <w:b/>
                <w:bCs/>
                <w:color w:val="auto"/>
              </w:rPr>
              <w:fldChar w:fldCharType="begin"/>
            </w:r>
            <w:r>
              <w:rPr>
                <w:b/>
                <w:bCs/>
                <w:color w:val="auto"/>
              </w:rPr>
              <w:instrText xml:space="preserve"> = 6 \* GB3 \* MERGEFORMAT </w:instrText>
            </w:r>
            <w:r>
              <w:rPr>
                <w:b/>
                <w:bCs/>
                <w:color w:val="auto"/>
              </w:rPr>
              <w:fldChar w:fldCharType="separate"/>
            </w:r>
            <w:r>
              <w:rPr>
                <w:rFonts w:hint="eastAsia"/>
                <w:b/>
                <w:bCs/>
                <w:color w:val="auto"/>
              </w:rPr>
              <w:t>⑥</w:t>
            </w:r>
            <w:r>
              <w:rPr>
                <w:b/>
                <w:bCs/>
                <w:color w:val="auto"/>
              </w:rPr>
              <w:fldChar w:fldCharType="end"/>
            </w:r>
          </w:p>
        </w:tc>
        <w:tc>
          <w:tcPr>
            <w:tcW w:w="1128" w:type="dxa"/>
            <w:tcMar>
              <w:left w:w="28" w:type="dxa"/>
              <w:right w:w="28" w:type="dxa"/>
            </w:tcMar>
            <w:vAlign w:val="center"/>
          </w:tcPr>
          <w:p w14:paraId="75E36346">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t>变化量</w:t>
            </w:r>
          </w:p>
          <w:p w14:paraId="7DDB7C09">
            <w:pPr>
              <w:pStyle w:val="4"/>
              <w:pageBreakBefore w:val="0"/>
              <w:widowControl w:val="0"/>
              <w:kinsoku/>
              <w:wordWrap/>
              <w:overflowPunct/>
              <w:topLinePunct w:val="0"/>
              <w:autoSpaceDE/>
              <w:autoSpaceDN/>
              <w:bidi w:val="0"/>
              <w:adjustRightInd/>
              <w:snapToGrid/>
              <w:spacing w:line="240" w:lineRule="auto"/>
              <w:textAlignment w:val="auto"/>
              <w:rPr>
                <w:b/>
                <w:bCs/>
                <w:color w:val="auto"/>
              </w:rPr>
            </w:pPr>
            <w:r>
              <w:rPr>
                <w:b/>
                <w:bCs/>
                <w:color w:val="auto"/>
              </w:rPr>
              <w:fldChar w:fldCharType="begin"/>
            </w:r>
            <w:r>
              <w:rPr>
                <w:b/>
                <w:bCs/>
                <w:color w:val="auto"/>
              </w:rPr>
              <w:instrText xml:space="preserve"> = 7 \* GB3 \* MERGEFORMAT </w:instrText>
            </w:r>
            <w:r>
              <w:rPr>
                <w:b/>
                <w:bCs/>
                <w:color w:val="auto"/>
              </w:rPr>
              <w:fldChar w:fldCharType="separate"/>
            </w:r>
            <w:r>
              <w:rPr>
                <w:rFonts w:hint="eastAsia"/>
                <w:b/>
                <w:bCs/>
                <w:color w:val="auto"/>
              </w:rPr>
              <w:t>⑦</w:t>
            </w:r>
            <w:r>
              <w:rPr>
                <w:b/>
                <w:bCs/>
                <w:color w:val="auto"/>
              </w:rPr>
              <w:fldChar w:fldCharType="end"/>
            </w:r>
          </w:p>
        </w:tc>
      </w:tr>
      <w:tr w14:paraId="65343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4" w:type="dxa"/>
            <w:vMerge w:val="restart"/>
            <w:vAlign w:val="center"/>
          </w:tcPr>
          <w:p w14:paraId="2CABDA29">
            <w:pPr>
              <w:pStyle w:val="4"/>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olor w:val="auto"/>
                <w:lang w:val="en-US" w:eastAsia="zh-CN"/>
              </w:rPr>
            </w:pPr>
            <w:r>
              <w:rPr>
                <w:rFonts w:hint="eastAsia"/>
                <w:color w:val="auto"/>
                <w:lang w:val="en-US" w:eastAsia="zh-CN"/>
              </w:rPr>
              <w:t>废气</w:t>
            </w:r>
          </w:p>
        </w:tc>
        <w:tc>
          <w:tcPr>
            <w:tcW w:w="1902" w:type="dxa"/>
            <w:vAlign w:val="center"/>
          </w:tcPr>
          <w:p w14:paraId="41F69A74">
            <w:pPr>
              <w:pStyle w:val="4"/>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rPr>
            </w:pPr>
            <w:r>
              <w:rPr>
                <w:rFonts w:hint="eastAsia"/>
                <w:color w:val="auto"/>
                <w:lang w:val="en-US" w:eastAsia="zh-CN"/>
              </w:rPr>
              <w:t>颗粒物</w:t>
            </w:r>
          </w:p>
        </w:tc>
        <w:tc>
          <w:tcPr>
            <w:tcW w:w="1149" w:type="dxa"/>
            <w:vAlign w:val="center"/>
          </w:tcPr>
          <w:p w14:paraId="522485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p>
        </w:tc>
        <w:tc>
          <w:tcPr>
            <w:tcW w:w="1250" w:type="dxa"/>
            <w:vAlign w:val="center"/>
          </w:tcPr>
          <w:p w14:paraId="168CE9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rPr>
              <w:t>0</w:t>
            </w:r>
          </w:p>
        </w:tc>
        <w:tc>
          <w:tcPr>
            <w:tcW w:w="1664" w:type="dxa"/>
            <w:vAlign w:val="center"/>
          </w:tcPr>
          <w:p w14:paraId="5ED103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p>
        </w:tc>
        <w:tc>
          <w:tcPr>
            <w:tcW w:w="1525" w:type="dxa"/>
            <w:vAlign w:val="center"/>
          </w:tcPr>
          <w:p w14:paraId="5C908EAB">
            <w:pPr>
              <w:pStyle w:val="4"/>
              <w:pageBreakBefore w:val="0"/>
              <w:kinsoku/>
              <w:wordWrap/>
              <w:overflowPunct/>
              <w:topLinePunct w:val="0"/>
              <w:autoSpaceDE/>
              <w:autoSpaceDN/>
              <w:bidi w:val="0"/>
              <w:adjustRightInd/>
              <w:snapToGrid/>
              <w:spacing w:line="240" w:lineRule="auto"/>
              <w:ind w:firstLine="0" w:firstLineChars="0"/>
              <w:outlineLvl w:val="0"/>
              <w:rPr>
                <w:rFonts w:hint="default"/>
                <w:color w:val="auto"/>
                <w:lang w:val="en-US" w:eastAsia="zh-CN"/>
              </w:rPr>
            </w:pPr>
            <w:r>
              <w:rPr>
                <w:rFonts w:hint="eastAsia" w:cs="Times New Roman"/>
                <w:b w:val="0"/>
                <w:bCs w:val="0"/>
                <w:color w:val="auto"/>
                <w:sz w:val="21"/>
                <w:szCs w:val="21"/>
                <w:lang w:val="en-US" w:eastAsia="zh-CN"/>
              </w:rPr>
              <w:t>0.0002kg</w:t>
            </w:r>
            <w:r>
              <w:rPr>
                <w:rFonts w:hint="default" w:ascii="Times New Roman" w:hAnsi="Times New Roman" w:cs="Times New Roman"/>
                <w:b w:val="0"/>
                <w:bCs w:val="0"/>
                <w:color w:val="auto"/>
                <w:sz w:val="21"/>
                <w:szCs w:val="21"/>
              </w:rPr>
              <w:t>/a</w:t>
            </w:r>
          </w:p>
        </w:tc>
        <w:tc>
          <w:tcPr>
            <w:tcW w:w="1722" w:type="dxa"/>
            <w:vAlign w:val="center"/>
          </w:tcPr>
          <w:p w14:paraId="022A8A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rPr>
              <w:t>0</w:t>
            </w:r>
          </w:p>
        </w:tc>
        <w:tc>
          <w:tcPr>
            <w:tcW w:w="1598" w:type="dxa"/>
            <w:vAlign w:val="center"/>
          </w:tcPr>
          <w:p w14:paraId="07BF8F0C">
            <w:pPr>
              <w:pStyle w:val="4"/>
              <w:pageBreakBefore w:val="0"/>
              <w:kinsoku/>
              <w:wordWrap/>
              <w:overflowPunct/>
              <w:topLinePunct w:val="0"/>
              <w:autoSpaceDE/>
              <w:autoSpaceDN/>
              <w:bidi w:val="0"/>
              <w:adjustRightInd/>
              <w:snapToGrid/>
              <w:spacing w:line="240" w:lineRule="auto"/>
              <w:ind w:firstLine="0" w:firstLineChars="0"/>
              <w:outlineLvl w:val="0"/>
              <w:rPr>
                <w:rFonts w:hint="default"/>
                <w:color w:val="auto"/>
                <w:lang w:val="en-US" w:eastAsia="zh-CN"/>
              </w:rPr>
            </w:pPr>
            <w:r>
              <w:rPr>
                <w:rFonts w:hint="eastAsia" w:cs="Times New Roman"/>
                <w:b w:val="0"/>
                <w:bCs w:val="0"/>
                <w:color w:val="auto"/>
                <w:sz w:val="21"/>
                <w:szCs w:val="21"/>
                <w:lang w:val="en-US" w:eastAsia="zh-CN"/>
              </w:rPr>
              <w:t>0.0002kg</w:t>
            </w:r>
            <w:r>
              <w:rPr>
                <w:rFonts w:hint="default" w:ascii="Times New Roman" w:hAnsi="Times New Roman" w:cs="Times New Roman"/>
                <w:b w:val="0"/>
                <w:bCs w:val="0"/>
                <w:color w:val="auto"/>
                <w:sz w:val="21"/>
                <w:szCs w:val="21"/>
              </w:rPr>
              <w:t>/a</w:t>
            </w:r>
          </w:p>
        </w:tc>
        <w:tc>
          <w:tcPr>
            <w:tcW w:w="1128" w:type="dxa"/>
            <w:vAlign w:val="center"/>
          </w:tcPr>
          <w:p w14:paraId="71FA074F">
            <w:pPr>
              <w:pStyle w:val="4"/>
              <w:pageBreakBefore w:val="0"/>
              <w:kinsoku/>
              <w:wordWrap/>
              <w:overflowPunct/>
              <w:topLinePunct w:val="0"/>
              <w:autoSpaceDE/>
              <w:autoSpaceDN/>
              <w:bidi w:val="0"/>
              <w:adjustRightInd/>
              <w:snapToGrid/>
              <w:spacing w:line="240" w:lineRule="auto"/>
              <w:ind w:firstLine="0" w:firstLineChars="0"/>
              <w:outlineLvl w:val="0"/>
              <w:rPr>
                <w:rFonts w:hint="default"/>
                <w:color w:val="auto"/>
                <w:lang w:val="en-US" w:eastAsia="zh-CN"/>
              </w:rPr>
            </w:pPr>
            <w:r>
              <w:rPr>
                <w:rFonts w:hint="eastAsia" w:cs="Times New Roman"/>
                <w:b w:val="0"/>
                <w:bCs w:val="0"/>
                <w:color w:val="auto"/>
                <w:sz w:val="21"/>
                <w:szCs w:val="21"/>
                <w:lang w:val="en-US" w:eastAsia="zh-CN"/>
              </w:rPr>
              <w:t>+0.0002kg</w:t>
            </w:r>
            <w:r>
              <w:rPr>
                <w:rFonts w:hint="default" w:ascii="Times New Roman" w:hAnsi="Times New Roman" w:cs="Times New Roman"/>
                <w:b w:val="0"/>
                <w:bCs w:val="0"/>
                <w:color w:val="auto"/>
                <w:sz w:val="21"/>
                <w:szCs w:val="21"/>
              </w:rPr>
              <w:t>/a</w:t>
            </w:r>
          </w:p>
        </w:tc>
      </w:tr>
      <w:tr w14:paraId="0CA57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4" w:type="dxa"/>
            <w:vMerge w:val="continue"/>
            <w:vAlign w:val="center"/>
          </w:tcPr>
          <w:p w14:paraId="3F8AE4FE">
            <w:pPr>
              <w:pStyle w:val="4"/>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lang w:val="en-US" w:eastAsia="zh-CN"/>
              </w:rPr>
            </w:pPr>
          </w:p>
        </w:tc>
        <w:tc>
          <w:tcPr>
            <w:tcW w:w="1902" w:type="dxa"/>
            <w:vAlign w:val="center"/>
          </w:tcPr>
          <w:p w14:paraId="25A1105A">
            <w:pPr>
              <w:pStyle w:val="4"/>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lang w:val="en-US" w:eastAsia="zh-CN"/>
              </w:rPr>
            </w:pPr>
            <w:r>
              <w:rPr>
                <w:rFonts w:hint="eastAsia"/>
                <w:color w:val="auto"/>
                <w:lang w:val="en-US" w:eastAsia="zh-CN"/>
              </w:rPr>
              <w:t>SO</w:t>
            </w:r>
            <w:r>
              <w:rPr>
                <w:rFonts w:hint="eastAsia"/>
                <w:color w:val="auto"/>
                <w:vertAlign w:val="subscript"/>
                <w:lang w:val="en-US" w:eastAsia="zh-CN"/>
              </w:rPr>
              <w:t>2</w:t>
            </w:r>
          </w:p>
        </w:tc>
        <w:tc>
          <w:tcPr>
            <w:tcW w:w="1149" w:type="dxa"/>
            <w:vAlign w:val="center"/>
          </w:tcPr>
          <w:p w14:paraId="7D1AB3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rPr>
              <w:t>0</w:t>
            </w:r>
          </w:p>
        </w:tc>
        <w:tc>
          <w:tcPr>
            <w:tcW w:w="1250" w:type="dxa"/>
            <w:vAlign w:val="center"/>
          </w:tcPr>
          <w:p w14:paraId="125279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rPr>
              <w:t>0</w:t>
            </w:r>
          </w:p>
        </w:tc>
        <w:tc>
          <w:tcPr>
            <w:tcW w:w="1664" w:type="dxa"/>
            <w:vAlign w:val="center"/>
          </w:tcPr>
          <w:p w14:paraId="2B11D7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rPr>
              <w:t>0</w:t>
            </w:r>
          </w:p>
        </w:tc>
        <w:tc>
          <w:tcPr>
            <w:tcW w:w="1525" w:type="dxa"/>
            <w:vAlign w:val="center"/>
          </w:tcPr>
          <w:p w14:paraId="48307A09">
            <w:pPr>
              <w:pStyle w:val="4"/>
              <w:pageBreakBefore w:val="0"/>
              <w:kinsoku/>
              <w:wordWrap/>
              <w:overflowPunct/>
              <w:topLinePunct w:val="0"/>
              <w:autoSpaceDE/>
              <w:autoSpaceDN/>
              <w:bidi w:val="0"/>
              <w:adjustRightInd/>
              <w:snapToGrid/>
              <w:spacing w:line="240" w:lineRule="auto"/>
              <w:ind w:firstLine="0" w:firstLineChars="0"/>
              <w:outlineLvl w:val="0"/>
              <w:rPr>
                <w:rFonts w:hint="default"/>
                <w:color w:val="auto"/>
                <w:lang w:val="en-US" w:eastAsia="zh-CN"/>
              </w:rPr>
            </w:pPr>
            <w:r>
              <w:rPr>
                <w:rFonts w:hint="eastAsia"/>
                <w:b w:val="0"/>
                <w:bCs w:val="0"/>
                <w:color w:val="000000"/>
                <w:lang w:val="en-US" w:eastAsia="zh-CN"/>
              </w:rPr>
              <w:t>0.079</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p>
        </w:tc>
        <w:tc>
          <w:tcPr>
            <w:tcW w:w="1722" w:type="dxa"/>
            <w:vAlign w:val="center"/>
          </w:tcPr>
          <w:p w14:paraId="2972C9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olor w:val="auto"/>
                <w:sz w:val="21"/>
                <w:szCs w:val="21"/>
              </w:rPr>
              <w:t>0</w:t>
            </w:r>
          </w:p>
        </w:tc>
        <w:tc>
          <w:tcPr>
            <w:tcW w:w="1598" w:type="dxa"/>
            <w:vAlign w:val="center"/>
          </w:tcPr>
          <w:p w14:paraId="5DC96F97">
            <w:pPr>
              <w:pStyle w:val="4"/>
              <w:pageBreakBefore w:val="0"/>
              <w:kinsoku/>
              <w:wordWrap/>
              <w:overflowPunct/>
              <w:topLinePunct w:val="0"/>
              <w:autoSpaceDE/>
              <w:autoSpaceDN/>
              <w:bidi w:val="0"/>
              <w:adjustRightInd/>
              <w:snapToGrid/>
              <w:spacing w:line="240" w:lineRule="auto"/>
              <w:ind w:firstLine="0" w:firstLineChars="0"/>
              <w:outlineLvl w:val="0"/>
              <w:rPr>
                <w:rFonts w:hint="default"/>
                <w:color w:val="auto"/>
                <w:lang w:val="en-US" w:eastAsia="zh-CN"/>
              </w:rPr>
            </w:pPr>
            <w:r>
              <w:rPr>
                <w:rFonts w:hint="eastAsia"/>
                <w:b w:val="0"/>
                <w:bCs w:val="0"/>
                <w:color w:val="000000"/>
                <w:lang w:val="en-US" w:eastAsia="zh-CN"/>
              </w:rPr>
              <w:t>0.079</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p>
        </w:tc>
        <w:tc>
          <w:tcPr>
            <w:tcW w:w="1128" w:type="dxa"/>
            <w:vAlign w:val="center"/>
          </w:tcPr>
          <w:p w14:paraId="6AA46AB3">
            <w:pPr>
              <w:pStyle w:val="4"/>
              <w:pageBreakBefore w:val="0"/>
              <w:kinsoku/>
              <w:wordWrap/>
              <w:overflowPunct/>
              <w:topLinePunct w:val="0"/>
              <w:autoSpaceDE/>
              <w:autoSpaceDN/>
              <w:bidi w:val="0"/>
              <w:adjustRightInd/>
              <w:snapToGrid/>
              <w:spacing w:line="240" w:lineRule="auto"/>
              <w:ind w:firstLine="0" w:firstLineChars="0"/>
              <w:outlineLvl w:val="0"/>
              <w:rPr>
                <w:rFonts w:hint="eastAsia"/>
                <w:color w:val="auto"/>
                <w:lang w:val="en-US" w:eastAsia="zh-CN"/>
              </w:rPr>
            </w:pPr>
            <w:r>
              <w:rPr>
                <w:rFonts w:hint="eastAsia"/>
                <w:b w:val="0"/>
                <w:bCs w:val="0"/>
                <w:color w:val="000000"/>
                <w:lang w:val="en-US" w:eastAsia="zh-CN"/>
              </w:rPr>
              <w:t>+0.079</w:t>
            </w:r>
            <w:r>
              <w:rPr>
                <w:rFonts w:hint="eastAsia" w:cs="Times New Roman"/>
                <w:b w:val="0"/>
                <w:bCs w:val="0"/>
                <w:color w:val="auto"/>
                <w:sz w:val="21"/>
                <w:szCs w:val="21"/>
                <w:lang w:val="en-US" w:eastAsia="zh-CN"/>
              </w:rPr>
              <w:t>kg</w:t>
            </w:r>
            <w:r>
              <w:rPr>
                <w:rFonts w:hint="default" w:ascii="Times New Roman" w:hAnsi="Times New Roman" w:cs="Times New Roman"/>
                <w:b w:val="0"/>
                <w:bCs w:val="0"/>
                <w:color w:val="auto"/>
                <w:sz w:val="21"/>
                <w:szCs w:val="21"/>
              </w:rPr>
              <w:t>/a</w:t>
            </w:r>
          </w:p>
        </w:tc>
      </w:tr>
      <w:tr w14:paraId="6B478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4" w:type="dxa"/>
            <w:vMerge w:val="continue"/>
            <w:vAlign w:val="center"/>
          </w:tcPr>
          <w:p w14:paraId="2E2CEF0E">
            <w:pPr>
              <w:pStyle w:val="4"/>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lang w:val="en-US" w:eastAsia="zh-CN"/>
              </w:rPr>
            </w:pPr>
          </w:p>
        </w:tc>
        <w:tc>
          <w:tcPr>
            <w:tcW w:w="1902" w:type="dxa"/>
            <w:vAlign w:val="center"/>
          </w:tcPr>
          <w:p w14:paraId="0FE5AB73">
            <w:pPr>
              <w:pStyle w:val="4"/>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lang w:val="en-US" w:eastAsia="zh-CN"/>
              </w:rPr>
            </w:pPr>
            <w:r>
              <w:rPr>
                <w:rFonts w:hint="eastAsia"/>
                <w:color w:val="auto"/>
                <w:lang w:val="en-US" w:eastAsia="zh-CN"/>
              </w:rPr>
              <w:t>NO</w:t>
            </w:r>
            <w:r>
              <w:rPr>
                <w:rFonts w:hint="eastAsia"/>
                <w:color w:val="auto"/>
                <w:vertAlign w:val="subscript"/>
                <w:lang w:val="en-US" w:eastAsia="zh-CN"/>
              </w:rPr>
              <w:t>X</w:t>
            </w:r>
          </w:p>
        </w:tc>
        <w:tc>
          <w:tcPr>
            <w:tcW w:w="1149" w:type="dxa"/>
            <w:vAlign w:val="center"/>
          </w:tcPr>
          <w:p w14:paraId="58FA1C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rPr>
              <w:t>0</w:t>
            </w:r>
          </w:p>
        </w:tc>
        <w:tc>
          <w:tcPr>
            <w:tcW w:w="1250" w:type="dxa"/>
            <w:vAlign w:val="center"/>
          </w:tcPr>
          <w:p w14:paraId="239011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rPr>
              <w:t>0</w:t>
            </w:r>
          </w:p>
        </w:tc>
        <w:tc>
          <w:tcPr>
            <w:tcW w:w="1664" w:type="dxa"/>
            <w:vAlign w:val="center"/>
          </w:tcPr>
          <w:p w14:paraId="7B2B2E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rPr>
              <w:t>0</w:t>
            </w:r>
          </w:p>
        </w:tc>
        <w:tc>
          <w:tcPr>
            <w:tcW w:w="1525" w:type="dxa"/>
            <w:vAlign w:val="center"/>
          </w:tcPr>
          <w:p w14:paraId="7A6675C3">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default"/>
                <w:color w:val="auto"/>
                <w:lang w:val="en-US" w:eastAsia="zh-CN"/>
              </w:rPr>
            </w:pPr>
            <w:r>
              <w:rPr>
                <w:rFonts w:hint="eastAsia" w:cs="Times New Roman"/>
                <w:color w:val="auto"/>
                <w:sz w:val="21"/>
                <w:szCs w:val="21"/>
                <w:lang w:val="en-US" w:eastAsia="zh-CN"/>
              </w:rPr>
              <w:t xml:space="preserve">0.04kg/a </w:t>
            </w:r>
          </w:p>
        </w:tc>
        <w:tc>
          <w:tcPr>
            <w:tcW w:w="1722" w:type="dxa"/>
            <w:vAlign w:val="center"/>
          </w:tcPr>
          <w:p w14:paraId="76F30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olor w:val="auto"/>
                <w:sz w:val="21"/>
                <w:szCs w:val="21"/>
              </w:rPr>
              <w:t>0</w:t>
            </w:r>
          </w:p>
        </w:tc>
        <w:tc>
          <w:tcPr>
            <w:tcW w:w="1598" w:type="dxa"/>
            <w:vAlign w:val="center"/>
          </w:tcPr>
          <w:p w14:paraId="35C40426">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eastAsia"/>
                <w:color w:val="auto"/>
                <w:lang w:val="en-US" w:eastAsia="zh-CN"/>
              </w:rPr>
            </w:pPr>
            <w:r>
              <w:rPr>
                <w:rFonts w:hint="eastAsia" w:cs="Times New Roman"/>
                <w:color w:val="auto"/>
                <w:sz w:val="21"/>
                <w:szCs w:val="21"/>
                <w:lang w:val="en-US" w:eastAsia="zh-CN"/>
              </w:rPr>
              <w:t xml:space="preserve">0.04kg/a  </w:t>
            </w:r>
          </w:p>
        </w:tc>
        <w:tc>
          <w:tcPr>
            <w:tcW w:w="1128" w:type="dxa"/>
            <w:vAlign w:val="center"/>
          </w:tcPr>
          <w:p w14:paraId="6D95AD04">
            <w:pPr>
              <w:pStyle w:val="4"/>
              <w:pageBreakBefore w:val="0"/>
              <w:kinsoku/>
              <w:wordWrap/>
              <w:overflowPunct/>
              <w:topLinePunct w:val="0"/>
              <w:autoSpaceDE/>
              <w:autoSpaceDN/>
              <w:bidi w:val="0"/>
              <w:adjustRightInd/>
              <w:snapToGrid/>
              <w:spacing w:line="240" w:lineRule="auto"/>
              <w:ind w:firstLine="0" w:firstLineChars="0"/>
              <w:jc w:val="center"/>
              <w:outlineLvl w:val="0"/>
              <w:rPr>
                <w:rFonts w:hint="eastAsia"/>
                <w:color w:val="auto"/>
                <w:lang w:val="en-US" w:eastAsia="zh-CN"/>
              </w:rPr>
            </w:pPr>
            <w:r>
              <w:rPr>
                <w:rFonts w:hint="eastAsia" w:cs="Times New Roman"/>
                <w:color w:val="auto"/>
                <w:sz w:val="21"/>
                <w:szCs w:val="21"/>
                <w:lang w:val="en-US" w:eastAsia="zh-CN"/>
              </w:rPr>
              <w:t xml:space="preserve">+0.04kg/a  </w:t>
            </w:r>
          </w:p>
        </w:tc>
      </w:tr>
      <w:tr w14:paraId="55ED7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54" w:type="dxa"/>
            <w:vMerge w:val="restart"/>
            <w:vAlign w:val="center"/>
          </w:tcPr>
          <w:p w14:paraId="2A09BBEB">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废水</w:t>
            </w:r>
          </w:p>
        </w:tc>
        <w:tc>
          <w:tcPr>
            <w:tcW w:w="1902" w:type="dxa"/>
            <w:vAlign w:val="center"/>
          </w:tcPr>
          <w:p w14:paraId="427DDB31">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COD</w:t>
            </w:r>
          </w:p>
        </w:tc>
        <w:tc>
          <w:tcPr>
            <w:tcW w:w="1149" w:type="dxa"/>
            <w:vAlign w:val="center"/>
          </w:tcPr>
          <w:p w14:paraId="1C84E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p>
        </w:tc>
        <w:tc>
          <w:tcPr>
            <w:tcW w:w="1250" w:type="dxa"/>
            <w:vAlign w:val="center"/>
          </w:tcPr>
          <w:p w14:paraId="191467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0</w:t>
            </w:r>
          </w:p>
        </w:tc>
        <w:tc>
          <w:tcPr>
            <w:tcW w:w="1664" w:type="dxa"/>
            <w:vAlign w:val="center"/>
          </w:tcPr>
          <w:p w14:paraId="01BA03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0</w:t>
            </w:r>
          </w:p>
        </w:tc>
        <w:tc>
          <w:tcPr>
            <w:tcW w:w="1525" w:type="dxa"/>
            <w:vAlign w:val="center"/>
          </w:tcPr>
          <w:p w14:paraId="08C78BD5">
            <w:pPr>
              <w:pStyle w:val="4"/>
              <w:pageBreakBefore w:val="0"/>
              <w:widowControl w:val="0"/>
              <w:kinsoku/>
              <w:wordWrap/>
              <w:overflowPunct/>
              <w:topLinePunct w:val="0"/>
              <w:autoSpaceDE/>
              <w:autoSpaceDN/>
              <w:bidi w:val="0"/>
              <w:adjustRightInd/>
              <w:snapToGrid/>
              <w:spacing w:line="240" w:lineRule="auto"/>
              <w:textAlignment w:val="auto"/>
              <w:rPr>
                <w:rFonts w:hint="default" w:eastAsia="宋体"/>
                <w:color w:val="auto"/>
                <w:lang w:val="en-US" w:eastAsia="zh-CN"/>
              </w:rPr>
            </w:pPr>
            <w:r>
              <w:rPr>
                <w:rFonts w:hint="eastAsia"/>
                <w:b w:val="0"/>
                <w:bCs w:val="0"/>
                <w:color w:val="auto"/>
                <w:sz w:val="21"/>
                <w:szCs w:val="21"/>
                <w:vertAlign w:val="baseline"/>
                <w:lang w:val="en-US" w:eastAsia="zh-CN"/>
              </w:rPr>
              <w:t>0.068</w:t>
            </w:r>
          </w:p>
        </w:tc>
        <w:tc>
          <w:tcPr>
            <w:tcW w:w="1722" w:type="dxa"/>
            <w:vAlign w:val="center"/>
          </w:tcPr>
          <w:p w14:paraId="2CF36EFB">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0</w:t>
            </w:r>
          </w:p>
        </w:tc>
        <w:tc>
          <w:tcPr>
            <w:tcW w:w="1598" w:type="dxa"/>
            <w:vAlign w:val="center"/>
          </w:tcPr>
          <w:p w14:paraId="4932A4CB">
            <w:pPr>
              <w:pStyle w:val="4"/>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lang w:val="en-US" w:eastAsia="zh-CN"/>
              </w:rPr>
            </w:pPr>
            <w:r>
              <w:rPr>
                <w:rFonts w:hint="eastAsia"/>
                <w:b w:val="0"/>
                <w:bCs w:val="0"/>
                <w:color w:val="auto"/>
                <w:sz w:val="21"/>
                <w:szCs w:val="21"/>
                <w:vertAlign w:val="baseline"/>
                <w:lang w:val="en-US" w:eastAsia="zh-CN"/>
              </w:rPr>
              <w:t>0.068</w:t>
            </w:r>
          </w:p>
        </w:tc>
        <w:tc>
          <w:tcPr>
            <w:tcW w:w="1128" w:type="dxa"/>
            <w:vAlign w:val="center"/>
          </w:tcPr>
          <w:p w14:paraId="1951CDEB">
            <w:pPr>
              <w:pStyle w:val="4"/>
              <w:pageBreakBefore w:val="0"/>
              <w:widowControl w:val="0"/>
              <w:kinsoku/>
              <w:wordWrap/>
              <w:overflowPunct/>
              <w:topLinePunct w:val="0"/>
              <w:autoSpaceDE/>
              <w:autoSpaceDN/>
              <w:bidi w:val="0"/>
              <w:adjustRightInd/>
              <w:snapToGrid/>
              <w:spacing w:line="240" w:lineRule="auto"/>
              <w:ind w:firstLine="0" w:firstLineChars="0"/>
              <w:textAlignment w:val="auto"/>
              <w:rPr>
                <w:color w:val="auto"/>
              </w:rPr>
            </w:pPr>
            <w:r>
              <w:rPr>
                <w:rFonts w:hint="eastAsia"/>
                <w:b w:val="0"/>
                <w:bCs w:val="0"/>
                <w:color w:val="auto"/>
                <w:sz w:val="21"/>
                <w:szCs w:val="21"/>
                <w:vertAlign w:val="baseline"/>
                <w:lang w:val="en-US" w:eastAsia="zh-CN"/>
              </w:rPr>
              <w:t>+0.068</w:t>
            </w:r>
          </w:p>
        </w:tc>
      </w:tr>
      <w:tr w14:paraId="69688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4" w:type="dxa"/>
            <w:vMerge w:val="continue"/>
            <w:vAlign w:val="center"/>
          </w:tcPr>
          <w:p w14:paraId="3320192E">
            <w:pPr>
              <w:pStyle w:val="4"/>
              <w:pageBreakBefore w:val="0"/>
              <w:widowControl w:val="0"/>
              <w:kinsoku/>
              <w:wordWrap/>
              <w:overflowPunct/>
              <w:topLinePunct w:val="0"/>
              <w:autoSpaceDE/>
              <w:autoSpaceDN/>
              <w:bidi w:val="0"/>
              <w:adjustRightInd/>
              <w:snapToGrid/>
              <w:spacing w:line="240" w:lineRule="auto"/>
              <w:textAlignment w:val="auto"/>
              <w:rPr>
                <w:color w:val="auto"/>
              </w:rPr>
            </w:pPr>
          </w:p>
        </w:tc>
        <w:tc>
          <w:tcPr>
            <w:tcW w:w="1902" w:type="dxa"/>
            <w:vAlign w:val="center"/>
          </w:tcPr>
          <w:p w14:paraId="55D9C65A">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NH</w:t>
            </w:r>
            <w:r>
              <w:rPr>
                <w:rFonts w:hint="eastAsia"/>
                <w:color w:val="auto"/>
                <w:vertAlign w:val="subscript"/>
              </w:rPr>
              <w:t>3</w:t>
            </w:r>
            <w:r>
              <w:rPr>
                <w:rFonts w:hint="eastAsia"/>
                <w:color w:val="auto"/>
              </w:rPr>
              <w:t>-N</w:t>
            </w:r>
          </w:p>
        </w:tc>
        <w:tc>
          <w:tcPr>
            <w:tcW w:w="1149" w:type="dxa"/>
            <w:vAlign w:val="center"/>
          </w:tcPr>
          <w:p w14:paraId="4B3EF7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p>
        </w:tc>
        <w:tc>
          <w:tcPr>
            <w:tcW w:w="1250" w:type="dxa"/>
            <w:vAlign w:val="center"/>
          </w:tcPr>
          <w:p w14:paraId="226B0D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0</w:t>
            </w:r>
          </w:p>
        </w:tc>
        <w:tc>
          <w:tcPr>
            <w:tcW w:w="1664" w:type="dxa"/>
            <w:vAlign w:val="center"/>
          </w:tcPr>
          <w:p w14:paraId="7EBE49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0</w:t>
            </w:r>
          </w:p>
        </w:tc>
        <w:tc>
          <w:tcPr>
            <w:tcW w:w="1525" w:type="dxa"/>
            <w:vAlign w:val="center"/>
          </w:tcPr>
          <w:p w14:paraId="577172AF">
            <w:pPr>
              <w:pStyle w:val="4"/>
              <w:pageBreakBefore w:val="0"/>
              <w:widowControl w:val="0"/>
              <w:kinsoku/>
              <w:wordWrap/>
              <w:overflowPunct/>
              <w:topLinePunct w:val="0"/>
              <w:autoSpaceDE/>
              <w:autoSpaceDN/>
              <w:bidi w:val="0"/>
              <w:adjustRightInd/>
              <w:snapToGrid/>
              <w:spacing w:line="240" w:lineRule="auto"/>
              <w:textAlignment w:val="auto"/>
              <w:rPr>
                <w:rFonts w:hint="default" w:eastAsia="宋体"/>
                <w:color w:val="auto"/>
                <w:lang w:val="en-US" w:eastAsia="zh-CN"/>
              </w:rPr>
            </w:pPr>
            <w:r>
              <w:rPr>
                <w:rFonts w:hint="eastAsia"/>
                <w:color w:val="auto"/>
                <w:lang w:val="en-US" w:eastAsia="zh-CN"/>
              </w:rPr>
              <w:t>0.002</w:t>
            </w:r>
          </w:p>
        </w:tc>
        <w:tc>
          <w:tcPr>
            <w:tcW w:w="1722" w:type="dxa"/>
            <w:vAlign w:val="center"/>
          </w:tcPr>
          <w:p w14:paraId="7F3CA890">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0</w:t>
            </w:r>
          </w:p>
        </w:tc>
        <w:tc>
          <w:tcPr>
            <w:tcW w:w="1598" w:type="dxa"/>
            <w:vAlign w:val="center"/>
          </w:tcPr>
          <w:p w14:paraId="2C4E6E5B">
            <w:pPr>
              <w:pStyle w:val="4"/>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lang w:val="en-US" w:eastAsia="zh-CN"/>
              </w:rPr>
            </w:pPr>
            <w:r>
              <w:rPr>
                <w:rFonts w:hint="eastAsia"/>
                <w:color w:val="auto"/>
                <w:lang w:val="en-US" w:eastAsia="zh-CN"/>
              </w:rPr>
              <w:t>0.002</w:t>
            </w:r>
          </w:p>
        </w:tc>
        <w:tc>
          <w:tcPr>
            <w:tcW w:w="1128" w:type="dxa"/>
            <w:vAlign w:val="center"/>
          </w:tcPr>
          <w:p w14:paraId="51FE1CB5">
            <w:pPr>
              <w:pStyle w:val="4"/>
              <w:pageBreakBefore w:val="0"/>
              <w:widowControl w:val="0"/>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+0.002</w:t>
            </w:r>
          </w:p>
        </w:tc>
      </w:tr>
      <w:tr w14:paraId="5AE12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4" w:type="dxa"/>
            <w:vMerge w:val="restart"/>
            <w:vAlign w:val="center"/>
          </w:tcPr>
          <w:p w14:paraId="6FBAE36F">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一般工业</w:t>
            </w:r>
          </w:p>
          <w:p w14:paraId="29AF59EF">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固体废物</w:t>
            </w:r>
          </w:p>
        </w:tc>
        <w:tc>
          <w:tcPr>
            <w:tcW w:w="1902" w:type="dxa"/>
            <w:vAlign w:val="center"/>
          </w:tcPr>
          <w:p w14:paraId="5804AF5C">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生活垃圾</w:t>
            </w:r>
          </w:p>
        </w:tc>
        <w:tc>
          <w:tcPr>
            <w:tcW w:w="1149" w:type="dxa"/>
            <w:vAlign w:val="center"/>
          </w:tcPr>
          <w:p w14:paraId="51719E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p>
        </w:tc>
        <w:tc>
          <w:tcPr>
            <w:tcW w:w="1250" w:type="dxa"/>
            <w:vAlign w:val="center"/>
          </w:tcPr>
          <w:p w14:paraId="57EAAD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p>
        </w:tc>
        <w:tc>
          <w:tcPr>
            <w:tcW w:w="1664" w:type="dxa"/>
            <w:vAlign w:val="center"/>
          </w:tcPr>
          <w:p w14:paraId="22757A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0</w:t>
            </w:r>
          </w:p>
        </w:tc>
        <w:tc>
          <w:tcPr>
            <w:tcW w:w="1525" w:type="dxa"/>
            <w:vAlign w:val="center"/>
          </w:tcPr>
          <w:p w14:paraId="16609168">
            <w:pPr>
              <w:pStyle w:val="4"/>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hint="default"/>
                <w:color w:val="auto"/>
                <w:lang w:val="en-US"/>
              </w:rPr>
            </w:pPr>
            <w:r>
              <w:rPr>
                <w:rFonts w:hint="eastAsia"/>
                <w:color w:val="auto"/>
                <w:szCs w:val="32"/>
                <w:lang w:val="en-US" w:eastAsia="zh-CN"/>
              </w:rPr>
              <w:t>0.680</w:t>
            </w:r>
          </w:p>
        </w:tc>
        <w:tc>
          <w:tcPr>
            <w:tcW w:w="1722" w:type="dxa"/>
            <w:vAlign w:val="center"/>
          </w:tcPr>
          <w:p w14:paraId="6BA03E18">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0</w:t>
            </w:r>
          </w:p>
        </w:tc>
        <w:tc>
          <w:tcPr>
            <w:tcW w:w="1598" w:type="dxa"/>
            <w:vAlign w:val="center"/>
          </w:tcPr>
          <w:p w14:paraId="7D76A2EC">
            <w:pPr>
              <w:pStyle w:val="4"/>
              <w:pageBreakBefore w:val="0"/>
              <w:widowControl w:val="0"/>
              <w:kinsoku/>
              <w:wordWrap/>
              <w:overflowPunct/>
              <w:topLinePunct w:val="0"/>
              <w:autoSpaceDE/>
              <w:autoSpaceDN/>
              <w:bidi w:val="0"/>
              <w:adjustRightInd/>
              <w:snapToGrid/>
              <w:spacing w:line="240" w:lineRule="auto"/>
              <w:textAlignment w:val="auto"/>
              <w:rPr>
                <w:rFonts w:hint="default" w:eastAsia="宋体"/>
                <w:color w:val="auto"/>
                <w:lang w:val="en-US" w:eastAsia="zh-CN"/>
              </w:rPr>
            </w:pPr>
            <w:r>
              <w:rPr>
                <w:rFonts w:hint="eastAsia"/>
                <w:color w:val="auto"/>
                <w:szCs w:val="32"/>
                <w:lang w:val="en-US" w:eastAsia="zh-CN"/>
              </w:rPr>
              <w:t>0.680</w:t>
            </w:r>
          </w:p>
        </w:tc>
        <w:tc>
          <w:tcPr>
            <w:tcW w:w="1128" w:type="dxa"/>
            <w:vAlign w:val="center"/>
          </w:tcPr>
          <w:p w14:paraId="0BB411CC">
            <w:pPr>
              <w:pStyle w:val="4"/>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hint="default" w:eastAsia="宋体"/>
                <w:color w:val="auto"/>
                <w:lang w:val="en-US" w:eastAsia="zh-CN"/>
              </w:rPr>
            </w:pPr>
            <w:r>
              <w:rPr>
                <w:rFonts w:hint="eastAsia"/>
                <w:color w:val="auto"/>
                <w:szCs w:val="32"/>
                <w:lang w:val="en-US" w:eastAsia="zh-CN"/>
              </w:rPr>
              <w:t>+0.680</w:t>
            </w:r>
          </w:p>
        </w:tc>
      </w:tr>
      <w:tr w14:paraId="65D31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4" w:type="dxa"/>
            <w:vMerge w:val="continue"/>
            <w:vAlign w:val="center"/>
          </w:tcPr>
          <w:p w14:paraId="7096C857">
            <w:pPr>
              <w:pStyle w:val="4"/>
              <w:pageBreakBefore w:val="0"/>
              <w:widowControl w:val="0"/>
              <w:kinsoku/>
              <w:wordWrap/>
              <w:overflowPunct/>
              <w:topLinePunct w:val="0"/>
              <w:autoSpaceDE/>
              <w:autoSpaceDN/>
              <w:bidi w:val="0"/>
              <w:adjustRightInd/>
              <w:snapToGrid/>
              <w:spacing w:line="240" w:lineRule="auto"/>
              <w:textAlignment w:val="auto"/>
              <w:rPr>
                <w:color w:val="auto"/>
              </w:rPr>
            </w:pPr>
          </w:p>
        </w:tc>
        <w:tc>
          <w:tcPr>
            <w:tcW w:w="1902" w:type="dxa"/>
            <w:vAlign w:val="center"/>
          </w:tcPr>
          <w:p w14:paraId="45FC19BC">
            <w:pPr>
              <w:pStyle w:val="4"/>
              <w:pageBreakBefore w:val="0"/>
              <w:widowControl w:val="0"/>
              <w:kinsoku/>
              <w:wordWrap/>
              <w:overflowPunct/>
              <w:topLinePunct w:val="0"/>
              <w:autoSpaceDE/>
              <w:autoSpaceDN/>
              <w:bidi w:val="0"/>
              <w:adjustRightInd/>
              <w:snapToGrid/>
              <w:spacing w:line="240" w:lineRule="auto"/>
              <w:textAlignment w:val="auto"/>
              <w:rPr>
                <w:rFonts w:hint="default" w:eastAsia="宋体"/>
                <w:color w:val="auto"/>
                <w:lang w:val="en-US" w:eastAsia="zh-CN"/>
              </w:rPr>
            </w:pPr>
            <w:r>
              <w:rPr>
                <w:rFonts w:hint="eastAsia" w:cs="Times New Roman"/>
                <w:color w:val="auto"/>
                <w:lang w:val="en-US" w:eastAsia="zh-CN"/>
              </w:rPr>
              <w:t>软水制备装置产生的废树脂、滤芯</w:t>
            </w:r>
          </w:p>
        </w:tc>
        <w:tc>
          <w:tcPr>
            <w:tcW w:w="1149" w:type="dxa"/>
            <w:vAlign w:val="center"/>
          </w:tcPr>
          <w:p w14:paraId="32F2C5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p>
        </w:tc>
        <w:tc>
          <w:tcPr>
            <w:tcW w:w="1250" w:type="dxa"/>
            <w:vAlign w:val="center"/>
          </w:tcPr>
          <w:p w14:paraId="4CDD1F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p>
        </w:tc>
        <w:tc>
          <w:tcPr>
            <w:tcW w:w="1664" w:type="dxa"/>
            <w:vAlign w:val="center"/>
          </w:tcPr>
          <w:p w14:paraId="2E310B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0</w:t>
            </w:r>
          </w:p>
        </w:tc>
        <w:tc>
          <w:tcPr>
            <w:tcW w:w="1525" w:type="dxa"/>
            <w:vAlign w:val="center"/>
          </w:tcPr>
          <w:p w14:paraId="0AEFF5CA">
            <w:pPr>
              <w:pStyle w:val="4"/>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hint="default" w:eastAsia="宋体"/>
                <w:color w:val="auto"/>
                <w:lang w:val="en-US" w:eastAsia="zh-CN"/>
              </w:rPr>
            </w:pPr>
            <w:r>
              <w:rPr>
                <w:rFonts w:hint="eastAsia"/>
                <w:lang w:val="en-US" w:eastAsia="zh-CN"/>
              </w:rPr>
              <w:t>0.02</w:t>
            </w:r>
          </w:p>
        </w:tc>
        <w:tc>
          <w:tcPr>
            <w:tcW w:w="1722" w:type="dxa"/>
            <w:vAlign w:val="center"/>
          </w:tcPr>
          <w:p w14:paraId="5C6E6EA5">
            <w:pPr>
              <w:pStyle w:val="4"/>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0</w:t>
            </w:r>
          </w:p>
        </w:tc>
        <w:tc>
          <w:tcPr>
            <w:tcW w:w="1598" w:type="dxa"/>
            <w:vAlign w:val="center"/>
          </w:tcPr>
          <w:p w14:paraId="0435044F">
            <w:pPr>
              <w:pStyle w:val="4"/>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hint="default" w:eastAsia="宋体"/>
                <w:color w:val="auto"/>
                <w:lang w:val="en-US" w:eastAsia="zh-CN"/>
              </w:rPr>
            </w:pPr>
            <w:r>
              <w:rPr>
                <w:rFonts w:hint="eastAsia"/>
                <w:lang w:val="en-US" w:eastAsia="zh-CN"/>
              </w:rPr>
              <w:t>0.02</w:t>
            </w:r>
          </w:p>
        </w:tc>
        <w:tc>
          <w:tcPr>
            <w:tcW w:w="1128" w:type="dxa"/>
            <w:vAlign w:val="center"/>
          </w:tcPr>
          <w:p w14:paraId="39636953">
            <w:pPr>
              <w:pStyle w:val="4"/>
              <w:pageBreakBefore w:val="0"/>
              <w:widowControl w:val="0"/>
              <w:kinsoku/>
              <w:wordWrap/>
              <w:overflowPunct/>
              <w:topLinePunct w:val="0"/>
              <w:autoSpaceDE/>
              <w:autoSpaceDN/>
              <w:bidi w:val="0"/>
              <w:adjustRightInd/>
              <w:snapToGrid/>
              <w:spacing w:line="240" w:lineRule="auto"/>
              <w:ind w:firstLine="0" w:firstLineChars="0"/>
              <w:textAlignment w:val="auto"/>
              <w:outlineLvl w:val="0"/>
              <w:rPr>
                <w:color w:val="auto"/>
              </w:rPr>
            </w:pPr>
            <w:r>
              <w:rPr>
                <w:rFonts w:hint="eastAsia"/>
                <w:lang w:val="en-US" w:eastAsia="zh-CN"/>
              </w:rPr>
              <w:t>+0.02</w:t>
            </w:r>
          </w:p>
        </w:tc>
      </w:tr>
    </w:tbl>
    <w:p w14:paraId="632234B8">
      <w:pPr>
        <w:pStyle w:val="39"/>
        <w:spacing w:before="192" w:beforeLines="80" w:after="24"/>
        <w:ind w:firstLine="480"/>
        <w:jc w:val="left"/>
        <w:rPr>
          <w:rFonts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footerReference r:id="rId9" w:type="default"/>
      <w:pgSz w:w="16838" w:h="11906" w:orient="landscape"/>
      <w:pgMar w:top="1531" w:right="1701" w:bottom="1531" w:left="1701" w:header="851" w:footer="851"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1CF2">
    <w:pPr>
      <w:pStyle w:val="21"/>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16F1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5D16F1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03C1">
    <w:pPr>
      <w:pStyle w:val="21"/>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3FD1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13FD1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ABEC">
    <w:pPr>
      <w:pStyle w:val="21"/>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77881">
                          <w:pPr>
                            <w:pStyle w:val="21"/>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677881">
                    <w:pPr>
                      <w:pStyle w:val="21"/>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55BB">
    <w:pPr>
      <w:pStyle w:val="22"/>
    </w:pPr>
  </w:p>
  <w:p w14:paraId="5D9D727B">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C9EB">
    <w:pPr>
      <w:pStyle w:val="22"/>
    </w:pPr>
  </w:p>
  <w:p w14:paraId="5F29A24D">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DEACC"/>
    <w:multiLevelType w:val="singleLevel"/>
    <w:tmpl w:val="8E5DEACC"/>
    <w:lvl w:ilvl="0" w:tentative="0">
      <w:start w:val="4"/>
      <w:numFmt w:val="decimal"/>
      <w:suff w:val="nothing"/>
      <w:lvlText w:val="%1、"/>
      <w:lvlJc w:val="left"/>
      <w:rPr>
        <w:rFonts w:hint="default"/>
        <w:b/>
        <w:bCs/>
      </w:rPr>
    </w:lvl>
  </w:abstractNum>
  <w:abstractNum w:abstractNumId="1">
    <w:nsid w:val="DEDD97A1"/>
    <w:multiLevelType w:val="singleLevel"/>
    <w:tmpl w:val="DEDD97A1"/>
    <w:lvl w:ilvl="0" w:tentative="0">
      <w:start w:val="2"/>
      <w:numFmt w:val="decimal"/>
      <w:suff w:val="nothing"/>
      <w:lvlText w:val="%1、"/>
      <w:lvlJc w:val="left"/>
    </w:lvl>
  </w:abstractNum>
  <w:abstractNum w:abstractNumId="2">
    <w:nsid w:val="ED311536"/>
    <w:multiLevelType w:val="singleLevel"/>
    <w:tmpl w:val="ED311536"/>
    <w:lvl w:ilvl="0" w:tentative="0">
      <w:start w:val="1"/>
      <w:numFmt w:val="decimal"/>
      <w:suff w:val="nothing"/>
      <w:lvlText w:val="（%1）"/>
      <w:lvlJc w:val="left"/>
    </w:lvl>
  </w:abstractNum>
  <w:abstractNum w:abstractNumId="3">
    <w:nsid w:val="05C7733D"/>
    <w:multiLevelType w:val="singleLevel"/>
    <w:tmpl w:val="05C7733D"/>
    <w:lvl w:ilvl="0" w:tentative="0">
      <w:start w:val="1"/>
      <w:numFmt w:val="decimal"/>
      <w:suff w:val="nothing"/>
      <w:lvlText w:val="（%1）"/>
      <w:lvlJc w:val="left"/>
    </w:lvl>
  </w:abstractNum>
  <w:abstractNum w:abstractNumId="4">
    <w:nsid w:val="07003864"/>
    <w:multiLevelType w:val="singleLevel"/>
    <w:tmpl w:val="07003864"/>
    <w:lvl w:ilvl="0" w:tentative="0">
      <w:start w:val="5"/>
      <w:numFmt w:val="decimal"/>
      <w:suff w:val="nothing"/>
      <w:lvlText w:val="%1、"/>
      <w:lvlJc w:val="left"/>
    </w:lvl>
  </w:abstractNum>
  <w:abstractNum w:abstractNumId="5">
    <w:nsid w:val="2F521B49"/>
    <w:multiLevelType w:val="singleLevel"/>
    <w:tmpl w:val="2F521B49"/>
    <w:lvl w:ilvl="0" w:tentative="0">
      <w:start w:val="2"/>
      <w:numFmt w:val="decimal"/>
      <w:suff w:val="nothing"/>
      <w:lvlText w:val="（%1）"/>
      <w:lvlJc w:val="left"/>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YWViZmZkY2MyZjgzNGI3NjQ5ODc1NDAyNTQ2NTYifQ=="/>
  </w:docVars>
  <w:rsids>
    <w:rsidRoot w:val="65583102"/>
    <w:rsid w:val="00083B1B"/>
    <w:rsid w:val="00204D4B"/>
    <w:rsid w:val="002772A2"/>
    <w:rsid w:val="002879B7"/>
    <w:rsid w:val="002C27E7"/>
    <w:rsid w:val="003177C4"/>
    <w:rsid w:val="00365339"/>
    <w:rsid w:val="003704D4"/>
    <w:rsid w:val="003A35B9"/>
    <w:rsid w:val="00444431"/>
    <w:rsid w:val="004801B9"/>
    <w:rsid w:val="00525CF6"/>
    <w:rsid w:val="005575A5"/>
    <w:rsid w:val="00892D09"/>
    <w:rsid w:val="008B0E9A"/>
    <w:rsid w:val="00A30479"/>
    <w:rsid w:val="00E62966"/>
    <w:rsid w:val="00F30DE2"/>
    <w:rsid w:val="00FF34C8"/>
    <w:rsid w:val="015E4AD6"/>
    <w:rsid w:val="01F354BA"/>
    <w:rsid w:val="0242319D"/>
    <w:rsid w:val="02641C78"/>
    <w:rsid w:val="029702A0"/>
    <w:rsid w:val="02C941D1"/>
    <w:rsid w:val="02DD3988"/>
    <w:rsid w:val="031E607D"/>
    <w:rsid w:val="032E7575"/>
    <w:rsid w:val="0422008B"/>
    <w:rsid w:val="04F55E4B"/>
    <w:rsid w:val="054162A1"/>
    <w:rsid w:val="07740BAF"/>
    <w:rsid w:val="07AD2313"/>
    <w:rsid w:val="088C4B74"/>
    <w:rsid w:val="097B1D33"/>
    <w:rsid w:val="09A34AFA"/>
    <w:rsid w:val="09FD45B4"/>
    <w:rsid w:val="0A01237E"/>
    <w:rsid w:val="0A450286"/>
    <w:rsid w:val="0B511B4F"/>
    <w:rsid w:val="0BDA11FD"/>
    <w:rsid w:val="0C8A5240"/>
    <w:rsid w:val="0CB03935"/>
    <w:rsid w:val="0CCA0DCD"/>
    <w:rsid w:val="0CCF1425"/>
    <w:rsid w:val="0E6F3E7F"/>
    <w:rsid w:val="0E9C6A9B"/>
    <w:rsid w:val="0ECE1FF2"/>
    <w:rsid w:val="0EED0B89"/>
    <w:rsid w:val="0FAE5144"/>
    <w:rsid w:val="0FBB3A4A"/>
    <w:rsid w:val="0FCD3553"/>
    <w:rsid w:val="0FDF3286"/>
    <w:rsid w:val="0FE572AA"/>
    <w:rsid w:val="101B4EEB"/>
    <w:rsid w:val="1041251C"/>
    <w:rsid w:val="11AE540E"/>
    <w:rsid w:val="11C337FB"/>
    <w:rsid w:val="11CB14DA"/>
    <w:rsid w:val="122E5DFF"/>
    <w:rsid w:val="130037DE"/>
    <w:rsid w:val="13CC394E"/>
    <w:rsid w:val="13FB47D7"/>
    <w:rsid w:val="140968FC"/>
    <w:rsid w:val="14861F22"/>
    <w:rsid w:val="14A100CB"/>
    <w:rsid w:val="15450EB0"/>
    <w:rsid w:val="15475056"/>
    <w:rsid w:val="15944B90"/>
    <w:rsid w:val="167C35DD"/>
    <w:rsid w:val="16897AA8"/>
    <w:rsid w:val="16AC2E3A"/>
    <w:rsid w:val="17000A35"/>
    <w:rsid w:val="177D585E"/>
    <w:rsid w:val="17B44FDF"/>
    <w:rsid w:val="17C36FE9"/>
    <w:rsid w:val="182C1032"/>
    <w:rsid w:val="18552337"/>
    <w:rsid w:val="18997576"/>
    <w:rsid w:val="19A25DA8"/>
    <w:rsid w:val="19BF485F"/>
    <w:rsid w:val="19D674A8"/>
    <w:rsid w:val="1A451CAF"/>
    <w:rsid w:val="1A937147"/>
    <w:rsid w:val="1BC31FA6"/>
    <w:rsid w:val="1CBD38F1"/>
    <w:rsid w:val="1CF163A7"/>
    <w:rsid w:val="1D3D7F97"/>
    <w:rsid w:val="1E3450EF"/>
    <w:rsid w:val="1EBD543E"/>
    <w:rsid w:val="206941C2"/>
    <w:rsid w:val="20AE4CDA"/>
    <w:rsid w:val="20D504B9"/>
    <w:rsid w:val="215C4736"/>
    <w:rsid w:val="217A0E59"/>
    <w:rsid w:val="21BA145D"/>
    <w:rsid w:val="224F6049"/>
    <w:rsid w:val="22C24A6D"/>
    <w:rsid w:val="238204BE"/>
    <w:rsid w:val="24602185"/>
    <w:rsid w:val="24AF7CF7"/>
    <w:rsid w:val="24B72C60"/>
    <w:rsid w:val="24B77ED6"/>
    <w:rsid w:val="256513E6"/>
    <w:rsid w:val="26B7607F"/>
    <w:rsid w:val="27090EBD"/>
    <w:rsid w:val="270A0F6E"/>
    <w:rsid w:val="274E5DDE"/>
    <w:rsid w:val="275E288B"/>
    <w:rsid w:val="280451E0"/>
    <w:rsid w:val="290611BA"/>
    <w:rsid w:val="29230E84"/>
    <w:rsid w:val="298C321D"/>
    <w:rsid w:val="29AE30FA"/>
    <w:rsid w:val="29BD13E0"/>
    <w:rsid w:val="2AAB228B"/>
    <w:rsid w:val="2AFF0777"/>
    <w:rsid w:val="2B870602"/>
    <w:rsid w:val="2BA54F2C"/>
    <w:rsid w:val="2BAC62BA"/>
    <w:rsid w:val="2C047EA4"/>
    <w:rsid w:val="2CAA26D9"/>
    <w:rsid w:val="2CB96A46"/>
    <w:rsid w:val="2D2D2D65"/>
    <w:rsid w:val="2D3F05A4"/>
    <w:rsid w:val="2DAB630A"/>
    <w:rsid w:val="2DFF0595"/>
    <w:rsid w:val="2E823302"/>
    <w:rsid w:val="2E84326A"/>
    <w:rsid w:val="2FEC467D"/>
    <w:rsid w:val="30471CF4"/>
    <w:rsid w:val="30702C2E"/>
    <w:rsid w:val="30896BCA"/>
    <w:rsid w:val="30EF0104"/>
    <w:rsid w:val="30FD3114"/>
    <w:rsid w:val="310B75DF"/>
    <w:rsid w:val="33486125"/>
    <w:rsid w:val="33A361F5"/>
    <w:rsid w:val="34055B3D"/>
    <w:rsid w:val="342A7720"/>
    <w:rsid w:val="3524459F"/>
    <w:rsid w:val="3529410F"/>
    <w:rsid w:val="358866EC"/>
    <w:rsid w:val="358B545B"/>
    <w:rsid w:val="35FA5E74"/>
    <w:rsid w:val="36555477"/>
    <w:rsid w:val="365A1CE1"/>
    <w:rsid w:val="36716136"/>
    <w:rsid w:val="369F59AD"/>
    <w:rsid w:val="370E617F"/>
    <w:rsid w:val="37880D76"/>
    <w:rsid w:val="379954A8"/>
    <w:rsid w:val="3851621F"/>
    <w:rsid w:val="385E6405"/>
    <w:rsid w:val="39A87C23"/>
    <w:rsid w:val="39D52E80"/>
    <w:rsid w:val="3AB37A83"/>
    <w:rsid w:val="3BC80237"/>
    <w:rsid w:val="3BDA69EE"/>
    <w:rsid w:val="3BF666F8"/>
    <w:rsid w:val="3C1D3F22"/>
    <w:rsid w:val="3CFF4D4D"/>
    <w:rsid w:val="3D0A2E41"/>
    <w:rsid w:val="3E1F55C9"/>
    <w:rsid w:val="3F530610"/>
    <w:rsid w:val="3FDF34CE"/>
    <w:rsid w:val="400F413D"/>
    <w:rsid w:val="4073395D"/>
    <w:rsid w:val="40762E3E"/>
    <w:rsid w:val="40CD665F"/>
    <w:rsid w:val="417C7D58"/>
    <w:rsid w:val="42F37DCA"/>
    <w:rsid w:val="43056584"/>
    <w:rsid w:val="431C1579"/>
    <w:rsid w:val="434F77FF"/>
    <w:rsid w:val="437C3BA1"/>
    <w:rsid w:val="43934D06"/>
    <w:rsid w:val="43A23DD3"/>
    <w:rsid w:val="44E65F41"/>
    <w:rsid w:val="45260A34"/>
    <w:rsid w:val="453F38A4"/>
    <w:rsid w:val="458F5091"/>
    <w:rsid w:val="46676778"/>
    <w:rsid w:val="46EA5546"/>
    <w:rsid w:val="473531B0"/>
    <w:rsid w:val="47C033D6"/>
    <w:rsid w:val="487920EA"/>
    <w:rsid w:val="48D013E2"/>
    <w:rsid w:val="49465201"/>
    <w:rsid w:val="4994030D"/>
    <w:rsid w:val="4A0E6826"/>
    <w:rsid w:val="4A7474E5"/>
    <w:rsid w:val="4AF33247"/>
    <w:rsid w:val="4B1A4B97"/>
    <w:rsid w:val="4B6F5B99"/>
    <w:rsid w:val="4BB96205"/>
    <w:rsid w:val="4CC978D5"/>
    <w:rsid w:val="4CF1216C"/>
    <w:rsid w:val="4D862070"/>
    <w:rsid w:val="4DD54DA5"/>
    <w:rsid w:val="4DF55447"/>
    <w:rsid w:val="4E254D28"/>
    <w:rsid w:val="4F810C75"/>
    <w:rsid w:val="51A75EC9"/>
    <w:rsid w:val="51B416C6"/>
    <w:rsid w:val="52574CF4"/>
    <w:rsid w:val="52BD6C15"/>
    <w:rsid w:val="534C3D5B"/>
    <w:rsid w:val="53990B87"/>
    <w:rsid w:val="53D02297"/>
    <w:rsid w:val="543739B3"/>
    <w:rsid w:val="54460E60"/>
    <w:rsid w:val="54B81118"/>
    <w:rsid w:val="553F2014"/>
    <w:rsid w:val="55BF6A67"/>
    <w:rsid w:val="56076A84"/>
    <w:rsid w:val="57657032"/>
    <w:rsid w:val="57AF7A62"/>
    <w:rsid w:val="58227EAC"/>
    <w:rsid w:val="589676B6"/>
    <w:rsid w:val="58A6013D"/>
    <w:rsid w:val="59366A68"/>
    <w:rsid w:val="594D25DB"/>
    <w:rsid w:val="596A0A97"/>
    <w:rsid w:val="5AEE56F8"/>
    <w:rsid w:val="5B0D2022"/>
    <w:rsid w:val="5B163AB7"/>
    <w:rsid w:val="5B4F6DF9"/>
    <w:rsid w:val="5B914A01"/>
    <w:rsid w:val="5BD26DC8"/>
    <w:rsid w:val="5C761E49"/>
    <w:rsid w:val="5C8613EC"/>
    <w:rsid w:val="5D1C2678"/>
    <w:rsid w:val="5D2331A2"/>
    <w:rsid w:val="5DBA6F22"/>
    <w:rsid w:val="5E9345EC"/>
    <w:rsid w:val="5F184B73"/>
    <w:rsid w:val="5F6D6188"/>
    <w:rsid w:val="5F722139"/>
    <w:rsid w:val="5FE628FB"/>
    <w:rsid w:val="60285208"/>
    <w:rsid w:val="60D3467A"/>
    <w:rsid w:val="61077514"/>
    <w:rsid w:val="614C3178"/>
    <w:rsid w:val="61D139D5"/>
    <w:rsid w:val="61F643F0"/>
    <w:rsid w:val="62AF7E63"/>
    <w:rsid w:val="63B36F43"/>
    <w:rsid w:val="63F32DD8"/>
    <w:rsid w:val="64392552"/>
    <w:rsid w:val="64B021D3"/>
    <w:rsid w:val="65583102"/>
    <w:rsid w:val="657B5DDA"/>
    <w:rsid w:val="658A426F"/>
    <w:rsid w:val="65B431E5"/>
    <w:rsid w:val="65E46075"/>
    <w:rsid w:val="66114818"/>
    <w:rsid w:val="66384800"/>
    <w:rsid w:val="66697695"/>
    <w:rsid w:val="667E2026"/>
    <w:rsid w:val="66EB3CB4"/>
    <w:rsid w:val="66FF6AED"/>
    <w:rsid w:val="67395F4D"/>
    <w:rsid w:val="67B24307"/>
    <w:rsid w:val="67BF5672"/>
    <w:rsid w:val="67C1666E"/>
    <w:rsid w:val="685C1EF3"/>
    <w:rsid w:val="68802085"/>
    <w:rsid w:val="69823BDB"/>
    <w:rsid w:val="698F7158"/>
    <w:rsid w:val="69BA15C7"/>
    <w:rsid w:val="6A1F58CE"/>
    <w:rsid w:val="6A7C7C19"/>
    <w:rsid w:val="6ADA504D"/>
    <w:rsid w:val="6B040620"/>
    <w:rsid w:val="6BF35990"/>
    <w:rsid w:val="6BF568E6"/>
    <w:rsid w:val="6C836772"/>
    <w:rsid w:val="6D8E12A6"/>
    <w:rsid w:val="6E3C0E0B"/>
    <w:rsid w:val="6E63624E"/>
    <w:rsid w:val="6E746256"/>
    <w:rsid w:val="6EDF562C"/>
    <w:rsid w:val="6F7F632C"/>
    <w:rsid w:val="6F814935"/>
    <w:rsid w:val="6FB42615"/>
    <w:rsid w:val="6FB576E8"/>
    <w:rsid w:val="6FB67594"/>
    <w:rsid w:val="70311054"/>
    <w:rsid w:val="71096990"/>
    <w:rsid w:val="72475174"/>
    <w:rsid w:val="726E274B"/>
    <w:rsid w:val="73A806E2"/>
    <w:rsid w:val="74461DCD"/>
    <w:rsid w:val="74855152"/>
    <w:rsid w:val="75391C4E"/>
    <w:rsid w:val="754C32EF"/>
    <w:rsid w:val="75C13E86"/>
    <w:rsid w:val="75C86CF7"/>
    <w:rsid w:val="77274014"/>
    <w:rsid w:val="773A5AF5"/>
    <w:rsid w:val="77F863B7"/>
    <w:rsid w:val="78237ECE"/>
    <w:rsid w:val="7858434E"/>
    <w:rsid w:val="79030B7F"/>
    <w:rsid w:val="79615F04"/>
    <w:rsid w:val="798B3300"/>
    <w:rsid w:val="79A60BD9"/>
    <w:rsid w:val="79DC6BAA"/>
    <w:rsid w:val="7A2404B5"/>
    <w:rsid w:val="7A3251AA"/>
    <w:rsid w:val="7B2F4DDF"/>
    <w:rsid w:val="7BED7367"/>
    <w:rsid w:val="7C466E68"/>
    <w:rsid w:val="7C4B4301"/>
    <w:rsid w:val="7CDB5685"/>
    <w:rsid w:val="7D1F4A73"/>
    <w:rsid w:val="7D8C59CD"/>
    <w:rsid w:val="7D957F29"/>
    <w:rsid w:val="7E176B90"/>
    <w:rsid w:val="7E660E57"/>
    <w:rsid w:val="7F624356"/>
    <w:rsid w:val="7FFC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37"/>
    <w:qFormat/>
    <w:uiPriority w:val="0"/>
    <w:pPr>
      <w:keepNext/>
      <w:keepLines/>
      <w:spacing w:line="240" w:lineRule="auto"/>
      <w:ind w:firstLine="0" w:firstLineChars="0"/>
      <w:jc w:val="center"/>
      <w:outlineLvl w:val="0"/>
    </w:pPr>
    <w:rPr>
      <w:kern w:val="44"/>
      <w:sz w:val="21"/>
    </w:rPr>
  </w:style>
  <w:style w:type="paragraph" w:styleId="5">
    <w:name w:val="heading 2"/>
    <w:basedOn w:val="1"/>
    <w:next w:val="1"/>
    <w:link w:val="38"/>
    <w:unhideWhenUsed/>
    <w:qFormat/>
    <w:uiPriority w:val="0"/>
    <w:pPr>
      <w:keepNext/>
      <w:keepLines/>
      <w:ind w:firstLine="0" w:firstLineChars="0"/>
      <w:outlineLvl w:val="1"/>
    </w:pPr>
  </w:style>
  <w:style w:type="paragraph" w:styleId="6">
    <w:name w:val="heading 3"/>
    <w:basedOn w:val="1"/>
    <w:next w:val="1"/>
    <w:unhideWhenUsed/>
    <w:qFormat/>
    <w:uiPriority w:val="0"/>
    <w:pPr>
      <w:keepNext/>
      <w:keepLines/>
      <w:spacing w:beforeLines="0" w:beforeAutospacing="0" w:afterLines="0" w:afterAutospacing="0" w:line="360" w:lineRule="auto"/>
      <w:ind w:firstLine="0" w:firstLineChars="0"/>
      <w:outlineLvl w:val="2"/>
    </w:pPr>
    <w:rPr>
      <w:rFonts w:ascii="Times New Roman" w:hAnsi="Times New Roman" w:eastAsia="宋体"/>
      <w:b/>
      <w:sz w:val="28"/>
    </w:rPr>
  </w:style>
  <w:style w:type="paragraph" w:styleId="7">
    <w:name w:val="heading 4"/>
    <w:basedOn w:val="1"/>
    <w:next w:val="1"/>
    <w:unhideWhenUsed/>
    <w:qFormat/>
    <w:uiPriority w:val="0"/>
    <w:pPr>
      <w:ind w:firstLine="0" w:firstLineChars="0"/>
      <w:outlineLvl w:val="3"/>
    </w:pPr>
    <w:rPr>
      <w:rFonts w:cs="宋体"/>
      <w:b/>
      <w:bCs/>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8">
    <w:name w:val="Normal Indent"/>
    <w:basedOn w:val="1"/>
    <w:next w:val="9"/>
    <w:qFormat/>
    <w:uiPriority w:val="99"/>
    <w:pPr>
      <w:ind w:firstLine="420"/>
    </w:pPr>
    <w:rPr>
      <w:szCs w:val="21"/>
    </w:rPr>
  </w:style>
  <w:style w:type="paragraph" w:styleId="9">
    <w:name w:val="Body Text First Indent 2"/>
    <w:basedOn w:val="10"/>
    <w:next w:val="11"/>
    <w:unhideWhenUsed/>
    <w:qFormat/>
    <w:uiPriority w:val="99"/>
    <w:pPr>
      <w:spacing w:line="240" w:lineRule="auto"/>
      <w:ind w:firstLine="420"/>
    </w:pPr>
    <w:rPr>
      <w:rFonts w:eastAsia="仿宋_GB2312"/>
      <w:snapToGrid w:val="0"/>
      <w:color w:val="000000"/>
      <w:sz w:val="28"/>
    </w:rPr>
  </w:style>
  <w:style w:type="paragraph" w:styleId="10">
    <w:name w:val="Body Text Indent"/>
    <w:basedOn w:val="1"/>
    <w:next w:val="9"/>
    <w:qFormat/>
    <w:uiPriority w:val="0"/>
    <w:pPr>
      <w:spacing w:after="120"/>
      <w:ind w:left="420" w:leftChars="200"/>
    </w:pPr>
    <w:rPr>
      <w:kern w:val="0"/>
      <w:szCs w:val="20"/>
    </w:rPr>
  </w:style>
  <w:style w:type="paragraph" w:styleId="11">
    <w:name w:val="Body Text First Indent"/>
    <w:basedOn w:val="12"/>
    <w:next w:val="1"/>
    <w:qFormat/>
    <w:uiPriority w:val="0"/>
    <w:pPr>
      <w:ind w:firstLine="420" w:firstLineChars="100"/>
    </w:pPr>
    <w:rPr>
      <w:szCs w:val="20"/>
    </w:rPr>
  </w:style>
  <w:style w:type="paragraph" w:styleId="12">
    <w:name w:val="Body Text"/>
    <w:basedOn w:val="1"/>
    <w:next w:val="13"/>
    <w:qFormat/>
    <w:uiPriority w:val="0"/>
    <w:pPr>
      <w:spacing w:after="120"/>
    </w:pPr>
  </w:style>
  <w:style w:type="paragraph" w:customStyle="1" w:styleId="13">
    <w:name w:val="xl27"/>
    <w:basedOn w:val="1"/>
    <w:next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styleId="14">
    <w:name w:val="annotation text"/>
    <w:basedOn w:val="1"/>
    <w:link w:val="53"/>
    <w:semiHidden/>
    <w:qFormat/>
    <w:uiPriority w:val="99"/>
    <w:pPr>
      <w:jc w:val="left"/>
    </w:pPr>
    <w:rPr>
      <w:kern w:val="0"/>
      <w:szCs w:val="20"/>
    </w:rPr>
  </w:style>
  <w:style w:type="paragraph" w:styleId="15">
    <w:name w:val="Salutation"/>
    <w:basedOn w:val="1"/>
    <w:next w:val="1"/>
    <w:semiHidden/>
    <w:qFormat/>
    <w:uiPriority w:val="0"/>
    <w:pPr>
      <w:pBdr>
        <w:top w:val="single" w:color="auto" w:sz="4" w:space="1"/>
      </w:pBdr>
      <w:adjustRightInd w:val="0"/>
      <w:spacing w:line="360" w:lineRule="atLeast"/>
      <w:jc w:val="left"/>
      <w:textAlignment w:val="baseline"/>
    </w:pPr>
    <w:rPr>
      <w:kern w:val="0"/>
      <w:szCs w:val="20"/>
    </w:rPr>
  </w:style>
  <w:style w:type="paragraph" w:styleId="16">
    <w:name w:val="Block Text"/>
    <w:basedOn w:val="1"/>
    <w:qFormat/>
    <w:uiPriority w:val="0"/>
    <w:pPr>
      <w:adjustRightInd w:val="0"/>
      <w:snapToGrid w:val="0"/>
      <w:spacing w:line="490" w:lineRule="atLeast"/>
      <w:ind w:left="10" w:leftChars="5" w:right="-449" w:rightChars="-214" w:firstLine="560" w:firstLineChars="200"/>
    </w:pPr>
    <w:rPr>
      <w:color w:val="000000"/>
      <w:sz w:val="28"/>
    </w:rPr>
  </w:style>
  <w:style w:type="paragraph" w:styleId="17">
    <w:name w:val="Plain Text"/>
    <w:basedOn w:val="1"/>
    <w:next w:val="15"/>
    <w:qFormat/>
    <w:uiPriority w:val="0"/>
    <w:rPr>
      <w:rFonts w:ascii="宋体" w:hAnsi="Courier New"/>
      <w:szCs w:val="21"/>
    </w:rPr>
  </w:style>
  <w:style w:type="paragraph" w:styleId="18">
    <w:name w:val="Date"/>
    <w:basedOn w:val="1"/>
    <w:next w:val="1"/>
    <w:qFormat/>
    <w:uiPriority w:val="0"/>
    <w:rPr>
      <w:sz w:val="28"/>
      <w:szCs w:val="20"/>
    </w:rPr>
  </w:style>
  <w:style w:type="paragraph" w:styleId="19">
    <w:name w:val="Body Text Indent 2"/>
    <w:basedOn w:val="1"/>
    <w:next w:val="1"/>
    <w:qFormat/>
    <w:uiPriority w:val="0"/>
    <w:pPr>
      <w:spacing w:line="620" w:lineRule="exact"/>
      <w:ind w:firstLine="570"/>
    </w:pPr>
  </w:style>
  <w:style w:type="paragraph" w:styleId="20">
    <w:name w:val="Balloon Text"/>
    <w:basedOn w:val="1"/>
    <w:link w:val="55"/>
    <w:qFormat/>
    <w:uiPriority w:val="0"/>
    <w:pPr>
      <w:spacing w:line="240" w:lineRule="auto"/>
    </w:pPr>
    <w:rPr>
      <w:sz w:val="18"/>
      <w:szCs w:val="18"/>
    </w:rPr>
  </w:style>
  <w:style w:type="paragraph" w:styleId="21">
    <w:name w:val="footer"/>
    <w:basedOn w:val="1"/>
    <w:qFormat/>
    <w:uiPriority w:val="99"/>
    <w:pPr>
      <w:tabs>
        <w:tab w:val="center" w:pos="4153"/>
        <w:tab w:val="right" w:pos="8306"/>
      </w:tabs>
      <w:snapToGrid w:val="0"/>
      <w:jc w:val="left"/>
    </w:pPr>
    <w:rPr>
      <w:kern w:val="0"/>
      <w:sz w:val="18"/>
      <w:szCs w:val="20"/>
    </w:rPr>
  </w:style>
  <w:style w:type="paragraph" w:styleId="22">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3">
    <w:name w:val="Body Text 2"/>
    <w:basedOn w:val="1"/>
    <w:next w:val="1"/>
    <w:qFormat/>
    <w:uiPriority w:val="0"/>
    <w:pPr>
      <w:spacing w:after="120" w:line="480" w:lineRule="auto"/>
    </w:pPr>
  </w:style>
  <w:style w:type="paragraph" w:styleId="24">
    <w:name w:val="Normal (Web)"/>
    <w:basedOn w:val="1"/>
    <w:qFormat/>
    <w:uiPriority w:val="0"/>
    <w:pPr>
      <w:widowControl/>
      <w:spacing w:before="100" w:beforeAutospacing="1" w:after="100" w:afterAutospacing="1"/>
      <w:jc w:val="left"/>
    </w:pPr>
    <w:rPr>
      <w:rFonts w:ascii="宋体" w:hAnsi="宋体"/>
      <w:kern w:val="0"/>
      <w:szCs w:val="20"/>
    </w:rPr>
  </w:style>
  <w:style w:type="paragraph" w:styleId="25">
    <w:name w:val="annotation subject"/>
    <w:basedOn w:val="14"/>
    <w:next w:val="14"/>
    <w:link w:val="54"/>
    <w:qFormat/>
    <w:uiPriority w:val="0"/>
    <w:rPr>
      <w:b/>
      <w:bCs/>
      <w:kern w:val="2"/>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Emphasis"/>
    <w:basedOn w:val="28"/>
    <w:qFormat/>
    <w:uiPriority w:val="0"/>
    <w:rPr>
      <w:i/>
    </w:rPr>
  </w:style>
  <w:style w:type="character" w:styleId="32">
    <w:name w:val="Hyperlink"/>
    <w:basedOn w:val="28"/>
    <w:qFormat/>
    <w:uiPriority w:val="0"/>
    <w:rPr>
      <w:color w:val="0000FF"/>
      <w:u w:val="single"/>
    </w:rPr>
  </w:style>
  <w:style w:type="character" w:styleId="33">
    <w:name w:val="annotation reference"/>
    <w:basedOn w:val="28"/>
    <w:qFormat/>
    <w:uiPriority w:val="99"/>
    <w:rPr>
      <w:sz w:val="21"/>
      <w:szCs w:val="21"/>
    </w:rPr>
  </w:style>
  <w:style w:type="paragraph" w:customStyle="1" w:styleId="34">
    <w:name w:val="表格标题"/>
    <w:basedOn w:val="11"/>
    <w:next w:val="1"/>
    <w:qFormat/>
    <w:uiPriority w:val="0"/>
    <w:pPr>
      <w:jc w:val="center"/>
    </w:pPr>
    <w:rPr>
      <w:rFonts w:eastAsia="黑体"/>
    </w:rPr>
  </w:style>
  <w:style w:type="paragraph" w:customStyle="1" w:styleId="35">
    <w:name w:val="表格内容"/>
    <w:basedOn w:val="34"/>
    <w:next w:val="17"/>
    <w:qFormat/>
    <w:uiPriority w:val="0"/>
    <w:pPr>
      <w:spacing w:line="240" w:lineRule="atLeast"/>
      <w:ind w:firstLine="0" w:firstLineChars="0"/>
    </w:pPr>
    <w:rPr>
      <w:rFonts w:eastAsia="宋体"/>
      <w:sz w:val="21"/>
    </w:rPr>
  </w:style>
  <w:style w:type="paragraph" w:customStyle="1" w:styleId="36">
    <w:name w:val="表格正文"/>
    <w:basedOn w:val="8"/>
    <w:qFormat/>
    <w:uiPriority w:val="0"/>
    <w:pPr>
      <w:widowControl/>
      <w:spacing w:line="240" w:lineRule="auto"/>
      <w:ind w:firstLine="0" w:firstLineChars="0"/>
      <w:jc w:val="center"/>
    </w:pPr>
    <w:rPr>
      <w:sz w:val="21"/>
    </w:rPr>
  </w:style>
  <w:style w:type="character" w:customStyle="1" w:styleId="37">
    <w:name w:val="标题 1 Char"/>
    <w:link w:val="4"/>
    <w:qFormat/>
    <w:uiPriority w:val="0"/>
    <w:rPr>
      <w:rFonts w:eastAsia="宋体"/>
      <w:kern w:val="44"/>
      <w:sz w:val="21"/>
    </w:rPr>
  </w:style>
  <w:style w:type="character" w:customStyle="1" w:styleId="38">
    <w:name w:val="标题 2 Char"/>
    <w:link w:val="5"/>
    <w:qFormat/>
    <w:uiPriority w:val="0"/>
    <w:rPr>
      <w:rFonts w:ascii="Times New Roman" w:hAnsi="Times New Roman" w:eastAsia="宋体"/>
      <w:sz w:val="24"/>
    </w:rPr>
  </w:style>
  <w:style w:type="paragraph" w:customStyle="1" w:styleId="39">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40">
    <w:name w:val="标号正文"/>
    <w:basedOn w:val="1"/>
    <w:next w:val="1"/>
    <w:qFormat/>
    <w:uiPriority w:val="0"/>
    <w:pPr>
      <w:tabs>
        <w:tab w:val="left" w:pos="1540"/>
      </w:tabs>
      <w:overflowPunct w:val="0"/>
      <w:snapToGrid w:val="0"/>
      <w:spacing w:line="360" w:lineRule="auto"/>
      <w:ind w:left="0" w:firstLine="1040"/>
      <w:jc w:val="left"/>
    </w:pPr>
    <w:rPr>
      <w:rFonts w:ascii="Arial" w:hAnsi="Arial" w:eastAsia="宋体"/>
      <w:sz w:val="24"/>
      <w:szCs w:val="20"/>
    </w:rPr>
  </w:style>
  <w:style w:type="paragraph" w:customStyle="1" w:styleId="41">
    <w:name w:val="A正文"/>
    <w:basedOn w:val="1"/>
    <w:qFormat/>
    <w:uiPriority w:val="0"/>
    <w:pPr>
      <w:spacing w:line="360" w:lineRule="auto"/>
      <w:ind w:firstLine="200" w:firstLineChars="200"/>
    </w:pPr>
    <w:rPr>
      <w:sz w:val="24"/>
    </w:rPr>
  </w:style>
  <w:style w:type="paragraph" w:customStyle="1" w:styleId="42">
    <w:name w:val="Default"/>
    <w:basedOn w:val="43"/>
    <w:next w:val="44"/>
    <w:qFormat/>
    <w:uiPriority w:val="0"/>
    <w:pPr>
      <w:autoSpaceDE w:val="0"/>
      <w:autoSpaceDN w:val="0"/>
      <w:adjustRightInd w:val="0"/>
    </w:pPr>
    <w:rPr>
      <w:rFonts w:ascii="宋体" w:hAnsi="Times New Roman" w:cs="宋体"/>
      <w:sz w:val="24"/>
    </w:rPr>
  </w:style>
  <w:style w:type="paragraph" w:customStyle="1" w:styleId="43">
    <w:name w:val="纯文本1"/>
    <w:basedOn w:val="1"/>
    <w:qFormat/>
    <w:uiPriority w:val="99"/>
    <w:pPr>
      <w:widowControl/>
      <w:jc w:val="left"/>
    </w:pPr>
    <w:rPr>
      <w:rFonts w:ascii="宋体" w:hAnsi="Courier New" w:eastAsia="宋体" w:cs="宋体"/>
      <w:kern w:val="0"/>
      <w:sz w:val="24"/>
      <w:szCs w:val="21"/>
    </w:rPr>
  </w:style>
  <w:style w:type="paragraph" w:customStyle="1" w:styleId="44">
    <w:name w:val="样式1"/>
    <w:basedOn w:val="2"/>
    <w:next w:val="16"/>
    <w:qFormat/>
    <w:uiPriority w:val="0"/>
    <w:rPr>
      <w:color w:val="000000"/>
      <w:sz w:val="24"/>
    </w:rPr>
  </w:style>
  <w:style w:type="paragraph" w:customStyle="1" w:styleId="45">
    <w:name w:val="批注文字1"/>
    <w:qFormat/>
    <w:uiPriority w:val="0"/>
    <w:pPr>
      <w:widowControl w:val="0"/>
    </w:pPr>
    <w:rPr>
      <w:rFonts w:ascii="Calibri" w:hAnsi="Calibri" w:eastAsia="宋体" w:cs="Times New Roman"/>
      <w:color w:val="000000"/>
      <w:kern w:val="2"/>
      <w:sz w:val="21"/>
      <w:szCs w:val="24"/>
      <w:lang w:val="en-US" w:eastAsia="zh-CN" w:bidi="ar-SA"/>
    </w:rPr>
  </w:style>
  <w:style w:type="paragraph" w:customStyle="1" w:styleId="46">
    <w:name w:val="Table Paragraph"/>
    <w:basedOn w:val="1"/>
    <w:qFormat/>
    <w:uiPriority w:val="1"/>
    <w:pPr>
      <w:jc w:val="center"/>
    </w:pPr>
    <w:rPr>
      <w:rFonts w:ascii="宋体" w:hAnsi="宋体" w:cs="宋体"/>
      <w:lang w:val="zh-CN" w:bidi="zh-CN"/>
    </w:rPr>
  </w:style>
  <w:style w:type="paragraph" w:customStyle="1" w:styleId="47">
    <w:name w:val="正文（用）"/>
    <w:basedOn w:val="1"/>
    <w:qFormat/>
    <w:uiPriority w:val="99"/>
    <w:pPr>
      <w:ind w:firstLine="480"/>
      <w:jc w:val="left"/>
    </w:pPr>
    <w:rPr>
      <w:rFonts w:ascii="宋体" w:hAnsi="宋体" w:cs="宋体"/>
    </w:rPr>
  </w:style>
  <w:style w:type="paragraph" w:customStyle="1" w:styleId="48">
    <w:name w:val="1正文段落"/>
    <w:basedOn w:val="1"/>
    <w:qFormat/>
    <w:uiPriority w:val="0"/>
    <w:pPr>
      <w:ind w:firstLine="480"/>
      <w:jc w:val="left"/>
    </w:pPr>
    <w:rPr>
      <w:snapToGrid w:val="0"/>
      <w:kern w:val="0"/>
    </w:rPr>
  </w:style>
  <w:style w:type="paragraph" w:customStyle="1" w:styleId="49">
    <w:name w:val="A标准格式"/>
    <w:basedOn w:val="1"/>
    <w:qFormat/>
    <w:uiPriority w:val="0"/>
    <w:pPr>
      <w:spacing w:line="440" w:lineRule="exact"/>
      <w:ind w:firstLine="480"/>
    </w:pPr>
  </w:style>
  <w:style w:type="paragraph" w:customStyle="1" w:styleId="50">
    <w:name w:val="正文思密达"/>
    <w:basedOn w:val="1"/>
    <w:qFormat/>
    <w:uiPriority w:val="0"/>
    <w:pPr>
      <w:ind w:right="105" w:rightChars="50" w:firstLine="480"/>
    </w:pPr>
    <w:rPr>
      <w:rFonts w:ascii="Calibri" w:hAnsi="Calibri"/>
    </w:rPr>
  </w:style>
  <w:style w:type="paragraph" w:customStyle="1" w:styleId="51">
    <w:name w:val="图"/>
    <w:basedOn w:val="35"/>
    <w:qFormat/>
    <w:uiPriority w:val="0"/>
    <w:rPr>
      <w:sz w:val="24"/>
    </w:rPr>
  </w:style>
  <w:style w:type="paragraph" w:customStyle="1" w:styleId="52">
    <w:name w:val="环评正文"/>
    <w:basedOn w:val="18"/>
    <w:qFormat/>
    <w:uiPriority w:val="0"/>
    <w:pPr>
      <w:spacing w:line="500" w:lineRule="exact"/>
      <w:ind w:firstLine="560"/>
    </w:pPr>
    <w:rPr>
      <w:rFonts w:ascii="仿宋_GB2312" w:hAnsi="Calibri" w:eastAsia="仿宋_GB2312"/>
      <w:szCs w:val="22"/>
    </w:rPr>
  </w:style>
  <w:style w:type="character" w:customStyle="1" w:styleId="53">
    <w:name w:val="批注文字 Char"/>
    <w:basedOn w:val="28"/>
    <w:link w:val="14"/>
    <w:semiHidden/>
    <w:qFormat/>
    <w:uiPriority w:val="99"/>
    <w:rPr>
      <w:sz w:val="24"/>
    </w:rPr>
  </w:style>
  <w:style w:type="character" w:customStyle="1" w:styleId="54">
    <w:name w:val="批注主题 Char"/>
    <w:basedOn w:val="53"/>
    <w:link w:val="25"/>
    <w:qFormat/>
    <w:uiPriority w:val="0"/>
    <w:rPr>
      <w:b/>
      <w:bCs/>
      <w:kern w:val="2"/>
      <w:sz w:val="24"/>
      <w:szCs w:val="24"/>
    </w:rPr>
  </w:style>
  <w:style w:type="character" w:customStyle="1" w:styleId="55">
    <w:name w:val="批注框文本 Char"/>
    <w:basedOn w:val="28"/>
    <w:link w:val="20"/>
    <w:qFormat/>
    <w:uiPriority w:val="0"/>
    <w:rPr>
      <w:kern w:val="2"/>
      <w:sz w:val="18"/>
      <w:szCs w:val="18"/>
    </w:rPr>
  </w:style>
  <w:style w:type="character" w:customStyle="1" w:styleId="56">
    <w:name w:val="NormalCharacter"/>
    <w:qFormat/>
    <w:uiPriority w:val="0"/>
    <w:rPr>
      <w:kern w:val="2"/>
      <w:sz w:val="21"/>
      <w:szCs w:val="24"/>
      <w:lang w:val="en-US" w:eastAsia="zh-CN" w:bidi="ar-SA"/>
    </w:rPr>
  </w:style>
  <w:style w:type="paragraph" w:customStyle="1" w:styleId="57">
    <w:name w:val="列出段落3"/>
    <w:basedOn w:val="1"/>
    <w:qFormat/>
    <w:uiPriority w:val="0"/>
    <w:pPr>
      <w:ind w:firstLine="420" w:firstLineChars="200"/>
    </w:pPr>
    <w:rPr>
      <w:rFonts w:ascii="Calibri" w:hAnsi="Calibri" w:cs="宋体"/>
      <w:szCs w:val="21"/>
    </w:rPr>
  </w:style>
  <w:style w:type="paragraph" w:customStyle="1" w:styleId="58">
    <w:name w:val="表格内标题"/>
    <w:basedOn w:val="8"/>
    <w:next w:val="1"/>
    <w:qFormat/>
    <w:uiPriority w:val="0"/>
    <w:pPr>
      <w:widowControl/>
      <w:spacing w:line="240" w:lineRule="auto"/>
      <w:ind w:firstLine="0" w:firstLineChars="0"/>
      <w:jc w:val="center"/>
    </w:pPr>
    <w:rPr>
      <w:b/>
      <w:sz w:val="21"/>
      <w:szCs w:val="21"/>
    </w:rPr>
  </w:style>
  <w:style w:type="paragraph" w:customStyle="1" w:styleId="59">
    <w:name w:val="+正文"/>
    <w:basedOn w:val="1"/>
    <w:qFormat/>
    <w:uiPriority w:val="0"/>
    <w:pPr>
      <w:spacing w:line="360" w:lineRule="auto"/>
      <w:ind w:firstLine="200" w:firstLineChars="200"/>
    </w:pPr>
    <w:rPr>
      <w:sz w:val="24"/>
      <w:szCs w:val="28"/>
    </w:rPr>
  </w:style>
  <w:style w:type="paragraph" w:customStyle="1" w:styleId="60">
    <w:name w:val="p0"/>
    <w:basedOn w:val="1"/>
    <w:qFormat/>
    <w:uiPriority w:val="0"/>
    <w:pPr>
      <w:widowControl/>
      <w:spacing w:line="240" w:lineRule="auto"/>
      <w:ind w:left="0"/>
      <w:jc w:val="left"/>
      <w:textAlignment w:val="auto"/>
    </w:pPr>
  </w:style>
  <w:style w:type="character" w:customStyle="1" w:styleId="61">
    <w:name w:val="font21"/>
    <w:basedOn w:val="28"/>
    <w:qFormat/>
    <w:uiPriority w:val="0"/>
    <w:rPr>
      <w:rFonts w:hint="eastAsia" w:ascii="宋体" w:hAnsi="宋体" w:eastAsia="宋体" w:cs="宋体"/>
      <w:color w:val="000000"/>
      <w:sz w:val="21"/>
      <w:szCs w:val="21"/>
      <w:u w:val="none"/>
    </w:rPr>
  </w:style>
  <w:style w:type="table" w:customStyle="1" w:styleId="62">
    <w:name w:val="Table Normal"/>
    <w:semiHidden/>
    <w:unhideWhenUsed/>
    <w:qFormat/>
    <w:uiPriority w:val="0"/>
    <w:tblPr>
      <w:tblCellMar>
        <w:top w:w="0" w:type="dxa"/>
        <w:left w:w="0" w:type="dxa"/>
        <w:bottom w:w="0" w:type="dxa"/>
        <w:right w:w="0" w:type="dxa"/>
      </w:tblCellMar>
    </w:tblPr>
  </w:style>
  <w:style w:type="character" w:customStyle="1" w:styleId="63">
    <w:name w:val="font41"/>
    <w:basedOn w:val="2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wmf"/><Relationship Id="rId24" Type="http://schemas.openxmlformats.org/officeDocument/2006/relationships/oleObject" Target="embeddings/oleObject7.bin"/><Relationship Id="rId23" Type="http://schemas.openxmlformats.org/officeDocument/2006/relationships/image" Target="media/image7.wmf"/><Relationship Id="rId22" Type="http://schemas.openxmlformats.org/officeDocument/2006/relationships/oleObject" Target="embeddings/oleObject6.bin"/><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13647</Words>
  <Characters>14679</Characters>
  <Lines>78</Lines>
  <Paragraphs>86</Paragraphs>
  <TotalTime>8</TotalTime>
  <ScaleCrop>false</ScaleCrop>
  <LinksUpToDate>false</LinksUpToDate>
  <CharactersWithSpaces>14710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2022-10-26T11:23:00Z</dcterms:created>
  <dc:creator>zoe</dc:creator>
  <cp:lastModifiedBy>WPS_1561811786</cp:lastModifiedBy>
  <cp:lastPrinted>2022-10-08T01:17:00Z</cp:lastPrinted>
  <dcterms:modified xsi:type="dcterms:W3CDTF">2025-07-11T01:39:44Z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6E28532BC7A242249CF2EE60444D1745</vt:lpwstr>
  </property>
  <property fmtid="{D5CDD505-2E9C-101B-9397-08002B2CF9AE}" pid="4" name="KSOTemplateDocerSaveRecord">
    <vt:lpwstr>eyJoZGlkIjoiNDNlMDc5MjJiMjJiMzNkMTczNzAyNTAxOTVjMGVmMGMiLCJ1c2VySWQiOiI1OTU2Mjk1MDQifQ==</vt:lpwstr>
  </property>
</Properties>
</file>