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安徽省财政厅、物价局转发财政部</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国家发展改革委关于招标师职业水平考试收费有关问题的通知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财综〔2009〕203号</w:t>
      </w:r>
      <w:r>
        <w:rPr>
          <w:rFonts w:hint="eastAsia" w:ascii="楷体_GB2312" w:hAnsi="楷体" w:eastAsia="楷体_GB2312" w:cs="Times New Roman"/>
          <w:kern w:val="0"/>
          <w:sz w:val="32"/>
          <w:szCs w:val="32"/>
          <w:lang w:val="en-US" w:eastAsia="zh-CN"/>
        </w:rPr>
        <w:t xml:space="preserve">  2009年3月25日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省人事厅，各市、县财政局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现将《财政部国家发展改革委关于招标师职业水平考试</w:t>
      </w:r>
      <w:bookmarkStart w:id="0" w:name="_GoBack"/>
      <w:r>
        <w:rPr>
          <w:rFonts w:hint="eastAsia" w:ascii="仿宋_GB2312" w:hAnsi="仿宋" w:eastAsia="仿宋_GB2312" w:cs="Times New Roman"/>
          <w:kern w:val="0"/>
          <w:sz w:val="32"/>
          <w:szCs w:val="32"/>
        </w:rPr>
        <w:t>收费有关问题的通知》(财综〔2009〕10号)转发给你们,结合我省实际，作以下补充规定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请一并贯彻执行。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事考试院在组织招标师职业水平考试时向参加考试人员收取的考试费，属政府非税收入,应全额上缴省级国库,纳入省级财政预算管理。缴库时列“政府收支分类科目”第103类“非税收入”04款“行政事业性收费收入”50项“人力资源和社会保障行政事业性收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”04目“考试考务费”。支出通过部门预算核拨。</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E12D40DB-EE77-4E39-B356-3E34DFF5F793}"/>
  </w:font>
  <w:font w:name="楷体_GB2312">
    <w:panose1 w:val="02010609030101010101"/>
    <w:charset w:val="86"/>
    <w:family w:val="modern"/>
    <w:pitch w:val="default"/>
    <w:sig w:usb0="00000001" w:usb1="080E0000" w:usb2="00000000" w:usb3="00000000" w:csb0="00040000" w:csb1="00000000"/>
    <w:embedRegular r:id="rId2" w:fontKey="{0B358E8C-1CEA-4E95-8E7C-2F1F421CA75C}"/>
  </w:font>
  <w:font w:name="楷体">
    <w:panose1 w:val="02010609060101010101"/>
    <w:charset w:val="86"/>
    <w:family w:val="modern"/>
    <w:pitch w:val="default"/>
    <w:sig w:usb0="800002BF" w:usb1="38CF7CFA" w:usb2="00000016" w:usb3="00000000" w:csb0="00040001" w:csb1="00000000"/>
    <w:embedRegular r:id="rId3" w:fontKey="{760689D6-F496-46ED-8A74-8950FDD1B1E7}"/>
  </w:font>
  <w:font w:name="仿宋_GB2312">
    <w:panose1 w:val="02010609030101010101"/>
    <w:charset w:val="86"/>
    <w:family w:val="modern"/>
    <w:pitch w:val="default"/>
    <w:sig w:usb0="00000001" w:usb1="080E0000" w:usb2="00000000" w:usb3="00000000" w:csb0="00040000" w:csb1="00000000"/>
    <w:embedRegular r:id="rId4" w:fontKey="{F0FBC0E2-9CFD-4CF6-8302-D1F791D49C9A}"/>
  </w:font>
  <w:font w:name="仿宋">
    <w:panose1 w:val="02010609060101010101"/>
    <w:charset w:val="86"/>
    <w:family w:val="auto"/>
    <w:pitch w:val="default"/>
    <w:sig w:usb0="800002BF" w:usb1="38CF7CFA" w:usb2="00000016" w:usb3="00000000" w:csb0="00040001" w:csb1="00000000"/>
    <w:embedRegular r:id="rId5" w:fontKey="{3F11D94D-F696-4938-8A3C-1BBD0E7CE18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66D5"/>
    <w:rsid w:val="417166D5"/>
    <w:rsid w:val="6C2E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2022-01-17T15:13:00Z</dcterms:created>
  <dc:creator>admin</dc:creator>
  <cp:lastModifiedBy>小梨涡er</cp:lastModifiedBy>
  <dcterms:modified xsi:type="dcterms:W3CDTF">2022-01-18T09:18:21Z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89DDD3DAD4C54639ADAA15787F52FBFA</vt:lpwstr>
  </property>
</Properties>
</file>