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  <w:t>安徽省物价局关于交通拯救车辆作业收费有关问题的函</w:t>
      </w:r>
    </w:p>
    <w:p>
      <w:pPr>
        <w:adjustRightInd w:val="0"/>
        <w:snapToGrid w:val="0"/>
        <w:spacing w:line="600" w:lineRule="exact"/>
        <w:jc w:val="center"/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皖价费〔2004〕386号</w:t>
      </w:r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  <w:t xml:space="preserve">  2004年12月23日</w:t>
      </w:r>
    </w:p>
    <w:p>
      <w:pPr>
        <w:adjustRightInd w:val="0"/>
        <w:snapToGrid w:val="0"/>
        <w:spacing w:line="600" w:lineRule="exact"/>
        <w:jc w:val="center"/>
        <w:rPr>
          <w:rFonts w:hint="default" w:ascii="楷体_GB2312" w:hAnsi="楷体" w:eastAsia="楷体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合肥市物价局: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你局《关于交通拯教车辆作业收费有关问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题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的请示》(合价服〔2004〕377号)悉。经研究，现函复如下: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一、根据《中华人民共和国道路交通安全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法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)规定，对机动车驾驶人不在现场或者在现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场但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拒绝立即驶离，妨碍其他车辆、行人通行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，公安机关交通管理部门可以将该机动车拖离，但不得向当事人收取费用。据此，省财政厅、物价局下发了《关于停止收取违章停放车辆拯救作业费的通知》(财综〔2004〕298号)，取消违章停放车辆拯救作业费。因此，违章停放车辆拯救作业应按以上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二、对交通事故车辆拯教作业收费，仍按省有关规定执行。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A44AE9C1-9BDA-49D5-9F91-8F5FAF7B104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57BFE4D-7F25-4EB5-83CC-7FE3B2BA48D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FB43268-E481-4457-AFFB-36931E8FF28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4C3800D-1E8B-4E07-8DC0-0EBF289A6A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4DBAE5B-3477-4CD5-83D9-D0656C5776B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00C4A"/>
    <w:rsid w:val="0EE00C4A"/>
    <w:rsid w:val="2326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2022-01-17T13:51:00Z</dcterms:created>
  <dc:creator>admin</dc:creator>
  <cp:lastModifiedBy>小梨涡er</cp:lastModifiedBy>
  <dcterms:modified xsi:type="dcterms:W3CDTF">2022-01-18T08:56:09Z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E7686AD1B3D3446C940AD5F37CDD4E37</vt:lpwstr>
  </property>
</Properties>
</file>