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DED" w:rsidRDefault="00243843">
      <w:pPr>
        <w:spacing w:line="240" w:lineRule="auto"/>
        <w:ind w:firstLineChars="0" w:firstLine="0"/>
        <w:sectPr w:rsidR="00E23DE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396240</wp:posOffset>
            </wp:positionV>
            <wp:extent cx="9591675" cy="6506210"/>
            <wp:effectExtent l="0" t="0" r="0" b="0"/>
            <wp:wrapTopAndBottom/>
            <wp:docPr id="1" name="图片 1" descr="E:/8.22改图/费寨村/烈山区宋疃镇费寨村村庄规划（2021-2035年）文本·图件·附件/2.栅格图件/340604101217_费寨村_村域国土空间规划图.jpg340604101217_费寨村_村域国土空间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8.22改图/费寨村/烈山区宋疃镇费寨村村庄规划（2021-2035年）文本·图件·附件/2.栅格图件/340604101217_费寨村_村域国土空间规划图.jpg340604101217_费寨村_村域国土空间规划图"/>
                    <pic:cNvPicPr>
                      <a:picLocks noChangeAspect="1"/>
                    </pic:cNvPicPr>
                  </pic:nvPicPr>
                  <pic:blipFill>
                    <a:blip r:embed="rId7"/>
                    <a:srcRect t="1615" b="2532"/>
                    <a:stretch>
                      <a:fillRect/>
                    </a:stretch>
                  </pic:blipFill>
                  <pic:spPr>
                    <a:xfrm>
                      <a:off x="0" y="0"/>
                      <a:ext cx="9591675" cy="650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附件一、村域国土空间规划图</w:t>
      </w:r>
    </w:p>
    <w:p w:rsidR="00E23DED" w:rsidRDefault="00243843">
      <w:pPr>
        <w:spacing w:line="240" w:lineRule="auto"/>
        <w:ind w:firstLineChars="0" w:firstLine="0"/>
        <w:sectPr w:rsidR="00E23DE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425450</wp:posOffset>
            </wp:positionV>
            <wp:extent cx="9476740" cy="6503035"/>
            <wp:effectExtent l="0" t="0" r="0" b="0"/>
            <wp:wrapTopAndBottom/>
            <wp:docPr id="2" name="图片 2" descr="E:/8.22改图/费寨村/烈山区宋疃镇费寨村村庄规划（2021-2035年）文本·图件·附件/2.栅格图件/340604101217_费寨村_重点区域规划总平面图.jpg340604101217_费寨村_重点区域规划总平面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8.22改图/费寨村/烈山区宋疃镇费寨村村庄规划（2021-2035年）文本·图件·附件/2.栅格图件/340604101217_费寨村_重点区域规划总平面图.jpg340604101217_费寨村_重点区域规划总平面图"/>
                    <pic:cNvPicPr>
                      <a:picLocks noChangeAspect="1"/>
                    </pic:cNvPicPr>
                  </pic:nvPicPr>
                  <pic:blipFill>
                    <a:blip r:embed="rId8"/>
                    <a:srcRect t="338" b="2603"/>
                    <a:stretch>
                      <a:fillRect/>
                    </a:stretch>
                  </pic:blipFill>
                  <pic:spPr>
                    <a:xfrm>
                      <a:off x="0" y="0"/>
                      <a:ext cx="947674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附件二、重点区域总平面图</w:t>
      </w:r>
    </w:p>
    <w:p w:rsidR="00E23DED" w:rsidRDefault="00243843">
      <w:pPr>
        <w:spacing w:line="240" w:lineRule="auto"/>
        <w:ind w:firstLineChars="0" w:firstLine="0"/>
      </w:pPr>
      <w:r>
        <w:rPr>
          <w:rFonts w:hint="eastAsia"/>
        </w:rPr>
        <w:lastRenderedPageBreak/>
        <w:t>附件三、近期建设项目（工程）一览表</w:t>
      </w:r>
    </w:p>
    <w:tbl>
      <w:tblPr>
        <w:tblpPr w:leftFromText="180" w:rightFromText="180" w:vertAnchor="text" w:horzAnchor="page" w:tblpXSpec="center" w:tblpY="579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785"/>
        <w:gridCol w:w="569"/>
        <w:gridCol w:w="1231"/>
        <w:gridCol w:w="1046"/>
        <w:gridCol w:w="3259"/>
        <w:gridCol w:w="964"/>
        <w:gridCol w:w="1935"/>
        <w:gridCol w:w="2246"/>
        <w:gridCol w:w="2579"/>
      </w:tblGrid>
      <w:tr w:rsidR="00E23DED">
        <w:trPr>
          <w:trHeight w:val="640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近期建设项目（工程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一览表</w:t>
            </w:r>
          </w:p>
        </w:tc>
      </w:tr>
      <w:tr w:rsidR="00E23DED">
        <w:trPr>
          <w:trHeight w:val="70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实施规模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建设内容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投资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万元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建设时限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协作部门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资金来源</w:t>
            </w: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国土综合整治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宅基地复垦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0.37</w:t>
            </w:r>
            <w:r>
              <w:rPr>
                <w:rFonts w:hint="eastAsia"/>
              </w:rPr>
              <w:t>公顷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拆迁撤并后的农村建设用地进行复垦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自然资源和规划局、农业农村水利局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土地复垦和后备资源开发专项资金</w:t>
            </w: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耕地后备资源开发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4.4</w:t>
            </w:r>
            <w:r>
              <w:rPr>
                <w:rFonts w:hint="eastAsia"/>
              </w:rPr>
              <w:t>公顷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整理开发低效利用的林地、废弃坑塘及设施农用地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工矿废弃地复垦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24.65</w:t>
            </w:r>
            <w:r>
              <w:rPr>
                <w:rFonts w:hint="eastAsia"/>
              </w:rPr>
              <w:t>公顷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废弃的工矿用地复垦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设施农用地整治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0.74</w:t>
            </w:r>
            <w:r>
              <w:rPr>
                <w:rFonts w:hint="eastAsia"/>
              </w:rPr>
              <w:t>公顷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废弃的设施农用地腾退整治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13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生态修复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姬沟水系整治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3.31</w:t>
            </w:r>
            <w:r>
              <w:rPr>
                <w:rFonts w:hint="eastAsia"/>
              </w:rPr>
              <w:t>公顷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姬沟河道清淤，岸坡整治</w:t>
            </w:r>
            <w:r>
              <w:rPr>
                <w:rFonts w:hint="eastAsia"/>
              </w:rPr>
              <w:t>3.31</w:t>
            </w:r>
            <w:r>
              <w:rPr>
                <w:rFonts w:hint="eastAsia"/>
              </w:rPr>
              <w:t>公顷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自然资源和规划局、农业农村水利局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山水林田湖草系统治理专项资金</w:t>
            </w: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基础设施和公共服务设施建设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道路畅通工程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6692</w:t>
            </w:r>
            <w:r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村庄道路提升，沿路硬化绿化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交通运输局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道路畅通工程资金</w:t>
            </w:r>
          </w:p>
        </w:tc>
      </w:tr>
      <w:tr w:rsidR="00E23DED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2384</w:t>
            </w:r>
            <w:r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沿闸河建设滨水景观道，绿化提质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污水管网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27955</w:t>
            </w:r>
            <w:r>
              <w:rPr>
                <w:rFonts w:hint="eastAsia"/>
              </w:rPr>
              <w:t>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排污主管网</w:t>
            </w:r>
            <w:r>
              <w:rPr>
                <w:rFonts w:hint="eastAsia"/>
              </w:rPr>
              <w:t>9956m</w:t>
            </w:r>
            <w:r>
              <w:rPr>
                <w:rFonts w:hint="eastAsia"/>
              </w:rPr>
              <w:t>，支管网</w:t>
            </w:r>
            <w:r>
              <w:rPr>
                <w:rFonts w:hint="eastAsia"/>
              </w:rPr>
              <w:t>17999m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850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农业农村水利局、乡村振兴局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农村人居环境提升专项资金</w:t>
            </w: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老年活动室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大赵滩庄新建老年活动室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公共厕所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新建公厕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污水设施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分散布置小型污水处理设施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村食堂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村委布置老年食堂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健身广场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大赵滩、杨庄、孟寨、费寨庄及李小山庄各新建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垃圾分类示范点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大赵滩庄及费寨新庄各新建垃圾分类示范点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6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村史馆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在大赵滩庄布置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E23DED">
            <w:pPr>
              <w:pStyle w:val="4"/>
            </w:pPr>
          </w:p>
        </w:tc>
      </w:tr>
      <w:tr w:rsidR="00E23DED">
        <w:trPr>
          <w:trHeight w:val="9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产业发展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农产展销坊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结合村内产业，在大赵滩庄设置加工和展销坊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发展和改革委员会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乡村振兴专项资金、村集体自筹或社会资金</w:t>
            </w:r>
          </w:p>
        </w:tc>
      </w:tr>
      <w:tr w:rsidR="00E23DED">
        <w:trPr>
          <w:trHeight w:val="10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人居环境整治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沟塘疏浚整治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针对居民点内沟塘开展清淤整治，整治坑塘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个。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2025/01-2025/12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农业农村水利局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农村人居环境提升专项资金</w:t>
            </w:r>
          </w:p>
        </w:tc>
      </w:tr>
      <w:tr w:rsidR="00E23DED">
        <w:trPr>
          <w:trHeight w:val="6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2634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DED" w:rsidRDefault="00243843">
            <w:pPr>
              <w:pStyle w:val="4"/>
            </w:pPr>
            <w:r>
              <w:rPr>
                <w:rFonts w:hint="eastAsia"/>
              </w:rPr>
              <w:t>—</w:t>
            </w:r>
          </w:p>
        </w:tc>
      </w:tr>
    </w:tbl>
    <w:p w:rsidR="00E23DED" w:rsidRDefault="00E23DED">
      <w:pPr>
        <w:spacing w:line="240" w:lineRule="auto"/>
        <w:ind w:firstLineChars="0" w:firstLine="0"/>
        <w:sectPr w:rsidR="00E23DED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:rsidR="00E23DED" w:rsidRDefault="00243843">
      <w:pPr>
        <w:spacing w:line="240" w:lineRule="auto"/>
        <w:ind w:firstLineChars="0" w:firstLine="0"/>
      </w:pPr>
      <w:r>
        <w:rPr>
          <w:rFonts w:hint="eastAsia"/>
        </w:rPr>
        <w:lastRenderedPageBreak/>
        <w:t>附件四、村庄规划用途管制规则</w:t>
      </w:r>
    </w:p>
    <w:p w:rsidR="00E23DED" w:rsidRDefault="00243843">
      <w:pPr>
        <w:ind w:firstLine="643"/>
        <w:jc w:val="center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《烈山区宋疃镇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费寨村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村庄规划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(2021-2035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年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)</w:t>
      </w:r>
      <w:r>
        <w:rPr>
          <w:rFonts w:ascii="黑体" w:eastAsia="黑体" w:hAnsi="黑体" w:cs="黑体" w:hint="eastAsia"/>
          <w:b/>
          <w:bCs/>
          <w:sz w:val="32"/>
          <w:szCs w:val="28"/>
        </w:rPr>
        <w:t>》</w:t>
      </w:r>
    </w:p>
    <w:p w:rsidR="00E23DED" w:rsidRDefault="00243843">
      <w:pPr>
        <w:ind w:firstLine="643"/>
        <w:jc w:val="center"/>
        <w:rPr>
          <w:rFonts w:ascii="黑体" w:eastAsia="黑体" w:hAnsi="黑体" w:cs="黑体"/>
          <w:b/>
          <w:bCs/>
          <w:sz w:val="32"/>
          <w:szCs w:val="28"/>
        </w:rPr>
      </w:pPr>
      <w:r>
        <w:rPr>
          <w:rFonts w:ascii="黑体" w:eastAsia="黑体" w:hAnsi="黑体" w:cs="黑体" w:hint="eastAsia"/>
          <w:b/>
          <w:bCs/>
          <w:sz w:val="32"/>
          <w:szCs w:val="28"/>
        </w:rPr>
        <w:t>用途管制规则</w:t>
      </w:r>
    </w:p>
    <w:p w:rsidR="00E23DED" w:rsidRDefault="00243843">
      <w:r>
        <w:t>规划期内在国土空间上进行的各类活动应按照以下规则进行，确需改变用途的，应按照国家和安徽省相关规定，对规划进行调整或修改。涉及生态保护红线、历史文化保护线等有关控制线的，按照国家和安徽省有关要求进行管控。</w:t>
      </w:r>
    </w:p>
    <w:p w:rsidR="00E23DED" w:rsidRDefault="00243843">
      <w:r>
        <w:t>1.</w:t>
      </w:r>
      <w:r>
        <w:t>耕地</w:t>
      </w:r>
    </w:p>
    <w:p w:rsidR="00E23DED" w:rsidRDefault="00243843">
      <w:r>
        <w:t>本村耕地保有量</w:t>
      </w:r>
      <w:r>
        <w:rPr>
          <w:rFonts w:hint="eastAsia"/>
        </w:rPr>
        <w:t>343.76</w:t>
      </w:r>
      <w:r>
        <w:t>公顷，已划定基本农田</w:t>
      </w:r>
      <w:r>
        <w:rPr>
          <w:rFonts w:hint="eastAsia"/>
        </w:rPr>
        <w:t>304.93</w:t>
      </w:r>
      <w:r>
        <w:t>公顷。永久基本农田重点用于粮食生产，高标准农田原则上全部用于粮食生产，一般耕地主要用于粮食和棉、油、糖、蔬菜等农产品及饲草饲料生产，在不破</w:t>
      </w:r>
      <w:r>
        <w:t>坏耕地耕作层且不造成耕地地类改变的前提下，可以适度种植其他农作物。禁止非农建设和破坏耕作层、改变耕地地类的农业生产活动。</w:t>
      </w:r>
    </w:p>
    <w:p w:rsidR="00E23DED" w:rsidRDefault="00243843">
      <w:r>
        <w:t>2.</w:t>
      </w:r>
      <w:r>
        <w:t>园地</w:t>
      </w:r>
    </w:p>
    <w:p w:rsidR="00E23DED" w:rsidRDefault="00243843">
      <w:r>
        <w:t>本村园地</w:t>
      </w:r>
      <w:r>
        <w:t>41.63</w:t>
      </w:r>
      <w:r>
        <w:t>公顷。主要用于果园、茶叶种植，禁止非农建设。</w:t>
      </w:r>
    </w:p>
    <w:p w:rsidR="00E23DED" w:rsidRDefault="00243843">
      <w:r>
        <w:t>3.</w:t>
      </w:r>
      <w:r>
        <w:t>林地</w:t>
      </w:r>
    </w:p>
    <w:p w:rsidR="00E23DED" w:rsidRDefault="00243843">
      <w:r>
        <w:t>本村林地</w:t>
      </w:r>
      <w:r>
        <w:t>88.91</w:t>
      </w:r>
      <w:r>
        <w:t>公顷。主要用于生长乔木、竹类、灌木，禁止非农建设。公益林或生态保护红线范围内的林地禁止改变用途。</w:t>
      </w:r>
    </w:p>
    <w:p w:rsidR="00E23DED" w:rsidRDefault="00243843">
      <w:r>
        <w:rPr>
          <w:rFonts w:hint="eastAsia"/>
        </w:rPr>
        <w:t>4</w:t>
      </w:r>
      <w:r>
        <w:t>.</w:t>
      </w:r>
      <w:r>
        <w:t>农业设施建设用地</w:t>
      </w:r>
    </w:p>
    <w:p w:rsidR="00E23DED" w:rsidRDefault="00243843">
      <w:r>
        <w:t>本村农业设施建设用地</w:t>
      </w:r>
      <w:r>
        <w:rPr>
          <w:rFonts w:hint="eastAsia"/>
        </w:rPr>
        <w:t>7.65</w:t>
      </w:r>
      <w:r>
        <w:t>公顷。主要用于建设为农业生产、农村生活服务的乡村道路用地以及种植设施、畜禽养殖设施、水产养</w:t>
      </w:r>
      <w:r>
        <w:lastRenderedPageBreak/>
        <w:t>殖设施，禁止非农建设。</w:t>
      </w:r>
    </w:p>
    <w:p w:rsidR="00E23DED" w:rsidRDefault="00243843">
      <w:r>
        <w:rPr>
          <w:rFonts w:hint="eastAsia"/>
        </w:rPr>
        <w:t>5</w:t>
      </w:r>
      <w:r>
        <w:t>.</w:t>
      </w:r>
      <w:r>
        <w:t>居住用地</w:t>
      </w:r>
    </w:p>
    <w:p w:rsidR="00E23DED" w:rsidRDefault="00243843">
      <w:r>
        <w:t>本村居住用地</w:t>
      </w:r>
      <w:r>
        <w:rPr>
          <w:rFonts w:hint="eastAsia"/>
        </w:rPr>
        <w:t>65.21</w:t>
      </w:r>
      <w:r>
        <w:t>公顷。主要用于城乡住宅及其居住生活配套的社区服务设施建设。</w:t>
      </w:r>
    </w:p>
    <w:p w:rsidR="00E23DED" w:rsidRDefault="00243843">
      <w:r>
        <w:rPr>
          <w:rFonts w:hint="eastAsia"/>
        </w:rPr>
        <w:t>6</w:t>
      </w:r>
      <w:r>
        <w:t>.</w:t>
      </w:r>
      <w:r>
        <w:t>交通运输用地</w:t>
      </w:r>
    </w:p>
    <w:p w:rsidR="00E23DED" w:rsidRDefault="00243843">
      <w:r>
        <w:t>本村交通运输用地</w:t>
      </w:r>
      <w:r>
        <w:rPr>
          <w:rFonts w:hint="eastAsia"/>
        </w:rPr>
        <w:t>41.75</w:t>
      </w:r>
      <w:r>
        <w:t>公顷。主要用于</w:t>
      </w:r>
      <w:r>
        <w:rPr>
          <w:rFonts w:hint="eastAsia"/>
        </w:rPr>
        <w:t>公路、</w:t>
      </w:r>
      <w:r>
        <w:t>社会停车场建设。</w:t>
      </w:r>
    </w:p>
    <w:p w:rsidR="00E23DED" w:rsidRDefault="00243843">
      <w:r>
        <w:rPr>
          <w:rFonts w:hint="eastAsia"/>
        </w:rPr>
        <w:t>7</w:t>
      </w:r>
      <w:r>
        <w:t>.</w:t>
      </w:r>
      <w:r>
        <w:t>公用设施用地</w:t>
      </w:r>
    </w:p>
    <w:p w:rsidR="00E23DED" w:rsidRDefault="00243843">
      <w:r>
        <w:t>本村公用设施用地</w:t>
      </w:r>
      <w:r>
        <w:rPr>
          <w:rFonts w:hint="eastAsia"/>
        </w:rPr>
        <w:t>18.18</w:t>
      </w:r>
      <w:r>
        <w:t>公顷。</w:t>
      </w:r>
    </w:p>
    <w:p w:rsidR="00E23DED" w:rsidRDefault="00243843">
      <w:r>
        <w:rPr>
          <w:rFonts w:hint="eastAsia"/>
        </w:rPr>
        <w:t>8</w:t>
      </w:r>
      <w:r>
        <w:t>.</w:t>
      </w:r>
      <w:r>
        <w:t>留白用地</w:t>
      </w:r>
    </w:p>
    <w:p w:rsidR="00E23DED" w:rsidRDefault="00243843">
      <w:r>
        <w:t>本村留白用地</w:t>
      </w:r>
      <w:r>
        <w:rPr>
          <w:rFonts w:hint="eastAsia"/>
        </w:rPr>
        <w:t>0.65</w:t>
      </w:r>
      <w:r>
        <w:t>公顷。待用地性质明确后可按要求使用。在用地性质明确前，按现状地类使用，不得闲置浪费。</w:t>
      </w:r>
    </w:p>
    <w:p w:rsidR="00E23DED" w:rsidRDefault="00243843">
      <w:r>
        <w:rPr>
          <w:rFonts w:hint="eastAsia"/>
        </w:rPr>
        <w:t>9</w:t>
      </w:r>
      <w:r>
        <w:t>.</w:t>
      </w:r>
      <w:r>
        <w:t>陆地水域</w:t>
      </w:r>
    </w:p>
    <w:p w:rsidR="00E23DED" w:rsidRDefault="00243843">
      <w:r>
        <w:t>本村陆地水域</w:t>
      </w:r>
      <w:r>
        <w:rPr>
          <w:rFonts w:hint="eastAsia"/>
        </w:rPr>
        <w:t>28.38</w:t>
      </w:r>
      <w:r>
        <w:t>公顷，主要为陆域内的沟渠等人工陆地水域，禁止非农建设。</w:t>
      </w:r>
    </w:p>
    <w:p w:rsidR="00E23DED" w:rsidRDefault="00E23DED">
      <w:pPr>
        <w:spacing w:line="240" w:lineRule="auto"/>
        <w:ind w:firstLineChars="0" w:firstLine="0"/>
      </w:pPr>
    </w:p>
    <w:sectPr w:rsidR="00E2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843" w:rsidRDefault="00243843">
      <w:pPr>
        <w:spacing w:line="240" w:lineRule="auto"/>
      </w:pPr>
      <w:r>
        <w:separator/>
      </w:r>
    </w:p>
  </w:endnote>
  <w:endnote w:type="continuationSeparator" w:id="0">
    <w:p w:rsidR="00243843" w:rsidRDefault="00243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843" w:rsidRDefault="00243843">
      <w:r>
        <w:separator/>
      </w:r>
    </w:p>
  </w:footnote>
  <w:footnote w:type="continuationSeparator" w:id="0">
    <w:p w:rsidR="00243843" w:rsidRDefault="0024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40DBD"/>
    <w:multiLevelType w:val="singleLevel"/>
    <w:tmpl w:val="7A440DB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9391C"/>
    <w:rsid w:val="00243843"/>
    <w:rsid w:val="009E67C0"/>
    <w:rsid w:val="00E23DED"/>
    <w:rsid w:val="411D1161"/>
    <w:rsid w:val="44195ECB"/>
    <w:rsid w:val="4779391C"/>
    <w:rsid w:val="4D7E3165"/>
    <w:rsid w:val="4F16394C"/>
    <w:rsid w:val="58EF4E02"/>
    <w:rsid w:val="73237AF4"/>
    <w:rsid w:val="74D2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A185FE0-8713-43E1-9F4E-C3412687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560"/>
      <w:jc w:val="both"/>
    </w:pPr>
    <w:rPr>
      <w:rFonts w:asciiTheme="minorHAnsi" w:hAnsiTheme="minorHAnsi" w:cstheme="minorBidi"/>
      <w:kern w:val="2"/>
      <w:sz w:val="28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黑体" w:hAnsi="宋体" w:cs="Times New Roman" w:hint="eastAsia"/>
      <w:b/>
      <w:bCs/>
      <w:kern w:val="0"/>
      <w:sz w:val="32"/>
      <w:szCs w:val="36"/>
    </w:rPr>
  </w:style>
  <w:style w:type="paragraph" w:styleId="4">
    <w:name w:val="heading 4"/>
    <w:basedOn w:val="a"/>
    <w:next w:val="a"/>
    <w:unhideWhenUsed/>
    <w:qFormat/>
    <w:pPr>
      <w:spacing w:line="240" w:lineRule="auto"/>
      <w:ind w:firstLineChars="0" w:firstLine="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Pr>
      <w:rFonts w:ascii="宋体" w:eastAsia="宋体" w:hAnsi="宋体" w:cs="宋体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eastAsia="TimesNewRomanPSMT" w:hAnsi="TimesNewRomanPSMT" w:cs="TimesNewRomanPSMT"/>
      <w:color w:val="000000"/>
      <w:sz w:val="32"/>
      <w:szCs w:val="32"/>
    </w:rPr>
  </w:style>
  <w:style w:type="character" w:customStyle="1" w:styleId="fontstyle11">
    <w:name w:val="fontstyle11"/>
    <w:basedOn w:val="a0"/>
    <w:qFormat/>
    <w:rPr>
      <w:rFonts w:ascii="TimesNewRomanPSMT" w:eastAsia="TimesNewRomanPSMT" w:hAnsi="TimesNewRomanPSMT" w:cs="TimesNewRomanPSM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卓联设计有限公司</dc:creator>
  <cp:lastModifiedBy>Administrator</cp:lastModifiedBy>
  <cp:revision>2</cp:revision>
  <dcterms:created xsi:type="dcterms:W3CDTF">2025-08-27T02:51:00Z</dcterms:created>
  <dcterms:modified xsi:type="dcterms:W3CDTF">2025-08-28T02:27:00Z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91B21C4660EF4406BA36F722470E3F96_13</vt:lpwstr>
  </property>
  <property fmtid="{D5CDD505-2E9C-101B-9397-08002B2CF9AE}" pid="4" name="KSOTemplateDocerSaveRecord">
    <vt:lpwstr>eyJoZGlkIjoiMzY1ODFjZTdhOGY5MGEzZjk2ZjNkMTlmNDhjNTQwZTIiLCJ1c2VySWQiOiIxNjkxNjIwNDE1In0=</vt:lpwstr>
  </property>
</Properties>
</file>