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烈山区古饶镇绩效自评工作情况总结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（一）绩效评价目的、对象和范围、评价方法、评价标准等。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项目资金的安全有效使用，进一步加强项目资金管理，使项目资金效用最大化。我镇结合在岗工作人员、退休人员、聘用人员及村居群众的意见，对2024年综合工作经费、人居环境、乡村振兴等项目进行自评绩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古饶镇本部门（单位）202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自评项目共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个，自评项目总金额共计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3232.37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财政支出</w:t>
      </w:r>
      <w:r>
        <w:rPr>
          <w:rFonts w:hint="eastAsia" w:ascii="仿宋" w:hAnsi="仿宋" w:eastAsia="仿宋" w:cs="仿宋"/>
          <w:sz w:val="32"/>
          <w:szCs w:val="32"/>
        </w:rPr>
        <w:t>总金额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5187.78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财政支出总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62.31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非税收入项目资金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聘用人员经费六(超收分成)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美丽乡村建设五(非税收入)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乡村振兴经费四(非税收入)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人居环境整治三(非税收入)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信访工作经费七(超收分成)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综合工作经费一(超收分成)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计生专项经费九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古饶镇徐龙英抚恤金及丧葬费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医保筹资运行经费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2024年国有企业退休人员社会化管理中央财政补助资金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春节慰问项目资金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古饶镇退役军人专项岗位工资及基础绩效奖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山水林田湖草新北沱河烈山片区生态修复工程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32"/>
        </w:rPr>
        <w:t>2024_村级支出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sz w:val="32"/>
          <w:szCs w:val="32"/>
        </w:rPr>
        <w:t>中央财政农业防灾救灾玉米大豆一喷多促资金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sz w:val="32"/>
          <w:szCs w:val="32"/>
        </w:rPr>
        <w:t>新北坨河山水林田湖草生态修复工程款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仿宋"/>
          <w:sz w:val="32"/>
          <w:szCs w:val="32"/>
        </w:rPr>
        <w:t>农村公厕保洁费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 w:cs="仿宋"/>
          <w:sz w:val="32"/>
          <w:szCs w:val="32"/>
        </w:rPr>
        <w:t>美丽乡村建设五(非税收入)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 w:cs="仿宋"/>
          <w:sz w:val="32"/>
          <w:szCs w:val="32"/>
        </w:rPr>
        <w:t>古饶镇2022年禁烧以奖代补资金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sz w:val="32"/>
          <w:szCs w:val="32"/>
        </w:rPr>
        <w:t>综合工作经费一(超收分成)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sz w:val="32"/>
          <w:szCs w:val="32"/>
        </w:rPr>
        <w:t>市开发区烈山区园中园被征地农民养老保险金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sz w:val="32"/>
          <w:szCs w:val="32"/>
        </w:rPr>
        <w:t>开发区烈山区园中园被征地农民养老金保险金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sz w:val="32"/>
          <w:szCs w:val="32"/>
        </w:rPr>
        <w:t>乡村振兴经费四(非税收入)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 w:cs="仿宋"/>
          <w:sz w:val="32"/>
          <w:szCs w:val="32"/>
        </w:rPr>
        <w:t>2023年计生专项经费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仿宋"/>
          <w:sz w:val="32"/>
          <w:szCs w:val="32"/>
        </w:rPr>
        <w:t>古饶镇新进人员工资福利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</w:t>
      </w:r>
      <w:r>
        <w:rPr>
          <w:rFonts w:hint="eastAsia" w:ascii="仿宋" w:hAnsi="仿宋" w:eastAsia="仿宋" w:cs="仿宋"/>
          <w:sz w:val="32"/>
          <w:szCs w:val="32"/>
        </w:rPr>
        <w:t>计生办差旅费(上级补助)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</w:t>
      </w:r>
      <w:r>
        <w:rPr>
          <w:rFonts w:hint="eastAsia" w:ascii="仿宋" w:hAnsi="仿宋" w:eastAsia="仿宋" w:cs="仿宋"/>
          <w:sz w:val="32"/>
          <w:szCs w:val="32"/>
        </w:rPr>
        <w:t>双女户绝育奖励金(计生办)(上级补助)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</w:t>
      </w:r>
      <w:r>
        <w:rPr>
          <w:rFonts w:hint="eastAsia" w:ascii="仿宋" w:hAnsi="仿宋" w:eastAsia="仿宋" w:cs="仿宋"/>
          <w:sz w:val="32"/>
          <w:szCs w:val="32"/>
        </w:rPr>
        <w:t>秸秆禁烧项目(非税收入)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</w:t>
      </w:r>
      <w:r>
        <w:rPr>
          <w:rFonts w:hint="eastAsia" w:ascii="仿宋" w:hAnsi="仿宋" w:eastAsia="仿宋" w:cs="仿宋"/>
          <w:sz w:val="32"/>
          <w:szCs w:val="32"/>
        </w:rPr>
        <w:t>乡村振兴经费(非税收入民生工程)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</w:t>
      </w:r>
      <w:r>
        <w:rPr>
          <w:rFonts w:hint="eastAsia" w:ascii="仿宋" w:hAnsi="仿宋" w:eastAsia="仿宋" w:cs="仿宋"/>
          <w:sz w:val="32"/>
          <w:szCs w:val="32"/>
        </w:rPr>
        <w:t>2022年国有企业退休人员社会化管理中央财政补助资金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</w:t>
      </w:r>
      <w:r>
        <w:rPr>
          <w:rFonts w:hint="eastAsia" w:ascii="仿宋" w:hAnsi="仿宋" w:eastAsia="仿宋" w:cs="仿宋"/>
          <w:sz w:val="32"/>
          <w:szCs w:val="32"/>
        </w:rPr>
        <w:t>美丽乡村经费(非税收入民生工程)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</w:t>
      </w:r>
      <w:r>
        <w:rPr>
          <w:rFonts w:hint="eastAsia" w:ascii="仿宋" w:hAnsi="仿宋" w:eastAsia="仿宋" w:cs="仿宋"/>
          <w:sz w:val="32"/>
          <w:szCs w:val="32"/>
        </w:rPr>
        <w:t>镇级预算(区级追加专项资金结转)安排经费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</w:t>
      </w:r>
      <w:r>
        <w:rPr>
          <w:rFonts w:hint="eastAsia" w:ascii="仿宋" w:hAnsi="仿宋" w:eastAsia="仿宋" w:cs="仿宋"/>
          <w:sz w:val="32"/>
          <w:szCs w:val="32"/>
        </w:rPr>
        <w:t>代管资金项目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</w:t>
      </w:r>
      <w:r>
        <w:rPr>
          <w:rFonts w:hint="eastAsia" w:ascii="仿宋" w:hAnsi="仿宋" w:eastAsia="仿宋" w:cs="仿宋"/>
          <w:sz w:val="32"/>
          <w:szCs w:val="32"/>
        </w:rPr>
        <w:t>计生办补助经费(上级补助)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</w:t>
      </w:r>
      <w:r>
        <w:rPr>
          <w:rFonts w:hint="eastAsia" w:ascii="仿宋" w:hAnsi="仿宋" w:eastAsia="仿宋" w:cs="仿宋"/>
          <w:sz w:val="32"/>
          <w:szCs w:val="32"/>
        </w:rPr>
        <w:t>古饶镇疫情防控经费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（二）绩效评价工作过程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年我单位绩效评价工作，我镇及时组织召开工作会议，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依据相关工作方案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安排部署项目工作。以单位人员为成员的绩效评价工作组，明确岗位职责和分工任务，为开展绩效评价提供了组织保障。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项目顺利实施，我镇召开了专题会议，了解项目实施内容，并将项目的实施纳入总体工作。制定绩效评价指标体系，从目标设定、预算配置、预算执行、预算管理、资产管理、责任履行、履职效益等指标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（三）项目资金使用管理方面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项目资金的使用上，严格落实事前、事中和事后监督科学合理安排资金，确保了各项工作顺利开展。对项目资金使用我单位严格执行预算，指标申报及时，正确使用资金且支付率和资金使用率高，严格执行专项资金管理使用规定、资金专款专用效益高。加强单位资金使用管理，进一步规范工作，细化职责，明确责任主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严格遵循</w:t>
      </w:r>
      <w:r>
        <w:rPr>
          <w:rFonts w:hint="eastAsia" w:ascii="仿宋" w:hAnsi="仿宋" w:eastAsia="仿宋" w:cs="仿宋"/>
          <w:sz w:val="32"/>
          <w:szCs w:val="32"/>
        </w:rPr>
        <w:t>“申请、把关、区级报账”的三级审核报账制。认真执行区级财政报账制，按项目进度及时将转移支付资金拨付。资金支付审批手续完整，符合财政纪律。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（四）组织保障方面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为确保项目资金的安全有效使用，我镇成立议事协调小组，制定日常监督检查制度，对项目实施情况分阶段定期检查，对项目实施、资金使用，实行全程监督。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期对单位项目成果实施和活动开展情况进行检查，重点检查各项目实施的情况及活动开展情况，各项制度的制定和执行情况，资金使用情况、项目建立情况，各项活动开展和记录资料。并对项目实施情况进行量化打分，对存在问题，及时整改，对尚未完成的内容进行督导，确保项目预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本单位自评采用定量与定性评价相结合的比较法，总分由各项指标得分汇总形成。部门评价的方法主要比较法、公众评判法。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年我镇综合工作经费一(超收分成)项目全年预算为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238.17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62.18</w:t>
      </w:r>
      <w:r>
        <w:rPr>
          <w:rFonts w:hint="eastAsia" w:ascii="仿宋" w:hAnsi="仿宋" w:eastAsia="仿宋" w:cs="仿宋"/>
          <w:sz w:val="32"/>
          <w:szCs w:val="32"/>
        </w:rPr>
        <w:t>%。主要偏差原因为区级财政资金紧张，无法做到当前年度支付。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信访工作经费七(超收分成)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13.53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22.54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聘用人员经费六(超收分成)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乡村振兴经费四(非税收入)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73.35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24.45</w:t>
      </w:r>
      <w:r>
        <w:rPr>
          <w:rFonts w:hint="eastAsia" w:ascii="仿宋" w:hAnsi="仿宋" w:eastAsia="仿宋" w:cs="仿宋"/>
          <w:sz w:val="32"/>
          <w:szCs w:val="32"/>
        </w:rPr>
        <w:t>%。主要偏差原因为非税收入未达到年初预期，无法足额上缴。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美丽乡村建设五(非税收入)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25.33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1.19%</w:t>
      </w:r>
      <w:r>
        <w:rPr>
          <w:rFonts w:hint="eastAsia" w:ascii="仿宋" w:hAnsi="仿宋" w:eastAsia="仿宋" w:cs="仿宋"/>
          <w:sz w:val="32"/>
          <w:szCs w:val="32"/>
        </w:rPr>
        <w:t>。主要偏差原因为非税收入未达到年初预期，无法足额上缴。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人居环境整治三(非税收入)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计生专项经费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322.09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22.11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6.86%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古饶镇徐龙英抚恤金及丧葬费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21.33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21.33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医保筹资运行经费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4.68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4.21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90.07%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2024年国有企业退休人员社会化管理中央财政补助资金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11.89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春节慰问项目资金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古饶镇退役军人专项岗位工资及基础绩效奖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49.11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38.84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79.09%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山水林田湖草新北沱河烈山片区生态修复工程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2024_村级支出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1045.67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836.76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80.02%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中央财政农业防灾救灾玉米大豆一喷多促资金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新北坨河山水林田湖草生态修复工程款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70.53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70.53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农村公厕保洁费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6.98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美丽乡村建设五(非税收入)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25.33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1.19%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古饶镇2022年禁烧以奖代补资金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3.96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49.50%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综合工作经费一(超收分成)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75.46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43.33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57.42%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市开发区烈山区园中园被征地农民养老保险金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41.60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34.10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81.97%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开发区烈山区园中园被征地农民养老金保险金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22.17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22.17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乡村振兴经费四(非税收入)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37.03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0.18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0.48%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2023年计生专项经费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129.80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95.46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73.54%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古饶镇新进人员工资福利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8.22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8.22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计生办差旅费(上级补助)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3.86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2.07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53.67%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双女户绝育奖励金(计生办)(上级补助)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0.62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0.62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秸秆禁烧项目(非税收入)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8.19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8.19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乡村振兴经费(非税收入民生工程)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29.97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24.99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83.39%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2022年国有企业退休人员社会化管理中央财政补助资金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13.06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13.06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美丽乡村经费(非税收入民生工程)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61.96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61.96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镇级预算(区级追加专项资金结转)安排经费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657.73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76.21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11.59%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代管资金项目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2344.86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594.24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25.34%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计生办补助经费(上级补助)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5.00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0.99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19.83%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计生办补助经费(上级补助)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5.00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0.99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19.83%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古饶镇疫情防控经费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61.32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10.96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17.87%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非税收入项目资金</w:t>
      </w:r>
      <w:r>
        <w:rPr>
          <w:rFonts w:hint="eastAsia" w:ascii="仿宋" w:hAnsi="仿宋" w:eastAsia="仿宋" w:cs="仿宋"/>
          <w:sz w:val="32"/>
          <w:szCs w:val="32"/>
        </w:rPr>
        <w:t>项目全年预算为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19.62</w:t>
      </w:r>
      <w:r>
        <w:rPr>
          <w:rFonts w:hint="eastAsia" w:ascii="仿宋" w:hAnsi="仿宋" w:eastAsia="仿宋" w:cs="仿宋"/>
          <w:sz w:val="32"/>
          <w:szCs w:val="32"/>
        </w:rPr>
        <w:t>万元。根据支出进度表，该项支出预算按照序时进度完成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18.63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年底完成项目的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94.95%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三、自评结果概述及分析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（一）项目自评结果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年自评项目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共36</w:t>
      </w:r>
      <w:r>
        <w:rPr>
          <w:rFonts w:hint="eastAsia" w:ascii="仿宋" w:hAnsi="仿宋" w:eastAsia="仿宋" w:cs="仿宋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</w:rPr>
        <w:t>自评项目总金额共计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3232.37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财政支出</w:t>
      </w:r>
      <w:r>
        <w:rPr>
          <w:rFonts w:hint="eastAsia" w:ascii="仿宋" w:hAnsi="仿宋" w:eastAsia="仿宋" w:cs="仿宋"/>
          <w:sz w:val="32"/>
          <w:szCs w:val="32"/>
        </w:rPr>
        <w:t>总金额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5187.78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财政支出总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62.31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</w:rPr>
        <w:t>其中：</w:t>
      </w:r>
      <w:r>
        <w:rPr>
          <w:rFonts w:hint="eastAsia"/>
          <w:color w:val="auto"/>
          <w:spacing w:val="4"/>
          <w:w w:val="95"/>
          <w:sz w:val="32"/>
          <w:szCs w:val="32"/>
          <w:highlight w:val="none"/>
          <w:lang w:val="en-US" w:eastAsia="zh-CN"/>
        </w:rPr>
        <w:t>结果为“优”的项目13个，占自评项目36.11 %；结果为“良”的项目3个，占自评项目8.33%；结果为“中”的项目17个，占自评项47.22%；结果为“差”的项目3个，占自评项目8.33%。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自评等级按照得分情况填“优”、“良”、“中”、“差”。90（含）-100分为优、80（含）-90分为良、60（含）-80分为中、60分以下为差。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履职完成情况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我镇严格贯彻落实绩效评价工作。绩效目标的数量、质量、时效、成本等与预期目标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高度</w:t>
      </w:r>
      <w:r>
        <w:rPr>
          <w:rFonts w:hint="eastAsia" w:ascii="仿宋" w:hAnsi="仿宋" w:eastAsia="仿宋" w:cs="仿宋"/>
          <w:sz w:val="32"/>
          <w:szCs w:val="32"/>
        </w:rPr>
        <w:t>契合。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履职效果情况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加大职能整合，科学设置提高政府效能，并用活现有资源，助推就业，保障民生，实行总量控制、动态调整，单列管理、循环使用的现有资源方法。绩效目标的经济效益、社会效益、生态效益和可持续影响等与预期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高度</w:t>
      </w:r>
      <w:r>
        <w:rPr>
          <w:rFonts w:hint="eastAsia" w:ascii="仿宋" w:hAnsi="仿宋" w:eastAsia="仿宋" w:cs="仿宋"/>
          <w:sz w:val="32"/>
          <w:szCs w:val="32"/>
        </w:rPr>
        <w:t>契合。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社会满意度及可持续性影响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严格按照财政要求编制预算，在预算管理过程中，严格执行财务制度规定的程序和标准，厉行节约，坚持政府集中采购，严格执行“三公”经费的支出标准，规范公务接待管理，预算控制率、公用经费控制率、政府采购执行率等均达标；严格执行预算管理、支出开支、审批、报销等各项制度和程序，强化开支的计划性，最大限度的提高各项预算资金的使用效率。服务对象对我镇的服务时效、态度、工作效率以及对单位履职效果都较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四、主要问题及整改措施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</w:t>
      </w:r>
      <w:r>
        <w:rPr>
          <w:rFonts w:hint="eastAsia" w:ascii="仿宋" w:hAnsi="仿宋" w:eastAsia="仿宋" w:cs="仿宋"/>
          <w:sz w:val="32"/>
          <w:szCs w:val="32"/>
        </w:rPr>
        <w:t>经济发展缓慢，资金支付压力过大，致使部分工作计划后延；二是部分绩效指标设定不够合理、科学，不能全面反映单位履职情况；三是单位对预算支出绩效整体认识不够，需加强政策学习和理解。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年，我单位严格按照预算资金绩效管理办法,及时开展项目落实，为全年工作的开展提供了保障，但还存在绩效制度不健全、绩效管理质量不高的问题，后期将从以下几个方面加强绩效管理：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加强绩效制度建设。完善绩效管理和评价制度，为资金资产的合理配置提供有效依据。建立健全各项管理制度，制定资金管理办法，制定绩效评价实施细则、分类项目评价量化指标，建立项目日常监督检查制度，建立健全项目档案资料制度。认真贯彻落实省、市、区相关文件精神，确保转移支付资金专款专用、安全有效使用。提高预算编制的前瞻性，按照新《预算法》及其实施条例的相关规定及本部门的发展规划，结合上一年度预算执行情况和本年度预算收支变化因素，科学、合理地编制本年预算草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二是强化绩效目标管理。把绩效目标作为项目实施的前置条件，提高资金使用的合理性和科学性。严格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</w:t>
      </w:r>
      <w:r>
        <w:rPr>
          <w:rFonts w:hint="eastAsia" w:ascii="仿宋" w:hAnsi="仿宋" w:eastAsia="仿宋" w:cs="仿宋"/>
          <w:sz w:val="32"/>
          <w:szCs w:val="32"/>
        </w:rPr>
        <w:t>《会计法》、《事业单位会计制度》《事业单位财务规定》等规定执行财务核算，并结合实际情况，完成、准确地披露相关信息，尽可能地做到决算与预算相衔接。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加强绩效运行监管。加强重大项目的事前、事中、事后监督管理，将资金同项目实施质量挂钩，提升资金的使用效能。定期对单位项目成果实施和活动开展情况进行检查，重点检查各项目实施的情况及活动开展情况，各项制度的制定和执行情况，资金使用情况、项目建立情况，各项活动开展和记录资料。并对项目实施情况进行量化打分，对存在问题，及时整改，对尚未完成的内容进行督导，确保项目预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五、下一步工作思路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为了确保各项目顺利实施，我单位将严格按照区财政局对项目建设工作的要求，进一步加强项目资金管理使用，加强项目督导，加大宣传力度，使项目资金使用效用最大化。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 Black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jQ2NjBjNDE3MzU4MmE4NjA4OTc2NjA2NzRiNmUifQ=="/>
  </w:docVars>
  <w:rsids>
    <w:rsidRoot w:val="4D2E5F92"/>
    <w:rsid w:val="4D2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2025-09-10T08:01:00Z</dcterms:created>
  <dc:creator>Administrator</dc:creator>
  <cp:lastModifiedBy>Administrator</cp:lastModifiedBy>
  <dcterms:modified xsi:type="dcterms:W3CDTF">2025-09-10T09:26:09Z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06C56A68E33449B1AAC26591536CD588</vt:lpwstr>
  </property>
</Properties>
</file>