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spacing w:after="0" w:line="600" w:lineRule="exact"/>
        <w:jc w:val="center"/>
        <w:rPr>
          <w:rFonts w:eastAsia="方正小标宋简体"/>
          <w:color w:val="000000"/>
          <w:sz w:val="44"/>
          <w:szCs w:val="44"/>
        </w:rPr>
      </w:pPr>
      <w:r>
        <w:rPr>
          <w:rFonts w:hint="eastAsia" w:eastAsia="方正小标宋简体"/>
          <w:color w:val="000000"/>
          <w:sz w:val="44"/>
          <w:szCs w:val="44"/>
        </w:rPr>
        <w:t>关于烈山区</w:t>
      </w:r>
      <w:r>
        <w:rPr>
          <w:rFonts w:eastAsia="方正小标宋简体"/>
          <w:color w:val="000000"/>
          <w:sz w:val="44"/>
          <w:szCs w:val="44"/>
        </w:rPr>
        <w:t>202</w:t>
      </w:r>
      <w:r>
        <w:rPr>
          <w:rFonts w:hint="eastAsia" w:eastAsia="方正小标宋简体"/>
          <w:color w:val="000000"/>
          <w:sz w:val="44"/>
          <w:szCs w:val="44"/>
          <w:lang w:val="en-US" w:eastAsia="zh-CN"/>
        </w:rPr>
        <w:t>4</w:t>
      </w:r>
      <w:r>
        <w:rPr>
          <w:rFonts w:hint="eastAsia" w:eastAsia="方正小标宋简体"/>
          <w:color w:val="000000"/>
          <w:sz w:val="44"/>
          <w:szCs w:val="44"/>
        </w:rPr>
        <w:t>年区级财政决算</w:t>
      </w:r>
      <w:r>
        <w:rPr>
          <w:rFonts w:hint="eastAsia" w:eastAsia="方正小标宋简体"/>
          <w:color w:val="000000"/>
          <w:sz w:val="44"/>
          <w:szCs w:val="44"/>
          <w:lang w:eastAsia="zh-CN"/>
        </w:rPr>
        <w:t>的</w:t>
      </w:r>
      <w:r>
        <w:rPr>
          <w:rFonts w:hint="eastAsia" w:eastAsia="方正小标宋简体"/>
          <w:color w:val="000000"/>
          <w:sz w:val="44"/>
          <w:szCs w:val="44"/>
        </w:rPr>
        <w:t>报告</w:t>
      </w:r>
    </w:p>
    <w:p>
      <w:pPr>
        <w:spacing w:line="560" w:lineRule="exact"/>
        <w:jc w:val="center"/>
        <w:rPr>
          <w:rFonts w:ascii="仿宋" w:hAnsi="仿宋" w:eastAsia="仿宋" w:cs="楷体_GB2312"/>
          <w:sz w:val="32"/>
          <w:szCs w:val="32"/>
        </w:rPr>
      </w:pPr>
      <w:r>
        <w:rPr>
          <w:rFonts w:ascii="仿宋" w:hAnsi="仿宋" w:eastAsia="仿宋"/>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日区</w:t>
      </w:r>
      <w:r>
        <w:rPr>
          <w:rFonts w:hint="eastAsia" w:ascii="仿宋" w:hAnsi="仿宋" w:eastAsia="仿宋"/>
          <w:sz w:val="32"/>
          <w:szCs w:val="32"/>
          <w:highlight w:val="none"/>
        </w:rPr>
        <w:t>十</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届人大常委会第</w:t>
      </w:r>
      <w:r>
        <w:rPr>
          <w:rFonts w:hint="eastAsia" w:ascii="仿宋" w:hAnsi="仿宋" w:eastAsia="仿宋"/>
          <w:sz w:val="32"/>
          <w:szCs w:val="32"/>
          <w:highlight w:val="none"/>
          <w:lang w:val="en-US" w:eastAsia="zh-CN"/>
        </w:rPr>
        <w:t>32</w:t>
      </w:r>
      <w:r>
        <w:rPr>
          <w:rFonts w:hint="eastAsia" w:ascii="仿宋" w:hAnsi="仿宋" w:eastAsia="仿宋"/>
          <w:sz w:val="32"/>
          <w:szCs w:val="32"/>
          <w:highlight w:val="none"/>
        </w:rPr>
        <w:t>次</w:t>
      </w:r>
      <w:r>
        <w:rPr>
          <w:rFonts w:hint="eastAsia" w:ascii="仿宋" w:hAnsi="仿宋" w:eastAsia="仿宋"/>
          <w:sz w:val="32"/>
          <w:szCs w:val="32"/>
        </w:rPr>
        <w:t>会议上</w:t>
      </w:r>
      <w:r>
        <w:rPr>
          <w:rFonts w:ascii="仿宋" w:hAnsi="仿宋" w:eastAsia="仿宋"/>
          <w:sz w:val="32"/>
          <w:szCs w:val="32"/>
        </w:rPr>
        <w:t>）</w:t>
      </w:r>
    </w:p>
    <w:p>
      <w:pPr>
        <w:spacing w:line="560" w:lineRule="exact"/>
        <w:jc w:val="center"/>
        <w:rPr>
          <w:rFonts w:hint="eastAsia" w:ascii="仿宋" w:hAnsi="仿宋" w:eastAsia="仿宋"/>
          <w:kern w:val="0"/>
          <w:sz w:val="32"/>
          <w:szCs w:val="32"/>
          <w:lang w:eastAsia="zh-CN"/>
        </w:rPr>
      </w:pPr>
      <w:r>
        <w:rPr>
          <w:rFonts w:hint="eastAsia" w:ascii="仿宋" w:hAnsi="仿宋" w:eastAsia="仿宋" w:cs="楷体_GB2312"/>
          <w:sz w:val="32"/>
          <w:szCs w:val="32"/>
        </w:rPr>
        <w:t xml:space="preserve">区财政局局长 </w:t>
      </w:r>
      <w:r>
        <w:rPr>
          <w:rFonts w:hint="eastAsia" w:ascii="仿宋" w:hAnsi="仿宋" w:eastAsia="仿宋" w:cs="楷体_GB2312"/>
          <w:sz w:val="32"/>
          <w:szCs w:val="32"/>
          <w:lang w:eastAsia="zh-CN"/>
        </w:rPr>
        <w:t>张传军</w:t>
      </w:r>
    </w:p>
    <w:p>
      <w:pPr>
        <w:spacing w:line="560" w:lineRule="exact"/>
        <w:rPr>
          <w:rFonts w:eastAsia="仿宋_GB2312"/>
          <w:kern w:val="0"/>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kern w:val="0"/>
          <w:sz w:val="32"/>
          <w:szCs w:val="32"/>
        </w:rPr>
      </w:pPr>
      <w:r>
        <w:rPr>
          <w:rFonts w:hint="eastAsia" w:ascii="仿宋" w:hAnsi="仿宋" w:eastAsia="仿宋"/>
          <w:kern w:val="0"/>
          <w:sz w:val="32"/>
          <w:szCs w:val="32"/>
        </w:rPr>
        <w:t>区人大常委会：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受区人民政府委托，向区</w:t>
      </w:r>
      <w:r>
        <w:rPr>
          <w:rFonts w:hint="eastAsia" w:ascii="仿宋" w:hAnsi="仿宋" w:eastAsia="仿宋"/>
          <w:kern w:val="0"/>
          <w:sz w:val="32"/>
          <w:szCs w:val="32"/>
          <w:highlight w:val="none"/>
        </w:rPr>
        <w:t>十</w:t>
      </w:r>
      <w:r>
        <w:rPr>
          <w:rFonts w:hint="eastAsia" w:ascii="仿宋" w:hAnsi="仿宋" w:eastAsia="仿宋"/>
          <w:kern w:val="0"/>
          <w:sz w:val="32"/>
          <w:szCs w:val="32"/>
          <w:highlight w:val="none"/>
          <w:lang w:eastAsia="zh-CN"/>
        </w:rPr>
        <w:t>一</w:t>
      </w:r>
      <w:r>
        <w:rPr>
          <w:rFonts w:hint="eastAsia" w:ascii="仿宋" w:hAnsi="仿宋" w:eastAsia="仿宋"/>
          <w:kern w:val="0"/>
          <w:sz w:val="32"/>
          <w:szCs w:val="32"/>
          <w:highlight w:val="none"/>
        </w:rPr>
        <w:t>届人大</w:t>
      </w:r>
      <w:r>
        <w:rPr>
          <w:rFonts w:hint="eastAsia" w:ascii="仿宋" w:hAnsi="仿宋" w:eastAsia="仿宋"/>
          <w:kern w:val="0"/>
          <w:sz w:val="32"/>
          <w:szCs w:val="32"/>
        </w:rPr>
        <w:t>常委会报告202</w:t>
      </w:r>
      <w:r>
        <w:rPr>
          <w:rFonts w:hint="eastAsia" w:ascii="仿宋" w:hAnsi="仿宋" w:eastAsia="仿宋"/>
          <w:kern w:val="0"/>
          <w:sz w:val="32"/>
          <w:szCs w:val="32"/>
          <w:lang w:val="en-US" w:eastAsia="zh-CN"/>
        </w:rPr>
        <w:t>4</w:t>
      </w:r>
      <w:r>
        <w:rPr>
          <w:rFonts w:hint="eastAsia" w:ascii="仿宋" w:hAnsi="仿宋" w:eastAsia="仿宋"/>
          <w:kern w:val="0"/>
          <w:sz w:val="32"/>
          <w:szCs w:val="32"/>
        </w:rPr>
        <w:t>年区级财政决算（草案）情况，请予审议。</w:t>
      </w:r>
    </w:p>
    <w:p>
      <w:pPr>
        <w:spacing w:line="560" w:lineRule="exact"/>
        <w:ind w:firstLine="640" w:firstLineChars="200"/>
        <w:rPr>
          <w:rFonts w:eastAsia="黑体"/>
          <w:bCs/>
          <w:color w:val="000000"/>
          <w:sz w:val="32"/>
          <w:szCs w:val="32"/>
        </w:rPr>
      </w:pPr>
      <w:r>
        <w:rPr>
          <w:rFonts w:hint="eastAsia" w:eastAsia="黑体"/>
          <w:bCs/>
          <w:color w:val="000000"/>
          <w:sz w:val="32"/>
          <w:szCs w:val="32"/>
        </w:rPr>
        <w:t>一、</w:t>
      </w:r>
      <w:r>
        <w:rPr>
          <w:rFonts w:eastAsia="黑体"/>
          <w:bCs/>
          <w:color w:val="000000"/>
          <w:sz w:val="32"/>
          <w:szCs w:val="32"/>
        </w:rPr>
        <w:t>202</w:t>
      </w:r>
      <w:r>
        <w:rPr>
          <w:rFonts w:hint="eastAsia" w:eastAsia="黑体"/>
          <w:bCs/>
          <w:color w:val="000000"/>
          <w:sz w:val="32"/>
          <w:szCs w:val="32"/>
          <w:lang w:val="en-US" w:eastAsia="zh-CN"/>
        </w:rPr>
        <w:t>4</w:t>
      </w:r>
      <w:r>
        <w:rPr>
          <w:rFonts w:hint="eastAsia" w:eastAsia="黑体"/>
          <w:bCs/>
          <w:color w:val="000000"/>
          <w:sz w:val="32"/>
          <w:szCs w:val="32"/>
        </w:rPr>
        <w:t>年全区财政决算情况</w:t>
      </w:r>
    </w:p>
    <w:p>
      <w:pPr>
        <w:spacing w:line="560" w:lineRule="exact"/>
        <w:ind w:firstLine="640" w:firstLineChars="200"/>
        <w:rPr>
          <w:rFonts w:hint="eastAsia" w:eastAsia="仿宋_GB2312"/>
          <w:bCs/>
          <w:color w:val="000000"/>
          <w:sz w:val="32"/>
          <w:szCs w:val="32"/>
        </w:rPr>
      </w:pPr>
      <w:r>
        <w:rPr>
          <w:rFonts w:eastAsia="仿宋_GB2312"/>
          <w:bCs/>
          <w:color w:val="000000"/>
          <w:sz w:val="32"/>
          <w:szCs w:val="32"/>
        </w:rPr>
        <w:t>202</w:t>
      </w:r>
      <w:r>
        <w:rPr>
          <w:rFonts w:hint="eastAsia" w:eastAsia="仿宋_GB2312"/>
          <w:bCs/>
          <w:color w:val="000000"/>
          <w:sz w:val="32"/>
          <w:szCs w:val="32"/>
          <w:lang w:val="en-US" w:eastAsia="zh-CN"/>
        </w:rPr>
        <w:t>4</w:t>
      </w:r>
      <w:r>
        <w:rPr>
          <w:rFonts w:hint="eastAsia" w:eastAsia="仿宋_GB2312"/>
          <w:bCs/>
          <w:color w:val="000000"/>
          <w:sz w:val="32"/>
          <w:szCs w:val="32"/>
        </w:rPr>
        <w:t>年，区政府在区委的坚强领导下，在区人大及其常</w:t>
      </w:r>
      <w:r>
        <w:rPr>
          <w:rFonts w:hint="eastAsia" w:eastAsia="仿宋_GB2312"/>
          <w:bCs/>
          <w:color w:val="000000"/>
          <w:sz w:val="32"/>
          <w:szCs w:val="32"/>
          <w:lang w:val="en-US" w:eastAsia="zh-CN"/>
        </w:rPr>
        <w:t>委</w:t>
      </w:r>
      <w:bookmarkStart w:id="0" w:name="_GoBack"/>
      <w:bookmarkEnd w:id="0"/>
      <w:r>
        <w:rPr>
          <w:rFonts w:hint="eastAsia" w:eastAsia="仿宋_GB2312"/>
          <w:bCs/>
          <w:color w:val="000000"/>
          <w:sz w:val="32"/>
          <w:szCs w:val="32"/>
        </w:rPr>
        <w:t>会的监督支持下，坚持以习近平新时代中国特色社会主义思想为指导，全面贯彻党的二十大和二十届二中、三中全会精神，坚持稳中求进工作总基调，推动全区经济社会高质量发展</w:t>
      </w:r>
      <w:r>
        <w:rPr>
          <w:rFonts w:hint="eastAsia" w:eastAsia="仿宋_GB2312"/>
          <w:bCs/>
          <w:color w:val="000000"/>
          <w:sz w:val="32"/>
          <w:szCs w:val="32"/>
          <w:lang w:eastAsia="zh-CN"/>
        </w:rPr>
        <w:t>。</w:t>
      </w:r>
      <w:r>
        <w:rPr>
          <w:rFonts w:hint="eastAsia" w:eastAsia="仿宋_GB2312"/>
          <w:bCs/>
          <w:color w:val="000000"/>
          <w:sz w:val="32"/>
          <w:szCs w:val="32"/>
        </w:rPr>
        <w:t>财政决算情况总体较好。</w:t>
      </w:r>
    </w:p>
    <w:p>
      <w:pPr>
        <w:pageBreakBefore w:val="0"/>
        <w:widowControl w:val="0"/>
        <w:kinsoku/>
        <w:wordWrap/>
        <w:overflowPunct/>
        <w:topLinePunct w:val="0"/>
        <w:autoSpaceDE/>
        <w:autoSpaceDN/>
        <w:bidi w:val="0"/>
        <w:spacing w:line="560" w:lineRule="exact"/>
        <w:ind w:firstLine="643" w:firstLineChars="200"/>
        <w:textAlignment w:val="auto"/>
        <w:rPr>
          <w:rFonts w:eastAsia="楷体_GB2312"/>
          <w:b/>
          <w:color w:val="000000"/>
          <w:sz w:val="32"/>
          <w:szCs w:val="32"/>
        </w:rPr>
      </w:pPr>
      <w:r>
        <w:rPr>
          <w:rFonts w:hint="eastAsia" w:eastAsia="楷体_GB2312"/>
          <w:b/>
          <w:color w:val="000000"/>
          <w:sz w:val="32"/>
          <w:szCs w:val="32"/>
        </w:rPr>
        <w:t>（一）一般公共预算收支决算情况</w:t>
      </w:r>
    </w:p>
    <w:p>
      <w:pPr>
        <w:pageBreakBefore w:val="0"/>
        <w:widowControl w:val="0"/>
        <w:kinsoku/>
        <w:wordWrap/>
        <w:overflowPunct/>
        <w:topLinePunct w:val="0"/>
        <w:autoSpaceDE/>
        <w:autoSpaceDN/>
        <w:bidi w:val="0"/>
        <w:spacing w:line="560" w:lineRule="exact"/>
        <w:ind w:firstLine="643" w:firstLineChars="200"/>
        <w:textAlignment w:val="auto"/>
        <w:rPr>
          <w:rFonts w:eastAsia="仿宋_GB2312"/>
          <w:color w:val="000000"/>
          <w:sz w:val="32"/>
          <w:szCs w:val="32"/>
          <w:highlight w:val="none"/>
        </w:rPr>
      </w:pPr>
      <w:r>
        <w:rPr>
          <w:rFonts w:eastAsia="仿宋_GB2312"/>
          <w:b/>
          <w:color w:val="000000"/>
          <w:sz w:val="32"/>
          <w:szCs w:val="32"/>
          <w:highlight w:val="none"/>
        </w:rPr>
        <w:t>1</w:t>
      </w:r>
      <w:r>
        <w:rPr>
          <w:rFonts w:hint="eastAsia" w:eastAsia="仿宋_GB2312"/>
          <w:b/>
          <w:color w:val="000000"/>
          <w:sz w:val="32"/>
          <w:szCs w:val="32"/>
          <w:highlight w:val="none"/>
        </w:rPr>
        <w:t>、全区收支情况：</w:t>
      </w:r>
      <w:r>
        <w:rPr>
          <w:rFonts w:hint="eastAsia" w:eastAsia="仿宋_GB2312"/>
          <w:color w:val="000000"/>
          <w:sz w:val="32"/>
          <w:szCs w:val="32"/>
          <w:highlight w:val="none"/>
          <w:lang w:eastAsia="zh-CN"/>
        </w:rPr>
        <w:t>全</w:t>
      </w:r>
      <w:r>
        <w:rPr>
          <w:rFonts w:hint="eastAsia" w:eastAsia="仿宋_GB2312"/>
          <w:color w:val="000000"/>
          <w:sz w:val="32"/>
          <w:szCs w:val="32"/>
          <w:highlight w:val="none"/>
        </w:rPr>
        <w:t>年，一般公共预算收入完成</w:t>
      </w:r>
      <w:r>
        <w:rPr>
          <w:rFonts w:hint="eastAsia" w:eastAsia="仿宋_GB2312"/>
          <w:color w:val="000000"/>
          <w:sz w:val="32"/>
          <w:szCs w:val="32"/>
          <w:highlight w:val="none"/>
          <w:lang w:val="en-US" w:eastAsia="zh-CN"/>
        </w:rPr>
        <w:t>52228</w:t>
      </w:r>
      <w:r>
        <w:rPr>
          <w:rFonts w:hint="eastAsia" w:eastAsia="仿宋_GB2312"/>
          <w:color w:val="000000"/>
          <w:sz w:val="32"/>
          <w:szCs w:val="32"/>
          <w:highlight w:val="none"/>
        </w:rPr>
        <w:t>万元，为预算（调整后）的</w:t>
      </w:r>
      <w:r>
        <w:rPr>
          <w:rFonts w:eastAsia="仿宋_GB2312"/>
          <w:color w:val="000000"/>
          <w:sz w:val="32"/>
          <w:szCs w:val="32"/>
          <w:highlight w:val="none"/>
        </w:rPr>
        <w:t>10</w:t>
      </w:r>
      <w:r>
        <w:rPr>
          <w:rFonts w:hint="eastAsia" w:eastAsia="仿宋_GB2312"/>
          <w:color w:val="000000"/>
          <w:sz w:val="32"/>
          <w:szCs w:val="32"/>
          <w:highlight w:val="none"/>
          <w:lang w:val="en-US" w:eastAsia="zh-CN"/>
        </w:rPr>
        <w:t>0.4</w:t>
      </w:r>
      <w:r>
        <w:rPr>
          <w:rFonts w:eastAsia="仿宋_GB2312"/>
          <w:color w:val="000000"/>
          <w:sz w:val="32"/>
          <w:szCs w:val="32"/>
          <w:highlight w:val="none"/>
        </w:rPr>
        <w:t>%</w:t>
      </w:r>
      <w:r>
        <w:rPr>
          <w:rFonts w:hint="eastAsia" w:eastAsia="仿宋_GB2312"/>
          <w:color w:val="000000"/>
          <w:sz w:val="32"/>
          <w:szCs w:val="32"/>
          <w:highlight w:val="none"/>
        </w:rPr>
        <w:t>，增长</w:t>
      </w:r>
      <w:r>
        <w:rPr>
          <w:rFonts w:hint="eastAsia" w:eastAsia="仿宋_GB2312"/>
          <w:color w:val="000000"/>
          <w:sz w:val="32"/>
          <w:szCs w:val="32"/>
          <w:highlight w:val="none"/>
          <w:lang w:val="en-US" w:eastAsia="zh-CN"/>
        </w:rPr>
        <w:t>1.9</w:t>
      </w:r>
      <w:r>
        <w:rPr>
          <w:rFonts w:eastAsia="仿宋_GB2312"/>
          <w:color w:val="000000"/>
          <w:sz w:val="32"/>
          <w:szCs w:val="32"/>
          <w:highlight w:val="none"/>
        </w:rPr>
        <w:t>%</w:t>
      </w:r>
      <w:r>
        <w:rPr>
          <w:rFonts w:hint="eastAsia" w:eastAsia="仿宋_GB2312"/>
          <w:color w:val="000000"/>
          <w:sz w:val="32"/>
          <w:szCs w:val="32"/>
          <w:highlight w:val="none"/>
        </w:rPr>
        <w:t>，增收</w:t>
      </w:r>
      <w:r>
        <w:rPr>
          <w:rFonts w:hint="eastAsia" w:eastAsia="仿宋_GB2312"/>
          <w:color w:val="000000"/>
          <w:sz w:val="32"/>
          <w:szCs w:val="32"/>
          <w:highlight w:val="none"/>
          <w:lang w:val="en-US" w:eastAsia="zh-CN"/>
        </w:rPr>
        <w:t>951</w:t>
      </w:r>
      <w:r>
        <w:rPr>
          <w:rFonts w:hint="eastAsia" w:eastAsia="仿宋_GB2312"/>
          <w:color w:val="000000"/>
          <w:sz w:val="32"/>
          <w:szCs w:val="32"/>
          <w:highlight w:val="none"/>
        </w:rPr>
        <w:t>万元。一般公共预算支出完成</w:t>
      </w:r>
      <w:r>
        <w:rPr>
          <w:rFonts w:hint="eastAsia" w:eastAsia="仿宋_GB2312"/>
          <w:color w:val="000000"/>
          <w:sz w:val="32"/>
          <w:szCs w:val="32"/>
          <w:highlight w:val="none"/>
          <w:lang w:val="en-US" w:eastAsia="zh-CN"/>
        </w:rPr>
        <w:t>171430</w:t>
      </w:r>
      <w:r>
        <w:rPr>
          <w:rFonts w:hint="eastAsia" w:eastAsia="仿宋_GB2312"/>
          <w:color w:val="000000"/>
          <w:sz w:val="32"/>
          <w:szCs w:val="32"/>
          <w:highlight w:val="none"/>
        </w:rPr>
        <w:t>万元，为预算（调整后）的</w:t>
      </w:r>
      <w:r>
        <w:rPr>
          <w:rFonts w:hint="eastAsia" w:eastAsia="仿宋_GB2312"/>
          <w:color w:val="000000"/>
          <w:sz w:val="32"/>
          <w:szCs w:val="32"/>
          <w:highlight w:val="none"/>
          <w:lang w:val="en-US" w:eastAsia="zh-CN"/>
        </w:rPr>
        <w:t>98.9</w:t>
      </w:r>
      <w:r>
        <w:rPr>
          <w:rFonts w:hint="eastAsia" w:eastAsia="仿宋_GB2312"/>
          <w:color w:val="000000"/>
          <w:sz w:val="32"/>
          <w:szCs w:val="32"/>
          <w:highlight w:val="none"/>
        </w:rPr>
        <w:t>%，</w:t>
      </w:r>
      <w:r>
        <w:rPr>
          <w:rFonts w:hint="eastAsia" w:eastAsia="仿宋_GB2312"/>
          <w:color w:val="000000"/>
          <w:sz w:val="32"/>
          <w:szCs w:val="32"/>
          <w:highlight w:val="none"/>
          <w:lang w:eastAsia="zh-CN"/>
        </w:rPr>
        <w:t>下降</w:t>
      </w:r>
      <w:r>
        <w:rPr>
          <w:rFonts w:hint="eastAsia" w:eastAsia="仿宋_GB2312"/>
          <w:color w:val="000000"/>
          <w:sz w:val="32"/>
          <w:szCs w:val="32"/>
          <w:highlight w:val="none"/>
          <w:lang w:val="en-US" w:eastAsia="zh-CN"/>
        </w:rPr>
        <w:t>13.5</w:t>
      </w:r>
      <w:r>
        <w:rPr>
          <w:rFonts w:hint="eastAsia" w:eastAsia="仿宋_GB2312"/>
          <w:color w:val="000000"/>
          <w:sz w:val="32"/>
          <w:szCs w:val="32"/>
          <w:highlight w:val="none"/>
        </w:rPr>
        <w:t>%，</w:t>
      </w:r>
      <w:r>
        <w:rPr>
          <w:rFonts w:hint="eastAsia" w:eastAsia="仿宋_GB2312"/>
          <w:color w:val="000000"/>
          <w:sz w:val="32"/>
          <w:szCs w:val="32"/>
          <w:highlight w:val="none"/>
          <w:lang w:eastAsia="zh-CN"/>
        </w:rPr>
        <w:t>减支</w:t>
      </w:r>
      <w:r>
        <w:rPr>
          <w:rFonts w:hint="eastAsia" w:eastAsia="仿宋_GB2312"/>
          <w:color w:val="000000"/>
          <w:sz w:val="32"/>
          <w:szCs w:val="32"/>
          <w:highlight w:val="none"/>
          <w:lang w:val="en-US" w:eastAsia="zh-CN"/>
        </w:rPr>
        <w:t>26801</w:t>
      </w:r>
      <w:r>
        <w:rPr>
          <w:rFonts w:hint="eastAsia" w:eastAsia="仿宋_GB2312"/>
          <w:color w:val="000000"/>
          <w:sz w:val="32"/>
          <w:szCs w:val="32"/>
          <w:highlight w:val="none"/>
        </w:rPr>
        <w:t>万元</w:t>
      </w:r>
      <w:r>
        <w:rPr>
          <w:rFonts w:hint="eastAsia" w:eastAsia="仿宋_GB2312"/>
          <w:color w:val="000000"/>
          <w:sz w:val="32"/>
          <w:szCs w:val="32"/>
          <w:highlight w:val="none"/>
          <w:lang w:val="en-US" w:eastAsia="zh-CN"/>
        </w:rPr>
        <w:t>,主要原因是区法院、检察院上划市级管理和市级补助比上年减少较多</w:t>
      </w:r>
      <w:r>
        <w:rPr>
          <w:rFonts w:hint="eastAsia"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1" w:firstLineChars="200"/>
        <w:jc w:val="both"/>
        <w:textAlignment w:val="auto"/>
        <w:rPr>
          <w:rFonts w:hint="eastAsia" w:ascii="仿宋" w:hAnsi="仿宋" w:eastAsia="仿宋" w:cs="仿宋"/>
          <w:sz w:val="32"/>
          <w:szCs w:val="32"/>
          <w:lang w:val="en-US" w:eastAsia="zh-CN"/>
        </w:rPr>
      </w:pPr>
      <w:r>
        <w:rPr>
          <w:rFonts w:eastAsia="仿宋_GB2312"/>
          <w:b/>
          <w:bCs/>
          <w:color w:val="000000"/>
          <w:spacing w:val="-8"/>
          <w:sz w:val="32"/>
          <w:szCs w:val="32"/>
          <w:highlight w:val="none"/>
        </w:rPr>
        <w:t>2</w:t>
      </w:r>
      <w:r>
        <w:rPr>
          <w:rFonts w:hint="eastAsia" w:eastAsia="仿宋_GB2312"/>
          <w:b/>
          <w:bCs/>
          <w:color w:val="000000"/>
          <w:spacing w:val="-8"/>
          <w:sz w:val="32"/>
          <w:szCs w:val="32"/>
          <w:highlight w:val="none"/>
        </w:rPr>
        <w:t>、区本级收支情况：</w:t>
      </w:r>
      <w:r>
        <w:rPr>
          <w:rFonts w:hint="eastAsia" w:ascii="仿宋" w:hAnsi="仿宋" w:eastAsia="仿宋" w:cs="仿宋"/>
          <w:sz w:val="32"/>
          <w:szCs w:val="32"/>
          <w:highlight w:val="none"/>
          <w:lang w:eastAsia="zh-CN"/>
        </w:rPr>
        <w:t>全</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none"/>
        </w:rPr>
        <w:t>区本级一般公共预算收入</w:t>
      </w:r>
      <w:r>
        <w:rPr>
          <w:rFonts w:hint="eastAsia" w:ascii="仿宋" w:hAnsi="仿宋" w:eastAsia="仿宋" w:cs="仿宋"/>
          <w:sz w:val="32"/>
          <w:szCs w:val="32"/>
          <w:highlight w:val="none"/>
          <w:u w:val="none"/>
          <w:lang w:eastAsia="zh-CN"/>
        </w:rPr>
        <w:t>（决算数）</w:t>
      </w:r>
      <w:r>
        <w:rPr>
          <w:rFonts w:hint="eastAsia" w:ascii="仿宋" w:hAnsi="仿宋" w:cs="仿宋"/>
          <w:sz w:val="32"/>
          <w:szCs w:val="32"/>
          <w:highlight w:val="none"/>
          <w:u w:val="none"/>
          <w:lang w:val="en-US" w:eastAsia="zh-CN"/>
        </w:rPr>
        <w:t>37982万元，</w:t>
      </w:r>
      <w:r>
        <w:rPr>
          <w:rFonts w:hint="eastAsia" w:ascii="仿宋" w:hAnsi="仿宋" w:eastAsia="仿宋" w:cs="仿宋"/>
          <w:sz w:val="32"/>
          <w:szCs w:val="32"/>
          <w:highlight w:val="none"/>
          <w:lang w:eastAsia="zh-CN"/>
        </w:rPr>
        <w:t>占</w:t>
      </w:r>
      <w:r>
        <w:rPr>
          <w:rFonts w:hint="eastAsia" w:ascii="仿宋" w:hAnsi="仿宋" w:eastAsia="仿宋" w:cs="仿宋"/>
          <w:sz w:val="32"/>
          <w:szCs w:val="32"/>
          <w:highlight w:val="none"/>
        </w:rPr>
        <w:t>预算</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调整后）</w:t>
      </w:r>
      <w:r>
        <w:rPr>
          <w:rFonts w:hint="eastAsia" w:ascii="仿宋" w:hAnsi="仿宋" w:eastAsia="仿宋" w:cs="仿宋"/>
          <w:b w:val="0"/>
          <w:bCs w:val="0"/>
          <w:sz w:val="32"/>
          <w:szCs w:val="32"/>
          <w:highlight w:val="none"/>
        </w:rPr>
        <w:t>的</w:t>
      </w:r>
      <w:r>
        <w:rPr>
          <w:rFonts w:hint="eastAsia" w:ascii="仿宋" w:hAnsi="仿宋" w:eastAsia="仿宋" w:cs="仿宋"/>
          <w:b w:val="0"/>
          <w:bCs w:val="0"/>
          <w:sz w:val="32"/>
          <w:szCs w:val="32"/>
          <w:highlight w:val="none"/>
          <w:lang w:val="en-US" w:eastAsia="zh-CN"/>
        </w:rPr>
        <w:t xml:space="preserve"> 10</w:t>
      </w:r>
      <w:r>
        <w:rPr>
          <w:rFonts w:hint="eastAsia" w:ascii="仿宋" w:hAnsi="仿宋" w:cs="仿宋"/>
          <w:b w:val="0"/>
          <w:bCs w:val="0"/>
          <w:sz w:val="32"/>
          <w:szCs w:val="32"/>
          <w:highlight w:val="none"/>
          <w:lang w:val="en-US" w:eastAsia="zh-CN"/>
        </w:rPr>
        <w:t>0.6</w:t>
      </w:r>
      <w:r>
        <w:rPr>
          <w:rFonts w:hint="eastAsia" w:ascii="仿宋" w:hAnsi="仿宋" w:eastAsia="仿宋" w:cs="仿宋"/>
          <w:b w:val="0"/>
          <w:bCs w:val="0"/>
          <w:sz w:val="32"/>
          <w:szCs w:val="32"/>
          <w:highlight w:val="none"/>
        </w:rPr>
        <w:t>%，</w:t>
      </w:r>
      <w:r>
        <w:rPr>
          <w:rFonts w:hint="eastAsia" w:ascii="仿宋" w:hAnsi="仿宋" w:eastAsia="仿宋" w:cs="仿宋"/>
          <w:spacing w:val="-8"/>
          <w:kern w:val="0"/>
          <w:sz w:val="32"/>
          <w:szCs w:val="32"/>
          <w:highlight w:val="none"/>
          <w:lang w:val="en-US" w:eastAsia="zh-CN" w:bidi="ar-SA"/>
        </w:rPr>
        <w:t>同比增长</w:t>
      </w:r>
      <w:r>
        <w:rPr>
          <w:rFonts w:hint="eastAsia" w:ascii="仿宋" w:hAnsi="仿宋" w:cs="仿宋"/>
          <w:spacing w:val="-8"/>
          <w:kern w:val="0"/>
          <w:sz w:val="32"/>
          <w:szCs w:val="32"/>
          <w:highlight w:val="none"/>
          <w:lang w:val="en-US" w:eastAsia="zh-CN" w:bidi="ar-SA"/>
        </w:rPr>
        <w:t>0.5%，</w:t>
      </w:r>
      <w:r>
        <w:rPr>
          <w:rFonts w:hint="eastAsia" w:ascii="仿宋" w:hAnsi="仿宋" w:eastAsia="仿宋" w:cs="仿宋"/>
          <w:sz w:val="32"/>
          <w:szCs w:val="32"/>
          <w:highlight w:val="none"/>
          <w:lang w:val="en-US" w:eastAsia="zh-CN"/>
        </w:rPr>
        <w:t>增收</w:t>
      </w:r>
      <w:r>
        <w:rPr>
          <w:rFonts w:hint="eastAsia" w:ascii="仿宋" w:hAnsi="仿宋" w:cs="仿宋"/>
          <w:sz w:val="32"/>
          <w:szCs w:val="32"/>
          <w:highlight w:val="none"/>
          <w:lang w:val="en-US" w:eastAsia="zh-CN"/>
        </w:rPr>
        <w:t>31万元</w:t>
      </w:r>
      <w:r>
        <w:rPr>
          <w:rFonts w:hint="eastAsia" w:ascii="仿宋" w:hAnsi="仿宋" w:eastAsia="仿宋" w:cs="仿宋"/>
          <w:spacing w:val="-8"/>
          <w:kern w:val="0"/>
          <w:sz w:val="32"/>
          <w:szCs w:val="32"/>
          <w:highlight w:val="none"/>
          <w:lang w:val="en-US" w:eastAsia="zh-CN" w:bidi="ar-SA"/>
        </w:rPr>
        <w:t>。区本级一般公共预算支出</w:t>
      </w:r>
      <w:r>
        <w:rPr>
          <w:rFonts w:hint="eastAsia" w:ascii="仿宋" w:hAnsi="仿宋" w:eastAsia="仿宋" w:cs="仿宋"/>
          <w:sz w:val="32"/>
          <w:szCs w:val="32"/>
          <w:highlight w:val="none"/>
          <w:u w:val="none"/>
          <w:lang w:eastAsia="zh-CN"/>
        </w:rPr>
        <w:t>（决算数）</w:t>
      </w:r>
      <w:r>
        <w:rPr>
          <w:rFonts w:hint="eastAsia" w:ascii="仿宋" w:hAnsi="仿宋" w:cs="仿宋"/>
          <w:sz w:val="32"/>
          <w:szCs w:val="32"/>
          <w:highlight w:val="none"/>
          <w:u w:val="none"/>
          <w:lang w:val="en-US" w:eastAsia="zh-CN"/>
        </w:rPr>
        <w:t>153193</w:t>
      </w:r>
      <w:r>
        <w:rPr>
          <w:rFonts w:hint="eastAsia" w:ascii="仿宋" w:hAnsi="仿宋" w:cs="仿宋"/>
          <w:sz w:val="32"/>
          <w:szCs w:val="32"/>
          <w:u w:val="none"/>
          <w:lang w:val="en-US" w:eastAsia="zh-CN"/>
        </w:rPr>
        <w:t>万元</w:t>
      </w:r>
      <w:r>
        <w:rPr>
          <w:rFonts w:hint="eastAsia" w:ascii="仿宋" w:hAnsi="仿宋" w:eastAsia="仿宋" w:cs="仿宋"/>
          <w:spacing w:val="-8"/>
          <w:kern w:val="0"/>
          <w:sz w:val="32"/>
          <w:szCs w:val="32"/>
          <w:lang w:val="en-US" w:eastAsia="zh-CN" w:bidi="ar-SA"/>
        </w:rPr>
        <w:t>，</w:t>
      </w:r>
      <w:r>
        <w:rPr>
          <w:rFonts w:hint="eastAsia" w:ascii="仿宋" w:hAnsi="仿宋" w:eastAsia="仿宋" w:cs="仿宋"/>
          <w:sz w:val="32"/>
          <w:szCs w:val="32"/>
          <w:lang w:eastAsia="zh-CN"/>
        </w:rPr>
        <w:t>占</w:t>
      </w:r>
      <w:r>
        <w:rPr>
          <w:rFonts w:hint="eastAsia" w:ascii="仿宋" w:hAnsi="仿宋" w:eastAsia="仿宋" w:cs="仿宋"/>
          <w:sz w:val="32"/>
          <w:szCs w:val="32"/>
        </w:rPr>
        <w:t>预算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调整后）</w:t>
      </w:r>
      <w:r>
        <w:rPr>
          <w:rFonts w:hint="eastAsia" w:ascii="仿宋" w:hAnsi="仿宋" w:eastAsia="仿宋" w:cs="仿宋"/>
          <w:sz w:val="32"/>
          <w:szCs w:val="32"/>
          <w:highlight w:val="none"/>
        </w:rPr>
        <w:t>的</w:t>
      </w:r>
      <w:r>
        <w:rPr>
          <w:rFonts w:hint="eastAsia" w:ascii="仿宋" w:hAnsi="仿宋" w:cs="仿宋"/>
          <w:sz w:val="32"/>
          <w:szCs w:val="32"/>
          <w:highlight w:val="none"/>
          <w:lang w:val="en-US" w:eastAsia="zh-CN"/>
        </w:rPr>
        <w:t>98.8</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w:t>
      </w:r>
      <w:r>
        <w:rPr>
          <w:rFonts w:hint="eastAsia" w:ascii="仿宋" w:hAnsi="仿宋" w:eastAsia="仿宋" w:cs="仿宋"/>
          <w:sz w:val="32"/>
          <w:szCs w:val="32"/>
          <w:lang w:val="en-US" w:eastAsia="zh-CN"/>
        </w:rPr>
        <w:t>同比下降10.3%，减支17531万元。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平衡情况：按现行财政体制，2024年</w:t>
      </w:r>
      <w:r>
        <w:rPr>
          <w:rFonts w:hint="eastAsia" w:ascii="仿宋" w:hAnsi="仿宋" w:eastAsia="仿宋" w:cs="仿宋"/>
          <w:b/>
          <w:bCs/>
          <w:sz w:val="32"/>
          <w:szCs w:val="32"/>
          <w:lang w:val="en-US" w:eastAsia="zh-CN"/>
        </w:rPr>
        <w:t>区本级一般公共预算收入总量</w:t>
      </w:r>
      <w:r>
        <w:rPr>
          <w:rFonts w:hint="eastAsia" w:ascii="仿宋" w:hAnsi="仿宋" w:cs="仿宋"/>
          <w:b/>
          <w:bCs/>
          <w:sz w:val="32"/>
          <w:szCs w:val="32"/>
          <w:highlight w:val="none"/>
          <w:lang w:val="en-US" w:eastAsia="zh-CN"/>
        </w:rPr>
        <w:t>182048</w:t>
      </w:r>
      <w:r>
        <w:rPr>
          <w:rFonts w:hint="eastAsia" w:ascii="仿宋" w:hAnsi="仿宋" w:eastAsia="仿宋" w:cs="仿宋"/>
          <w:b/>
          <w:bCs/>
          <w:sz w:val="32"/>
          <w:szCs w:val="32"/>
          <w:lang w:val="en-US" w:eastAsia="zh-CN"/>
        </w:rPr>
        <w:t>万元，</w:t>
      </w:r>
      <w:r>
        <w:rPr>
          <w:rFonts w:hint="eastAsia" w:ascii="仿宋" w:hAnsi="仿宋" w:eastAsia="仿宋" w:cs="仿宋"/>
          <w:sz w:val="32"/>
          <w:szCs w:val="32"/>
          <w:lang w:val="en-US" w:eastAsia="zh-CN"/>
        </w:rPr>
        <w:t>其中：一般公共预算收入37982万元，镇办上解收入14246万元，上级补助收入92113万元，上年结余11081万元，调入资金19777万元，新增一般债券转贷收入6059万元，调入预算稳定调节基金</w:t>
      </w:r>
      <w:r>
        <w:rPr>
          <w:rFonts w:hint="eastAsia" w:ascii="仿宋" w:hAnsi="仿宋" w:cs="仿宋"/>
          <w:sz w:val="32"/>
          <w:szCs w:val="32"/>
          <w:highlight w:val="none"/>
          <w:lang w:val="en-US" w:eastAsia="zh-CN"/>
        </w:rPr>
        <w:t>790</w:t>
      </w:r>
      <w:r>
        <w:rPr>
          <w:rFonts w:hint="eastAsia" w:ascii="仿宋" w:hAnsi="仿宋" w:eastAsia="仿宋" w:cs="仿宋"/>
          <w:sz w:val="32"/>
          <w:szCs w:val="32"/>
          <w:lang w:val="en-US" w:eastAsia="zh-CN"/>
        </w:rPr>
        <w:t>万元。</w:t>
      </w:r>
      <w:r>
        <w:rPr>
          <w:rFonts w:hint="eastAsia" w:ascii="仿宋" w:hAnsi="仿宋" w:eastAsia="仿宋" w:cs="仿宋"/>
          <w:b/>
          <w:bCs/>
          <w:sz w:val="32"/>
          <w:szCs w:val="32"/>
          <w:lang w:val="en-US" w:eastAsia="zh-CN"/>
        </w:rPr>
        <w:t>区本级一般公共预算支出总量</w:t>
      </w:r>
      <w:r>
        <w:rPr>
          <w:rFonts w:hint="eastAsia" w:ascii="仿宋" w:hAnsi="仿宋" w:cs="仿宋"/>
          <w:b/>
          <w:bCs/>
          <w:sz w:val="32"/>
          <w:szCs w:val="32"/>
          <w:highlight w:val="none"/>
          <w:lang w:val="en-US" w:eastAsia="zh-CN"/>
        </w:rPr>
        <w:t>180161</w:t>
      </w:r>
      <w:r>
        <w:rPr>
          <w:rFonts w:hint="eastAsia" w:ascii="仿宋" w:hAnsi="仿宋" w:eastAsia="仿宋" w:cs="仿宋"/>
          <w:b/>
          <w:bCs/>
          <w:sz w:val="32"/>
          <w:szCs w:val="32"/>
          <w:lang w:val="en-US" w:eastAsia="zh-CN"/>
        </w:rPr>
        <w:t>万元，</w:t>
      </w:r>
      <w:r>
        <w:rPr>
          <w:rFonts w:hint="eastAsia" w:ascii="仿宋" w:hAnsi="仿宋" w:eastAsia="仿宋" w:cs="仿宋"/>
          <w:sz w:val="32"/>
          <w:szCs w:val="32"/>
          <w:lang w:val="en-US" w:eastAsia="zh-CN"/>
        </w:rPr>
        <w:t>其中：一般公共预算支出153193万元，补助镇办支出18237万元，上解上级支出6517万元，债务还本支出2196万元，安排预算稳定调节基金</w:t>
      </w:r>
      <w:r>
        <w:rPr>
          <w:rFonts w:hint="eastAsia" w:ascii="仿宋" w:hAnsi="仿宋" w:cs="仿宋"/>
          <w:sz w:val="32"/>
          <w:szCs w:val="32"/>
          <w:highlight w:val="none"/>
          <w:lang w:val="en-US" w:eastAsia="zh-CN"/>
        </w:rPr>
        <w:t>1</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lang w:val="en-US" w:eastAsia="zh-CN"/>
        </w:rPr>
        <w:t>万元。收支相抵结转结余1887万元。</w:t>
      </w:r>
    </w:p>
    <w:p>
      <w:pPr>
        <w:spacing w:line="560" w:lineRule="exact"/>
        <w:ind w:firstLine="643" w:firstLineChars="200"/>
        <w:rPr>
          <w:rFonts w:eastAsia="仿宋_GB2312"/>
          <w:color w:val="000000"/>
          <w:kern w:val="0"/>
          <w:sz w:val="32"/>
          <w:szCs w:val="32"/>
          <w:highlight w:val="none"/>
        </w:rPr>
      </w:pPr>
      <w:r>
        <w:rPr>
          <w:rFonts w:hint="eastAsia" w:eastAsia="仿宋_GB2312"/>
          <w:b/>
          <w:color w:val="000000"/>
          <w:sz w:val="32"/>
          <w:szCs w:val="32"/>
          <w:highlight w:val="none"/>
          <w:lang w:val="en-US" w:eastAsia="zh-CN"/>
        </w:rPr>
        <w:t>3.</w:t>
      </w:r>
      <w:r>
        <w:rPr>
          <w:rFonts w:hint="eastAsia" w:eastAsia="仿宋_GB2312"/>
          <w:b/>
          <w:color w:val="000000"/>
          <w:sz w:val="32"/>
          <w:szCs w:val="32"/>
          <w:highlight w:val="none"/>
        </w:rPr>
        <w:t>其他有关情况：</w:t>
      </w:r>
      <w:r>
        <w:rPr>
          <w:rFonts w:hint="eastAsia" w:eastAsia="仿宋_GB2312"/>
          <w:color w:val="000000"/>
          <w:kern w:val="0"/>
          <w:sz w:val="32"/>
          <w:szCs w:val="32"/>
          <w:highlight w:val="none"/>
        </w:rPr>
        <w:t>一是上级财政转移支付情况。收到上级</w:t>
      </w:r>
      <w:r>
        <w:rPr>
          <w:rFonts w:hint="eastAsia" w:eastAsia="仿宋_GB2312"/>
          <w:color w:val="000000"/>
          <w:kern w:val="0"/>
          <w:sz w:val="32"/>
          <w:szCs w:val="32"/>
          <w:highlight w:val="none"/>
          <w:lang w:val="en-US" w:eastAsia="zh-CN"/>
        </w:rPr>
        <w:t>补助</w:t>
      </w:r>
      <w:r>
        <w:rPr>
          <w:rFonts w:hint="eastAsia" w:eastAsia="仿宋_GB2312"/>
          <w:color w:val="000000"/>
          <w:kern w:val="0"/>
          <w:sz w:val="32"/>
          <w:szCs w:val="32"/>
          <w:highlight w:val="none"/>
        </w:rPr>
        <w:t>收入</w:t>
      </w:r>
      <w:r>
        <w:rPr>
          <w:rFonts w:hint="eastAsia" w:eastAsia="仿宋_GB2312"/>
          <w:color w:val="000000"/>
          <w:kern w:val="0"/>
          <w:sz w:val="32"/>
          <w:szCs w:val="32"/>
          <w:highlight w:val="none"/>
          <w:lang w:val="en-US" w:eastAsia="zh-CN"/>
        </w:rPr>
        <w:t>92113</w:t>
      </w:r>
      <w:r>
        <w:rPr>
          <w:rFonts w:hint="eastAsia" w:eastAsia="仿宋_GB2312"/>
          <w:color w:val="000000"/>
          <w:kern w:val="0"/>
          <w:sz w:val="32"/>
          <w:szCs w:val="32"/>
          <w:highlight w:val="none"/>
        </w:rPr>
        <w:t>万元，其中一般性转移支付收入</w:t>
      </w:r>
      <w:r>
        <w:rPr>
          <w:rFonts w:hint="eastAsia" w:eastAsia="仿宋_GB2312"/>
          <w:color w:val="000000"/>
          <w:kern w:val="0"/>
          <w:sz w:val="32"/>
          <w:szCs w:val="32"/>
          <w:highlight w:val="none"/>
          <w:lang w:val="en-US" w:eastAsia="zh-CN"/>
        </w:rPr>
        <w:t>83690</w:t>
      </w:r>
      <w:r>
        <w:rPr>
          <w:rFonts w:hint="eastAsia" w:eastAsia="仿宋_GB2312"/>
          <w:color w:val="000000"/>
          <w:kern w:val="0"/>
          <w:sz w:val="32"/>
          <w:szCs w:val="32"/>
          <w:highlight w:val="none"/>
        </w:rPr>
        <w:t>万元，专项转移支付收入</w:t>
      </w:r>
      <w:r>
        <w:rPr>
          <w:rFonts w:hint="eastAsia" w:eastAsia="仿宋_GB2312"/>
          <w:color w:val="000000"/>
          <w:kern w:val="0"/>
          <w:sz w:val="32"/>
          <w:szCs w:val="32"/>
          <w:highlight w:val="none"/>
          <w:lang w:val="en-US" w:eastAsia="zh-CN"/>
        </w:rPr>
        <w:t>8423</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（专项转移支付收入情况详见附表四）</w:t>
      </w:r>
      <w:r>
        <w:rPr>
          <w:rFonts w:hint="eastAsia" w:eastAsia="仿宋_GB2312"/>
          <w:color w:val="000000"/>
          <w:kern w:val="0"/>
          <w:sz w:val="32"/>
          <w:szCs w:val="32"/>
          <w:highlight w:val="none"/>
        </w:rPr>
        <w:t>。以上资金均按有关规定下达部门使用。二是一般公共预算结余情况。一般公共预算结转结余</w:t>
      </w:r>
      <w:r>
        <w:rPr>
          <w:rFonts w:hint="eastAsia" w:eastAsia="仿宋_GB2312"/>
          <w:color w:val="000000"/>
          <w:kern w:val="0"/>
          <w:sz w:val="32"/>
          <w:szCs w:val="32"/>
          <w:highlight w:val="none"/>
          <w:lang w:val="en-US" w:eastAsia="zh-CN"/>
        </w:rPr>
        <w:t>1887</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val="en-US" w:eastAsia="zh-CN"/>
        </w:rPr>
        <w:t>,</w:t>
      </w:r>
      <w:r>
        <w:rPr>
          <w:rFonts w:hint="eastAsia" w:eastAsia="仿宋_GB2312"/>
          <w:color w:val="000000"/>
          <w:kern w:val="0"/>
          <w:sz w:val="32"/>
          <w:szCs w:val="32"/>
          <w:highlight w:val="none"/>
        </w:rPr>
        <w:t>主要</w:t>
      </w:r>
      <w:r>
        <w:rPr>
          <w:rFonts w:hint="eastAsia" w:eastAsia="仿宋_GB2312"/>
          <w:color w:val="000000"/>
          <w:kern w:val="0"/>
          <w:sz w:val="32"/>
          <w:szCs w:val="32"/>
          <w:highlight w:val="none"/>
          <w:lang w:eastAsia="zh-CN"/>
        </w:rPr>
        <w:t>为</w:t>
      </w:r>
      <w:r>
        <w:rPr>
          <w:rFonts w:hint="eastAsia" w:eastAsia="仿宋_GB2312"/>
          <w:color w:val="000000"/>
          <w:kern w:val="0"/>
          <w:sz w:val="32"/>
          <w:szCs w:val="32"/>
          <w:highlight w:val="none"/>
        </w:rPr>
        <w:t>市级教育支出转移支付资金</w:t>
      </w:r>
      <w:r>
        <w:rPr>
          <w:rFonts w:hint="eastAsia" w:eastAsia="仿宋_GB2312"/>
          <w:color w:val="000000"/>
          <w:kern w:val="0"/>
          <w:sz w:val="32"/>
          <w:szCs w:val="32"/>
          <w:highlight w:val="none"/>
          <w:lang w:val="en-US" w:eastAsia="zh-CN"/>
        </w:rPr>
        <w:t>401</w:t>
      </w:r>
      <w:r>
        <w:rPr>
          <w:rFonts w:hint="eastAsia" w:eastAsia="仿宋_GB2312"/>
          <w:color w:val="000000"/>
          <w:kern w:val="0"/>
          <w:sz w:val="32"/>
          <w:szCs w:val="32"/>
          <w:highlight w:val="none"/>
        </w:rPr>
        <w:t>万元、市级</w:t>
      </w:r>
      <w:r>
        <w:rPr>
          <w:rFonts w:hint="eastAsia" w:eastAsia="仿宋_GB2312"/>
          <w:color w:val="000000"/>
          <w:kern w:val="0"/>
          <w:sz w:val="32"/>
          <w:szCs w:val="32"/>
          <w:highlight w:val="none"/>
          <w:lang w:eastAsia="zh-CN"/>
        </w:rPr>
        <w:t>节能环保</w:t>
      </w:r>
      <w:r>
        <w:rPr>
          <w:rFonts w:hint="eastAsia" w:eastAsia="仿宋_GB2312"/>
          <w:color w:val="000000"/>
          <w:kern w:val="0"/>
          <w:sz w:val="32"/>
          <w:szCs w:val="32"/>
          <w:highlight w:val="none"/>
        </w:rPr>
        <w:t>支出转移支付资金</w:t>
      </w:r>
      <w:r>
        <w:rPr>
          <w:rFonts w:hint="eastAsia" w:eastAsia="仿宋_GB2312"/>
          <w:color w:val="000000"/>
          <w:kern w:val="0"/>
          <w:sz w:val="32"/>
          <w:szCs w:val="32"/>
          <w:highlight w:val="none"/>
          <w:lang w:val="en-US" w:eastAsia="zh-CN"/>
        </w:rPr>
        <w:t>889</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等（结转结余情况详见附表五）</w:t>
      </w:r>
      <w:r>
        <w:rPr>
          <w:rFonts w:hint="eastAsia" w:eastAsia="仿宋_GB2312"/>
          <w:color w:val="000000"/>
          <w:kern w:val="0"/>
          <w:sz w:val="32"/>
          <w:szCs w:val="32"/>
          <w:highlight w:val="none"/>
        </w:rPr>
        <w:t>。三是预备费使用情况。年初安排预备费</w:t>
      </w:r>
      <w:r>
        <w:rPr>
          <w:rFonts w:hint="eastAsia" w:eastAsia="仿宋_GB2312"/>
          <w:color w:val="000000"/>
          <w:kern w:val="0"/>
          <w:sz w:val="32"/>
          <w:szCs w:val="32"/>
          <w:highlight w:val="none"/>
          <w:lang w:val="en-US" w:eastAsia="zh-CN"/>
        </w:rPr>
        <w:t>1400</w:t>
      </w:r>
      <w:r>
        <w:rPr>
          <w:rFonts w:hint="eastAsia" w:eastAsia="仿宋_GB2312"/>
          <w:color w:val="000000"/>
          <w:kern w:val="0"/>
          <w:sz w:val="32"/>
          <w:szCs w:val="32"/>
          <w:highlight w:val="none"/>
        </w:rPr>
        <w:t>万元，本年动用1</w:t>
      </w:r>
      <w:r>
        <w:rPr>
          <w:rFonts w:hint="eastAsia" w:eastAsia="仿宋_GB2312"/>
          <w:color w:val="000000"/>
          <w:kern w:val="0"/>
          <w:sz w:val="32"/>
          <w:szCs w:val="32"/>
          <w:highlight w:val="none"/>
          <w:lang w:val="en-US" w:eastAsia="zh-CN"/>
        </w:rPr>
        <w:t>400</w:t>
      </w:r>
      <w:r>
        <w:rPr>
          <w:rFonts w:hint="eastAsia" w:eastAsia="仿宋_GB2312"/>
          <w:color w:val="000000"/>
          <w:kern w:val="0"/>
          <w:sz w:val="32"/>
          <w:szCs w:val="32"/>
          <w:highlight w:val="none"/>
        </w:rPr>
        <w:t>万元，主要用于社会保障和就业等</w:t>
      </w:r>
      <w:r>
        <w:rPr>
          <w:rFonts w:hint="eastAsia" w:eastAsia="仿宋_GB2312"/>
          <w:color w:val="000000"/>
          <w:kern w:val="0"/>
          <w:sz w:val="32"/>
          <w:szCs w:val="32"/>
          <w:highlight w:val="none"/>
          <w:lang w:eastAsia="zh-CN"/>
        </w:rPr>
        <w:t>亟需</w:t>
      </w:r>
      <w:r>
        <w:rPr>
          <w:rFonts w:hint="eastAsia" w:eastAsia="仿宋_GB2312"/>
          <w:color w:val="000000"/>
          <w:kern w:val="0"/>
          <w:sz w:val="32"/>
          <w:szCs w:val="32"/>
          <w:highlight w:val="none"/>
        </w:rPr>
        <w:t>支出。四是预算稳定调节基金情况。预算稳定调节基金年初余额</w:t>
      </w:r>
      <w:r>
        <w:rPr>
          <w:rFonts w:hint="eastAsia" w:eastAsia="仿宋_GB2312"/>
          <w:color w:val="000000"/>
          <w:kern w:val="0"/>
          <w:sz w:val="32"/>
          <w:szCs w:val="32"/>
          <w:highlight w:val="none"/>
          <w:lang w:val="en-US" w:eastAsia="zh-CN"/>
        </w:rPr>
        <w:t>7</w:t>
      </w:r>
      <w:r>
        <w:rPr>
          <w:rFonts w:hint="eastAsia" w:eastAsia="仿宋_GB2312"/>
          <w:color w:val="000000"/>
          <w:kern w:val="0"/>
          <w:sz w:val="32"/>
          <w:szCs w:val="32"/>
          <w:highlight w:val="none"/>
        </w:rPr>
        <w:t>90万元，当年动用</w:t>
      </w:r>
      <w:r>
        <w:rPr>
          <w:rFonts w:hint="eastAsia" w:eastAsia="仿宋_GB2312"/>
          <w:color w:val="000000"/>
          <w:kern w:val="0"/>
          <w:sz w:val="32"/>
          <w:szCs w:val="32"/>
          <w:highlight w:val="none"/>
          <w:lang w:val="en-US" w:eastAsia="zh-CN"/>
        </w:rPr>
        <w:t>790</w:t>
      </w:r>
      <w:r>
        <w:rPr>
          <w:rFonts w:hint="eastAsia" w:eastAsia="仿宋_GB2312"/>
          <w:color w:val="000000"/>
          <w:kern w:val="0"/>
          <w:sz w:val="32"/>
          <w:szCs w:val="32"/>
          <w:highlight w:val="none"/>
        </w:rPr>
        <w:t>万元，利用当年预算超收及盘活存量资金补充预算稳定调节基金</w:t>
      </w:r>
      <w:r>
        <w:rPr>
          <w:rFonts w:hint="eastAsia" w:eastAsia="仿宋_GB2312"/>
          <w:color w:val="000000"/>
          <w:kern w:val="0"/>
          <w:sz w:val="32"/>
          <w:szCs w:val="32"/>
          <w:highlight w:val="none"/>
          <w:lang w:val="en-US" w:eastAsia="zh-CN"/>
        </w:rPr>
        <w:t>18</w:t>
      </w:r>
      <w:r>
        <w:rPr>
          <w:rFonts w:hint="eastAsia" w:eastAsia="仿宋_GB2312"/>
          <w:color w:val="000000"/>
          <w:kern w:val="0"/>
          <w:sz w:val="32"/>
          <w:szCs w:val="32"/>
          <w:highlight w:val="none"/>
        </w:rPr>
        <w:t>万元，存量</w:t>
      </w:r>
      <w:r>
        <w:rPr>
          <w:rFonts w:hint="eastAsia" w:eastAsia="仿宋_GB2312"/>
          <w:color w:val="000000"/>
          <w:kern w:val="0"/>
          <w:sz w:val="32"/>
          <w:szCs w:val="32"/>
          <w:highlight w:val="none"/>
          <w:lang w:val="en-US" w:eastAsia="zh-CN"/>
        </w:rPr>
        <w:t>18</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五</w:t>
      </w:r>
      <w:r>
        <w:rPr>
          <w:rFonts w:hint="eastAsia" w:eastAsia="仿宋_GB2312"/>
          <w:color w:val="000000"/>
          <w:kern w:val="0"/>
          <w:sz w:val="32"/>
          <w:szCs w:val="32"/>
          <w:highlight w:val="none"/>
        </w:rPr>
        <w:t>是安排对下转移支付资金</w:t>
      </w:r>
      <w:r>
        <w:rPr>
          <w:rFonts w:hint="eastAsia" w:eastAsia="仿宋_GB2312"/>
          <w:color w:val="000000"/>
          <w:kern w:val="0"/>
          <w:sz w:val="32"/>
          <w:szCs w:val="32"/>
          <w:highlight w:val="none"/>
          <w:lang w:val="en-US" w:eastAsia="zh-CN"/>
        </w:rPr>
        <w:t>情况</w:t>
      </w:r>
      <w:r>
        <w:rPr>
          <w:rFonts w:hint="eastAsia" w:eastAsia="仿宋_GB2312"/>
          <w:color w:val="000000"/>
          <w:kern w:val="0"/>
          <w:sz w:val="32"/>
          <w:szCs w:val="32"/>
          <w:highlight w:val="none"/>
        </w:rPr>
        <w:t>。</w:t>
      </w:r>
      <w:r>
        <w:rPr>
          <w:rFonts w:hint="eastAsia" w:eastAsia="仿宋_GB2312"/>
          <w:color w:val="000000"/>
          <w:kern w:val="0"/>
          <w:sz w:val="32"/>
          <w:szCs w:val="32"/>
          <w:highlight w:val="none"/>
          <w:lang w:eastAsia="zh-CN"/>
        </w:rPr>
        <w:t>补助</w:t>
      </w:r>
      <w:r>
        <w:rPr>
          <w:rFonts w:hint="eastAsia" w:eastAsia="仿宋_GB2312"/>
          <w:color w:val="000000"/>
          <w:kern w:val="0"/>
          <w:sz w:val="32"/>
          <w:szCs w:val="32"/>
          <w:highlight w:val="none"/>
        </w:rPr>
        <w:t>镇办</w:t>
      </w:r>
      <w:r>
        <w:rPr>
          <w:rFonts w:hint="eastAsia" w:eastAsia="仿宋_GB2312"/>
          <w:color w:val="000000"/>
          <w:kern w:val="0"/>
          <w:sz w:val="32"/>
          <w:szCs w:val="32"/>
          <w:highlight w:val="none"/>
          <w:lang w:val="en-US" w:eastAsia="zh-CN"/>
        </w:rPr>
        <w:t>18237</w:t>
      </w:r>
      <w:r>
        <w:rPr>
          <w:rFonts w:hint="eastAsia" w:eastAsia="仿宋_GB2312"/>
          <w:color w:val="000000"/>
          <w:kern w:val="0"/>
          <w:sz w:val="32"/>
          <w:szCs w:val="32"/>
          <w:highlight w:val="none"/>
        </w:rPr>
        <w:t>万元，其中</w:t>
      </w:r>
      <w:r>
        <w:rPr>
          <w:rFonts w:hint="eastAsia" w:eastAsia="仿宋_GB2312"/>
          <w:color w:val="000000"/>
          <w:kern w:val="0"/>
          <w:sz w:val="32"/>
          <w:szCs w:val="32"/>
          <w:highlight w:val="none"/>
          <w:lang w:eastAsia="zh-CN"/>
        </w:rPr>
        <w:t>用于</w:t>
      </w:r>
      <w:r>
        <w:rPr>
          <w:rFonts w:hint="eastAsia" w:eastAsia="仿宋_GB2312"/>
          <w:color w:val="000000"/>
          <w:kern w:val="0"/>
          <w:sz w:val="32"/>
          <w:szCs w:val="32"/>
          <w:highlight w:val="none"/>
        </w:rPr>
        <w:t>基本支出</w:t>
      </w:r>
      <w:r>
        <w:rPr>
          <w:rFonts w:hint="eastAsia" w:eastAsia="仿宋_GB2312"/>
          <w:color w:val="000000"/>
          <w:kern w:val="0"/>
          <w:sz w:val="32"/>
          <w:szCs w:val="32"/>
          <w:highlight w:val="none"/>
          <w:lang w:val="en-US" w:eastAsia="zh-CN"/>
        </w:rPr>
        <w:t>5316</w:t>
      </w:r>
      <w:r>
        <w:rPr>
          <w:rFonts w:hint="eastAsia" w:eastAsia="仿宋_GB2312"/>
          <w:color w:val="000000"/>
          <w:kern w:val="0"/>
          <w:sz w:val="32"/>
          <w:szCs w:val="32"/>
          <w:highlight w:val="none"/>
        </w:rPr>
        <w:t>万元，项目支出</w:t>
      </w:r>
      <w:r>
        <w:rPr>
          <w:rFonts w:hint="eastAsia" w:eastAsia="仿宋_GB2312"/>
          <w:color w:val="000000"/>
          <w:kern w:val="0"/>
          <w:sz w:val="32"/>
          <w:szCs w:val="32"/>
          <w:highlight w:val="none"/>
          <w:lang w:val="en-US" w:eastAsia="zh-CN"/>
        </w:rPr>
        <w:t>12921</w:t>
      </w:r>
      <w:r>
        <w:rPr>
          <w:rFonts w:hint="eastAsia" w:eastAsia="仿宋_GB2312"/>
          <w:color w:val="000000"/>
          <w:kern w:val="0"/>
          <w:sz w:val="32"/>
          <w:szCs w:val="32"/>
          <w:highlight w:val="none"/>
        </w:rPr>
        <w:t>万元。</w:t>
      </w:r>
    </w:p>
    <w:p>
      <w:pPr>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一般公共预算区本级收入和支出决算分类情况详见附表一。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(二)区本级政府性基金预算执行情况。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收支情况：2024年区本级政府性基金预算收入0万元（区级土地出让金收入缴入市级金库）。区本级政府性基金支出37009万元，占预算（调整后）的88.4%，同比下降79.4%，减支143119万元，</w:t>
      </w:r>
      <w:r>
        <w:rPr>
          <w:rFonts w:hint="eastAsia" w:eastAsia="仿宋_GB2312"/>
          <w:color w:val="000000"/>
          <w:sz w:val="32"/>
          <w:szCs w:val="32"/>
          <w:highlight w:val="none"/>
          <w:lang w:val="en-US" w:eastAsia="zh-CN"/>
        </w:rPr>
        <w:t>主要原因是专项债项目资金比上年（专项债项目155600万元）减少较多</w:t>
      </w:r>
      <w:r>
        <w:rPr>
          <w:rFonts w:hint="eastAsia" w:eastAsia="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平衡情况：按现行财政体制，</w:t>
      </w:r>
      <w:r>
        <w:rPr>
          <w:rFonts w:hint="eastAsia" w:ascii="仿宋" w:hAnsi="仿宋" w:eastAsia="仿宋" w:cs="仿宋"/>
          <w:b/>
          <w:bCs/>
          <w:sz w:val="32"/>
          <w:szCs w:val="32"/>
          <w:lang w:val="en-US" w:eastAsia="zh-CN"/>
        </w:rPr>
        <w:t>2024年区本级政府性基金收入总</w:t>
      </w:r>
      <w:r>
        <w:rPr>
          <w:rFonts w:hint="eastAsia" w:ascii="仿宋" w:hAnsi="仿宋" w:cs="仿宋"/>
          <w:b/>
          <w:bCs/>
          <w:sz w:val="32"/>
          <w:szCs w:val="32"/>
          <w:lang w:val="en-US" w:eastAsia="zh-CN"/>
        </w:rPr>
        <w:t>量</w:t>
      </w:r>
      <w:r>
        <w:rPr>
          <w:rFonts w:hint="eastAsia" w:ascii="仿宋" w:hAnsi="仿宋" w:eastAsia="仿宋" w:cs="仿宋"/>
          <w:b/>
          <w:bCs/>
          <w:sz w:val="32"/>
          <w:szCs w:val="32"/>
          <w:lang w:val="en-US" w:eastAsia="zh-CN"/>
        </w:rPr>
        <w:t>46122万元</w:t>
      </w:r>
      <w:r>
        <w:rPr>
          <w:rFonts w:hint="eastAsia" w:ascii="仿宋" w:hAnsi="仿宋" w:eastAsia="仿宋" w:cs="仿宋"/>
          <w:b w:val="0"/>
          <w:bCs w:val="0"/>
          <w:sz w:val="32"/>
          <w:szCs w:val="32"/>
          <w:lang w:val="en-US" w:eastAsia="zh-CN"/>
        </w:rPr>
        <w:t>，其中：上级补助收入5819万元，上年结余1878万元，新增专项债券转贷收入28537万元，调入资金9888万元。</w:t>
      </w:r>
      <w:r>
        <w:rPr>
          <w:rFonts w:hint="eastAsia" w:ascii="仿宋" w:hAnsi="仿宋" w:eastAsia="仿宋" w:cs="仿宋"/>
          <w:b/>
          <w:bCs/>
          <w:sz w:val="32"/>
          <w:szCs w:val="32"/>
          <w:lang w:val="en-US" w:eastAsia="zh-CN"/>
        </w:rPr>
        <w:t>区本级政府性基金支出总</w:t>
      </w:r>
      <w:r>
        <w:rPr>
          <w:rFonts w:hint="eastAsia" w:ascii="仿宋" w:hAnsi="仿宋" w:cs="仿宋"/>
          <w:b/>
          <w:bCs/>
          <w:sz w:val="32"/>
          <w:szCs w:val="32"/>
          <w:lang w:val="en-US" w:eastAsia="zh-CN"/>
        </w:rPr>
        <w:t>量</w:t>
      </w:r>
      <w:r>
        <w:rPr>
          <w:rFonts w:hint="eastAsia" w:ascii="仿宋" w:hAnsi="仿宋" w:eastAsia="仿宋" w:cs="仿宋"/>
          <w:b/>
          <w:bCs/>
          <w:sz w:val="32"/>
          <w:szCs w:val="32"/>
          <w:lang w:val="en-US" w:eastAsia="zh-CN"/>
        </w:rPr>
        <w:t>41246万元</w:t>
      </w:r>
      <w:r>
        <w:rPr>
          <w:rFonts w:hint="eastAsia" w:ascii="仿宋" w:hAnsi="仿宋" w:eastAsia="仿宋" w:cs="仿宋"/>
          <w:b w:val="0"/>
          <w:bCs w:val="0"/>
          <w:sz w:val="32"/>
          <w:szCs w:val="32"/>
          <w:lang w:val="en-US" w:eastAsia="zh-CN"/>
        </w:rPr>
        <w:t>，其中：政府性基金支出37009万元，补助镇办支出400万元，债务还本支出3837万元。收支相抵结余4876万元。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政府性基金预算区本级收入分项目和支出分科目决算情况详见附表二。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（三）区本级国有资本经营预算执行情况。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收支情况：2024年区本级国有资本经营收入0万元，占预算（调整后）的0%，同比下降100%，减收1660万元。区本级国有资本经营预算支出99万元，占预算（调整后）的19.2%，同比减支588万元。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平衡情况：按现行财政体制，</w:t>
      </w:r>
      <w:r>
        <w:rPr>
          <w:rFonts w:hint="eastAsia" w:ascii="仿宋" w:hAnsi="仿宋" w:eastAsia="仿宋" w:cs="仿宋"/>
          <w:b/>
          <w:bCs/>
          <w:sz w:val="32"/>
          <w:szCs w:val="32"/>
          <w:lang w:val="en-US" w:eastAsia="zh-CN"/>
        </w:rPr>
        <w:t>2024年区本级国有资本经营预算收入总</w:t>
      </w:r>
      <w:r>
        <w:rPr>
          <w:rFonts w:hint="eastAsia" w:ascii="仿宋" w:hAnsi="仿宋" w:cs="仿宋"/>
          <w:b/>
          <w:bCs/>
          <w:sz w:val="32"/>
          <w:szCs w:val="32"/>
          <w:lang w:val="en-US" w:eastAsia="zh-CN"/>
        </w:rPr>
        <w:t>量</w:t>
      </w:r>
      <w:r>
        <w:rPr>
          <w:rFonts w:hint="eastAsia" w:ascii="仿宋" w:hAnsi="仿宋" w:eastAsia="仿宋" w:cs="仿宋"/>
          <w:b/>
          <w:bCs/>
          <w:sz w:val="32"/>
          <w:szCs w:val="32"/>
          <w:lang w:val="en-US" w:eastAsia="zh-CN"/>
        </w:rPr>
        <w:t>515万元</w:t>
      </w:r>
      <w:r>
        <w:rPr>
          <w:rFonts w:hint="eastAsia" w:ascii="仿宋" w:hAnsi="仿宋" w:eastAsia="仿宋" w:cs="仿宋"/>
          <w:b w:val="0"/>
          <w:bCs w:val="0"/>
          <w:sz w:val="32"/>
          <w:szCs w:val="32"/>
          <w:lang w:val="en-US" w:eastAsia="zh-CN"/>
        </w:rPr>
        <w:t>，其中：上级补助收入359万元，上年结余156万元。</w:t>
      </w:r>
      <w:r>
        <w:rPr>
          <w:rFonts w:hint="eastAsia" w:ascii="仿宋" w:hAnsi="仿宋" w:eastAsia="仿宋" w:cs="仿宋"/>
          <w:b/>
          <w:bCs/>
          <w:sz w:val="32"/>
          <w:szCs w:val="32"/>
          <w:lang w:val="en-US" w:eastAsia="zh-CN"/>
        </w:rPr>
        <w:t>区本级国有资本经营预算支出总</w:t>
      </w:r>
      <w:r>
        <w:rPr>
          <w:rFonts w:hint="eastAsia" w:ascii="仿宋" w:hAnsi="仿宋" w:cs="仿宋"/>
          <w:b/>
          <w:bCs/>
          <w:sz w:val="32"/>
          <w:szCs w:val="32"/>
          <w:lang w:val="en-US" w:eastAsia="zh-CN"/>
        </w:rPr>
        <w:t>量</w:t>
      </w:r>
      <w:r>
        <w:rPr>
          <w:rFonts w:hint="eastAsia" w:ascii="仿宋" w:hAnsi="仿宋" w:eastAsia="仿宋" w:cs="仿宋"/>
          <w:b/>
          <w:bCs/>
          <w:sz w:val="32"/>
          <w:szCs w:val="32"/>
          <w:lang w:val="en-US" w:eastAsia="zh-CN"/>
        </w:rPr>
        <w:t>99万元</w:t>
      </w:r>
      <w:r>
        <w:rPr>
          <w:rFonts w:hint="eastAsia" w:ascii="仿宋" w:hAnsi="仿宋" w:eastAsia="仿宋" w:cs="仿宋"/>
          <w:b w:val="0"/>
          <w:bCs w:val="0"/>
          <w:sz w:val="32"/>
          <w:szCs w:val="32"/>
          <w:lang w:val="en-US" w:eastAsia="zh-CN"/>
        </w:rPr>
        <w:t>,其中：国有资本经营预算支出99万元（国有企业退休人员社会化管理补助支出），补助镇办支出0万元。收支相抵结余416万元。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国有资本经营预算区本级收入和支出决算分类情况详见附表三。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（四）全区政府性债务情况。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2024年底，全区政府性债务余额为374382万元，债务余额控制在省市下达的债务限额375428万元以内。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cs="仿宋"/>
          <w:b w:val="0"/>
          <w:bCs w:val="0"/>
          <w:sz w:val="32"/>
          <w:szCs w:val="32"/>
          <w:lang w:val="en-US" w:eastAsia="zh-CN"/>
        </w:rPr>
      </w:pPr>
      <w:r>
        <w:rPr>
          <w:rFonts w:hint="eastAsia" w:ascii="仿宋" w:hAnsi="仿宋" w:eastAsia="仿宋" w:cs="仿宋"/>
          <w:b w:val="0"/>
          <w:bCs w:val="0"/>
          <w:sz w:val="32"/>
          <w:szCs w:val="32"/>
          <w:lang w:val="en-US" w:eastAsia="zh-CN"/>
        </w:rPr>
        <w:t>偿还到期债务本息17273万元，其中：偿还本金6033万元</w:t>
      </w:r>
      <w:r>
        <w:rPr>
          <w:rFonts w:hint="eastAsia" w:ascii="仿宋" w:hAnsi="仿宋" w:cs="仿宋"/>
          <w:b w:val="0"/>
          <w:bCs w:val="0"/>
          <w:sz w:val="32"/>
          <w:szCs w:val="32"/>
          <w:lang w:val="en-US" w:eastAsia="zh-CN"/>
        </w:rPr>
        <w:t>）、</w:t>
      </w:r>
      <w:r>
        <w:rPr>
          <w:rFonts w:hint="eastAsia" w:ascii="仿宋" w:hAnsi="仿宋" w:eastAsia="仿宋" w:cs="仿宋"/>
          <w:b w:val="0"/>
          <w:bCs w:val="0"/>
          <w:sz w:val="32"/>
          <w:szCs w:val="32"/>
          <w:lang w:val="en-US" w:eastAsia="zh-CN"/>
        </w:rPr>
        <w:t>支付利息11240万元，实现应偿尽偿</w:t>
      </w:r>
      <w:r>
        <w:rPr>
          <w:rFonts w:hint="eastAsia" w:ascii="仿宋" w:hAnsi="仿宋" w:cs="仿宋"/>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 w:hAnsi="仿宋" w:cs="仿宋"/>
          <w:b w:val="0"/>
          <w:bCs w:val="0"/>
          <w:sz w:val="32"/>
          <w:szCs w:val="32"/>
          <w:lang w:val="en-US" w:eastAsia="zh-CN"/>
        </w:rPr>
      </w:pPr>
      <w:r>
        <w:rPr>
          <w:rFonts w:hint="eastAsia" w:ascii="仿宋" w:hAnsi="仿宋" w:eastAsia="仿宋" w:cs="仿宋"/>
          <w:b w:val="0"/>
          <w:bCs w:val="0"/>
          <w:sz w:val="32"/>
          <w:szCs w:val="32"/>
          <w:lang w:val="en-US" w:eastAsia="zh-CN"/>
        </w:rPr>
        <w:t>2024年度烈山区债务余额限额情况详见附表六</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ab/>
      </w:r>
      <w:r>
        <w:rPr>
          <w:rFonts w:hint="eastAsia" w:ascii="仿宋" w:hAnsi="仿宋" w:cs="仿宋"/>
          <w:b w:val="0"/>
          <w:b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黑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highlight w:val="none"/>
          <w14:textFill>
            <w14:solidFill>
              <w14:schemeClr w14:val="tx1"/>
            </w14:solidFill>
          </w14:textFill>
        </w:rPr>
        <w:t>二</w:t>
      </w:r>
      <w:r>
        <w:rPr>
          <w:rFonts w:hint="eastAsia" w:ascii="Times New Roman" w:hAnsi="Times New Roman" w:eastAsia="黑体"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2024年预算执行效果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财政部门</w:t>
      </w:r>
      <w:r>
        <w:rPr>
          <w:rFonts w:hint="eastAsia" w:eastAsia="仿宋_GB2312" w:cs="Times New Roman"/>
          <w:color w:val="000000" w:themeColor="text1"/>
          <w:sz w:val="32"/>
          <w:szCs w:val="32"/>
          <w:highlight w:val="none"/>
          <w:lang w:eastAsia="zh-CN"/>
          <w14:textFill>
            <w14:solidFill>
              <w14:schemeClr w14:val="tx1"/>
            </w14:solidFill>
          </w14:textFill>
        </w:rPr>
        <w:t>认真贯彻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政府决策部署，</w:t>
      </w:r>
      <w:r>
        <w:rPr>
          <w:rFonts w:hint="eastAsia" w:eastAsia="仿宋_GB2312" w:cs="Times New Roman"/>
          <w:color w:val="000000" w:themeColor="text1"/>
          <w:sz w:val="32"/>
          <w:szCs w:val="32"/>
          <w:highlight w:val="none"/>
          <w:lang w:eastAsia="zh-CN"/>
          <w14:textFill>
            <w14:solidFill>
              <w14:schemeClr w14:val="tx1"/>
            </w14:solidFill>
          </w14:textFill>
        </w:rPr>
        <w:t>落实区人大预算决议及审查意见要求，</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w:t>
      </w:r>
      <w:r>
        <w:rPr>
          <w:rFonts w:hint="eastAsia" w:eastAsia="仿宋_GB2312" w:cs="Times New Roman"/>
          <w:color w:val="000000" w:themeColor="text1"/>
          <w:sz w:val="32"/>
          <w:szCs w:val="32"/>
          <w:highlight w:val="none"/>
          <w:lang w:val="en-US" w:eastAsia="zh-CN"/>
          <w14:textFill>
            <w14:solidFill>
              <w14:schemeClr w14:val="tx1"/>
            </w14:solidFill>
          </w14:textFill>
        </w:rPr>
        <w:t>区重点项目、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基本民生财力保障</w:t>
      </w:r>
      <w:r>
        <w:rPr>
          <w:rFonts w:hint="eastAsia" w:eastAsia="仿宋_GB2312" w:cs="Times New Roman"/>
          <w:color w:val="000000" w:themeColor="text1"/>
          <w:sz w:val="32"/>
          <w:szCs w:val="32"/>
          <w:highlight w:val="none"/>
          <w:lang w:val="en-US" w:eastAsia="zh-CN"/>
          <w14:textFill>
            <w14:solidFill>
              <w14:schemeClr w14:val="tx1"/>
            </w14:solidFill>
          </w14:textFill>
        </w:rPr>
        <w:t>和</w:t>
      </w:r>
      <w:r>
        <w:rPr>
          <w:rFonts w:hint="eastAsia" w:eastAsia="仿宋_GB2312" w:cs="Times New Roman"/>
          <w:color w:val="000000" w:themeColor="text1"/>
          <w:sz w:val="32"/>
          <w:szCs w:val="32"/>
          <w:highlight w:val="none"/>
          <w:lang w:eastAsia="zh-CN"/>
          <w14:textFill>
            <w14:solidFill>
              <w14:schemeClr w14:val="tx1"/>
            </w14:solidFill>
          </w14:textFill>
        </w:rPr>
        <w:t>防控财政风险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，强化财政管理监督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（一）财政保障能力</w:t>
      </w:r>
      <w:r>
        <w:rPr>
          <w:rFonts w:hint="eastAsia" w:ascii="Times New Roman" w:hAnsi="Times New Roman" w:eastAsia="楷体_GB2312" w:cs="Times New Roman"/>
          <w:b/>
          <w:bCs/>
          <w:color w:val="000000" w:themeColor="text1"/>
          <w:sz w:val="32"/>
          <w:szCs w:val="32"/>
          <w:highlight w:val="none"/>
          <w:lang w:eastAsia="zh-CN"/>
          <w14:textFill>
            <w14:solidFill>
              <w14:schemeClr w14:val="tx1"/>
            </w14:solidFill>
          </w14:textFill>
        </w:rPr>
        <w:t>新提升</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抢抓国家政策机遇</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争取</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到政府债券资金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28700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用于项目建设</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争取政府化债资金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5964万元用于置换隐性债务，争取再融资一般债1232万元用于偿还到期债务，有力支持重点项目建设资金需求和积极化解政府债务风险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二是</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加大向上争取力度。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争取均衡性转移支付、财力性转移支付和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政区合作发展利益分享补助资金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等各项资金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83960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有力兜牢</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三保”支出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底线工作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（二）</w:t>
      </w:r>
      <w:r>
        <w:rPr>
          <w:rFonts w:hint="eastAsia" w:ascii="Times New Roman" w:hAnsi="Times New Roman" w:eastAsia="楷体_GB2312" w:cs="Times New Roman"/>
          <w:b/>
          <w:bCs/>
          <w:color w:val="000000" w:themeColor="text1"/>
          <w:sz w:val="32"/>
          <w:szCs w:val="32"/>
          <w:highlight w:val="none"/>
          <w:lang w:eastAsia="zh-CN"/>
          <w14:textFill>
            <w14:solidFill>
              <w14:schemeClr w14:val="tx1"/>
            </w14:solidFill>
          </w14:textFill>
        </w:rPr>
        <w:t>财政投入</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民生新</w:t>
      </w:r>
      <w:r>
        <w:rPr>
          <w:rFonts w:hint="eastAsia" w:ascii="Times New Roman" w:hAnsi="Times New Roman" w:eastAsia="楷体_GB2312" w:cs="Times New Roman"/>
          <w:b/>
          <w:bCs/>
          <w:color w:val="000000" w:themeColor="text1"/>
          <w:sz w:val="32"/>
          <w:szCs w:val="32"/>
          <w:highlight w:val="none"/>
          <w:lang w:eastAsia="zh-CN"/>
          <w14:textFill>
            <w14:solidFill>
              <w14:schemeClr w14:val="tx1"/>
            </w14:solidFill>
          </w14:textFill>
        </w:rPr>
        <w:t>力度</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w:t>
      </w:r>
      <w:r>
        <w:rPr>
          <w:rFonts w:hint="eastAsia" w:eastAsia="仿宋_GB2312"/>
          <w:b/>
          <w:bCs/>
          <w:color w:val="000000"/>
          <w:sz w:val="32"/>
          <w:szCs w:val="32"/>
          <w:highlight w:val="none"/>
          <w:lang w:eastAsia="zh-CN"/>
        </w:rPr>
        <w:t>一是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完成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教育支出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4470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安师大附属烈山学校、义务教育薄弱环节改善与能力提升补助资金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、学前教育项目</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加快建设等</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，同时顺利完成了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财政教育支出“两个只增不减”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促进教育事业高质量发展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完成社会保障和就业支出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30363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万元，优先用于就业补助支出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1862万元，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优抚对象救助</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残疾人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救助资金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7万元、最低生活保障资金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5679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促进社会保障体系更加健全。</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完成卫生健康支</w:t>
      </w:r>
      <w:r>
        <w:rPr>
          <w:rFonts w:hint="eastAsia" w:eastAsia="仿宋_GB2312" w:cs="Times New Roman"/>
          <w:color w:val="000000" w:themeColor="text1"/>
          <w:sz w:val="32"/>
          <w:szCs w:val="32"/>
          <w:highlight w:val="none"/>
          <w:lang w:eastAsia="zh-CN"/>
          <w14:textFill>
            <w14:solidFill>
              <w14:schemeClr w14:val="tx1"/>
            </w14:solidFill>
          </w14:textFill>
        </w:rPr>
        <w:t>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13026</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优先用于公共卫生支出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2485万元，行政事业单位医疗3351万元，医疗救助975万元，促进卫生健康事业有力发展。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（三）</w:t>
      </w:r>
      <w:r>
        <w:rPr>
          <w:rFonts w:hint="eastAsia" w:ascii="Times New Roman" w:hAnsi="Times New Roman" w:eastAsia="楷体_GB2312" w:cs="Times New Roman"/>
          <w:b/>
          <w:bCs/>
          <w:color w:val="000000" w:themeColor="text1"/>
          <w:sz w:val="32"/>
          <w:szCs w:val="32"/>
          <w:highlight w:val="none"/>
          <w:lang w:eastAsia="zh-CN"/>
          <w14:textFill>
            <w14:solidFill>
              <w14:schemeClr w14:val="tx1"/>
            </w14:solidFill>
          </w14:textFill>
        </w:rPr>
        <w:t>财政服务经济新发展</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依法征管严格落实税费政策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。依法依规组织各项税费收入，全面落实支持经济社会发展税费优惠政策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2024年新增减税降费及退税</w:t>
      </w:r>
      <w:r>
        <w:rPr>
          <w:rFonts w:hint="eastAsia" w:eastAsia="仿宋_GB2312" w:cs="Times New Roman"/>
          <w:color w:val="000000" w:themeColor="text1"/>
          <w:sz w:val="32"/>
          <w:szCs w:val="32"/>
          <w:highlight w:val="none"/>
          <w:lang w:val="en-US" w:eastAsia="zh-CN"/>
          <w14:textFill>
            <w14:solidFill>
              <w14:schemeClr w14:val="tx1"/>
            </w14:solidFill>
          </w14:textFill>
        </w:rPr>
        <w:t>13338万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元，其中新增减税降费</w:t>
      </w:r>
      <w:r>
        <w:rPr>
          <w:rFonts w:hint="eastAsia" w:eastAsia="仿宋_GB2312" w:cs="Times New Roman"/>
          <w:color w:val="000000" w:themeColor="text1"/>
          <w:sz w:val="32"/>
          <w:szCs w:val="32"/>
          <w:highlight w:val="none"/>
          <w:lang w:val="en-US" w:eastAsia="zh-CN"/>
          <w14:textFill>
            <w14:solidFill>
              <w14:schemeClr w14:val="tx1"/>
            </w14:solidFill>
          </w14:textFill>
        </w:rPr>
        <w:t>12118万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元，办理增值税留抵退税</w:t>
      </w:r>
      <w:r>
        <w:rPr>
          <w:rFonts w:hint="eastAsia" w:eastAsia="仿宋_GB2312" w:cs="Times New Roman"/>
          <w:color w:val="000000" w:themeColor="text1"/>
          <w:sz w:val="32"/>
          <w:szCs w:val="32"/>
          <w:highlight w:val="none"/>
          <w:lang w:val="en-US" w:eastAsia="zh-CN"/>
          <w14:textFill>
            <w14:solidFill>
              <w14:schemeClr w14:val="tx1"/>
            </w14:solidFill>
          </w14:textFill>
        </w:rPr>
        <w:t>1220万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为企业发展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提供流动性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二是</w:t>
      </w:r>
      <w:r>
        <w:rPr>
          <w:rFonts w:hint="eastAsia" w:ascii="仿宋" w:hAnsi="仿宋" w:eastAsia="仿宋" w:cs="仿宋"/>
          <w:color w:val="000000" w:themeColor="text1"/>
          <w:sz w:val="32"/>
          <w:szCs w:val="32"/>
          <w:highlight w:val="none"/>
          <w:lang w:eastAsia="zh-CN"/>
          <w14:textFill>
            <w14:solidFill>
              <w14:schemeClr w14:val="tx1"/>
            </w14:solidFill>
          </w14:textFill>
        </w:rPr>
        <w:t>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大扶持企业发展力度。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落实专项资金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9541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万元，支持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户招商引资企业落地，加快</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我区新能源等主导产业的培植、发展壮大。</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（四）</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财政监督发挥新效能。</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预算绩效理念贯穿财政资金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全过程。坚持“花钱必问效，无效必问责”</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，重点开展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2024年度民生实事项目预算绩效运行监控工作，涉及住建、农水、教育、卫健等4家单位6项民生实事，资金13843万元。</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构建财会监督工作体系。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加大单位实有资金安全监管</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全面防范资金安全风险，查堵内部管理漏洞，重点开展对全区78家单位实有银行账户资金安全专项监督检查。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一年来，在</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人大及其常委会的依法监督指导下，我</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财政改革发展取得积极成效。</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级预算执行和其他财政收支审计结果表明，202</w:t>
      </w:r>
      <w:r>
        <w:rPr>
          <w:rFonts w:hint="eastAsia"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级预算执行和其他财政收支总体情况较好。但我们也清醒地认识到，财政运行还存在一些困难和问题，主要包括：财政收支总体上仍处于紧平衡状态，各领域支出增长刚性不断增强，预算平衡难度较大；受房地产市场持续低迷影响，</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财政收支矛盾</w:t>
      </w:r>
      <w:r>
        <w:rPr>
          <w:rFonts w:hint="eastAsia" w:eastAsia="仿宋_GB2312" w:cs="Times New Roman"/>
          <w:color w:val="000000" w:themeColor="text1"/>
          <w:sz w:val="32"/>
          <w:szCs w:val="32"/>
          <w:highlight w:val="none"/>
          <w:lang w:val="en-US" w:eastAsia="zh-CN"/>
          <w14:textFill>
            <w14:solidFill>
              <w14:schemeClr w14:val="tx1"/>
            </w14:solidFill>
          </w14:textFill>
        </w:rPr>
        <w:t>较为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突出，兜牢“三保”底线压力加大；有些部门预算编制精准性不够，部分资金使用效益不高；有些部门和单位预算绩效管理主体责任落实不到位，绩效管理质量和结果运用有待提升；部分</w:t>
      </w:r>
      <w:r>
        <w:rPr>
          <w:rFonts w:hint="eastAsia" w:eastAsia="仿宋_GB2312" w:cs="Times New Roman"/>
          <w:color w:val="000000" w:themeColor="text1"/>
          <w:sz w:val="32"/>
          <w:szCs w:val="32"/>
          <w:highlight w:val="none"/>
          <w:lang w:val="en-US" w:eastAsia="zh-CN"/>
          <w14:textFill>
            <w14:solidFill>
              <w14:schemeClr w14:val="tx1"/>
            </w14:solidFill>
          </w14:textFill>
        </w:rPr>
        <w:t>部门单位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财经纪律意识不强，财会监督力度仍需进一步强化；</w:t>
      </w:r>
      <w:r>
        <w:rPr>
          <w:rFonts w:hint="eastAsia" w:ascii="仿宋" w:hAnsi="仿宋" w:eastAsia="仿宋" w:cs="仿宋"/>
          <w:sz w:val="32"/>
          <w:szCs w:val="32"/>
          <w:highlight w:val="none"/>
          <w:lang w:eastAsia="zh-CN"/>
        </w:rPr>
        <w:t>债务项目</w:t>
      </w:r>
      <w:r>
        <w:rPr>
          <w:rFonts w:hint="eastAsia" w:ascii="仿宋" w:hAnsi="仿宋" w:eastAsia="仿宋" w:cs="仿宋"/>
          <w:sz w:val="32"/>
          <w:szCs w:val="32"/>
          <w:highlight w:val="none"/>
        </w:rPr>
        <w:t>资金使用绩效</w:t>
      </w:r>
      <w:r>
        <w:rPr>
          <w:rFonts w:hint="eastAsia" w:ascii="仿宋" w:hAnsi="仿宋" w:eastAsia="仿宋" w:cs="仿宋"/>
          <w:sz w:val="32"/>
          <w:szCs w:val="32"/>
          <w:highlight w:val="none"/>
          <w:lang w:eastAsia="zh-CN"/>
        </w:rPr>
        <w:t>不高、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地方债务负担较重，债务风险不容忽视，等等。对此，我们高度重视，将积极采取措施加以解决。</w:t>
      </w:r>
    </w:p>
    <w:p>
      <w:pPr>
        <w:numPr>
          <w:ilvl w:val="0"/>
          <w:numId w:val="0"/>
        </w:numPr>
        <w:ind w:firstLine="640" w:firstLineChars="200"/>
        <w:rPr>
          <w:rFonts w:hint="eastAsia" w:eastAsia="黑体"/>
          <w:color w:val="000000"/>
          <w:kern w:val="0"/>
          <w:sz w:val="32"/>
          <w:szCs w:val="32"/>
        </w:rPr>
      </w:pPr>
      <w:r>
        <w:rPr>
          <w:rFonts w:hint="eastAsia" w:eastAsia="黑体"/>
          <w:color w:val="000000"/>
          <w:kern w:val="0"/>
          <w:sz w:val="32"/>
          <w:szCs w:val="32"/>
          <w:lang w:val="en-US" w:eastAsia="zh-CN"/>
        </w:rPr>
        <w:t>三、</w:t>
      </w:r>
      <w:r>
        <w:rPr>
          <w:rFonts w:hint="eastAsia" w:eastAsia="黑体"/>
          <w:color w:val="000000"/>
          <w:kern w:val="0"/>
          <w:sz w:val="32"/>
          <w:szCs w:val="32"/>
        </w:rPr>
        <w:t>进一步提高财政预算管理水平</w:t>
      </w:r>
    </w:p>
    <w:p>
      <w:pPr>
        <w:numPr>
          <w:ilvl w:val="0"/>
          <w:numId w:val="0"/>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财政部门</w:t>
      </w:r>
      <w:r>
        <w:rPr>
          <w:rFonts w:hint="eastAsia" w:ascii="仿宋" w:hAnsi="仿宋" w:eastAsia="仿宋" w:cs="仿宋"/>
          <w:sz w:val="32"/>
          <w:szCs w:val="32"/>
          <w:highlight w:val="none"/>
        </w:rPr>
        <w:t>将坚持以习近平新时代中国特色社会主义思想为指导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按照</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委、</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政府工作要求，</w:t>
      </w:r>
      <w:r>
        <w:rPr>
          <w:rFonts w:hint="eastAsia" w:ascii="仿宋" w:hAnsi="仿宋" w:eastAsia="仿宋" w:cs="仿宋"/>
          <w:sz w:val="32"/>
          <w:szCs w:val="32"/>
          <w:highlight w:val="none"/>
          <w:lang w:eastAsia="zh-CN"/>
        </w:rPr>
        <w:t>强化财政科学管理，</w:t>
      </w:r>
      <w:r>
        <w:rPr>
          <w:rFonts w:hint="eastAsia" w:ascii="仿宋" w:hAnsi="仿宋" w:eastAsia="仿宋" w:cs="仿宋"/>
          <w:sz w:val="32"/>
          <w:szCs w:val="32"/>
          <w:highlight w:val="none"/>
        </w:rPr>
        <w:t>全力支持</w:t>
      </w:r>
      <w:r>
        <w:rPr>
          <w:rFonts w:hint="eastAsia" w:ascii="仿宋" w:hAnsi="仿宋" w:eastAsia="仿宋" w:cs="仿宋"/>
          <w:sz w:val="32"/>
          <w:szCs w:val="32"/>
          <w:highlight w:val="none"/>
          <w:lang w:eastAsia="zh-CN"/>
        </w:rPr>
        <w:t>烈山</w:t>
      </w:r>
      <w:r>
        <w:rPr>
          <w:rFonts w:hint="eastAsia" w:ascii="仿宋" w:hAnsi="仿宋" w:eastAsia="仿宋" w:cs="仿宋"/>
          <w:sz w:val="32"/>
          <w:szCs w:val="32"/>
          <w:highlight w:val="none"/>
        </w:rPr>
        <w:t>经济社会高质量发展。</w:t>
      </w:r>
    </w:p>
    <w:p>
      <w:pPr>
        <w:numPr>
          <w:ilvl w:val="0"/>
          <w:numId w:val="0"/>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(一)坚持</w:t>
      </w:r>
      <w:r>
        <w:rPr>
          <w:rFonts w:hint="eastAsia" w:ascii="仿宋" w:hAnsi="仿宋" w:eastAsia="仿宋" w:cs="仿宋"/>
          <w:b/>
          <w:bCs/>
          <w:sz w:val="32"/>
          <w:szCs w:val="32"/>
        </w:rPr>
        <w:t>以更大力度</w:t>
      </w:r>
      <w:r>
        <w:rPr>
          <w:rFonts w:hint="eastAsia" w:ascii="仿宋" w:hAnsi="仿宋" w:eastAsia="仿宋" w:cs="仿宋"/>
          <w:sz w:val="32"/>
          <w:szCs w:val="32"/>
        </w:rPr>
        <w:t>强化保障。</w:t>
      </w:r>
      <w:r>
        <w:rPr>
          <w:rFonts w:hint="eastAsia" w:ascii="仿宋" w:hAnsi="仿宋" w:eastAsia="仿宋" w:cs="仿宋"/>
          <w:b/>
          <w:bCs/>
          <w:sz w:val="32"/>
          <w:szCs w:val="32"/>
          <w:highlight w:val="none"/>
        </w:rPr>
        <w:t>一是</w:t>
      </w:r>
      <w:r>
        <w:rPr>
          <w:rFonts w:hint="eastAsia" w:ascii="仿宋" w:hAnsi="仿宋" w:eastAsia="仿宋" w:cs="仿宋"/>
          <w:sz w:val="32"/>
          <w:szCs w:val="32"/>
          <w:highlight w:val="none"/>
        </w:rPr>
        <w:t>强化收入预期管理。建立健全税费征管和服务保障工作协同机制，明确工作专班成员名单、成员单位职责和信息传递内容</w:t>
      </w:r>
      <w:r>
        <w:rPr>
          <w:rFonts w:hint="eastAsia" w:ascii="仿宋" w:hAnsi="仿宋" w:eastAsia="仿宋" w:cs="仿宋"/>
          <w:sz w:val="32"/>
          <w:szCs w:val="32"/>
          <w:highlight w:val="none"/>
          <w:lang w:val="en-US" w:eastAsia="zh-CN"/>
        </w:rPr>
        <w:t>,系统性</w:t>
      </w:r>
      <w:r>
        <w:rPr>
          <w:rFonts w:hint="eastAsia" w:ascii="仿宋" w:hAnsi="仿宋" w:eastAsia="仿宋" w:cs="仿宋"/>
          <w:sz w:val="32"/>
          <w:szCs w:val="32"/>
          <w:highlight w:val="none"/>
        </w:rPr>
        <w:t>强化收入征管，做到依法征收、应收尽收。</w:t>
      </w:r>
      <w:r>
        <w:rPr>
          <w:rFonts w:hint="eastAsia" w:ascii="仿宋" w:hAnsi="仿宋" w:eastAsia="仿宋" w:cs="仿宋"/>
          <w:b/>
          <w:bCs/>
          <w:sz w:val="32"/>
          <w:szCs w:val="32"/>
          <w:highlight w:val="none"/>
        </w:rPr>
        <w:t>二是</w:t>
      </w:r>
      <w:r>
        <w:rPr>
          <w:rFonts w:hint="eastAsia" w:ascii="仿宋" w:hAnsi="仿宋" w:eastAsia="仿宋" w:cs="仿宋"/>
          <w:sz w:val="32"/>
          <w:szCs w:val="32"/>
          <w:highlight w:val="none"/>
          <w:lang w:eastAsia="zh-CN"/>
        </w:rPr>
        <w:t>加强资产资源基础管理。落实市政府研究国有资产工作专题会议要求，做实做细资产资源台账，</w:t>
      </w:r>
      <w:r>
        <w:rPr>
          <w:rFonts w:hint="eastAsia" w:ascii="仿宋" w:hAnsi="仿宋" w:eastAsia="仿宋" w:cs="仿宋"/>
          <w:sz w:val="32"/>
          <w:szCs w:val="32"/>
          <w:highlight w:val="none"/>
        </w:rPr>
        <w:t>确保家底清晰准确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将资产基础管理和配置、使用、处置、收入管理等全过程管理纳入绩效管理范围，进一步提升资产</w:t>
      </w:r>
      <w:r>
        <w:rPr>
          <w:rFonts w:hint="eastAsia" w:ascii="仿宋" w:hAnsi="仿宋" w:eastAsia="仿宋" w:cs="仿宋"/>
          <w:sz w:val="32"/>
          <w:szCs w:val="32"/>
          <w:highlight w:val="none"/>
          <w:lang w:eastAsia="zh-CN"/>
        </w:rPr>
        <w:t>资源</w:t>
      </w:r>
      <w:r>
        <w:rPr>
          <w:rFonts w:hint="eastAsia" w:ascii="仿宋" w:hAnsi="仿宋" w:eastAsia="仿宋" w:cs="仿宋"/>
          <w:sz w:val="32"/>
          <w:szCs w:val="32"/>
          <w:highlight w:val="none"/>
        </w:rPr>
        <w:t>管理水平。</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(二)坚持</w:t>
      </w:r>
      <w:r>
        <w:rPr>
          <w:rFonts w:hint="eastAsia" w:ascii="仿宋" w:hAnsi="仿宋" w:eastAsia="仿宋" w:cs="仿宋"/>
          <w:b/>
          <w:bCs/>
          <w:sz w:val="32"/>
          <w:szCs w:val="32"/>
        </w:rPr>
        <w:t>以更实举措</w:t>
      </w:r>
      <w:r>
        <w:rPr>
          <w:rFonts w:hint="eastAsia" w:ascii="仿宋" w:hAnsi="仿宋" w:eastAsia="仿宋" w:cs="仿宋"/>
          <w:sz w:val="32"/>
          <w:szCs w:val="32"/>
        </w:rPr>
        <w:t>服务发展。</w:t>
      </w:r>
      <w:r>
        <w:rPr>
          <w:rFonts w:hint="eastAsia" w:ascii="仿宋" w:hAnsi="仿宋" w:eastAsia="仿宋" w:cs="仿宋"/>
          <w:b/>
          <w:bCs/>
          <w:sz w:val="32"/>
          <w:szCs w:val="32"/>
          <w:highlight w:val="none"/>
          <w:lang w:eastAsia="zh-CN"/>
        </w:rPr>
        <w:t>一是</w:t>
      </w:r>
      <w:r>
        <w:rPr>
          <w:rFonts w:hint="eastAsia" w:ascii="仿宋" w:hAnsi="仿宋" w:eastAsia="仿宋" w:cs="仿宋"/>
          <w:sz w:val="32"/>
          <w:szCs w:val="32"/>
          <w:highlight w:val="none"/>
        </w:rPr>
        <w:t>严格落实过紧日子要求。</w:t>
      </w:r>
      <w:r>
        <w:rPr>
          <w:rFonts w:hint="eastAsia" w:ascii="仿宋" w:hAnsi="仿宋" w:eastAsia="仿宋" w:cs="仿宋"/>
          <w:sz w:val="32"/>
          <w:szCs w:val="32"/>
          <w:highlight w:val="none"/>
          <w:lang w:eastAsia="zh-CN"/>
        </w:rPr>
        <w:t>以在全党开展深入贯彻中央八项规定精神学习教育为契机，</w:t>
      </w:r>
      <w:r>
        <w:rPr>
          <w:rFonts w:hint="eastAsia" w:ascii="仿宋" w:hAnsi="仿宋" w:eastAsia="仿宋" w:cs="仿宋"/>
          <w:sz w:val="32"/>
          <w:szCs w:val="32"/>
          <w:highlight w:val="none"/>
        </w:rPr>
        <w:t>健全节约型财政保障机制，做到该保必保、应省尽省、 优化结构、保障重点，切实把有限的财政资金用在刀刃上。</w:t>
      </w:r>
      <w:r>
        <w:rPr>
          <w:rFonts w:hint="eastAsia" w:ascii="仿宋" w:hAnsi="仿宋" w:eastAsia="仿宋" w:cs="仿宋"/>
          <w:b/>
          <w:bCs/>
          <w:sz w:val="32"/>
          <w:szCs w:val="32"/>
          <w:highlight w:val="none"/>
          <w:lang w:eastAsia="zh-CN"/>
        </w:rPr>
        <w:t>二是</w:t>
      </w:r>
      <w:r>
        <w:rPr>
          <w:rFonts w:hint="eastAsia" w:ascii="仿宋" w:hAnsi="仿宋" w:eastAsia="仿宋" w:cs="仿宋"/>
          <w:sz w:val="32"/>
          <w:szCs w:val="32"/>
          <w:highlight w:val="none"/>
        </w:rPr>
        <w:t>支持扩大有效投资。紧盯中央预算内投资、超长期特别国债、专项债券等重点投向，争取更多项目纳入国家和省市盘子。积极筹措资金兑现育儿补贴、以旧换新补贴等</w:t>
      </w:r>
      <w:r>
        <w:rPr>
          <w:rFonts w:hint="eastAsia" w:ascii="仿宋" w:hAnsi="仿宋" w:eastAsia="仿宋" w:cs="仿宋"/>
          <w:sz w:val="32"/>
          <w:szCs w:val="32"/>
          <w:highlight w:val="none"/>
          <w:lang w:eastAsia="zh-CN"/>
        </w:rPr>
        <w:t>消费</w:t>
      </w:r>
      <w:r>
        <w:rPr>
          <w:rFonts w:hint="eastAsia" w:ascii="仿宋" w:hAnsi="仿宋" w:eastAsia="仿宋" w:cs="仿宋"/>
          <w:sz w:val="32"/>
          <w:szCs w:val="32"/>
          <w:highlight w:val="none"/>
        </w:rPr>
        <w:t>政策，释放消费潜力。</w:t>
      </w:r>
    </w:p>
    <w:p>
      <w:pPr>
        <w:pStyle w:val="3"/>
        <w:spacing w:after="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着力</w:t>
      </w:r>
      <w:r>
        <w:rPr>
          <w:rFonts w:hint="eastAsia" w:ascii="仿宋" w:hAnsi="仿宋" w:eastAsia="仿宋" w:cs="仿宋"/>
          <w:b/>
          <w:bCs/>
          <w:sz w:val="32"/>
          <w:szCs w:val="32"/>
        </w:rPr>
        <w:t>以更</w:t>
      </w:r>
      <w:r>
        <w:rPr>
          <w:rFonts w:hint="eastAsia" w:ascii="仿宋" w:hAnsi="仿宋" w:eastAsia="仿宋" w:cs="仿宋"/>
          <w:b/>
          <w:bCs/>
          <w:sz w:val="32"/>
          <w:szCs w:val="32"/>
          <w:lang w:eastAsia="zh-CN"/>
        </w:rPr>
        <w:t>细举措</w:t>
      </w:r>
      <w:r>
        <w:rPr>
          <w:rFonts w:hint="eastAsia" w:ascii="仿宋" w:hAnsi="仿宋" w:eastAsia="仿宋" w:cs="仿宋"/>
          <w:sz w:val="32"/>
          <w:szCs w:val="32"/>
        </w:rPr>
        <w:t>深化</w:t>
      </w:r>
      <w:r>
        <w:rPr>
          <w:rFonts w:hint="eastAsia" w:ascii="仿宋" w:hAnsi="仿宋" w:eastAsia="仿宋" w:cs="仿宋"/>
          <w:sz w:val="32"/>
          <w:szCs w:val="32"/>
          <w:lang w:eastAsia="zh-CN"/>
        </w:rPr>
        <w:t>管理</w:t>
      </w:r>
      <w:r>
        <w:rPr>
          <w:rFonts w:hint="eastAsia" w:ascii="仿宋" w:hAnsi="仿宋" w:eastAsia="仿宋" w:cs="仿宋"/>
          <w:sz w:val="32"/>
          <w:szCs w:val="32"/>
        </w:rPr>
        <w:t>。</w:t>
      </w:r>
      <w:r>
        <w:rPr>
          <w:rFonts w:hint="eastAsia" w:ascii="仿宋" w:hAnsi="仿宋" w:eastAsia="仿宋" w:cs="仿宋"/>
          <w:b/>
          <w:bCs/>
          <w:sz w:val="32"/>
          <w:szCs w:val="32"/>
          <w:highlight w:val="none"/>
          <w:lang w:eastAsia="zh-CN"/>
        </w:rPr>
        <w:t>一是</w:t>
      </w:r>
      <w:r>
        <w:rPr>
          <w:rFonts w:hint="eastAsia" w:ascii="仿宋" w:hAnsi="仿宋" w:eastAsia="仿宋" w:cs="仿宋"/>
          <w:sz w:val="32"/>
          <w:szCs w:val="32"/>
          <w:highlight w:val="none"/>
          <w:lang w:eastAsia="zh-CN"/>
        </w:rPr>
        <w:t>推进财政科学管理。持续推进财政基础管理专项整治工作，进一步严肃财经纪律，有效保障财政资金安全运行；落实省财政厅实施乡镇财政资金专项整治方案要求，进一步提升乡村振兴资金管理水平。</w:t>
      </w:r>
      <w:r>
        <w:rPr>
          <w:rFonts w:hint="eastAsia" w:ascii="仿宋" w:hAnsi="仿宋" w:eastAsia="仿宋" w:cs="仿宋"/>
          <w:sz w:val="32"/>
          <w:szCs w:val="32"/>
          <w:highlight w:val="none"/>
        </w:rPr>
        <w:t>更好发挥财会监督专业作用，并强化结果运用。</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rPr>
        <w:t>是</w:t>
      </w:r>
      <w:r>
        <w:rPr>
          <w:rFonts w:hint="eastAsia" w:ascii="仿宋" w:hAnsi="仿宋" w:eastAsia="仿宋" w:cs="仿宋"/>
          <w:sz w:val="32"/>
          <w:szCs w:val="32"/>
        </w:rPr>
        <w:t>兜牢三保底线。</w:t>
      </w:r>
      <w:r>
        <w:rPr>
          <w:rFonts w:hint="eastAsia" w:ascii="仿宋" w:hAnsi="仿宋" w:eastAsia="仿宋" w:cs="仿宋"/>
          <w:sz w:val="32"/>
          <w:szCs w:val="32"/>
          <w:lang w:eastAsia="zh-CN"/>
        </w:rPr>
        <w:t>严格落实省财政厅兜牢兜实基层三保底线实施方案，</w:t>
      </w:r>
      <w:r>
        <w:rPr>
          <w:rFonts w:hint="eastAsia" w:ascii="仿宋" w:hAnsi="仿宋" w:eastAsia="仿宋" w:cs="仿宋"/>
          <w:sz w:val="32"/>
          <w:szCs w:val="32"/>
        </w:rPr>
        <w:t>持续做好保工资、保运转，强化预算执行监控，强化库款运行监测，合理调控库款规模和保障水平，优先保障“三保”支出需求</w:t>
      </w:r>
      <w:r>
        <w:rPr>
          <w:rFonts w:hint="eastAsia" w:ascii="仿宋" w:hAnsi="仿宋" w:eastAsia="仿宋" w:cs="仿宋"/>
          <w:sz w:val="32"/>
          <w:szCs w:val="32"/>
          <w:lang w:eastAsia="zh-CN"/>
        </w:rPr>
        <w:t>。</w:t>
      </w:r>
    </w:p>
    <w:p>
      <w:pPr>
        <w:pStyle w:val="3"/>
        <w:spacing w:after="0" w:line="560" w:lineRule="exact"/>
        <w:ind w:firstLine="640" w:firstLineChars="200"/>
        <w:rPr>
          <w:rFonts w:hint="eastAsia" w:ascii="仿宋" w:hAnsi="仿宋" w:eastAsia="仿宋" w:cs="仿宋"/>
          <w:sz w:val="32"/>
          <w:szCs w:val="32"/>
          <w:lang w:eastAsia="zh-CN"/>
        </w:rPr>
      </w:pPr>
    </w:p>
    <w:p>
      <w:pPr>
        <w:pStyle w:val="3"/>
        <w:spacing w:after="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r>
        <w:rPr>
          <w:rFonts w:hint="eastAsia" w:ascii="仿宋" w:hAnsi="仿宋" w:eastAsia="仿宋" w:cs="仿宋"/>
          <w:sz w:val="32"/>
          <w:szCs w:val="32"/>
          <w:lang w:val="en-US" w:eastAsia="zh-CN"/>
        </w:rPr>
        <w:t xml:space="preserve">-1. </w:t>
      </w:r>
      <w:r>
        <w:rPr>
          <w:rFonts w:hint="eastAsia" w:ascii="仿宋" w:hAnsi="仿宋" w:eastAsia="仿宋" w:cs="仿宋"/>
          <w:sz w:val="32"/>
          <w:szCs w:val="32"/>
          <w:lang w:eastAsia="zh-CN"/>
        </w:rPr>
        <w:t>2024年区本级一般公共预算收入分税种和支出分科目决算表</w:t>
      </w:r>
    </w:p>
    <w:p>
      <w:pPr>
        <w:pStyle w:val="3"/>
        <w:spacing w:after="0" w:line="560" w:lineRule="exact"/>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1-2. </w:t>
      </w:r>
      <w:r>
        <w:rPr>
          <w:rFonts w:hint="default" w:ascii="仿宋" w:hAnsi="仿宋" w:eastAsia="仿宋" w:cs="仿宋"/>
          <w:sz w:val="32"/>
          <w:szCs w:val="32"/>
          <w:lang w:val="en-US" w:eastAsia="zh-CN"/>
        </w:rPr>
        <w:t>2024年区本级一般公共预算支出</w:t>
      </w:r>
      <w:r>
        <w:rPr>
          <w:rFonts w:hint="eastAsia" w:ascii="仿宋" w:hAnsi="仿宋" w:eastAsia="仿宋" w:cs="仿宋"/>
          <w:sz w:val="32"/>
          <w:szCs w:val="32"/>
          <w:lang w:val="en-US" w:eastAsia="zh-CN"/>
        </w:rPr>
        <w:t>决算经济分类明细</w:t>
      </w:r>
      <w:r>
        <w:rPr>
          <w:rFonts w:hint="default" w:ascii="仿宋" w:hAnsi="仿宋" w:eastAsia="仿宋" w:cs="仿宋"/>
          <w:sz w:val="32"/>
          <w:szCs w:val="32"/>
          <w:lang w:val="en-US" w:eastAsia="zh-CN"/>
        </w:rPr>
        <w:t>表</w:t>
      </w:r>
    </w:p>
    <w:p>
      <w:pPr>
        <w:pStyle w:val="3"/>
        <w:spacing w:after="0"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lang w:eastAsia="zh-CN"/>
        </w:rPr>
        <w:t>2.2024年区本级政府性基金预算收入分项目和支出分科目决算表</w:t>
      </w:r>
    </w:p>
    <w:p>
      <w:pPr>
        <w:pStyle w:val="3"/>
        <w:spacing w:after="0"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lang w:eastAsia="zh-CN"/>
        </w:rPr>
        <w:t>3.2024年区本级国有资本经营预算收入分项目和支出分科目决算表</w:t>
      </w:r>
    </w:p>
    <w:p>
      <w:pPr>
        <w:pStyle w:val="3"/>
        <w:spacing w:after="0"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lang w:eastAsia="zh-CN"/>
        </w:rPr>
        <w:t>4.2024年烈山区专项转移支付收入决算表</w:t>
      </w:r>
      <w:r>
        <w:rPr>
          <w:rFonts w:hint="eastAsia" w:ascii="仿宋" w:hAnsi="仿宋" w:eastAsia="仿宋" w:cs="仿宋"/>
          <w:sz w:val="32"/>
          <w:szCs w:val="32"/>
          <w:lang w:eastAsia="zh-CN"/>
        </w:rPr>
        <w:tab/>
      </w:r>
    </w:p>
    <w:p>
      <w:pPr>
        <w:pStyle w:val="3"/>
        <w:spacing w:after="0"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lang w:eastAsia="zh-CN"/>
        </w:rPr>
        <w:t>5.2024年烈山区结转结余资金情况表</w:t>
      </w:r>
      <w:r>
        <w:rPr>
          <w:rFonts w:hint="eastAsia" w:ascii="仿宋" w:hAnsi="仿宋" w:eastAsia="仿宋" w:cs="仿宋"/>
          <w:sz w:val="32"/>
          <w:szCs w:val="32"/>
          <w:lang w:eastAsia="zh-CN"/>
        </w:rPr>
        <w:tab/>
      </w:r>
    </w:p>
    <w:p>
      <w:pPr>
        <w:pStyle w:val="3"/>
        <w:spacing w:after="0" w:line="560" w:lineRule="exact"/>
        <w:ind w:firstLine="1280" w:firstLineChars="400"/>
        <w:rPr>
          <w:rFonts w:hint="eastAsia" w:ascii="仿宋" w:hAnsi="仿宋" w:eastAsia="仿宋" w:cs="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eastAsia="zh-CN"/>
        </w:rPr>
        <w:t>6.2024年度烈山区地方政府债务余额限额情况表</w:t>
      </w:r>
      <w:r>
        <w:rPr>
          <w:rFonts w:hint="eastAsia" w:ascii="仿宋" w:hAnsi="仿宋" w:eastAsia="仿宋" w:cs="仿宋"/>
          <w:sz w:val="32"/>
          <w:szCs w:val="32"/>
          <w:lang w:eastAsia="zh-CN"/>
        </w:rPr>
        <w:tab/>
      </w:r>
      <w:r>
        <w:rPr>
          <w:rFonts w:hint="eastAsia" w:ascii="仿宋" w:hAnsi="仿宋" w:eastAsia="仿宋" w:cs="仿宋"/>
          <w:sz w:val="32"/>
          <w:szCs w:val="32"/>
          <w:lang w:eastAsia="zh-CN"/>
        </w:rPr>
        <w:tab/>
      </w:r>
    </w:p>
    <w:tbl>
      <w:tblPr>
        <w:tblStyle w:val="8"/>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9"/>
        <w:gridCol w:w="752"/>
        <w:gridCol w:w="806"/>
        <w:gridCol w:w="765"/>
        <w:gridCol w:w="710"/>
        <w:gridCol w:w="765"/>
        <w:gridCol w:w="3347"/>
        <w:gridCol w:w="874"/>
        <w:gridCol w:w="833"/>
        <w:gridCol w:w="875"/>
        <w:gridCol w:w="655"/>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2759"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附表一-1</w:t>
            </w:r>
          </w:p>
        </w:tc>
        <w:tc>
          <w:tcPr>
            <w:tcW w:w="752"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06"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6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1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6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347"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74"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33"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7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5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79"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920" w:type="dxa"/>
            <w:gridSpan w:val="12"/>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2024年度烈山区一般公共预算收支决算表（区本级）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1611"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875" w:type="dxa"/>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79"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一、税收收入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17,109</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13,029</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12,469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95.7</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73.4</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11,083</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8,221</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8,211</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增值税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6,926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企业所得税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个人所得税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1,717</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98.6</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38,210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45,091</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44,690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99.1</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城市维护建设税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2,133</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8,757</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8,757</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房产税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1,214</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印花税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92.8</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23,668</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28,197</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28,191</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城镇土地使用税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11,005</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12,142</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12,142</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土地增值税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954</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2,097</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1,208</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车船税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19,565</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12,868</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12,868</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耕地占用税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4,084</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契税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烟叶税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环境保护税</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其他税收收入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二、非税收入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22,640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24,720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25,513</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121.7</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95.8</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88.9</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行政事业性收费收入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10,462</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9,648</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9,648</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罚没收入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471.4</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1,874</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1,389</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84.2</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国有资源(资产)有偿使用收入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20,920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21,920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二十二、预备费</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其他收入</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二十四、债务付息支出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1,291</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二十五、债务发行费用支出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收 入 合 计</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39,749</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37,749</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37,982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100.1</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合 计</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129,557</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155,080</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153,193</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98.8</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89.7</w:t>
            </w:r>
          </w:p>
        </w:tc>
      </w:tr>
    </w:tbl>
    <w:p>
      <w:pPr/>
    </w:p>
    <w:p>
      <w:pPr/>
    </w:p>
    <w:p>
      <w:pPr/>
    </w:p>
    <w:p>
      <w:pPr/>
    </w:p>
    <w:p>
      <w:pPr/>
    </w:p>
    <w:p>
      <w:pPr/>
    </w:p>
    <w:p>
      <w:pPr/>
    </w:p>
    <w:p>
      <w:pPr/>
    </w:p>
    <w:p>
      <w:pPr/>
    </w:p>
    <w:p>
      <w:pPr/>
    </w:p>
    <w:p>
      <w:pPr/>
    </w:p>
    <w:p>
      <w:pPr/>
    </w:p>
    <w:p>
      <w:pPr/>
    </w:p>
    <w:p>
      <w:pPr/>
    </w:p>
    <w:p>
      <w:pPr/>
    </w:p>
    <w:p>
      <w:pPr/>
    </w:p>
    <w:p>
      <w:pPr/>
    </w:p>
    <w:p>
      <w:pPr/>
    </w:p>
    <w:tbl>
      <w:tblPr>
        <w:tblStyle w:val="8"/>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30"/>
        <w:gridCol w:w="2104"/>
        <w:gridCol w:w="5396"/>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3" w:hRule="atLeast"/>
        </w:trPr>
        <w:tc>
          <w:tcPr>
            <w:tcW w:w="5030" w:type="dxa"/>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附表一-2</w:t>
            </w:r>
          </w:p>
        </w:tc>
        <w:tc>
          <w:tcPr>
            <w:tcW w:w="2104"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5396"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39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3920" w:type="dxa"/>
            <w:gridSpan w:val="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2024年度烈山区一般公共预算支出决算经济分类明细表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134"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6"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134"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6"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10,281</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对事业单位资本性补助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工资奖金津补贴</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5,187</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社会保障缴费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资本性支出(基本建设)</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机关商品和服务支出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14,354</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办公经费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对企业资本性支出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专用材料购置费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资本金注入(基本建设)</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9,186</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其他对企业资本性支出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社会福利和救助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25,013</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离退休费</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土地征迁补偿和安置支出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对机关事业单位职业年金的补助</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设备购置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2,347</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机关资本性支出(基本建设)</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433</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设备购置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49,419</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工资福利支出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46,703</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商品和服务支出</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2,716</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5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其他对事业单位补助</w:t>
            </w:r>
          </w:p>
        </w:tc>
        <w:tc>
          <w:tcPr>
            <w:tcW w:w="2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合 计</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153,193</w:t>
            </w:r>
          </w:p>
        </w:tc>
      </w:tr>
    </w:tbl>
    <w:p>
      <w:pPr/>
    </w:p>
    <w:p>
      <w:pPr/>
    </w:p>
    <w:p>
      <w:pPr/>
    </w:p>
    <w:p>
      <w:pPr/>
    </w:p>
    <w:p>
      <w:pPr/>
    </w:p>
    <w:p>
      <w:pPr/>
    </w:p>
    <w:p>
      <w:pPr/>
    </w:p>
    <w:tbl>
      <w:tblPr>
        <w:tblStyle w:val="8"/>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89"/>
        <w:gridCol w:w="111"/>
        <w:gridCol w:w="753"/>
        <w:gridCol w:w="36"/>
        <w:gridCol w:w="716"/>
        <w:gridCol w:w="99"/>
        <w:gridCol w:w="712"/>
        <w:gridCol w:w="230"/>
        <w:gridCol w:w="565"/>
        <w:gridCol w:w="335"/>
        <w:gridCol w:w="403"/>
        <w:gridCol w:w="483"/>
        <w:gridCol w:w="1989"/>
        <w:gridCol w:w="768"/>
        <w:gridCol w:w="167"/>
        <w:gridCol w:w="563"/>
        <w:gridCol w:w="23"/>
        <w:gridCol w:w="722"/>
        <w:gridCol w:w="274"/>
        <w:gridCol w:w="598"/>
        <w:gridCol w:w="190"/>
        <w:gridCol w:w="824"/>
        <w:gridCol w:w="12"/>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0" w:hRule="atLeast"/>
        </w:trPr>
        <w:tc>
          <w:tcPr>
            <w:tcW w:w="2600"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附表二</w:t>
            </w:r>
          </w:p>
        </w:tc>
        <w:tc>
          <w:tcPr>
            <w:tcW w:w="753"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2"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11"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95"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38"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2472"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68"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3"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96"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88"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24"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450" w:hRule="atLeast"/>
        </w:trPr>
        <w:tc>
          <w:tcPr>
            <w:tcW w:w="13050" w:type="dxa"/>
            <w:gridSpan w:val="22"/>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2024年度烈山区政府性基金预算收支决算表（区本级）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30" w:hRule="atLeast"/>
        </w:trPr>
        <w:tc>
          <w:tcPr>
            <w:tcW w:w="10442" w:type="dxa"/>
            <w:gridSpan w:val="17"/>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788"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24"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480" w:hRule="atLeast"/>
        </w:trPr>
        <w:tc>
          <w:tcPr>
            <w:tcW w:w="260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c>
          <w:tcPr>
            <w:tcW w:w="247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76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53"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政府性基金收入</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专项债务对应项目专项收入</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60"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文化旅游体育与传媒支出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w:t>
            </w: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4,845</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1,792</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资源勘探工业信息等支出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自然资源海洋气象等支出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粮油物资储备支出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灾害防治及应急管理支出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849</w:t>
            </w: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26,621</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25,231</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债务付息支出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9,671</w:t>
            </w: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9,842</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9,865</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债务发行费用支出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抗疫特别国债安排的支出</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70" w:type="dxa"/>
          <w:trHeight w:val="345" w:hRule="atLeast"/>
        </w:trPr>
        <w:tc>
          <w:tcPr>
            <w:tcW w:w="2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收 入 合 计</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合 计</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11,550</w:t>
            </w:r>
          </w:p>
        </w:tc>
        <w:tc>
          <w:tcPr>
            <w:tcW w:w="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41,885</w:t>
            </w:r>
          </w:p>
        </w:tc>
        <w:tc>
          <w:tcPr>
            <w:tcW w:w="9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37,009</w:t>
            </w:r>
          </w:p>
        </w:tc>
        <w:tc>
          <w:tcPr>
            <w:tcW w:w="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489" w:type="dxa"/>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附表三</w:t>
            </w:r>
          </w:p>
        </w:tc>
        <w:tc>
          <w:tcPr>
            <w:tcW w:w="900"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15"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42"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00"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86"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2924"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563"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45"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72" w:type="dxa"/>
            <w:gridSpan w:val="2"/>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26"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58"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13920" w:type="dxa"/>
            <w:gridSpan w:val="2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2024年度烈山区国有资本经营预算收支决算表（区本级）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900" w:type="dxa"/>
            <w:gridSpan w:val="3"/>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5"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2"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6"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4" w:type="dxa"/>
            <w:gridSpan w:val="3"/>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3"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6"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58"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3"/>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5" w:type="dxa"/>
            <w:gridSpan w:val="2"/>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2" w:type="dxa"/>
            <w:gridSpan w:val="2"/>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6" w:type="dxa"/>
            <w:gridSpan w:val="2"/>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4" w:type="dxa"/>
            <w:gridSpan w:val="3"/>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dxa"/>
            <w:gridSpan w:val="2"/>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nil"/>
              <w:left w:val="nil"/>
              <w:bottom w:val="single" w:color="000000" w:sz="4" w:space="0"/>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1026" w:type="dxa"/>
            <w:gridSpan w:val="3"/>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58"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24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90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1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94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c>
          <w:tcPr>
            <w:tcW w:w="292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56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调整预算数</w:t>
            </w:r>
          </w:p>
        </w:tc>
        <w:tc>
          <w:tcPr>
            <w:tcW w:w="87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lang w:val="en-US" w:eastAsia="zh-CN" w:bidi="ar"/>
              </w:rPr>
              <w:t>为预算的%</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利润收入</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解决历史遗留问题及改革成本支出</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股利、股息收入</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国有企业资本金注入</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产权转让收入</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国有企业政策性补贴</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清算收入</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其他国有资本经营预算支出</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其他国有资本经营预算收入</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收 入 合 计</w:t>
            </w:r>
          </w:p>
        </w:tc>
        <w:tc>
          <w:tcPr>
            <w:tcW w:w="9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9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合 计</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bl>
    <w:p>
      <w:pPr/>
    </w:p>
    <w:p>
      <w:pPr/>
    </w:p>
    <w:p>
      <w:pPr/>
    </w:p>
    <w:p>
      <w:pPr/>
    </w:p>
    <w:p>
      <w:pPr/>
    </w:p>
    <w:p>
      <w:pPr/>
    </w:p>
    <w:p>
      <w:pPr/>
    </w:p>
    <w:p>
      <w:pPr/>
    </w:p>
    <w:p>
      <w:pPr/>
    </w:p>
    <w:p>
      <w:pPr/>
    </w:p>
    <w:p>
      <w:pPr/>
    </w:p>
    <w:p>
      <w:pPr/>
    </w:p>
    <w:p>
      <w:pPr/>
    </w:p>
    <w:p>
      <w:pPr/>
    </w:p>
    <w:p>
      <w:pPr/>
    </w:p>
    <w:tbl>
      <w:tblPr>
        <w:tblStyle w:val="8"/>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62"/>
        <w:gridCol w:w="17"/>
        <w:gridCol w:w="985"/>
        <w:gridCol w:w="68"/>
        <w:gridCol w:w="288"/>
        <w:gridCol w:w="98"/>
        <w:gridCol w:w="3132"/>
        <w:gridCol w:w="137"/>
        <w:gridCol w:w="616"/>
        <w:gridCol w:w="201"/>
        <w:gridCol w:w="381"/>
        <w:gridCol w:w="35"/>
        <w:gridCol w:w="3229"/>
        <w:gridCol w:w="217"/>
        <w:gridCol w:w="769"/>
        <w:gridCol w:w="302"/>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黑体" w:hAnsi="黑体" w:eastAsia="黑体" w:cs="黑体"/>
                <w:i w:val="0"/>
                <w:color w:val="000000"/>
                <w:kern w:val="0"/>
                <w:sz w:val="22"/>
                <w:szCs w:val="22"/>
                <w:u w:val="none"/>
                <w:lang w:val="en-US" w:eastAsia="zh-CN" w:bidi="ar"/>
              </w:rPr>
              <w:t>附表四</w:t>
            </w:r>
          </w:p>
        </w:tc>
        <w:tc>
          <w:tcPr>
            <w:tcW w:w="98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3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3"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2"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4"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2935" w:type="dxa"/>
            <w:gridSpan w:val="15"/>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36"/>
                <w:szCs w:val="36"/>
                <w:u w:val="none"/>
              </w:rPr>
            </w:pPr>
            <w:r>
              <w:rPr>
                <w:rFonts w:hint="eastAsia" w:ascii="宋体" w:hAnsi="宋体" w:eastAsia="宋体" w:cs="宋体"/>
                <w:b/>
                <w:bCs/>
                <w:i w:val="0"/>
                <w:color w:val="000000"/>
                <w:kern w:val="0"/>
                <w:sz w:val="32"/>
                <w:szCs w:val="32"/>
                <w:u w:val="none"/>
                <w:lang w:val="en-US" w:eastAsia="zh-CN" w:bidi="ar"/>
              </w:rPr>
              <w:t>2024年烈山区专项转移支付收入决算表</w:t>
            </w:r>
          </w:p>
        </w:tc>
        <w:tc>
          <w:tcPr>
            <w:tcW w:w="98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30"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c>
          <w:tcPr>
            <w:tcW w:w="753"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2"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4"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37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一般公共预算</w:t>
            </w:r>
          </w:p>
        </w:tc>
        <w:tc>
          <w:tcPr>
            <w:tcW w:w="35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98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w:t>
            </w:r>
          </w:p>
        </w:tc>
        <w:tc>
          <w:tcPr>
            <w:tcW w:w="5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5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国有资本经营预算</w:t>
            </w: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8423</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5819</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359</w:t>
            </w: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一般公共服务</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科学技术</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国有企业退休人员社会化管理补助</w:t>
            </w: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359</w:t>
            </w: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外交</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文化旅游体育与传媒</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国防</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社会保障和就业</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公共安全</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节能环保</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教育</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城乡社区</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4603</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科学技术</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农林水</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文化旅游体育与传媒</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交通运输</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社会保障和就业</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资源勘探工业信息等</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卫生健康</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自然资源海洋气象等</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节能环保</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2803</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超长期特别国债转移支付收入</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城乡社区</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3507</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其他收入</w:t>
            </w: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1072</w:t>
            </w: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农林水</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381</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交通运输</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资源勘探工业信息等</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229</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商业服务业等</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金融</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自然资源海洋气象等</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住房保障</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粮油物资储备</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灾害防治及应急管理</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501</w:t>
            </w: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其他收入</w:t>
            </w:r>
          </w:p>
        </w:tc>
        <w:tc>
          <w:tcPr>
            <w:tcW w:w="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附表五</w:t>
            </w:r>
          </w:p>
        </w:tc>
        <w:tc>
          <w:tcPr>
            <w:tcW w:w="1070" w:type="dxa"/>
            <w:gridSpan w:val="3"/>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8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269"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1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44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3920" w:type="dxa"/>
            <w:gridSpan w:val="1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32"/>
                <w:szCs w:val="32"/>
                <w:u w:val="none"/>
                <w:lang w:val="en-US" w:eastAsia="zh-CN" w:bidi="ar"/>
              </w:rPr>
              <w:t>2024年烈山区结转结余资金情况表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0" w:type="dxa"/>
            <w:gridSpan w:val="3"/>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8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269"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单位：万元</w:t>
            </w:r>
          </w:p>
        </w:tc>
        <w:tc>
          <w:tcPr>
            <w:tcW w:w="817"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1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446"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383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一般公共预算结余</w:t>
            </w:r>
          </w:p>
        </w:tc>
        <w:tc>
          <w:tcPr>
            <w:tcW w:w="38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08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政府性基金预算结余</w:t>
            </w:r>
          </w:p>
        </w:tc>
        <w:tc>
          <w:tcPr>
            <w:tcW w:w="41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5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国有资本经营预算结余</w:t>
            </w: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1887</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4876</w:t>
            </w: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专项转移支付收入</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416</w:t>
            </w: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一般公共服务</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科学技术</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国有企业退休人员社会化管理补助</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416</w:t>
            </w: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外交</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文化旅游体育与传媒</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327</w:t>
            </w: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国防</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社会保障和就业</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公共安全</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节能环保</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教育</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401</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城乡社区</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3053</w:t>
            </w: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科学技术</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农林水</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文化旅游体育与传媒</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交通运输</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社会保障和就业</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资源勘探工业信息等</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卫生健康</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自然资源海洋气象等</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节能环保</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889</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超长期特别国债转移支付收入</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城乡社区</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其他收入</w:t>
            </w: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1367</w:t>
            </w: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农林水</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交通运输</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资源勘探工业信息等</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229</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商业服务业等</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金融</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自然资源海洋气象等</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住房保障</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粮油物资储备</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灾害防治及应急管理</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w:t>
            </w: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其他收入</w:t>
            </w:r>
          </w:p>
        </w:tc>
        <w:tc>
          <w:tcPr>
            <w:tcW w:w="1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2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rPr>
          <w:sz w:val="21"/>
          <w:szCs w:val="21"/>
        </w:rPr>
      </w:pPr>
    </w:p>
    <w:tbl>
      <w:tblPr>
        <w:tblStyle w:val="8"/>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54"/>
        <w:gridCol w:w="1419"/>
        <w:gridCol w:w="1247"/>
        <w:gridCol w:w="7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附表六</w:t>
            </w:r>
          </w:p>
        </w:tc>
        <w:tc>
          <w:tcPr>
            <w:tcW w:w="1419" w:type="dxa"/>
            <w:tcBorders>
              <w:top w:val="nil"/>
              <w:left w:val="nil"/>
              <w:bottom w:val="nil"/>
              <w:right w:val="nil"/>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c>
          <w:tcPr>
            <w:tcW w:w="1247" w:type="dxa"/>
            <w:tcBorders>
              <w:top w:val="nil"/>
              <w:left w:val="nil"/>
              <w:bottom w:val="nil"/>
              <w:right w:val="nil"/>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c>
          <w:tcPr>
            <w:tcW w:w="7100" w:type="dxa"/>
            <w:tcBorders>
              <w:top w:val="nil"/>
              <w:left w:val="nil"/>
              <w:bottom w:val="nil"/>
              <w:right w:val="nil"/>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13920" w:type="dxa"/>
            <w:gridSpan w:val="4"/>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2024年度烈山区地方政府债务余额限额情况表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6820" w:type="dxa"/>
            <w:gridSpan w:val="3"/>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710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上年末地方政府债务余额</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341,155</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42,355</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298,800</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本年地方政府债务余额限额</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375,248</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47,911</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327,337</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本年地方政府债务(转贷)收入</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34,596</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6,059</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其中置换YZ827万元，再融资债券1232万元，美丽乡村项目4000万元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28,537</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其中置换YZ3837万元，补充基金财力债券1300万元，龙脊山项目3000万元，新型城镇化项目5000万元，乡村振兴二期项目14400万元，全民健身中心项目1000万元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本年地方政府债务还本支出</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6,033</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2,196</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其中置换YZ827万元，偿还政府债务本金1369万元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置换YZ387万元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年末地方政府债务余额</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374,382</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47,045</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4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专项债务</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327,337</w:t>
            </w:r>
          </w:p>
        </w:tc>
        <w:tc>
          <w:tcPr>
            <w:tcW w:w="7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p>
        </w:tc>
      </w:tr>
    </w:tbl>
    <w:p>
      <w:pPr>
        <w:pStyle w:val="3"/>
        <w:spacing w:after="0" w:line="560" w:lineRule="exact"/>
        <w:rPr>
          <w:rFonts w:hint="eastAsia" w:ascii="仿宋" w:hAnsi="仿宋" w:eastAsia="仿宋" w:cs="仿宋"/>
          <w:sz w:val="32"/>
          <w:szCs w:val="32"/>
          <w:lang w:eastAsia="zh-CN"/>
        </w:rPr>
      </w:pPr>
    </w:p>
    <w:sectPr>
      <w:pgSz w:w="16838" w:h="11906" w:orient="landscape"/>
      <w:pgMar w:top="1361" w:right="1474" w:bottom="1304"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E1347"/>
    <w:rsid w:val="00B701B7"/>
    <w:rsid w:val="00D20B4D"/>
    <w:rsid w:val="012A3FA9"/>
    <w:rsid w:val="01BC0853"/>
    <w:rsid w:val="045409EC"/>
    <w:rsid w:val="09BD30F1"/>
    <w:rsid w:val="0BF027CF"/>
    <w:rsid w:val="0C7C57F3"/>
    <w:rsid w:val="0F940824"/>
    <w:rsid w:val="1046411E"/>
    <w:rsid w:val="116D7BCD"/>
    <w:rsid w:val="12126434"/>
    <w:rsid w:val="12BE1347"/>
    <w:rsid w:val="1557566D"/>
    <w:rsid w:val="16035E6D"/>
    <w:rsid w:val="1CF07E68"/>
    <w:rsid w:val="1D970CFC"/>
    <w:rsid w:val="211D293F"/>
    <w:rsid w:val="21E14793"/>
    <w:rsid w:val="23DB647C"/>
    <w:rsid w:val="2425193A"/>
    <w:rsid w:val="27283C2A"/>
    <w:rsid w:val="28C332ED"/>
    <w:rsid w:val="2BE401C1"/>
    <w:rsid w:val="2E785CC2"/>
    <w:rsid w:val="30B41E17"/>
    <w:rsid w:val="30CE2A0A"/>
    <w:rsid w:val="313E1763"/>
    <w:rsid w:val="329B591D"/>
    <w:rsid w:val="36A24149"/>
    <w:rsid w:val="36E763F9"/>
    <w:rsid w:val="37FD1054"/>
    <w:rsid w:val="389F7E73"/>
    <w:rsid w:val="393563FE"/>
    <w:rsid w:val="3AD62A0C"/>
    <w:rsid w:val="3BE07476"/>
    <w:rsid w:val="406C796F"/>
    <w:rsid w:val="438F54AC"/>
    <w:rsid w:val="441914CA"/>
    <w:rsid w:val="45AA6F6F"/>
    <w:rsid w:val="49253787"/>
    <w:rsid w:val="4B0C247A"/>
    <w:rsid w:val="4BC5712E"/>
    <w:rsid w:val="4CD0699E"/>
    <w:rsid w:val="50391DE4"/>
    <w:rsid w:val="52057F6A"/>
    <w:rsid w:val="62074895"/>
    <w:rsid w:val="62556DDF"/>
    <w:rsid w:val="6489733D"/>
    <w:rsid w:val="670C3316"/>
    <w:rsid w:val="670C7DBC"/>
    <w:rsid w:val="69E17DA5"/>
    <w:rsid w:val="6AFD584B"/>
    <w:rsid w:val="6B4B624F"/>
    <w:rsid w:val="6B722E2F"/>
    <w:rsid w:val="723F5A64"/>
    <w:rsid w:val="773E13B6"/>
    <w:rsid w:val="79324070"/>
    <w:rsid w:val="7AE4629A"/>
    <w:rsid w:val="7B2020E6"/>
    <w:rsid w:val="7DA46C42"/>
    <w:rsid w:val="7EE225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Cambria"/>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9">
    <w:name w:val="正文-公1"/>
    <w:basedOn w:val="1"/>
    <w:next w:val="1"/>
    <w:qFormat/>
    <w:uiPriority w:val="0"/>
    <w:pPr>
      <w:ind w:firstLine="200" w:firstLineChars="20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6271</Words>
  <Characters>7856</Characters>
  <Lines>0</Lines>
  <Paragraphs>0</Paragraphs>
  <TotalTime>0</TotalTime>
  <ScaleCrop>false</ScaleCrop>
  <LinksUpToDate>false</LinksUpToDate>
  <CharactersWithSpaces>8386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2025-05-28T06:17:00Z</dcterms:created>
  <dc:creator>MOMO</dc:creator>
  <cp:lastModifiedBy>LS01</cp:lastModifiedBy>
  <dcterms:modified xsi:type="dcterms:W3CDTF">2025-09-09T08:54:25Z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4CCD4522EF3A4517B4E30B0AD5D931A3_11</vt:lpwstr>
  </property>
  <property fmtid="{D5CDD505-2E9C-101B-9397-08002B2CF9AE}" pid="4" name="KSOTemplateDocerSaveRecord">
    <vt:lpwstr>eyJoZGlkIjoiY2RmYjU4ZDY3Yjk5MTQxZGI1MTZhOThjNzk0YjM4NWIiLCJ1c2VySWQiOiI3NDc2MDIwNDYifQ==</vt:lpwstr>
  </property>
</Properties>
</file>