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B938">
      <w:pPr>
        <w:pStyle w:val="2"/>
        <w:spacing w:line="286" w:lineRule="auto"/>
      </w:pPr>
    </w:p>
    <w:p w14:paraId="0E13B570">
      <w:pPr>
        <w:pStyle w:val="2"/>
        <w:spacing w:line="286" w:lineRule="auto"/>
      </w:pPr>
    </w:p>
    <w:p w14:paraId="1D36D481">
      <w:pPr>
        <w:pStyle w:val="2"/>
        <w:spacing w:line="286" w:lineRule="auto"/>
      </w:pPr>
    </w:p>
    <w:p w14:paraId="392EC98F">
      <w:pPr>
        <w:spacing w:before="156" w:line="219" w:lineRule="auto"/>
        <w:ind w:left="1338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9"/>
          <w:sz w:val="48"/>
          <w:szCs w:val="48"/>
          <w:lang w:eastAsia="zh-CN"/>
        </w:rPr>
        <w:t>烈山区</w:t>
      </w:r>
      <w:r>
        <w:rPr>
          <w:rFonts w:ascii="宋体" w:hAnsi="宋体" w:eastAsia="宋体" w:cs="宋体"/>
          <w:spacing w:val="-8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202</w:t>
      </w:r>
      <w:r>
        <w:rPr>
          <w:rFonts w:hint="eastAsia" w:ascii="宋体" w:hAnsi="宋体" w:eastAsia="宋体" w:cs="宋体"/>
          <w:b/>
          <w:bCs/>
          <w:spacing w:val="-9"/>
          <w:sz w:val="48"/>
          <w:szCs w:val="48"/>
          <w:lang w:val="en-US" w:eastAsia="zh-CN"/>
        </w:rPr>
        <w:t>4</w:t>
      </w:r>
      <w:r>
        <w:rPr>
          <w:rFonts w:ascii="宋体" w:hAnsi="宋体" w:eastAsia="宋体" w:cs="宋体"/>
          <w:spacing w:val="-97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年</w:t>
      </w:r>
      <w:r>
        <w:rPr>
          <w:rFonts w:hint="eastAsia" w:ascii="宋体" w:hAnsi="宋体" w:eastAsia="宋体" w:cs="宋体"/>
          <w:b/>
          <w:bCs/>
          <w:spacing w:val="-9"/>
          <w:sz w:val="48"/>
          <w:szCs w:val="48"/>
          <w:lang w:eastAsia="zh-CN"/>
        </w:rPr>
        <w:t>区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级政府决算</w:t>
      </w:r>
    </w:p>
    <w:p w14:paraId="783A62E0">
      <w:pPr>
        <w:pStyle w:val="2"/>
      </w:pPr>
    </w:p>
    <w:p w14:paraId="582ACA68">
      <w:pPr>
        <w:pStyle w:val="2"/>
      </w:pPr>
    </w:p>
    <w:p w14:paraId="741BA718">
      <w:pPr>
        <w:pStyle w:val="2"/>
      </w:pPr>
    </w:p>
    <w:p w14:paraId="1C98E286">
      <w:pPr>
        <w:pStyle w:val="2"/>
      </w:pPr>
    </w:p>
    <w:p w14:paraId="5444B0BF">
      <w:pPr>
        <w:pStyle w:val="2"/>
      </w:pPr>
    </w:p>
    <w:p w14:paraId="6B74A6D5">
      <w:pPr>
        <w:pStyle w:val="2"/>
      </w:pPr>
    </w:p>
    <w:p w14:paraId="680A9FAE">
      <w:pPr>
        <w:pStyle w:val="2"/>
      </w:pPr>
    </w:p>
    <w:p w14:paraId="1833102F">
      <w:pPr>
        <w:pStyle w:val="2"/>
      </w:pPr>
    </w:p>
    <w:p w14:paraId="37CEC94C">
      <w:pPr>
        <w:pStyle w:val="2"/>
      </w:pPr>
    </w:p>
    <w:p w14:paraId="05B1E00B">
      <w:pPr>
        <w:pStyle w:val="2"/>
      </w:pPr>
    </w:p>
    <w:p w14:paraId="7D28E92E">
      <w:pPr>
        <w:pStyle w:val="2"/>
      </w:pPr>
    </w:p>
    <w:p w14:paraId="24DB4D93">
      <w:pPr>
        <w:pStyle w:val="2"/>
      </w:pPr>
    </w:p>
    <w:p w14:paraId="59F274C3">
      <w:pPr>
        <w:pStyle w:val="2"/>
      </w:pPr>
    </w:p>
    <w:p w14:paraId="452DFB31">
      <w:pPr>
        <w:pStyle w:val="2"/>
      </w:pPr>
    </w:p>
    <w:p w14:paraId="5A82EDA9">
      <w:pPr>
        <w:pStyle w:val="2"/>
      </w:pPr>
    </w:p>
    <w:p w14:paraId="7EF950E2">
      <w:pPr>
        <w:pStyle w:val="2"/>
      </w:pPr>
    </w:p>
    <w:p w14:paraId="42A8E208">
      <w:pPr>
        <w:pStyle w:val="2"/>
      </w:pPr>
    </w:p>
    <w:p w14:paraId="5D39A9A4">
      <w:pPr>
        <w:pStyle w:val="2"/>
      </w:pPr>
    </w:p>
    <w:p w14:paraId="6589FAAC">
      <w:pPr>
        <w:pStyle w:val="2"/>
      </w:pPr>
    </w:p>
    <w:p w14:paraId="4156309A">
      <w:pPr>
        <w:pStyle w:val="2"/>
      </w:pPr>
    </w:p>
    <w:p w14:paraId="5463A7FE">
      <w:pPr>
        <w:pStyle w:val="2"/>
        <w:spacing w:line="241" w:lineRule="auto"/>
      </w:pPr>
    </w:p>
    <w:p w14:paraId="20819B7E">
      <w:pPr>
        <w:pStyle w:val="2"/>
        <w:spacing w:line="241" w:lineRule="auto"/>
      </w:pPr>
    </w:p>
    <w:p w14:paraId="067A56A9">
      <w:pPr>
        <w:pStyle w:val="2"/>
        <w:spacing w:line="241" w:lineRule="auto"/>
      </w:pPr>
    </w:p>
    <w:p w14:paraId="0B73991D">
      <w:pPr>
        <w:pStyle w:val="2"/>
        <w:spacing w:line="241" w:lineRule="auto"/>
      </w:pPr>
    </w:p>
    <w:p w14:paraId="2FF63AE4">
      <w:pPr>
        <w:pStyle w:val="2"/>
        <w:spacing w:line="241" w:lineRule="auto"/>
      </w:pPr>
    </w:p>
    <w:p w14:paraId="62E28DAE">
      <w:pPr>
        <w:pStyle w:val="2"/>
        <w:spacing w:line="241" w:lineRule="auto"/>
      </w:pPr>
    </w:p>
    <w:p w14:paraId="73A995A8">
      <w:pPr>
        <w:pStyle w:val="2"/>
        <w:spacing w:line="241" w:lineRule="auto"/>
      </w:pPr>
    </w:p>
    <w:p w14:paraId="3567E00D">
      <w:pPr>
        <w:pStyle w:val="2"/>
        <w:spacing w:line="241" w:lineRule="auto"/>
      </w:pPr>
    </w:p>
    <w:p w14:paraId="3F065392">
      <w:pPr>
        <w:pStyle w:val="2"/>
        <w:spacing w:line="241" w:lineRule="auto"/>
      </w:pPr>
    </w:p>
    <w:p w14:paraId="3409421A">
      <w:pPr>
        <w:pStyle w:val="2"/>
        <w:spacing w:line="241" w:lineRule="auto"/>
      </w:pPr>
    </w:p>
    <w:p w14:paraId="2DD9A9DE">
      <w:pPr>
        <w:pStyle w:val="2"/>
        <w:spacing w:line="241" w:lineRule="auto"/>
      </w:pPr>
    </w:p>
    <w:p w14:paraId="1FE7EDD8">
      <w:pPr>
        <w:pStyle w:val="2"/>
        <w:spacing w:line="241" w:lineRule="auto"/>
      </w:pPr>
    </w:p>
    <w:p w14:paraId="6924C03E">
      <w:pPr>
        <w:pStyle w:val="2"/>
        <w:spacing w:line="241" w:lineRule="auto"/>
      </w:pPr>
    </w:p>
    <w:p w14:paraId="4BD64604">
      <w:pPr>
        <w:pStyle w:val="2"/>
        <w:spacing w:line="241" w:lineRule="auto"/>
      </w:pPr>
    </w:p>
    <w:p w14:paraId="759C2A67">
      <w:pPr>
        <w:pStyle w:val="2"/>
        <w:spacing w:line="241" w:lineRule="auto"/>
      </w:pPr>
    </w:p>
    <w:p w14:paraId="6958A312">
      <w:pPr>
        <w:pStyle w:val="2"/>
        <w:spacing w:line="241" w:lineRule="auto"/>
      </w:pPr>
    </w:p>
    <w:p w14:paraId="0973C582">
      <w:pPr>
        <w:pStyle w:val="2"/>
        <w:spacing w:line="241" w:lineRule="auto"/>
      </w:pPr>
    </w:p>
    <w:p w14:paraId="72E88657">
      <w:pPr>
        <w:pStyle w:val="2"/>
        <w:spacing w:line="241" w:lineRule="auto"/>
      </w:pPr>
    </w:p>
    <w:p w14:paraId="080061C4">
      <w:pPr>
        <w:pStyle w:val="2"/>
        <w:spacing w:line="241" w:lineRule="auto"/>
      </w:pPr>
    </w:p>
    <w:p w14:paraId="0F24A7B6">
      <w:pPr>
        <w:pStyle w:val="2"/>
        <w:spacing w:line="241" w:lineRule="auto"/>
      </w:pPr>
    </w:p>
    <w:p w14:paraId="52497C2E">
      <w:pPr>
        <w:pStyle w:val="2"/>
        <w:spacing w:line="241" w:lineRule="auto"/>
      </w:pPr>
    </w:p>
    <w:p w14:paraId="6C6DF6BA">
      <w:pPr>
        <w:spacing w:before="140" w:line="223" w:lineRule="auto"/>
        <w:ind w:left="319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-8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年</w:t>
      </w:r>
      <w:r>
        <w:rPr>
          <w:rFonts w:hint="eastAsia" w:ascii="宋体" w:hAnsi="宋体" w:eastAsia="宋体" w:cs="宋体"/>
          <w:spacing w:val="-86"/>
          <w:sz w:val="43"/>
          <w:szCs w:val="43"/>
          <w:lang w:val="en-US" w:eastAsia="zh-CN"/>
        </w:rPr>
        <w:t>7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月</w:t>
      </w:r>
    </w:p>
    <w:p w14:paraId="0908CB87">
      <w:pPr>
        <w:spacing w:line="223" w:lineRule="auto"/>
        <w:rPr>
          <w:rFonts w:ascii="宋体" w:hAnsi="宋体" w:eastAsia="宋体" w:cs="宋体"/>
          <w:sz w:val="43"/>
          <w:szCs w:val="43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B688361">
      <w:pPr>
        <w:spacing w:before="93" w:line="235" w:lineRule="auto"/>
        <w:jc w:val="center"/>
        <w:outlineLvl w:val="0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eastAsia="zh-CN"/>
        </w:rPr>
        <w:t>烈山区</w:t>
      </w:r>
      <w:r>
        <w:rPr>
          <w:rFonts w:ascii="宋体" w:hAnsi="宋体" w:eastAsia="宋体" w:cs="宋体"/>
          <w:spacing w:val="-92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3"/>
          <w:sz w:val="43"/>
          <w:szCs w:val="43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eastAsia="zh-CN"/>
        </w:rPr>
        <w:t>区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级政府决算公开目录</w:t>
      </w:r>
    </w:p>
    <w:p w14:paraId="1C83972C">
      <w:pPr>
        <w:spacing w:before="93" w:line="235" w:lineRule="auto"/>
        <w:jc w:val="center"/>
        <w:outlineLvl w:val="0"/>
        <w:rPr>
          <w:rFonts w:ascii="宋体" w:hAnsi="宋体" w:eastAsia="宋体" w:cs="宋体"/>
          <w:b/>
          <w:bCs/>
          <w:spacing w:val="3"/>
          <w:sz w:val="43"/>
          <w:szCs w:val="43"/>
        </w:rPr>
      </w:pPr>
    </w:p>
    <w:p w14:paraId="6F1FC1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一、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关于烈山区2024年区级财政决算的报告</w:t>
      </w:r>
    </w:p>
    <w:p w14:paraId="75907A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二、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区</w:t>
      </w:r>
      <w:r>
        <w:rPr>
          <w:rFonts w:ascii="楷体" w:hAnsi="楷体" w:eastAsia="楷体" w:cs="楷体"/>
          <w:spacing w:val="7"/>
          <w:sz w:val="31"/>
          <w:szCs w:val="31"/>
        </w:rPr>
        <w:t>级</w:t>
      </w:r>
      <w:r>
        <w:rPr>
          <w:rFonts w:ascii="楷体" w:hAnsi="楷体" w:eastAsia="楷体" w:cs="楷体"/>
          <w:spacing w:val="6"/>
          <w:sz w:val="31"/>
          <w:szCs w:val="31"/>
        </w:rPr>
        <w:t>决算表及说明</w:t>
      </w:r>
    </w:p>
    <w:p w14:paraId="340524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烈山区2024年全区一般公共预算收入决算表</w:t>
      </w:r>
    </w:p>
    <w:p w14:paraId="4F8F0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烈山区2024年区本级一般公共预算收入决算表</w:t>
      </w:r>
    </w:p>
    <w:p w14:paraId="75B822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jc w:val="both"/>
        <w:textAlignment w:val="baseline"/>
        <w:rPr>
          <w:rFonts w:hint="eastAsia" w:ascii="楷体" w:hAnsi="楷体" w:eastAsia="楷体" w:cs="楷体"/>
          <w:spacing w:val="10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楷体" w:hAnsi="楷体" w:eastAsia="楷体" w:cs="楷体"/>
          <w:spacing w:val="10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10"/>
          <w:sz w:val="31"/>
          <w:szCs w:val="31"/>
          <w:lang w:eastAsia="zh-CN"/>
        </w:rPr>
        <w:t>关于烈山区2024年区本级一般公共预算收入决算情况的说明</w:t>
      </w:r>
    </w:p>
    <w:p w14:paraId="62B68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烈山区2024年全区上级税收返还和转移支付收入决算表</w:t>
      </w:r>
    </w:p>
    <w:p w14:paraId="34DA8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烈山区2024年上级税收返还和转移支付收入情况的说明</w:t>
      </w:r>
    </w:p>
    <w:p w14:paraId="62AC6B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2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</w:t>
      </w:r>
      <w:r>
        <w:rPr>
          <w:rFonts w:ascii="楷体" w:hAnsi="楷体" w:eastAsia="楷体" w:cs="楷体"/>
          <w:spacing w:val="8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烈山区2024年全区一般公共预算支出决算表</w:t>
      </w:r>
    </w:p>
    <w:p w14:paraId="66D4F5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烈山区2024年区本级一般公共预算支出决算表</w:t>
      </w:r>
    </w:p>
    <w:p w14:paraId="28186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1"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关于烈山区2024年区本级一般公共预算支出决算情况的说明</w:t>
      </w:r>
    </w:p>
    <w:p w14:paraId="446B33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9</w:t>
      </w:r>
      <w:r>
        <w:rPr>
          <w:rFonts w:ascii="楷体" w:hAnsi="楷体" w:eastAsia="楷体" w:cs="楷体"/>
          <w:spacing w:val="8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8"/>
          <w:sz w:val="31"/>
          <w:szCs w:val="31"/>
        </w:rPr>
        <w:t>烈山区2024年区级一般公共预算支出（项级）决算表</w:t>
      </w:r>
    </w:p>
    <w:p w14:paraId="780107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烈山区2024年全区一般公共预算基本支出(经济科目)决算表</w:t>
      </w:r>
    </w:p>
    <w:p w14:paraId="1D8456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烈山区2024年区本级一般公共预算基本支出(经济科目)决算表</w:t>
      </w:r>
    </w:p>
    <w:p w14:paraId="27D08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12</w:t>
      </w:r>
      <w:r>
        <w:rPr>
          <w:rFonts w:ascii="楷体" w:hAnsi="楷体" w:eastAsia="楷体" w:cs="楷体"/>
          <w:spacing w:val="5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5"/>
          <w:sz w:val="31"/>
          <w:szCs w:val="31"/>
        </w:rPr>
        <w:t>烈山区2024年区本级对下税收返还和转移支付决算表</w:t>
      </w:r>
    </w:p>
    <w:p w14:paraId="0B87D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13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关于烈山区2024年区本级对下税收返还和转移支付决算的说明</w:t>
      </w:r>
    </w:p>
    <w:p w14:paraId="41E36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14</w:t>
      </w:r>
      <w:r>
        <w:rPr>
          <w:rFonts w:ascii="楷体" w:hAnsi="楷体" w:eastAsia="楷体" w:cs="楷体"/>
          <w:spacing w:val="5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5"/>
          <w:sz w:val="31"/>
          <w:szCs w:val="31"/>
        </w:rPr>
        <w:t>烈山区2024年区本级对下税收返还分地区决算表</w:t>
      </w:r>
    </w:p>
    <w:p w14:paraId="0B9E0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15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烈山区2024年区本级对下一般性转移支付分地区决算表</w:t>
      </w:r>
    </w:p>
    <w:p w14:paraId="670A64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rPr>
          <w:rFonts w:hint="eastAsia" w:ascii="楷体" w:hAnsi="楷体" w:eastAsia="楷体" w:cs="楷体"/>
          <w:spacing w:val="1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16</w:t>
      </w:r>
      <w:r>
        <w:rPr>
          <w:rFonts w:ascii="楷体" w:hAnsi="楷体" w:eastAsia="楷体" w:cs="楷体"/>
          <w:spacing w:val="1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1"/>
          <w:sz w:val="31"/>
          <w:szCs w:val="31"/>
        </w:rPr>
        <w:t>烈山区2024年区本级对下专项转移支付分地区决算表</w:t>
      </w:r>
    </w:p>
    <w:p w14:paraId="12412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17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区</w:t>
      </w:r>
      <w:r>
        <w:rPr>
          <w:rFonts w:ascii="楷体" w:hAnsi="楷体" w:eastAsia="楷体" w:cs="楷体"/>
          <w:spacing w:val="7"/>
          <w:sz w:val="31"/>
          <w:szCs w:val="31"/>
        </w:rPr>
        <w:t>级政府性基金预</w:t>
      </w:r>
      <w:r>
        <w:rPr>
          <w:rFonts w:ascii="楷体" w:hAnsi="楷体" w:eastAsia="楷体" w:cs="楷体"/>
          <w:spacing w:val="6"/>
          <w:sz w:val="31"/>
          <w:szCs w:val="31"/>
        </w:rPr>
        <w:t>算转移支付分项目决算表</w:t>
      </w:r>
    </w:p>
    <w:p w14:paraId="76390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8"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18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烈山区2024年区本级专项转移支付分项目决算表</w:t>
      </w:r>
    </w:p>
    <w:p w14:paraId="1503B5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8"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19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烈山区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区</w:t>
      </w:r>
      <w:r>
        <w:rPr>
          <w:rFonts w:ascii="楷体" w:hAnsi="楷体" w:eastAsia="楷体" w:cs="楷体"/>
          <w:spacing w:val="7"/>
          <w:sz w:val="31"/>
          <w:szCs w:val="31"/>
        </w:rPr>
        <w:t>级</w:t>
      </w:r>
      <w:r>
        <w:rPr>
          <w:rFonts w:ascii="楷体" w:hAnsi="楷体" w:eastAsia="楷体" w:cs="楷体"/>
          <w:spacing w:val="6"/>
          <w:sz w:val="31"/>
          <w:szCs w:val="31"/>
        </w:rPr>
        <w:t>政府性基金预算对下转移支付</w:t>
      </w:r>
      <w:r>
        <w:rPr>
          <w:rFonts w:ascii="楷体" w:hAnsi="楷体" w:eastAsia="楷体" w:cs="楷体"/>
          <w:spacing w:val="5"/>
          <w:sz w:val="31"/>
          <w:szCs w:val="31"/>
        </w:rPr>
        <w:t>分地区决算</w:t>
      </w:r>
      <w:r>
        <w:rPr>
          <w:rFonts w:ascii="楷体" w:hAnsi="楷体" w:eastAsia="楷体" w:cs="楷体"/>
          <w:spacing w:val="4"/>
          <w:sz w:val="31"/>
          <w:szCs w:val="31"/>
        </w:rPr>
        <w:t>表</w:t>
      </w:r>
    </w:p>
    <w:p w14:paraId="03B50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烈山区2024年政府一般债务限额余额决算表</w:t>
      </w:r>
    </w:p>
    <w:p w14:paraId="6C382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21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关于烈山区2024年政府一般债务情况的说明</w:t>
      </w:r>
    </w:p>
    <w:p w14:paraId="7C34D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22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烈山区2024年全区政府性基金收入决算表</w:t>
      </w:r>
    </w:p>
    <w:p w14:paraId="44E303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23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烈山区2024年全区政府性基金支出决算表</w:t>
      </w:r>
    </w:p>
    <w:p w14:paraId="25251E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24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烈山区2024年区本级政府性基金收入决算表</w:t>
      </w:r>
    </w:p>
    <w:p w14:paraId="24A12B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8"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25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关于烈山区2024年区本级政府性基金收入决算情况的说明</w:t>
      </w:r>
    </w:p>
    <w:p w14:paraId="22222F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6"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26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烈山区2024年区本级政府性基金支出决算表</w:t>
      </w:r>
    </w:p>
    <w:p w14:paraId="1E5BE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8"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27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关于烈山区2024年区本级政府性基金支出决算情况的说明</w:t>
      </w:r>
    </w:p>
    <w:p w14:paraId="61FBB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28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烈山区2024年区本级政府性基金支出（项级）决算表</w:t>
      </w:r>
    </w:p>
    <w:p w14:paraId="0572A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29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烈山区2024年区本级政府性基金对下转移支付决算表</w:t>
      </w:r>
    </w:p>
    <w:p w14:paraId="240AD4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烈山区2024年区本级政府性基金对下转移支付分地区决算表</w:t>
      </w:r>
    </w:p>
    <w:p w14:paraId="081FC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31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烈山区2024年政府专项债务限额余额决算表</w:t>
      </w:r>
    </w:p>
    <w:p w14:paraId="4E63A3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32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关于烈山区2024年政府专项债务情况的说明</w:t>
      </w:r>
    </w:p>
    <w:p w14:paraId="47E808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33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烈山区2024年全区国有资本经营收入决算表</w:t>
      </w:r>
    </w:p>
    <w:p w14:paraId="344880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34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烈山区2024年全区国有资本经营支出决算表</w:t>
      </w:r>
    </w:p>
    <w:p w14:paraId="1B5D85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35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烈山区2024年区本级国有资本经营收入决算表</w:t>
      </w:r>
    </w:p>
    <w:p w14:paraId="4D1BE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36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烈山区2024年区本级国有资本经营支出决算表</w:t>
      </w:r>
    </w:p>
    <w:p w14:paraId="73EC1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jc w:val="both"/>
        <w:textAlignment w:val="baseline"/>
        <w:rPr>
          <w:rFonts w:hint="eastAsia" w:ascii="楷体" w:hAnsi="楷体" w:eastAsia="楷体" w:cs="楷体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37</w:t>
      </w:r>
      <w:r>
        <w:rPr>
          <w:rFonts w:ascii="楷体" w:hAnsi="楷体" w:eastAsia="楷体" w:cs="楷体"/>
          <w:spacing w:val="7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7"/>
          <w:sz w:val="31"/>
          <w:szCs w:val="31"/>
        </w:rPr>
        <w:t>关于烈山区2024年区本级国有资本经营收支决算情况的说明</w:t>
      </w:r>
    </w:p>
    <w:p w14:paraId="3508EA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38</w:t>
      </w:r>
      <w:r>
        <w:rPr>
          <w:rFonts w:ascii="楷体" w:hAnsi="楷体" w:eastAsia="楷体" w:cs="楷体"/>
          <w:spacing w:val="6"/>
          <w:sz w:val="31"/>
          <w:szCs w:val="31"/>
        </w:rPr>
        <w:t>、</w:t>
      </w:r>
      <w:r>
        <w:rPr>
          <w:rFonts w:hint="eastAsia" w:ascii="楷体" w:hAnsi="楷体" w:eastAsia="楷体" w:cs="楷体"/>
          <w:spacing w:val="6"/>
          <w:sz w:val="31"/>
          <w:szCs w:val="31"/>
        </w:rPr>
        <w:t>烈山区2024年区本级国有资本经营转移支付决算表</w:t>
      </w:r>
    </w:p>
    <w:p w14:paraId="3A85B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  <w:t>39、烈山区2024年区本级社会保险基金预算收入决算表</w:t>
      </w:r>
    </w:p>
    <w:p w14:paraId="24CCA0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  <w:t>40、烈山区2024年区本级社会保险基金支出决算表</w:t>
      </w:r>
    </w:p>
    <w:p w14:paraId="40E19B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  <w:t>41、关于烈山区2024年区本级社会保险基金收支决算情况的说明</w:t>
      </w:r>
    </w:p>
    <w:p w14:paraId="4CEFF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  <w:t>42、关于烈山区2024年区本级预算绩效工作开展情况的说明</w:t>
      </w:r>
    </w:p>
    <w:p w14:paraId="2AA36B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  <w:t>43、关于烈山区2024年区级重大政策和重点项目绩效执行结果的说明</w:t>
      </w:r>
    </w:p>
    <w:p w14:paraId="5B04A8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  <w:t>44、烈山区2024年地方政府债券使用情况表</w:t>
      </w:r>
    </w:p>
    <w:p w14:paraId="441509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pacing w:val="6"/>
          <w:sz w:val="31"/>
          <w:szCs w:val="31"/>
          <w:lang w:val="en-US" w:eastAsia="zh-CN"/>
        </w:rPr>
        <w:t>45、烈山区2024年地方政府债务发行及还本付息情况表</w:t>
      </w:r>
    </w:p>
    <w:p w14:paraId="64979D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3"/>
        <w:jc w:val="both"/>
        <w:textAlignment w:val="baseline"/>
        <w:rPr>
          <w:rFonts w:hint="default" w:ascii="楷体" w:hAnsi="楷体" w:eastAsia="楷体" w:cs="楷体"/>
          <w:spacing w:val="6"/>
          <w:sz w:val="31"/>
          <w:szCs w:val="31"/>
          <w:lang w:val="en-US" w:eastAsia="zh-CN"/>
        </w:rPr>
      </w:pPr>
    </w:p>
    <w:sectPr>
      <w:pgSz w:w="11907" w:h="16839"/>
      <w:pgMar w:top="1214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854A06"/>
    <w:rsid w:val="0AF02C43"/>
    <w:rsid w:val="1CE1785A"/>
    <w:rsid w:val="1F330F4D"/>
    <w:rsid w:val="1F62533A"/>
    <w:rsid w:val="28445F24"/>
    <w:rsid w:val="285E2E0B"/>
    <w:rsid w:val="2A5C1303"/>
    <w:rsid w:val="350A6444"/>
    <w:rsid w:val="35F25212"/>
    <w:rsid w:val="43B81849"/>
    <w:rsid w:val="4C013661"/>
    <w:rsid w:val="53C96C14"/>
    <w:rsid w:val="57CD4D3F"/>
    <w:rsid w:val="5EBB3B43"/>
    <w:rsid w:val="636B296D"/>
    <w:rsid w:val="68703BF0"/>
    <w:rsid w:val="71FA5AA8"/>
    <w:rsid w:val="72565481"/>
    <w:rsid w:val="7C224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8">
    <w:name w:val="font31"/>
    <w:basedOn w:val="5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1114</Words>
  <Characters>1301</Characters>
  <TotalTime>3</TotalTime>
  <ScaleCrop>false</ScaleCrop>
  <LinksUpToDate>false</LinksUpToDate>
  <CharactersWithSpaces>1313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2024-09-14T17:14:00Z</dcterms:created>
  <dc:creator>微软用户</dc:creator>
  <cp:lastModifiedBy>拯救蚂蚁</cp:lastModifiedBy>
  <dcterms:modified xsi:type="dcterms:W3CDTF">2025-08-15T09:14:23Z</dcterms:modified>
  <dc:title>2014年财政决算报告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2025-08-14T08:38:02Z</vt:filetime>
  </property>
  <property fmtid="{D5CDD505-2E9C-101B-9397-08002B2CF9AE}" pid="4" name="KSOProductBuildVer">
    <vt:lpwstr>2052-12.1.0.21915</vt:lpwstr>
  </property>
  <property fmtid="{D5CDD505-2E9C-101B-9397-08002B2CF9AE}" pid="5" name="ICV">
    <vt:lpwstr>40EECD08A731416BBA2A2555A2AFDFD7_13</vt:lpwstr>
  </property>
  <property fmtid="{D5CDD505-2E9C-101B-9397-08002B2CF9AE}" pid="6" name="KSOTemplateDocerSaveRecord">
    <vt:lpwstr>eyJoZGlkIjoiY2RmYjU4ZDY3Yjk5MTQxZGI1MTZhOThjNzk0YjM4NWIiLCJ1c2VySWQiOiI3NDc2MDIwNDYifQ==</vt:lpwstr>
  </property>
</Properties>
</file>