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D5A60">
      <w:pPr>
        <w:spacing w:line="560" w:lineRule="exact"/>
        <w:rPr>
          <w:rFonts w:ascii="TimesNewRoman" w:hAnsi="TimesNewRoman" w:eastAsia="黑体" w:cs="TimesNewRoman"/>
          <w:szCs w:val="32"/>
        </w:rPr>
      </w:pPr>
      <w:r>
        <w:rPr>
          <w:rFonts w:hint="eastAsia" w:ascii="TimesNewRoman" w:hAnsi="TimesNewRoman" w:eastAsia="黑体" w:cs="TimesNewRoman"/>
          <w:szCs w:val="32"/>
        </w:rPr>
        <w:t>附件1-1</w:t>
      </w:r>
    </w:p>
    <w:p w14:paraId="22E38F46"/>
    <w:p w14:paraId="4EE0D52A"/>
    <w:p w14:paraId="1A116B38"/>
    <w:p w14:paraId="5BB8E9BF"/>
    <w:p w14:paraId="0A36B06C"/>
    <w:p w14:paraId="2B76CA9C"/>
    <w:p w14:paraId="4D754E4F"/>
    <w:p w14:paraId="12BFAFA6"/>
    <w:p w14:paraId="6FBE2E1F">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淮北市烈山区古饶中心学校2025年</w:t>
      </w:r>
    </w:p>
    <w:p w14:paraId="26B08415">
      <w:pPr>
        <w:spacing w:line="560" w:lineRule="exact"/>
        <w:jc w:val="center"/>
        <w:rPr>
          <w:rFonts w:ascii="TimesNewRoman" w:hAnsi="TimesNewRoman" w:eastAsia="华文中宋" w:cs="TimesNewRoman"/>
          <w:b/>
          <w:sz w:val="44"/>
          <w:szCs w:val="44"/>
        </w:rPr>
      </w:pPr>
      <w:r>
        <w:rPr>
          <w:rFonts w:hint="eastAsia" w:ascii="TimesNewRoman" w:hAnsi="TimesNewRoman" w:eastAsia="华文中宋" w:cs="TimesNewRoman"/>
          <w:b/>
          <w:sz w:val="44"/>
          <w:szCs w:val="44"/>
        </w:rPr>
        <w:t>部门预算</w:t>
      </w:r>
    </w:p>
    <w:p w14:paraId="734AB08F"/>
    <w:p w14:paraId="7BB5B47A"/>
    <w:p w14:paraId="05D2F97E"/>
    <w:p w14:paraId="07634EBD"/>
    <w:p w14:paraId="35467BC5"/>
    <w:p w14:paraId="51D10E45"/>
    <w:p w14:paraId="57BE1C70"/>
    <w:p w14:paraId="086237CB"/>
    <w:p w14:paraId="1E8FCFDF"/>
    <w:p w14:paraId="6E05A35A"/>
    <w:p w14:paraId="28849B68"/>
    <w:p w14:paraId="3EA3464A"/>
    <w:p w14:paraId="3ADE7760"/>
    <w:p w14:paraId="6AB00CF0"/>
    <w:p w14:paraId="0242F41E"/>
    <w:p w14:paraId="7B476C18"/>
    <w:p w14:paraId="1B5B065B"/>
    <w:p w14:paraId="55621F43"/>
    <w:p w14:paraId="6423B63C"/>
    <w:p w14:paraId="1CE9F4D6"/>
    <w:p w14:paraId="7A20216E"/>
    <w:p w14:paraId="5504ADCF"/>
    <w:p w14:paraId="47127B34">
      <w:pPr>
        <w:pStyle w:val="4"/>
        <w:adjustRightInd w:val="0"/>
        <w:snapToGrid w:val="0"/>
        <w:spacing w:line="560" w:lineRule="exact"/>
        <w:jc w:val="center"/>
        <w:rPr>
          <w:rFonts w:ascii="TimesNewRoman" w:hAnsi="TimesNewRoman" w:eastAsia="黑体" w:cs="TimesNewRoman"/>
          <w:bCs/>
          <w:sz w:val="44"/>
          <w:szCs w:val="44"/>
        </w:rPr>
      </w:pPr>
    </w:p>
    <w:p w14:paraId="3CC03AEF">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2025年</w:t>
      </w:r>
      <w:r>
        <w:rPr>
          <w:rFonts w:hint="eastAsia" w:ascii="TimesNewRoman" w:hAnsi="TimesNewRoman" w:eastAsia="黑体" w:cs="TimesNewRoman"/>
          <w:bCs/>
          <w:sz w:val="44"/>
          <w:szCs w:val="44"/>
          <w:lang w:val="en-US" w:eastAsia="zh-CN"/>
        </w:rPr>
        <w:t>1</w:t>
      </w:r>
      <w:r>
        <w:rPr>
          <w:rFonts w:hint="eastAsia" w:ascii="TimesNewRoman" w:hAnsi="TimesNewRoman" w:eastAsia="黑体" w:cs="TimesNewRoman"/>
          <w:bCs/>
          <w:sz w:val="44"/>
          <w:szCs w:val="44"/>
        </w:rPr>
        <w:t>月</w:t>
      </w:r>
    </w:p>
    <w:p w14:paraId="75C1E8BF"/>
    <w:p w14:paraId="169EB35D"/>
    <w:p w14:paraId="38011282">
      <w:pPr>
        <w:pStyle w:val="4"/>
        <w:adjustRightInd w:val="0"/>
        <w:snapToGrid w:val="0"/>
        <w:spacing w:line="560" w:lineRule="exact"/>
        <w:jc w:val="center"/>
        <w:rPr>
          <w:rFonts w:ascii="TimesNewRoman" w:hAnsi="TimesNewRoman" w:eastAsia="黑体" w:cs="TimesNewRoman"/>
          <w:bCs/>
          <w:sz w:val="44"/>
          <w:szCs w:val="44"/>
        </w:rPr>
      </w:pPr>
      <w:r>
        <w:rPr>
          <w:rFonts w:hint="eastAsia" w:ascii="TimesNewRoman" w:hAnsi="TimesNewRoman" w:eastAsia="黑体" w:cs="TimesNewRoman"/>
          <w:bCs/>
          <w:sz w:val="44"/>
          <w:szCs w:val="44"/>
        </w:rPr>
        <w:t>目  录</w:t>
      </w:r>
    </w:p>
    <w:p w14:paraId="418A0A11"/>
    <w:p w14:paraId="0B67BAC5">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第一部分 部门（单位）概况</w:t>
      </w:r>
    </w:p>
    <w:p w14:paraId="41F2DDC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1、主要职责</w:t>
      </w:r>
    </w:p>
    <w:p w14:paraId="7C1D703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2、部门（单位）预算构成</w:t>
      </w:r>
    </w:p>
    <w:p w14:paraId="5FFC2EE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 、2025年度主要工作任务</w:t>
      </w:r>
    </w:p>
    <w:p w14:paraId="510F141B">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第二部分 2025年部门（单位）预算表</w:t>
      </w:r>
    </w:p>
    <w:p w14:paraId="705638E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1、淮北市烈山区古饶中心学校2025年收支总表</w:t>
      </w:r>
    </w:p>
    <w:p w14:paraId="145270AE">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2、淮北市烈山区古饶中心学校2025年收入总表</w:t>
      </w:r>
    </w:p>
    <w:p w14:paraId="3F3EF98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3、淮北市烈山区古饶中心学校2025年支出总表</w:t>
      </w:r>
    </w:p>
    <w:p w14:paraId="047A305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4、淮北市烈山区古饶中心学校2025年财政拨款收支总表</w:t>
      </w:r>
    </w:p>
    <w:p w14:paraId="57F3676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5、淮北市烈山区古饶中心学校2025年一般公共预算支出表</w:t>
      </w:r>
    </w:p>
    <w:p w14:paraId="02C88E35">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6、淮北市烈山区古饶中心学校2025年一般公共预算基本支出表</w:t>
      </w:r>
    </w:p>
    <w:p w14:paraId="5D2DDF0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7、淮北市烈山区古饶中心学校2025年政府性基金预算支出表</w:t>
      </w:r>
    </w:p>
    <w:p w14:paraId="053D2BB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8、淮北市烈山区古饶中心学校2025年国有资本经营预算支出表</w:t>
      </w:r>
    </w:p>
    <w:p w14:paraId="55DED130">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9、淮北市烈山区古饶中心学校2025年项目支出表</w:t>
      </w:r>
    </w:p>
    <w:p w14:paraId="01A1D36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10、淮北市烈山区古饶中心学校2025年政府采购支出表</w:t>
      </w:r>
    </w:p>
    <w:p w14:paraId="2162C74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11、淮北市烈山区古饶中心学校2025年政府购买服务支出表</w:t>
      </w:r>
    </w:p>
    <w:p w14:paraId="33606C43">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12、淮北市烈山区古饶中心学校2025</w:t>
      </w:r>
      <w:r>
        <w:rPr>
          <w:rFonts w:ascii="TimesNewRoman" w:hAnsi="TimesNewRoman" w:eastAsia="仿宋_GB2312" w:cs="TimesNewRoman"/>
          <w:bCs/>
          <w:sz w:val="32"/>
          <w:szCs w:val="32"/>
        </w:rPr>
        <w:t>年通用资产配置支出表</w:t>
      </w:r>
    </w:p>
    <w:p w14:paraId="056AD097">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第三部分 2025年部门预算情况说明</w:t>
      </w:r>
    </w:p>
    <w:p w14:paraId="67BC552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1、关于2025年收支总表的说明</w:t>
      </w:r>
    </w:p>
    <w:p w14:paraId="31B3676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2、关于2025年收入总表的说明</w:t>
      </w:r>
    </w:p>
    <w:p w14:paraId="43C20B1D">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3、关于2025年支出总表的说明</w:t>
      </w:r>
    </w:p>
    <w:p w14:paraId="5BA9DF5A">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4、关于2025年财政拨款收支总表的说明</w:t>
      </w:r>
    </w:p>
    <w:p w14:paraId="3D8A0DB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5、关于2025年一般公共预算支出表的说明</w:t>
      </w:r>
    </w:p>
    <w:p w14:paraId="24B1878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6、关于2025年一般公共预算基本支出表的说明</w:t>
      </w:r>
    </w:p>
    <w:p w14:paraId="41CCBFEF">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7、关于2025年政府性基金预算支出表的说明</w:t>
      </w:r>
    </w:p>
    <w:p w14:paraId="3159ED58">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8、关于2025年国有资本经营预算支出表的说明</w:t>
      </w:r>
    </w:p>
    <w:p w14:paraId="61E1F7C4">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9、关于2025年项目支出表的说明</w:t>
      </w:r>
    </w:p>
    <w:p w14:paraId="01E542A7">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10、关于2025年政府采购支出表的说明</w:t>
      </w:r>
    </w:p>
    <w:p w14:paraId="7E45105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11、关于2025年政府购买服务支出表的说明</w:t>
      </w:r>
    </w:p>
    <w:p w14:paraId="31D2B2C6">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12、其他重要事项情况说明</w:t>
      </w:r>
    </w:p>
    <w:p w14:paraId="2232C924">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第四部分 名词解释</w:t>
      </w:r>
    </w:p>
    <w:p w14:paraId="06CF92D6">
      <w:pPr>
        <w:pStyle w:val="4"/>
        <w:adjustRightInd w:val="0"/>
        <w:snapToGrid w:val="0"/>
        <w:spacing w:line="40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第五部分 其它公开事项</w:t>
      </w:r>
    </w:p>
    <w:p w14:paraId="31AE3F2C">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1、淮北市烈山区古饶中心学校2025年部门预算纳入绩效考评项目表</w:t>
      </w:r>
    </w:p>
    <w:p w14:paraId="5BBD2E72">
      <w:pPr>
        <w:pStyle w:val="4"/>
        <w:adjustRightInd w:val="0"/>
        <w:snapToGrid w:val="0"/>
        <w:spacing w:line="400" w:lineRule="exact"/>
        <w:ind w:firstLine="800" w:firstLineChars="250"/>
        <w:rPr>
          <w:rFonts w:ascii="TimesNewRoman" w:hAnsi="TimesNewRoman" w:eastAsia="仿宋_GB2312" w:cs="TimesNewRoman"/>
          <w:bCs/>
          <w:sz w:val="32"/>
          <w:szCs w:val="32"/>
        </w:rPr>
      </w:pPr>
      <w:r>
        <w:rPr>
          <w:rFonts w:hint="eastAsia" w:ascii="TimesNewRoman" w:hAnsi="TimesNewRoman" w:eastAsia="仿宋_GB2312" w:cs="TimesNewRoman"/>
          <w:bCs/>
          <w:sz w:val="32"/>
          <w:szCs w:val="32"/>
        </w:rPr>
        <w:t>2、淮北市烈山区古饶中心学校2025年部门预算专项资金管理清单（专栏公开）</w:t>
      </w:r>
    </w:p>
    <w:p w14:paraId="41C25117">
      <w:pPr>
        <w:pStyle w:val="4"/>
        <w:adjustRightInd w:val="0"/>
        <w:snapToGrid w:val="0"/>
        <w:spacing w:line="400" w:lineRule="exact"/>
        <w:ind w:firstLine="800" w:firstLineChars="250"/>
        <w:rPr>
          <w:rFonts w:ascii="TimesNewRoman" w:hAnsi="TimesNewRoman" w:eastAsia="仿宋_GB2312" w:cs="TimesNewRoman"/>
          <w:bCs/>
          <w:sz w:val="32"/>
          <w:szCs w:val="32"/>
        </w:rPr>
      </w:pPr>
    </w:p>
    <w:p w14:paraId="5EFA26D6">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第一部分 部门（单位）概况</w:t>
      </w:r>
    </w:p>
    <w:p w14:paraId="48CD4958"/>
    <w:p w14:paraId="18A667C4">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一、主要职责</w:t>
      </w:r>
    </w:p>
    <w:p w14:paraId="54756B45">
      <w:pPr>
        <w:spacing w:line="48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1、全面实施素质教育。深化教育领域综合改革，着力提高教育质量，培养学生创新精神。办好学前教育，均衡发展九年义务教育，完善终身教育体系，建设学习型社会。</w:t>
      </w:r>
    </w:p>
    <w:p w14:paraId="0DF12B8C">
      <w:pPr>
        <w:spacing w:line="48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2、大力促进教育公平。合理配置教育资源，支持特殊教育，提高家庭经济困难学生资助水平，积极推动农民工子女平等接受教育让每个孩子都能成为有用之才，鼓励引导社会力量兴办教育。</w:t>
      </w:r>
    </w:p>
    <w:p w14:paraId="558E4B65">
      <w:pPr>
        <w:spacing w:line="48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3、加强教育队伍建设。提高师德水平和业务能力，增加教师教书育人的荣誉感和责任感。</w:t>
      </w:r>
    </w:p>
    <w:p w14:paraId="354F501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二、部门（单位）预算构成</w:t>
      </w:r>
    </w:p>
    <w:p w14:paraId="61EDA1E8">
      <w:pPr>
        <w:spacing w:line="48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从预算单位构成看，淮北市烈山区古饶中心学校2025年度部门预算</w:t>
      </w:r>
      <w:r>
        <w:rPr>
          <w:rFonts w:hint="eastAsia" w:ascii="TimesNewRoman" w:hAnsi="TimesNewRoman" w:eastAsia="仿宋_GB2312" w:cs="TimesNewRoman"/>
          <w:sz w:val="32"/>
          <w:szCs w:val="32"/>
        </w:rPr>
        <w:t>仅包括</w:t>
      </w:r>
      <w:r>
        <w:rPr>
          <w:rFonts w:hint="eastAsia" w:ascii="TimesNewRoman" w:hAnsi="TimesNewRoman" w:eastAsia="仿宋_GB2312" w:cs="TimesNewRoman"/>
          <w:kern w:val="0"/>
          <w:sz w:val="32"/>
          <w:szCs w:val="32"/>
        </w:rPr>
        <w:t>本级预算，</w:t>
      </w:r>
      <w:r>
        <w:rPr>
          <w:rFonts w:hint="eastAsia" w:ascii="TimesNewRoman" w:hAnsi="TimesNewRoman" w:eastAsia="仿宋_GB2312" w:cs="TimesNewRoman"/>
          <w:sz w:val="32"/>
          <w:szCs w:val="32"/>
        </w:rPr>
        <w:t>无其他下属单位预算。</w:t>
      </w:r>
      <w:r>
        <w:rPr>
          <w:rFonts w:hint="eastAsia" w:ascii="TimesNewRoman" w:hAnsi="TimesNewRoman" w:eastAsia="仿宋_GB2312" w:cs="TimesNewRoman"/>
          <w:kern w:val="0"/>
          <w:sz w:val="32"/>
          <w:szCs w:val="32"/>
        </w:rPr>
        <w:t>纳入部门预算编制范围的单位共1个，具体情况见下表。</w:t>
      </w:r>
    </w:p>
    <w:tbl>
      <w:tblPr>
        <w:tblStyle w:val="5"/>
        <w:tblW w:w="9000" w:type="dxa"/>
        <w:tblInd w:w="288" w:type="dxa"/>
        <w:shd w:val="clear" w:color="auto" w:fill="FFFFFF"/>
        <w:tblLayout w:type="fixed"/>
        <w:tblCellMar>
          <w:top w:w="0" w:type="dxa"/>
          <w:left w:w="0" w:type="dxa"/>
          <w:bottom w:w="0" w:type="dxa"/>
          <w:right w:w="0" w:type="dxa"/>
        </w:tblCellMar>
      </w:tblPr>
      <w:tblGrid>
        <w:gridCol w:w="900"/>
        <w:gridCol w:w="3600"/>
        <w:gridCol w:w="4500"/>
      </w:tblGrid>
      <w:tr w14:paraId="4C33AAF2">
        <w:tblPrEx>
          <w:shd w:val="clear" w:color="auto" w:fill="FFFFFF"/>
          <w:tblCellMar>
            <w:top w:w="0" w:type="dxa"/>
            <w:left w:w="0" w:type="dxa"/>
            <w:bottom w:w="0" w:type="dxa"/>
            <w:right w:w="0" w:type="dxa"/>
          </w:tblCellMar>
        </w:tblPrEx>
        <w:trPr>
          <w:trHeight w:val="397" w:hRule="exact"/>
        </w:trPr>
        <w:tc>
          <w:tcPr>
            <w:tcW w:w="9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970F41E">
            <w:pPr>
              <w:adjustRightInd w:val="0"/>
              <w:snapToGrid w:val="0"/>
              <w:spacing w:line="360" w:lineRule="auto"/>
              <w:jc w:val="cente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序号</w:t>
            </w:r>
          </w:p>
        </w:tc>
        <w:tc>
          <w:tcPr>
            <w:tcW w:w="360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5359ADC7">
            <w:pPr>
              <w:adjustRightInd w:val="0"/>
              <w:snapToGrid w:val="0"/>
              <w:spacing w:line="360" w:lineRule="auto"/>
              <w:jc w:val="cente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单位名称</w:t>
            </w:r>
          </w:p>
        </w:tc>
        <w:tc>
          <w:tcPr>
            <w:tcW w:w="4500" w:type="dxa"/>
            <w:tcBorders>
              <w:top w:val="single" w:color="auto" w:sz="8" w:space="0"/>
              <w:left w:val="nil"/>
              <w:bottom w:val="single" w:color="auto" w:sz="8" w:space="0"/>
              <w:right w:val="single" w:color="auto" w:sz="8" w:space="0"/>
            </w:tcBorders>
            <w:shd w:val="clear" w:color="auto" w:fill="FFFFFF"/>
          </w:tcPr>
          <w:p w14:paraId="1F2272BC">
            <w:pPr>
              <w:adjustRightInd w:val="0"/>
              <w:snapToGrid w:val="0"/>
              <w:spacing w:line="360" w:lineRule="auto"/>
              <w:jc w:val="cente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单位性质</w:t>
            </w:r>
          </w:p>
        </w:tc>
      </w:tr>
      <w:tr w14:paraId="2420E8B6">
        <w:tblPrEx>
          <w:tblCellMar>
            <w:top w:w="0" w:type="dxa"/>
            <w:left w:w="0" w:type="dxa"/>
            <w:bottom w:w="0" w:type="dxa"/>
            <w:right w:w="0" w:type="dxa"/>
          </w:tblCellMar>
        </w:tblPrEx>
        <w:trPr>
          <w:trHeight w:val="397" w:hRule="exact"/>
        </w:trPr>
        <w:tc>
          <w:tcPr>
            <w:tcW w:w="900"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098798">
            <w:pPr>
              <w:adjustRightInd w:val="0"/>
              <w:snapToGrid w:val="0"/>
              <w:spacing w:line="360" w:lineRule="auto"/>
              <w:jc w:val="center"/>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w:t>
            </w:r>
          </w:p>
        </w:tc>
        <w:tc>
          <w:tcPr>
            <w:tcW w:w="360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1720445B">
            <w:pPr>
              <w:adjustRightInd w:val="0"/>
              <w:snapToGrid w:val="0"/>
              <w:spacing w:line="360" w:lineRule="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w:t>
            </w:r>
          </w:p>
        </w:tc>
        <w:tc>
          <w:tcPr>
            <w:tcW w:w="4500" w:type="dxa"/>
            <w:tcBorders>
              <w:top w:val="nil"/>
              <w:left w:val="nil"/>
              <w:bottom w:val="single" w:color="auto" w:sz="8" w:space="0"/>
              <w:right w:val="single" w:color="auto" w:sz="8" w:space="0"/>
            </w:tcBorders>
            <w:shd w:val="clear" w:color="auto" w:fill="FFFFFF"/>
          </w:tcPr>
          <w:p w14:paraId="158B24E8">
            <w:pPr>
              <w:adjustRightInd w:val="0"/>
              <w:snapToGrid w:val="0"/>
              <w:spacing w:line="360" w:lineRule="auto"/>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事业单位</w:t>
            </w:r>
          </w:p>
        </w:tc>
      </w:tr>
    </w:tbl>
    <w:p w14:paraId="148A1A32">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三、2025年度主要工作任务</w:t>
      </w:r>
    </w:p>
    <w:p w14:paraId="03DBBF3C">
      <w:pPr>
        <w:pStyle w:val="4"/>
        <w:adjustRightInd w:val="0"/>
        <w:snapToGrid w:val="0"/>
        <w:spacing w:line="560" w:lineRule="exact"/>
        <w:ind w:firstLine="627" w:firstLineChars="196"/>
        <w:rPr>
          <w:rFonts w:ascii="TimesNewRoman" w:hAnsi="TimesNewRoman" w:eastAsia="仿宋_GB2312" w:cs="TimesNewRoman"/>
          <w:bCs/>
          <w:sz w:val="32"/>
          <w:szCs w:val="32"/>
        </w:rPr>
      </w:pPr>
      <w:r>
        <w:rPr>
          <w:rFonts w:hint="eastAsia" w:ascii="TimesNewRoman" w:hAnsi="TimesNewRoman" w:eastAsia="仿宋_GB2312" w:cs="TimesNewRoman"/>
          <w:bCs/>
          <w:sz w:val="32"/>
          <w:szCs w:val="32"/>
        </w:rPr>
        <w:t>（一）</w:t>
      </w:r>
      <w:r>
        <w:rPr>
          <w:rFonts w:hint="eastAsia" w:ascii="仿宋_GB2312" w:hAnsi="黑体" w:eastAsia="仿宋_GB2312"/>
          <w:bCs/>
          <w:sz w:val="32"/>
          <w:szCs w:val="32"/>
        </w:rPr>
        <w:t>推进优质均衡，促进教育公平，全面完成义务教育优质均衡学校创建任务。</w:t>
      </w:r>
    </w:p>
    <w:p w14:paraId="5A9EBA85">
      <w:pPr>
        <w:pStyle w:val="4"/>
        <w:adjustRightInd w:val="0"/>
        <w:snapToGrid w:val="0"/>
        <w:spacing w:line="360" w:lineRule="auto"/>
        <w:ind w:firstLine="627" w:firstLineChars="196"/>
        <w:rPr>
          <w:rFonts w:ascii="仿宋_GB2312" w:hAnsi="黑体" w:eastAsia="仿宋_GB2312"/>
          <w:bCs/>
          <w:sz w:val="32"/>
          <w:szCs w:val="32"/>
        </w:rPr>
      </w:pPr>
      <w:r>
        <w:rPr>
          <w:rFonts w:hint="eastAsia" w:ascii="TimesNewRoman" w:hAnsi="TimesNewRoman" w:eastAsia="仿宋_GB2312" w:cs="TimesNewRoman"/>
          <w:bCs/>
          <w:sz w:val="32"/>
          <w:szCs w:val="32"/>
        </w:rPr>
        <w:t>（二）</w:t>
      </w:r>
      <w:r>
        <w:rPr>
          <w:rFonts w:hint="eastAsia" w:ascii="仿宋_GB2312" w:hAnsi="黑体" w:eastAsia="仿宋_GB2312"/>
          <w:bCs/>
          <w:sz w:val="32"/>
          <w:szCs w:val="32"/>
        </w:rPr>
        <w:t>强化师德行风建设和党风廉政建设。提升管理干部水平和教师专业发展能力。</w:t>
      </w:r>
    </w:p>
    <w:p w14:paraId="49077273">
      <w:pPr>
        <w:pStyle w:val="4"/>
        <w:adjustRightInd w:val="0"/>
        <w:snapToGrid w:val="0"/>
        <w:spacing w:line="360" w:lineRule="auto"/>
        <w:ind w:firstLine="627" w:firstLineChars="196"/>
        <w:rPr>
          <w:rFonts w:ascii="仿宋_GB2312" w:hAnsi="黑体" w:eastAsia="仿宋_GB2312"/>
          <w:bCs/>
          <w:sz w:val="32"/>
          <w:szCs w:val="32"/>
        </w:rPr>
      </w:pPr>
      <w:r>
        <w:rPr>
          <w:rFonts w:hint="eastAsia" w:ascii="仿宋_GB2312" w:hAnsi="黑体" w:eastAsia="仿宋_GB2312"/>
          <w:bCs/>
          <w:sz w:val="32"/>
          <w:szCs w:val="32"/>
        </w:rPr>
        <w:t>（三）深化课堂教学改革，提升教师业务素质，规范流程管理，全面实施素质教育。</w:t>
      </w:r>
    </w:p>
    <w:p w14:paraId="4AAF2E6C">
      <w:pPr>
        <w:pStyle w:val="4"/>
        <w:adjustRightInd w:val="0"/>
        <w:snapToGrid w:val="0"/>
        <w:spacing w:line="360" w:lineRule="auto"/>
        <w:ind w:firstLine="627" w:firstLineChars="196"/>
        <w:rPr>
          <w:rFonts w:ascii="仿宋_GB2312" w:hAnsi="黑体" w:eastAsia="仿宋_GB2312"/>
          <w:bCs/>
          <w:sz w:val="32"/>
          <w:szCs w:val="32"/>
        </w:rPr>
      </w:pPr>
      <w:r>
        <w:rPr>
          <w:rFonts w:hint="eastAsia" w:ascii="仿宋_GB2312" w:hAnsi="黑体" w:eastAsia="仿宋_GB2312"/>
          <w:bCs/>
          <w:sz w:val="32"/>
          <w:szCs w:val="32"/>
        </w:rPr>
        <w:t>（四）强化安全稳定和法制工作，巩固“安全文明校园”创建成果。</w:t>
      </w:r>
    </w:p>
    <w:p w14:paraId="62203D2F">
      <w:pPr>
        <w:pStyle w:val="4"/>
        <w:adjustRightInd w:val="0"/>
        <w:snapToGrid w:val="0"/>
        <w:spacing w:line="360" w:lineRule="auto"/>
        <w:ind w:firstLine="627" w:firstLineChars="196"/>
        <w:rPr>
          <w:rFonts w:ascii="仿宋_GB2312" w:hAnsi="黑体" w:eastAsia="仿宋_GB2312"/>
          <w:bCs/>
          <w:sz w:val="32"/>
          <w:szCs w:val="32"/>
        </w:rPr>
      </w:pPr>
      <w:r>
        <w:rPr>
          <w:rFonts w:hint="eastAsia" w:ascii="仿宋_GB2312" w:hAnsi="黑体" w:eastAsia="仿宋_GB2312"/>
          <w:bCs/>
          <w:sz w:val="32"/>
          <w:szCs w:val="32"/>
        </w:rPr>
        <w:t>（五）加强民主建设，规范条块管理，促进学校发展。规范学校财务管理，认真编制学校预算，有序采购，合理支出，保证教育教学。</w:t>
      </w:r>
    </w:p>
    <w:p w14:paraId="189850F3">
      <w:pPr>
        <w:pStyle w:val="4"/>
        <w:adjustRightInd w:val="0"/>
        <w:snapToGrid w:val="0"/>
        <w:spacing w:line="560" w:lineRule="exact"/>
        <w:ind w:firstLine="627" w:firstLineChars="196"/>
        <w:rPr>
          <w:rFonts w:ascii="TimesNewRoman" w:hAnsi="TimesNewRoman" w:eastAsia="仿宋_GB2312" w:cs="TimesNewRoman"/>
          <w:bCs/>
          <w:sz w:val="32"/>
          <w:szCs w:val="32"/>
        </w:rPr>
      </w:pPr>
    </w:p>
    <w:p w14:paraId="70CA9E40"/>
    <w:p w14:paraId="3AA15EC4">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第二部分 2025年部门（单位）预算表</w:t>
      </w:r>
    </w:p>
    <w:p w14:paraId="0DD99CBC">
      <w:pPr>
        <w:pStyle w:val="4"/>
        <w:adjustRightInd w:val="0"/>
        <w:snapToGrid w:val="0"/>
        <w:spacing w:line="560" w:lineRule="exact"/>
        <w:ind w:firstLine="627" w:firstLineChars="196"/>
        <w:jc w:val="center"/>
        <w:rPr>
          <w:rFonts w:ascii="TimesNewRoman" w:hAnsi="TimesNewRoman" w:eastAsia="仿宋_GB2312" w:cs="TimesNewRoman"/>
          <w:bCs/>
          <w:sz w:val="32"/>
          <w:szCs w:val="32"/>
        </w:rPr>
      </w:pPr>
      <w:r>
        <w:rPr>
          <w:rFonts w:hint="eastAsia" w:ascii="TimesNewRoman" w:hAnsi="TimesNewRoman" w:eastAsia="仿宋_GB2312" w:cs="TimesNewRoman"/>
          <w:bCs/>
          <w:sz w:val="32"/>
          <w:szCs w:val="32"/>
        </w:rPr>
        <w:t>见附件1-2</w:t>
      </w:r>
    </w:p>
    <w:p w14:paraId="42B20440"/>
    <w:p w14:paraId="0D8FE80F">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第三部分 2025年部门（单位）预算情况说明</w:t>
      </w:r>
    </w:p>
    <w:p w14:paraId="2B36248C"/>
    <w:p w14:paraId="3FF1DE4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一、关于2025年收支总表的说明</w:t>
      </w:r>
    </w:p>
    <w:p w14:paraId="3339D5DD">
      <w:pPr>
        <w:jc w:val="left"/>
        <w:rPr>
          <w:rFonts w:ascii="TimesNewRoman" w:hAnsi="TimesNewRoman" w:eastAsia="仿宋_GB2312" w:cs="TimesNewRoman"/>
          <w:sz w:val="32"/>
          <w:szCs w:val="32"/>
        </w:rPr>
      </w:pPr>
      <w:r>
        <w:rPr>
          <w:rFonts w:ascii="TimesNewRoman" w:hAnsi="TimesNewRoman" w:eastAsia="仿宋_GB2312" w:cs="TimesNewRoman"/>
          <w:sz w:val="32"/>
          <w:szCs w:val="32"/>
        </w:rPr>
        <w:t>按照综合预算的原则，</w:t>
      </w:r>
      <w:r>
        <w:rPr>
          <w:rFonts w:hint="eastAsia" w:ascii="TimesNewRoman" w:hAnsi="TimesNewRoman" w:eastAsia="仿宋_GB2312" w:cs="TimesNewRoman"/>
          <w:sz w:val="32"/>
          <w:szCs w:val="32"/>
        </w:rPr>
        <w:t>淮北市</w:t>
      </w:r>
      <w:r>
        <w:rPr>
          <w:rFonts w:hint="eastAsia" w:ascii="仿宋_GB2312" w:hAnsi="仿宋" w:eastAsia="仿宋_GB2312"/>
          <w:sz w:val="32"/>
          <w:szCs w:val="32"/>
        </w:rPr>
        <w:t>烈山区古饶中心校</w:t>
      </w:r>
      <w:r>
        <w:rPr>
          <w:rFonts w:ascii="TimesNewRoman" w:hAnsi="TimesNewRoman" w:eastAsia="仿宋_GB2312" w:cs="TimesNewRoman"/>
          <w:sz w:val="32"/>
          <w:szCs w:val="32"/>
        </w:rPr>
        <w:t>所有收入和支出均纳入部门</w:t>
      </w:r>
      <w:r>
        <w:rPr>
          <w:rFonts w:hint="eastAsia" w:ascii="TimesNewRoman" w:hAnsi="TimesNewRoman" w:eastAsia="仿宋_GB2312" w:cs="TimesNewRoman"/>
          <w:sz w:val="32"/>
          <w:szCs w:val="32"/>
        </w:rPr>
        <w:t>淮北市</w:t>
      </w:r>
      <w:r>
        <w:rPr>
          <w:rFonts w:hint="eastAsia" w:ascii="仿宋_GB2312" w:hAnsi="仿宋" w:eastAsia="仿宋_GB2312"/>
          <w:sz w:val="32"/>
          <w:szCs w:val="32"/>
        </w:rPr>
        <w:t>烈山区古饶中心校</w:t>
      </w:r>
      <w:r>
        <w:rPr>
          <w:rFonts w:ascii="TimesNewRoman" w:hAnsi="TimesNewRoman" w:eastAsia="仿宋_GB2312" w:cs="TimesNewRoman"/>
          <w:sz w:val="32"/>
          <w:szCs w:val="32"/>
        </w:rPr>
        <w:t>预算管理。</w:t>
      </w:r>
      <w:r>
        <w:rPr>
          <w:rFonts w:hint="eastAsia" w:ascii="TimesNewRoman" w:hAnsi="TimesNewRoman" w:eastAsia="仿宋_GB2312" w:cs="TimesNewRoman"/>
          <w:sz w:val="32"/>
          <w:szCs w:val="32"/>
        </w:rPr>
        <w:t>淮北市</w:t>
      </w:r>
      <w:r>
        <w:rPr>
          <w:rFonts w:hint="eastAsia" w:ascii="仿宋_GB2312" w:hAnsi="仿宋" w:eastAsia="仿宋_GB2312"/>
          <w:sz w:val="32"/>
          <w:szCs w:val="32"/>
        </w:rPr>
        <w:t>烈山区古饶中心校</w:t>
      </w:r>
      <w:r>
        <w:rPr>
          <w:rFonts w:ascii="TimesNewRoman" w:hAnsi="TimesNewRoman" w:eastAsia="仿宋_GB2312" w:cs="TimesNewRoman"/>
          <w:sz w:val="32"/>
          <w:szCs w:val="32"/>
        </w:rPr>
        <w:t>2025年收支总预算</w:t>
      </w:r>
      <w:r>
        <w:rPr>
          <w:rFonts w:hint="eastAsia" w:ascii="TimesNewRoman" w:hAnsi="TimesNewRoman" w:eastAsia="仿宋_GB2312" w:cs="TimesNewRoman"/>
          <w:sz w:val="32"/>
          <w:szCs w:val="32"/>
        </w:rPr>
        <w:t>5,467.16</w:t>
      </w:r>
      <w:r>
        <w:rPr>
          <w:rFonts w:ascii="TimesNewRoman" w:hAnsi="TimesNewRoman" w:eastAsia="仿宋_GB2312" w:cs="TimesNewRoman"/>
          <w:sz w:val="32"/>
          <w:szCs w:val="32"/>
        </w:rPr>
        <w:t>万元，收入</w:t>
      </w:r>
      <w:r>
        <w:rPr>
          <w:rFonts w:hint="eastAsia" w:ascii="TimesNewRoman" w:hAnsi="TimesNewRoman" w:eastAsia="仿宋_GB2312" w:cs="TimesNewRoman"/>
          <w:sz w:val="32"/>
          <w:szCs w:val="32"/>
        </w:rPr>
        <w:t>包括：</w:t>
      </w:r>
      <w:r>
        <w:rPr>
          <w:rFonts w:hint="eastAsia" w:ascii="仿宋_GB2312" w:hAnsi="仿宋" w:eastAsia="仿宋_GB2312"/>
          <w:sz w:val="32"/>
          <w:szCs w:val="32"/>
        </w:rPr>
        <w:t>一般公共预算拨款5415.56万元、</w:t>
      </w:r>
      <w:r>
        <w:rPr>
          <w:rFonts w:hint="eastAsia" w:ascii="TimesNewRoman" w:hAnsi="TimesNewRoman" w:eastAsia="仿宋_GB2312" w:cs="TimesNewRoman"/>
          <w:sz w:val="32"/>
          <w:szCs w:val="32"/>
        </w:rPr>
        <w:t>财政专户管理资金51.6万元。</w:t>
      </w:r>
      <w:r>
        <w:rPr>
          <w:rFonts w:ascii="TimesNewRoman" w:hAnsi="TimesNewRoman" w:eastAsia="仿宋_GB2312" w:cs="TimesNewRoman"/>
          <w:sz w:val="32"/>
          <w:szCs w:val="32"/>
        </w:rPr>
        <w:t>支出</w:t>
      </w:r>
      <w:r>
        <w:rPr>
          <w:rFonts w:hint="eastAsia" w:ascii="TimesNewRoman" w:hAnsi="TimesNewRoman" w:eastAsia="仿宋_GB2312" w:cs="TimesNewRoman"/>
          <w:sz w:val="32"/>
          <w:szCs w:val="32"/>
        </w:rPr>
        <w:t>包括：教育支出3934.52</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、社会保障和就业支出604.83万元、卫生健康支出224.82万元、住房保障支出703万元</w:t>
      </w:r>
      <w:r>
        <w:rPr>
          <w:rFonts w:ascii="TimesNewRoman" w:hAnsi="TimesNewRoman" w:eastAsia="仿宋_GB2312" w:cs="TimesNewRoman"/>
          <w:sz w:val="32"/>
          <w:szCs w:val="32"/>
        </w:rPr>
        <w:t>。</w:t>
      </w:r>
    </w:p>
    <w:p w14:paraId="5B0AF475">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二、关于2025年收入总表的说明</w:t>
      </w:r>
    </w:p>
    <w:p w14:paraId="05356AC5">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淮北市烈山区古饶中心学校2025年收入预算**万元，其中，本年收入5467.13万元。</w:t>
      </w:r>
    </w:p>
    <w:p w14:paraId="70409433">
      <w:pPr>
        <w:ind w:firstLine="643" w:firstLineChars="200"/>
        <w:rPr>
          <w:rFonts w:ascii="TimesNewRoman" w:hAnsi="TimesNewRoman" w:eastAsia="仿宋_GB2312" w:cs="TimesNewRoman"/>
          <w:kern w:val="0"/>
          <w:sz w:val="32"/>
          <w:szCs w:val="32"/>
        </w:rPr>
      </w:pPr>
      <w:r>
        <w:rPr>
          <w:rFonts w:hint="eastAsia" w:ascii="TimesNewRoman" w:hAnsi="TimesNewRoman" w:eastAsia="仿宋_GB2312" w:cs="TimesNewRoman"/>
          <w:b/>
          <w:kern w:val="0"/>
          <w:sz w:val="32"/>
          <w:szCs w:val="32"/>
        </w:rPr>
        <w:t>（一）本年收入5467.13万元，</w:t>
      </w:r>
      <w:r>
        <w:rPr>
          <w:rFonts w:hint="eastAsia" w:ascii="TimesNewRoman" w:hAnsi="TimesNewRoman" w:eastAsia="仿宋_GB2312" w:cs="TimesNewRoman"/>
          <w:kern w:val="0"/>
          <w:sz w:val="32"/>
          <w:szCs w:val="32"/>
        </w:rPr>
        <w:t>主要包括：一般公共预算拨款收入5415.56万元，占99.06%，比2024年预算减少391.92万元，下降6.7%，原因主要是在职人员减少；政府性基金预算拨款收入0万元，与2024年预算持平；财政专户管理资金收入51.6万元，占0.94%，比2024年预算增加5.1万元，增长10.9%，原因主要是幼儿人数增加。</w:t>
      </w:r>
    </w:p>
    <w:p w14:paraId="4040AC8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三、关于2025年支出总表的说明</w:t>
      </w:r>
    </w:p>
    <w:p w14:paraId="17D858D6">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淮北市烈山区古饶中心校</w:t>
      </w:r>
      <w:r>
        <w:rPr>
          <w:rFonts w:ascii="TimesNewRoman" w:hAnsi="TimesNewRoman" w:eastAsia="仿宋_GB2312" w:cs="TimesNewRoman"/>
          <w:kern w:val="0"/>
          <w:sz w:val="32"/>
          <w:szCs w:val="32"/>
        </w:rPr>
        <w:t>2025年支出预算</w:t>
      </w:r>
      <w:r>
        <w:rPr>
          <w:rFonts w:hint="eastAsia" w:ascii="TimesNewRoman" w:hAnsi="TimesNewRoman" w:eastAsia="仿宋_GB2312" w:cs="TimesNewRoman"/>
          <w:kern w:val="0"/>
          <w:sz w:val="32"/>
          <w:szCs w:val="32"/>
        </w:rPr>
        <w:t>5467.13</w:t>
      </w:r>
      <w:r>
        <w:rPr>
          <w:rFonts w:ascii="TimesNewRoman" w:hAnsi="TimesNewRoman" w:eastAsia="仿宋_GB2312" w:cs="TimesNewRoman"/>
          <w:kern w:val="0"/>
          <w:sz w:val="32"/>
          <w:szCs w:val="32"/>
        </w:rPr>
        <w:t>万元，比202</w:t>
      </w:r>
      <w:r>
        <w:rPr>
          <w:rFonts w:hint="eastAsia" w:ascii="TimesNewRoman" w:hAnsi="TimesNewRoman" w:eastAsia="仿宋_GB2312" w:cs="TimesNewRoman"/>
          <w:kern w:val="0"/>
          <w:sz w:val="32"/>
          <w:szCs w:val="32"/>
        </w:rPr>
        <w:t>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减少386.85</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减少6.61</w:t>
      </w:r>
      <w:r>
        <w:rPr>
          <w:rFonts w:ascii="TimesNewRoman" w:hAnsi="TimesNewRoman" w:eastAsia="仿宋_GB2312" w:cs="TimesNewRoman"/>
          <w:kern w:val="0"/>
          <w:sz w:val="32"/>
          <w:szCs w:val="32"/>
        </w:rPr>
        <w:t xml:space="preserve"> %，</w:t>
      </w:r>
      <w:r>
        <w:rPr>
          <w:rFonts w:hint="eastAsia" w:ascii="TimesNewRoman" w:hAnsi="TimesNewRoman" w:eastAsia="仿宋_GB2312" w:cs="TimesNewRoman"/>
          <w:kern w:val="0"/>
          <w:sz w:val="32"/>
          <w:szCs w:val="32"/>
        </w:rPr>
        <w:t>减少</w:t>
      </w:r>
      <w:r>
        <w:rPr>
          <w:rFonts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rPr>
        <w:t>：在职人员减少</w:t>
      </w:r>
      <w:r>
        <w:rPr>
          <w:rFonts w:ascii="TimesNewRoman" w:hAnsi="TimesNewRoman" w:eastAsia="仿宋_GB2312" w:cs="TimesNewRoman"/>
          <w:kern w:val="0"/>
          <w:sz w:val="32"/>
          <w:szCs w:val="32"/>
        </w:rPr>
        <w:t>。其中，基本支出</w:t>
      </w:r>
      <w:r>
        <w:rPr>
          <w:rFonts w:hint="eastAsia" w:ascii="TimesNewRoman" w:hAnsi="TimesNewRoman" w:eastAsia="仿宋_GB2312" w:cs="TimesNewRoman"/>
          <w:kern w:val="0"/>
          <w:sz w:val="32"/>
          <w:szCs w:val="32"/>
        </w:rPr>
        <w:t>5350.55</w:t>
      </w:r>
      <w:r>
        <w:rPr>
          <w:rFonts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rPr>
        <w:t>97.86</w:t>
      </w:r>
      <w:r>
        <w:rPr>
          <w:rFonts w:ascii="TimesNewRoman" w:hAnsi="TimesNewRoman" w:eastAsia="仿宋_GB2312" w:cs="TimesNewRoman"/>
          <w:kern w:val="0"/>
          <w:sz w:val="32"/>
          <w:szCs w:val="32"/>
        </w:rPr>
        <w:t>%，主要用于保障机构日常运转、完成日常工作任务</w:t>
      </w:r>
      <w:r>
        <w:rPr>
          <w:rFonts w:hint="eastAsia" w:ascii="TimesNewRoman" w:hAnsi="TimesNewRoman" w:eastAsia="仿宋_GB2312" w:cs="TimesNewRoman"/>
          <w:kern w:val="0"/>
          <w:sz w:val="32"/>
          <w:szCs w:val="32"/>
        </w:rPr>
        <w:t>等</w:t>
      </w:r>
      <w:r>
        <w:rPr>
          <w:rFonts w:ascii="TimesNewRoman" w:hAnsi="TimesNewRoman" w:eastAsia="仿宋_GB2312" w:cs="TimesNewRoman"/>
          <w:kern w:val="0"/>
          <w:sz w:val="32"/>
          <w:szCs w:val="32"/>
        </w:rPr>
        <w:t>；项目支出</w:t>
      </w:r>
      <w:r>
        <w:rPr>
          <w:rFonts w:hint="eastAsia" w:ascii="TimesNewRoman" w:hAnsi="TimesNewRoman" w:eastAsia="仿宋_GB2312" w:cs="TimesNewRoman"/>
          <w:kern w:val="0"/>
          <w:sz w:val="32"/>
          <w:szCs w:val="32"/>
        </w:rPr>
        <w:t>116.62</w:t>
      </w:r>
      <w:r>
        <w:rPr>
          <w:rFonts w:ascii="TimesNewRoman" w:hAnsi="TimesNewRoman" w:eastAsia="仿宋_GB2312" w:cs="TimesNewRoman"/>
          <w:kern w:val="0"/>
          <w:sz w:val="32"/>
          <w:szCs w:val="32"/>
        </w:rPr>
        <w:t>万元，占</w:t>
      </w:r>
      <w:r>
        <w:rPr>
          <w:rFonts w:hint="eastAsia" w:ascii="TimesNewRoman" w:hAnsi="TimesNewRoman" w:eastAsia="仿宋_GB2312" w:cs="TimesNewRoman"/>
          <w:kern w:val="0"/>
          <w:sz w:val="32"/>
          <w:szCs w:val="32"/>
        </w:rPr>
        <w:t>2.14</w:t>
      </w:r>
      <w:r>
        <w:rPr>
          <w:rFonts w:ascii="TimesNewRoman" w:hAnsi="TimesNewRoman" w:eastAsia="仿宋_GB2312" w:cs="TimesNewRoman"/>
          <w:kern w:val="0"/>
          <w:sz w:val="32"/>
          <w:szCs w:val="32"/>
        </w:rPr>
        <w:t>%，</w:t>
      </w:r>
      <w:r>
        <w:rPr>
          <w:rFonts w:hint="eastAsia" w:ascii="TimesNewRoman" w:hAnsi="TimesNewRoman" w:eastAsia="仿宋_GB2312" w:cs="TimesNewRoman"/>
          <w:kern w:val="0"/>
          <w:sz w:val="32"/>
          <w:szCs w:val="32"/>
        </w:rPr>
        <w:t>主要用于保障机构日常运转、完成日常工作任务。</w:t>
      </w:r>
    </w:p>
    <w:p w14:paraId="156D69E6">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四、关于2025年财政拨款收支总表的说明</w:t>
      </w:r>
    </w:p>
    <w:p w14:paraId="22B13E48">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校2025年财政拨款收支预算5415.56万元。收入按资金来源分为：一般公共预算拨款5415.56万元；按资金年度分为：本年财政拨款收入5415.56万元。支出按功能分类分为：教育支出3882.92万元，占71.7%；社会保障和就业支出604.83万元，占11.17%；卫生健康支出224.82万元，占4.15%；住房保障支出703万元，占12.98%。</w:t>
      </w:r>
    </w:p>
    <w:p w14:paraId="5D4762DD">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五、关于2025年一般公共预算支出表的说明</w:t>
      </w:r>
    </w:p>
    <w:p w14:paraId="4CFC2F2A">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（一）一般公共预算支出规模变化情况。</w:t>
      </w:r>
    </w:p>
    <w:p w14:paraId="5F93F161">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淮北市烈山区古饶中心校2025年一般公共预算支出5415.56万元，比2024年预算减少391.92万元，下降6.74%，主要原因：一是在职教职工的减少；二是大型修缮类项目减少。</w:t>
      </w:r>
    </w:p>
    <w:p w14:paraId="71721A5C">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（二）一般公共预算支出结构情况。</w:t>
      </w:r>
    </w:p>
    <w:p w14:paraId="45AB71F7">
      <w:pPr>
        <w:pStyle w:val="4"/>
        <w:adjustRightInd w:val="0"/>
        <w:snapToGrid w:val="0"/>
        <w:spacing w:line="560" w:lineRule="exact"/>
        <w:ind w:firstLine="627" w:firstLineChars="196"/>
        <w:rPr>
          <w:rFonts w:ascii="TimesNewRoman" w:hAnsi="TimesNewRoman" w:eastAsia="仿宋_GB2312" w:cs="TimesNewRoman"/>
          <w:sz w:val="32"/>
          <w:szCs w:val="32"/>
        </w:rPr>
      </w:pPr>
      <w:r>
        <w:rPr>
          <w:rFonts w:hint="eastAsia" w:ascii="TimesNewRoman" w:hAnsi="TimesNewRoman" w:eastAsia="仿宋_GB2312" w:cs="TimesNewRoman"/>
          <w:sz w:val="32"/>
          <w:szCs w:val="32"/>
        </w:rPr>
        <w:t>教育支出3882.92万元，占71.7%；社会保障和就业支出604.83万元，占11.17%；卫生健康支出224.82万元，占4.15%；住房保障支出703万元，占12.98%。</w:t>
      </w:r>
    </w:p>
    <w:p w14:paraId="33A85DA7">
      <w:pPr>
        <w:pStyle w:val="4"/>
        <w:adjustRightInd w:val="0"/>
        <w:snapToGrid w:val="0"/>
        <w:spacing w:line="560" w:lineRule="exact"/>
        <w:ind w:firstLine="630" w:firstLineChars="196"/>
        <w:rPr>
          <w:rFonts w:ascii="TimesNewRoman" w:hAnsi="TimesNewRoman" w:eastAsia="楷体_GB2312" w:cs="TimesNewRoman"/>
          <w:b/>
          <w:sz w:val="32"/>
          <w:szCs w:val="32"/>
        </w:rPr>
      </w:pPr>
      <w:r>
        <w:rPr>
          <w:rFonts w:hint="eastAsia" w:ascii="TimesNewRoman" w:hAnsi="TimesNewRoman" w:eastAsia="楷体_GB2312" w:cs="TimesNewRoman"/>
          <w:b/>
          <w:sz w:val="32"/>
          <w:szCs w:val="32"/>
        </w:rPr>
        <w:t>（三）一般公共预算支出具体使用情况。</w:t>
      </w:r>
    </w:p>
    <w:p w14:paraId="6A1B87A4">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1、教育</w:t>
      </w:r>
      <w:r>
        <w:rPr>
          <w:rFonts w:ascii="TimesNewRoman" w:hAnsi="TimesNewRoman" w:eastAsia="仿宋_GB2312" w:cs="TimesNewRoman"/>
          <w:kern w:val="0"/>
          <w:sz w:val="32"/>
          <w:szCs w:val="32"/>
        </w:rPr>
        <w:t>支出（类）</w:t>
      </w:r>
      <w:r>
        <w:rPr>
          <w:rFonts w:hint="eastAsia" w:ascii="TimesNewRoman" w:hAnsi="TimesNewRoman" w:eastAsia="仿宋_GB2312" w:cs="TimesNewRoman"/>
          <w:kern w:val="0"/>
          <w:sz w:val="32"/>
          <w:szCs w:val="32"/>
        </w:rPr>
        <w:t>普通教育</w:t>
      </w:r>
      <w:r>
        <w:rPr>
          <w:rFonts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rPr>
        <w:t>学前教育</w:t>
      </w:r>
      <w:r>
        <w:rPr>
          <w:rFonts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rPr>
        <w:t>2025年预算45.8万元，比2024年预算增加减少44.87万元，下降49.49%，原因主要是学前大型修缮类项目减少。</w:t>
      </w:r>
    </w:p>
    <w:p w14:paraId="19C7ACE1">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2、教育</w:t>
      </w:r>
      <w:r>
        <w:rPr>
          <w:rFonts w:ascii="TimesNewRoman" w:hAnsi="TimesNewRoman" w:eastAsia="仿宋_GB2312" w:cs="TimesNewRoman"/>
          <w:kern w:val="0"/>
          <w:sz w:val="32"/>
          <w:szCs w:val="32"/>
        </w:rPr>
        <w:t>支出（类）</w:t>
      </w:r>
      <w:r>
        <w:rPr>
          <w:rFonts w:hint="eastAsia" w:ascii="TimesNewRoman" w:hAnsi="TimesNewRoman" w:eastAsia="仿宋_GB2312" w:cs="TimesNewRoman"/>
          <w:kern w:val="0"/>
          <w:sz w:val="32"/>
          <w:szCs w:val="32"/>
        </w:rPr>
        <w:t>普通教育</w:t>
      </w:r>
      <w:r>
        <w:rPr>
          <w:rFonts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rPr>
        <w:t>小学教育</w:t>
      </w:r>
      <w:r>
        <w:rPr>
          <w:rFonts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16.7</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年预算减少</w:t>
      </w:r>
      <w:r>
        <w:rPr>
          <w:rFonts w:hint="eastAsia" w:ascii="TimesNewRoman" w:hAnsi="TimesNewRoman" w:eastAsia="仿宋_GB2312" w:cs="TimesNewRoman"/>
          <w:kern w:val="0"/>
          <w:sz w:val="32"/>
          <w:szCs w:val="32"/>
        </w:rPr>
        <w:t>86.94</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，下降84.41%，减少</w:t>
      </w:r>
      <w:r>
        <w:rPr>
          <w:rFonts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rPr>
        <w:t>是小学大型修缮类项目减少</w:t>
      </w:r>
      <w:r>
        <w:rPr>
          <w:rFonts w:ascii="TimesNewRoman" w:hAnsi="TimesNewRoman" w:eastAsia="仿宋_GB2312" w:cs="TimesNewRoman"/>
          <w:kern w:val="0"/>
          <w:sz w:val="32"/>
          <w:szCs w:val="32"/>
        </w:rPr>
        <w:t>。</w:t>
      </w:r>
    </w:p>
    <w:p w14:paraId="694EF32A">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3、教育</w:t>
      </w:r>
      <w:r>
        <w:rPr>
          <w:rFonts w:ascii="TimesNewRoman" w:hAnsi="TimesNewRoman" w:eastAsia="仿宋_GB2312" w:cs="TimesNewRoman"/>
          <w:kern w:val="0"/>
          <w:sz w:val="32"/>
          <w:szCs w:val="32"/>
        </w:rPr>
        <w:t>支出（类）</w:t>
      </w:r>
      <w:r>
        <w:rPr>
          <w:rFonts w:hint="eastAsia" w:ascii="TimesNewRoman" w:hAnsi="TimesNewRoman" w:eastAsia="仿宋_GB2312" w:cs="TimesNewRoman"/>
          <w:kern w:val="0"/>
          <w:sz w:val="32"/>
          <w:szCs w:val="32"/>
        </w:rPr>
        <w:t>普通教育</w:t>
      </w:r>
      <w:r>
        <w:rPr>
          <w:rFonts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rPr>
        <w:t>初中教育</w:t>
      </w:r>
      <w:r>
        <w:rPr>
          <w:rFonts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3216.55</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减少157.25</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下降4.66%，减少</w:t>
      </w:r>
      <w:r>
        <w:rPr>
          <w:rFonts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rPr>
        <w:t>是在职教职工减少</w:t>
      </w:r>
      <w:r>
        <w:rPr>
          <w:rFonts w:ascii="TimesNewRoman" w:hAnsi="TimesNewRoman" w:eastAsia="仿宋_GB2312" w:cs="TimesNewRoman"/>
          <w:kern w:val="0"/>
          <w:sz w:val="32"/>
          <w:szCs w:val="32"/>
        </w:rPr>
        <w:t>。</w:t>
      </w:r>
    </w:p>
    <w:p w14:paraId="5399DE75">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4.教育</w:t>
      </w:r>
      <w:r>
        <w:rPr>
          <w:rFonts w:ascii="TimesNewRoman" w:hAnsi="TimesNewRoman" w:eastAsia="仿宋_GB2312" w:cs="TimesNewRoman"/>
          <w:kern w:val="0"/>
          <w:sz w:val="32"/>
          <w:szCs w:val="32"/>
        </w:rPr>
        <w:t>支出（类）</w:t>
      </w:r>
      <w:r>
        <w:rPr>
          <w:rFonts w:hint="eastAsia" w:ascii="TimesNewRoman" w:hAnsi="TimesNewRoman" w:eastAsia="仿宋_GB2312" w:cs="TimesNewRoman"/>
          <w:kern w:val="0"/>
          <w:sz w:val="32"/>
          <w:szCs w:val="32"/>
        </w:rPr>
        <w:t>普通教育</w:t>
      </w:r>
      <w:r>
        <w:rPr>
          <w:rFonts w:ascii="TimesNewRoman" w:hAnsi="TimesNewRoman" w:eastAsia="仿宋_GB2312" w:cs="TimesNewRoman"/>
          <w:kern w:val="0"/>
          <w:sz w:val="32"/>
          <w:szCs w:val="32"/>
        </w:rPr>
        <w:t>（款）</w:t>
      </w:r>
      <w:r>
        <w:rPr>
          <w:rFonts w:hint="eastAsia" w:ascii="TimesNewRoman" w:hAnsi="TimesNewRoman" w:eastAsia="仿宋_GB2312" w:cs="TimesNewRoman"/>
          <w:kern w:val="0"/>
          <w:sz w:val="32"/>
          <w:szCs w:val="32"/>
        </w:rPr>
        <w:t>其他普通教育支出</w:t>
      </w:r>
      <w:r>
        <w:rPr>
          <w:rFonts w:ascii="TimesNewRoman" w:hAnsi="TimesNewRoman" w:eastAsia="仿宋_GB2312" w:cs="TimesNewRoman"/>
          <w:kern w:val="0"/>
          <w:sz w:val="32"/>
          <w:szCs w:val="32"/>
        </w:rPr>
        <w:t>（项）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604.37</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年预算增加</w:t>
      </w:r>
      <w:r>
        <w:rPr>
          <w:rFonts w:hint="eastAsia" w:ascii="TimesNewRoman" w:hAnsi="TimesNewRoman" w:eastAsia="仿宋_GB2312" w:cs="TimesNewRoman"/>
          <w:kern w:val="0"/>
          <w:sz w:val="32"/>
          <w:szCs w:val="32"/>
        </w:rPr>
        <w:t>9.28</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w:t>
      </w:r>
      <w:r>
        <w:rPr>
          <w:rFonts w:ascii="TimesNewRoman" w:hAnsi="TimesNewRoman" w:eastAsia="仿宋_GB2312" w:cs="TimesNewRoman"/>
          <w:kern w:val="0"/>
          <w:sz w:val="32"/>
          <w:szCs w:val="32"/>
        </w:rPr>
        <w:t>增长</w:t>
      </w:r>
      <w:r>
        <w:rPr>
          <w:rFonts w:hint="eastAsia" w:ascii="TimesNewRoman" w:hAnsi="TimesNewRoman" w:eastAsia="仿宋_GB2312" w:cs="TimesNewRoman"/>
          <w:kern w:val="0"/>
          <w:sz w:val="32"/>
          <w:szCs w:val="32"/>
        </w:rPr>
        <w:t>1.5%增长</w:t>
      </w:r>
      <w:r>
        <w:rPr>
          <w:rFonts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rPr>
        <w:t>国家加大对教育的投入</w:t>
      </w:r>
      <w:r>
        <w:rPr>
          <w:rFonts w:ascii="TimesNewRoman" w:hAnsi="TimesNewRoman" w:eastAsia="仿宋_GB2312" w:cs="TimesNewRoman"/>
          <w:kern w:val="0"/>
          <w:sz w:val="32"/>
          <w:szCs w:val="32"/>
        </w:rPr>
        <w:t>。</w:t>
      </w:r>
    </w:p>
    <w:p w14:paraId="155A79D0">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w:t>
      </w:r>
      <w:r>
        <w:rPr>
          <w:rFonts w:ascii="TimesNewRoman" w:hAnsi="TimesNewRoman" w:eastAsia="仿宋_GB2312" w:cs="TimesNewRoman"/>
          <w:kern w:val="0"/>
          <w:sz w:val="32"/>
          <w:szCs w:val="32"/>
        </w:rPr>
        <w:t>社会保障和就业支出（类）行政事业单位养老支出（款）机关事业单位基本养老保险缴费支出（项）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352.74</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减少24.29</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，下降6.4%，减少</w:t>
      </w:r>
      <w:r>
        <w:rPr>
          <w:rFonts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rPr>
        <w:t>在职人员减少</w:t>
      </w:r>
      <w:r>
        <w:rPr>
          <w:rFonts w:ascii="TimesNewRoman" w:hAnsi="TimesNewRoman" w:eastAsia="仿宋_GB2312" w:cs="TimesNewRoman"/>
          <w:kern w:val="0"/>
          <w:sz w:val="32"/>
          <w:szCs w:val="32"/>
        </w:rPr>
        <w:t>。</w:t>
      </w:r>
    </w:p>
    <w:p w14:paraId="1DCC4167">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w:t>
      </w:r>
      <w:r>
        <w:rPr>
          <w:rFonts w:ascii="TimesNewRoman" w:hAnsi="TimesNewRoman" w:eastAsia="仿宋_GB2312" w:cs="TimesNewRoman"/>
          <w:kern w:val="0"/>
          <w:sz w:val="32"/>
          <w:szCs w:val="32"/>
        </w:rPr>
        <w:t>社会保障和就业支出（类）行政事业单位养老支出（款）机关事业单位职业年金缴费支出（项）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176.37</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减少12.14</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下降6.4%，减少</w:t>
      </w:r>
      <w:r>
        <w:rPr>
          <w:rFonts w:ascii="TimesNewRoman" w:hAnsi="TimesNewRoman" w:eastAsia="仿宋_GB2312" w:cs="TimesNewRoman"/>
          <w:kern w:val="0"/>
          <w:sz w:val="32"/>
          <w:szCs w:val="32"/>
        </w:rPr>
        <w:t>原因主要是</w:t>
      </w:r>
      <w:r>
        <w:rPr>
          <w:rFonts w:hint="eastAsia" w:ascii="TimesNewRoman" w:hAnsi="TimesNewRoman" w:eastAsia="仿宋_GB2312" w:cs="TimesNewRoman"/>
          <w:kern w:val="0"/>
          <w:sz w:val="32"/>
          <w:szCs w:val="32"/>
        </w:rPr>
        <w:t>在职人员减少</w:t>
      </w:r>
      <w:r>
        <w:rPr>
          <w:rFonts w:ascii="TimesNewRoman" w:hAnsi="TimesNewRoman" w:eastAsia="仿宋_GB2312" w:cs="TimesNewRoman"/>
          <w:kern w:val="0"/>
          <w:sz w:val="32"/>
          <w:szCs w:val="32"/>
        </w:rPr>
        <w:t>。</w:t>
      </w:r>
    </w:p>
    <w:p w14:paraId="0C47B6D3">
      <w:pPr>
        <w:adjustRightInd w:val="0"/>
        <w:snapToGrid w:val="0"/>
        <w:spacing w:line="560" w:lineRule="exact"/>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w:t>
      </w:r>
      <w:r>
        <w:rPr>
          <w:rFonts w:ascii="TimesNewRoman" w:hAnsi="TimesNewRoman" w:eastAsia="仿宋_GB2312" w:cs="TimesNewRoman"/>
          <w:kern w:val="0"/>
          <w:sz w:val="32"/>
          <w:szCs w:val="32"/>
        </w:rPr>
        <w:t>社会保障和就业支出（类）其他社会保障和就业支出（款）其他社会保障和就业支出（项）</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50.71</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增加22.58</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增加80.29%，增长</w:t>
      </w:r>
      <w:r>
        <w:rPr>
          <w:rFonts w:ascii="TimesNewRoman" w:hAnsi="TimesNewRoman" w:eastAsia="仿宋_GB2312" w:cs="TimesNewRoman"/>
          <w:kern w:val="0"/>
          <w:sz w:val="32"/>
          <w:szCs w:val="32"/>
        </w:rPr>
        <w:t>原因主要</w:t>
      </w:r>
      <w:r>
        <w:rPr>
          <w:rFonts w:hint="eastAsia" w:ascii="TimesNewRoman" w:hAnsi="TimesNewRoman" w:eastAsia="仿宋_GB2312" w:cs="TimesNewRoman"/>
          <w:kern w:val="0"/>
          <w:sz w:val="32"/>
          <w:szCs w:val="32"/>
        </w:rPr>
        <w:t>是社会保障和就业支出去年列为初中教育</w:t>
      </w:r>
      <w:r>
        <w:rPr>
          <w:rFonts w:ascii="TimesNewRoman" w:hAnsi="TimesNewRoman" w:eastAsia="仿宋_GB2312" w:cs="TimesNewRoman"/>
          <w:kern w:val="0"/>
          <w:sz w:val="32"/>
          <w:szCs w:val="32"/>
        </w:rPr>
        <w:t>。</w:t>
      </w:r>
    </w:p>
    <w:p w14:paraId="445B8590">
      <w:pPr>
        <w:adjustRightInd w:val="0"/>
        <w:snapToGrid w:val="0"/>
        <w:spacing w:line="560" w:lineRule="exact"/>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8.卫生健康支出</w:t>
      </w:r>
      <w:r>
        <w:rPr>
          <w:rFonts w:ascii="TimesNewRoman" w:hAnsi="TimesNewRoman" w:eastAsia="仿宋_GB2312" w:cs="TimesNewRoman"/>
          <w:kern w:val="0"/>
          <w:sz w:val="32"/>
          <w:szCs w:val="32"/>
        </w:rPr>
        <w:t>（类）行政事业单位医疗（款）</w:t>
      </w:r>
      <w:r>
        <w:rPr>
          <w:rFonts w:hint="eastAsia" w:ascii="TimesNewRoman" w:hAnsi="TimesNewRoman" w:eastAsia="仿宋_GB2312" w:cs="TimesNewRoman"/>
          <w:kern w:val="0"/>
          <w:sz w:val="32"/>
          <w:szCs w:val="32"/>
        </w:rPr>
        <w:t>事业</w:t>
      </w:r>
      <w:r>
        <w:rPr>
          <w:rFonts w:ascii="TimesNewRoman" w:hAnsi="TimesNewRoman" w:eastAsia="仿宋_GB2312" w:cs="TimesNewRoman"/>
          <w:kern w:val="0"/>
          <w:sz w:val="32"/>
          <w:szCs w:val="32"/>
        </w:rPr>
        <w:t>单位医疗（项）</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158.7</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减少加39.19</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减少19.89%，减少原因是在职人员减少。</w:t>
      </w:r>
    </w:p>
    <w:p w14:paraId="11F6DF71">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9.卫生健康支出</w:t>
      </w:r>
      <w:r>
        <w:rPr>
          <w:rFonts w:ascii="TimesNewRoman" w:hAnsi="TimesNewRoman" w:eastAsia="仿宋_GB2312" w:cs="TimesNewRoman"/>
          <w:kern w:val="0"/>
          <w:sz w:val="32"/>
          <w:szCs w:val="32"/>
        </w:rPr>
        <w:t>（类）行政事业单位医疗（款）公务员医疗补助（项）</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66.12</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2023</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减少4.56</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减少6.4%</w:t>
      </w:r>
      <w:r>
        <w:rPr>
          <w:rFonts w:ascii="TimesNewRoman" w:hAnsi="TimesNewRoman" w:eastAsia="仿宋_GB2312" w:cs="TimesNewRoman"/>
          <w:kern w:val="0"/>
          <w:sz w:val="32"/>
          <w:szCs w:val="32"/>
        </w:rPr>
        <w:t>，</w:t>
      </w:r>
      <w:r>
        <w:rPr>
          <w:rFonts w:hint="eastAsia" w:ascii="TimesNewRoman" w:hAnsi="TimesNewRoman" w:eastAsia="仿宋_GB2312" w:cs="TimesNewRoman"/>
          <w:kern w:val="0"/>
          <w:sz w:val="32"/>
          <w:szCs w:val="32"/>
        </w:rPr>
        <w:t>减少原因是在职人员减少。</w:t>
      </w:r>
    </w:p>
    <w:p w14:paraId="334A00F2">
      <w:pPr>
        <w:adjustRightInd w:val="0"/>
        <w:snapToGrid w:val="0"/>
        <w:spacing w:after="100" w:afterAutospacing="1" w:line="44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10</w:t>
      </w:r>
      <w:r>
        <w:rPr>
          <w:rFonts w:ascii="TimesNewRoman" w:hAnsi="TimesNewRoman" w:eastAsia="仿宋_GB2312" w:cs="TimesNewRoman"/>
          <w:kern w:val="0"/>
          <w:sz w:val="32"/>
          <w:szCs w:val="32"/>
        </w:rPr>
        <w:t>.住房保障支出（类）住房改革支出（款）住房公积金（项）</w:t>
      </w:r>
      <w:r>
        <w:rPr>
          <w:rFonts w:hint="eastAsia" w:ascii="TimesNewRoman" w:hAnsi="TimesNewRoman" w:eastAsia="仿宋_GB2312" w:cs="TimesNewRoman"/>
          <w:kern w:val="0"/>
          <w:sz w:val="32"/>
          <w:szCs w:val="32"/>
        </w:rPr>
        <w:t>2025</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703</w:t>
      </w:r>
      <w:r>
        <w:rPr>
          <w:rFonts w:ascii="TimesNewRoman" w:hAnsi="TimesNewRoman" w:eastAsia="仿宋_GB2312" w:cs="TimesNewRoman"/>
          <w:kern w:val="0"/>
          <w:sz w:val="32"/>
          <w:szCs w:val="32"/>
        </w:rPr>
        <w:t>万元，比</w:t>
      </w:r>
      <w:r>
        <w:rPr>
          <w:rFonts w:hint="eastAsia" w:ascii="TimesNewRoman" w:hAnsi="TimesNewRoman" w:eastAsia="仿宋_GB2312" w:cs="TimesNewRoman"/>
          <w:kern w:val="0"/>
          <w:sz w:val="32"/>
          <w:szCs w:val="32"/>
        </w:rPr>
        <w:t>2024</w:t>
      </w:r>
      <w:r>
        <w:rPr>
          <w:rFonts w:ascii="TimesNewRoman" w:hAnsi="TimesNewRoman" w:eastAsia="仿宋_GB2312" w:cs="TimesNewRoman"/>
          <w:kern w:val="0"/>
          <w:sz w:val="32"/>
          <w:szCs w:val="32"/>
        </w:rPr>
        <w:t>年预算</w:t>
      </w:r>
      <w:r>
        <w:rPr>
          <w:rFonts w:hint="eastAsia" w:ascii="TimesNewRoman" w:hAnsi="TimesNewRoman" w:eastAsia="仿宋_GB2312" w:cs="TimesNewRoman"/>
          <w:kern w:val="0"/>
          <w:sz w:val="32"/>
          <w:szCs w:val="32"/>
        </w:rPr>
        <w:t>减少31.2</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减少4.25%，减少原因是在职人员减少。</w:t>
      </w:r>
    </w:p>
    <w:p w14:paraId="32657291">
      <w:pPr>
        <w:pStyle w:val="4"/>
        <w:adjustRightInd w:val="0"/>
        <w:snapToGrid w:val="0"/>
        <w:spacing w:line="44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六、关于2025年一般公共预算基本支出表的说明</w:t>
      </w:r>
    </w:p>
    <w:p w14:paraId="2EBC7F7B">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烈山区古饶中心校</w:t>
      </w:r>
      <w:r>
        <w:rPr>
          <w:rFonts w:ascii="TimesNewRoman" w:hAnsi="TimesNewRoman" w:eastAsia="仿宋_GB2312" w:cs="TimesNewRoman"/>
          <w:kern w:val="0"/>
          <w:sz w:val="32"/>
          <w:szCs w:val="32"/>
        </w:rPr>
        <w:t>202</w:t>
      </w:r>
      <w:r>
        <w:rPr>
          <w:rFonts w:hint="eastAsia" w:ascii="TimesNewRoman" w:hAnsi="TimesNewRoman" w:eastAsia="仿宋_GB2312" w:cs="TimesNewRoman"/>
          <w:kern w:val="0"/>
          <w:sz w:val="32"/>
          <w:szCs w:val="32"/>
        </w:rPr>
        <w:t>5</w:t>
      </w:r>
      <w:r>
        <w:rPr>
          <w:rFonts w:ascii="TimesNewRoman" w:hAnsi="TimesNewRoman" w:eastAsia="仿宋_GB2312" w:cs="TimesNewRoman"/>
          <w:kern w:val="0"/>
          <w:sz w:val="32"/>
          <w:szCs w:val="32"/>
        </w:rPr>
        <w:t>年一般公共预算基本支出</w:t>
      </w:r>
      <w:r>
        <w:rPr>
          <w:rFonts w:hint="eastAsia" w:ascii="TimesNewRoman" w:hAnsi="TimesNewRoman" w:eastAsia="仿宋_GB2312" w:cs="TimesNewRoman"/>
          <w:kern w:val="0"/>
          <w:sz w:val="32"/>
          <w:szCs w:val="32"/>
        </w:rPr>
        <w:t>5350.55</w:t>
      </w:r>
      <w:r>
        <w:rPr>
          <w:rFonts w:ascii="TimesNewRoman" w:hAnsi="TimesNewRoman" w:eastAsia="仿宋_GB2312" w:cs="TimesNewRoman"/>
          <w:kern w:val="0"/>
          <w:sz w:val="32"/>
          <w:szCs w:val="32"/>
        </w:rPr>
        <w:t>万元，</w:t>
      </w:r>
      <w:r>
        <w:rPr>
          <w:rFonts w:hint="eastAsia" w:ascii="TimesNewRoman" w:hAnsi="TimesNewRoman" w:eastAsia="仿宋_GB2312" w:cs="TimesNewRoman"/>
          <w:kern w:val="0"/>
          <w:sz w:val="32"/>
          <w:szCs w:val="32"/>
        </w:rPr>
        <w:t>均为</w:t>
      </w:r>
      <w:r>
        <w:rPr>
          <w:rFonts w:ascii="TimesNewRoman" w:hAnsi="TimesNewRoman" w:eastAsia="仿宋_GB2312" w:cs="TimesNewRoman"/>
          <w:kern w:val="0"/>
          <w:sz w:val="32"/>
          <w:szCs w:val="32"/>
        </w:rPr>
        <w:t>人员经费</w:t>
      </w:r>
      <w:r>
        <w:rPr>
          <w:rFonts w:hint="eastAsia" w:ascii="TimesNewRoman" w:hAnsi="TimesNewRoman" w:eastAsia="仿宋_GB2312" w:cs="TimesNewRoman"/>
          <w:kern w:val="0"/>
          <w:sz w:val="32"/>
          <w:szCs w:val="32"/>
        </w:rPr>
        <w:t>，其中：</w:t>
      </w:r>
    </w:p>
    <w:p w14:paraId="57C32148">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工资福利支出4543.13万元，主要包括：基本工资、绩效工资、奖金、机关事业单位基本养老保险缴费、职业年金缴费、职工基本医疗保险缴费、公务员医疗补助缴费、其他社会保障缴费、住房公积金、其他工资福利支出等。</w:t>
      </w:r>
    </w:p>
    <w:p w14:paraId="6047350B">
      <w:pPr>
        <w:adjustRightInd w:val="0"/>
        <w:snapToGrid w:val="0"/>
        <w:spacing w:line="560" w:lineRule="exact"/>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商品和服务支出97.17万元，主要包括：培训费、工会经费和福利费等。</w:t>
      </w:r>
    </w:p>
    <w:p w14:paraId="52550700">
      <w:pPr>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kern w:val="0"/>
          <w:sz w:val="32"/>
          <w:szCs w:val="32"/>
        </w:rPr>
        <w:t>对个人和家庭的补助710.25万元，主要包括：离休费、退休费、生活补助、医疗补助、奖励金和其他对个人和家庭的补助等。</w:t>
      </w:r>
    </w:p>
    <w:p w14:paraId="036E02AF">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七、关于2025年政府性基金预算支出表的说明</w:t>
      </w:r>
    </w:p>
    <w:p w14:paraId="26916C8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淮北市烈山区古饶中心学校2025年没有政府性基金预算拨款收入，也没有使用政府性基金预算拨款安排的支出。</w:t>
      </w:r>
    </w:p>
    <w:p w14:paraId="04E59C6E">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八、关于2025年国有资本经营预算支出表的说明</w:t>
      </w:r>
    </w:p>
    <w:p w14:paraId="0B7544D0">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淮北市烈山区古饶中心学校2025年没有国有资本经营预算拨款收入，也没有使用国有资本经营预算拨款安排的支出。</w:t>
      </w:r>
    </w:p>
    <w:p w14:paraId="65B57328">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九、关于2025年项目支出表的说明</w:t>
      </w:r>
    </w:p>
    <w:p w14:paraId="12974E78">
      <w:pPr>
        <w:pStyle w:val="4"/>
        <w:adjustRightInd w:val="0"/>
        <w:snapToGrid w:val="0"/>
        <w:spacing w:line="560" w:lineRule="exact"/>
        <w:ind w:firstLine="640" w:firstLineChars="200"/>
        <w:rPr>
          <w:rFonts w:ascii="TimesNewRoman" w:hAnsi="TimesNewRoman" w:eastAsia="仿宋_GB2312" w:cs="TimesNewRoman"/>
          <w:sz w:val="32"/>
          <w:szCs w:val="32"/>
        </w:rPr>
      </w:pPr>
      <w:r>
        <w:rPr>
          <w:rFonts w:hint="eastAsia" w:ascii="TimesNewRoman" w:hAnsi="TimesNewRoman" w:eastAsia="仿宋_GB2312" w:cs="TimesNewRoman"/>
          <w:sz w:val="32"/>
          <w:szCs w:val="32"/>
        </w:rPr>
        <w:t>淮北市烈山区古饶中心学校</w:t>
      </w:r>
      <w:r>
        <w:rPr>
          <w:rFonts w:ascii="TimesNewRoman" w:hAnsi="TimesNewRoman" w:eastAsia="仿宋_GB2312" w:cs="TimesNewRoman"/>
          <w:sz w:val="32"/>
          <w:szCs w:val="32"/>
        </w:rPr>
        <w:t>202</w:t>
      </w:r>
      <w:r>
        <w:rPr>
          <w:rFonts w:hint="eastAsia" w:ascii="TimesNewRoman" w:hAnsi="TimesNewRoman" w:eastAsia="仿宋_GB2312" w:cs="TimesNewRoman"/>
          <w:sz w:val="32"/>
          <w:szCs w:val="32"/>
        </w:rPr>
        <w:t>5</w:t>
      </w:r>
      <w:r>
        <w:rPr>
          <w:rFonts w:ascii="TimesNewRoman" w:hAnsi="TimesNewRoman" w:eastAsia="仿宋_GB2312" w:cs="TimesNewRoman"/>
          <w:sz w:val="32"/>
          <w:szCs w:val="32"/>
        </w:rPr>
        <w:t>年预算共安排项目支出</w:t>
      </w:r>
      <w:r>
        <w:rPr>
          <w:rFonts w:hint="eastAsia" w:ascii="TimesNewRoman" w:hAnsi="TimesNewRoman" w:eastAsia="仿宋_GB2312" w:cs="TimesNewRoman"/>
          <w:sz w:val="32"/>
          <w:szCs w:val="32"/>
        </w:rPr>
        <w:t>116.62</w:t>
      </w:r>
      <w:r>
        <w:rPr>
          <w:rFonts w:ascii="TimesNewRoman" w:hAnsi="TimesNewRoman" w:eastAsia="仿宋_GB2312" w:cs="TimesNewRoman"/>
          <w:sz w:val="32"/>
          <w:szCs w:val="32"/>
        </w:rPr>
        <w:t>万元，比202</w:t>
      </w:r>
      <w:r>
        <w:rPr>
          <w:rFonts w:hint="eastAsia" w:ascii="TimesNewRoman" w:hAnsi="TimesNewRoman" w:eastAsia="仿宋_GB2312" w:cs="TimesNewRoman"/>
          <w:sz w:val="32"/>
          <w:szCs w:val="32"/>
        </w:rPr>
        <w:t>4</w:t>
      </w:r>
      <w:r>
        <w:rPr>
          <w:rFonts w:ascii="TimesNewRoman" w:hAnsi="TimesNewRoman" w:eastAsia="仿宋_GB2312" w:cs="TimesNewRoman"/>
          <w:sz w:val="32"/>
          <w:szCs w:val="32"/>
        </w:rPr>
        <w:t>年预算</w:t>
      </w:r>
      <w:r>
        <w:rPr>
          <w:rFonts w:hint="eastAsia" w:ascii="TimesNewRoman" w:hAnsi="TimesNewRoman" w:eastAsia="仿宋_GB2312" w:cs="TimesNewRoman"/>
          <w:sz w:val="32"/>
          <w:szCs w:val="32"/>
        </w:rPr>
        <w:t>减少127.28</w:t>
      </w:r>
      <w:r>
        <w:rPr>
          <w:rFonts w:ascii="TimesNewRoman" w:hAnsi="TimesNewRoman" w:eastAsia="仿宋_GB2312" w:cs="TimesNewRoman"/>
          <w:sz w:val="32"/>
          <w:szCs w:val="32"/>
        </w:rPr>
        <w:t>万元，</w:t>
      </w:r>
      <w:r>
        <w:rPr>
          <w:rFonts w:hint="eastAsia" w:ascii="TimesNewRoman" w:hAnsi="TimesNewRoman" w:eastAsia="仿宋_GB2312" w:cs="TimesNewRoman"/>
          <w:sz w:val="32"/>
          <w:szCs w:val="32"/>
        </w:rPr>
        <w:t>减少52.34</w:t>
      </w:r>
      <w:r>
        <w:rPr>
          <w:rFonts w:ascii="TimesNewRoman" w:hAnsi="TimesNewRoman" w:eastAsia="仿宋_GB2312" w:cs="TimesNewRoman"/>
          <w:sz w:val="32"/>
          <w:szCs w:val="32"/>
        </w:rPr>
        <w:t>%，</w:t>
      </w:r>
      <w:r>
        <w:rPr>
          <w:rFonts w:hint="eastAsia" w:ascii="TimesNewRoman" w:hAnsi="TimesNewRoman" w:eastAsia="仿宋_GB2312" w:cs="TimesNewRoman"/>
          <w:sz w:val="32"/>
          <w:szCs w:val="32"/>
        </w:rPr>
        <w:t>减少</w:t>
      </w:r>
      <w:r>
        <w:rPr>
          <w:rFonts w:ascii="TimesNewRoman" w:hAnsi="TimesNewRoman" w:eastAsia="仿宋_GB2312" w:cs="TimesNewRoman"/>
          <w:sz w:val="32"/>
          <w:szCs w:val="32"/>
        </w:rPr>
        <w:t>原因主要是</w:t>
      </w:r>
      <w:r>
        <w:rPr>
          <w:rFonts w:hint="eastAsia" w:ascii="TimesNewRoman" w:hAnsi="TimesNewRoman" w:eastAsia="仿宋_GB2312" w:cs="TimesNewRoman"/>
          <w:sz w:val="32"/>
          <w:szCs w:val="32"/>
        </w:rPr>
        <w:t>项目工程减少等</w:t>
      </w:r>
      <w:r>
        <w:rPr>
          <w:rFonts w:ascii="TimesNewRoman" w:hAnsi="TimesNewRoman" w:eastAsia="仿宋_GB2312" w:cs="TimesNewRoman"/>
          <w:sz w:val="32"/>
          <w:szCs w:val="32"/>
        </w:rPr>
        <w:t>。</w:t>
      </w:r>
    </w:p>
    <w:p w14:paraId="6689062A">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十、关于2025年政府采购支出表的说明</w:t>
      </w:r>
    </w:p>
    <w:p w14:paraId="3958F10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淮北市烈山区古饶中心学校2025年没有使用一般公共预算拨款、政府性基金预算拨款、国有资本经营预算拨款、财政专户管理资金和单位资金安排的政府采购支出。</w:t>
      </w:r>
    </w:p>
    <w:p w14:paraId="2F92CCFC">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十一、关于2025年政府购买服务支出表的说明</w:t>
      </w:r>
    </w:p>
    <w:p w14:paraId="183E72F6">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淮北市烈山区古饶中心学校2025年没有安排政府购买服务支出。</w:t>
      </w:r>
    </w:p>
    <w:p w14:paraId="22A147AB">
      <w:pPr>
        <w:pStyle w:val="4"/>
        <w:adjustRightInd w:val="0"/>
        <w:snapToGrid w:val="0"/>
        <w:spacing w:line="560" w:lineRule="exact"/>
        <w:ind w:firstLine="627" w:firstLineChars="196"/>
        <w:rPr>
          <w:rFonts w:ascii="TimesNewRoman" w:hAnsi="TimesNewRoman" w:eastAsia="黑体" w:cs="TimesNewRoman"/>
          <w:bCs/>
          <w:sz w:val="32"/>
          <w:szCs w:val="32"/>
        </w:rPr>
      </w:pPr>
      <w:r>
        <w:rPr>
          <w:rFonts w:hint="eastAsia" w:ascii="TimesNewRoman" w:hAnsi="TimesNewRoman" w:eastAsia="黑体" w:cs="TimesNewRoman"/>
          <w:bCs/>
          <w:sz w:val="32"/>
          <w:szCs w:val="32"/>
        </w:rPr>
        <w:t>十二、其他重要事项情况说明</w:t>
      </w:r>
    </w:p>
    <w:p w14:paraId="223D52BF">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（一）项目及绩效目标情况。</w:t>
      </w:r>
    </w:p>
    <w:p w14:paraId="63871917">
      <w:pPr>
        <w:widowControl/>
        <w:shd w:val="clear" w:color="auto" w:fill="FFFFFF"/>
        <w:spacing w:line="600" w:lineRule="atLeast"/>
        <w:ind w:firstLine="8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1.“公办学前</w:t>
      </w:r>
      <w:r>
        <w:rPr>
          <w:rFonts w:ascii="TimesNewRoman" w:hAnsi="TimesNewRoman" w:eastAsia="仿宋_GB2312" w:cs="TimesNewRoman"/>
          <w:kern w:val="0"/>
          <w:sz w:val="32"/>
          <w:szCs w:val="32"/>
        </w:rPr>
        <w:t>公用经费</w:t>
      </w:r>
      <w:r>
        <w:rPr>
          <w:rFonts w:hint="eastAsia" w:ascii="TimesNewRoman" w:hAnsi="TimesNewRoman" w:eastAsia="仿宋_GB2312" w:cs="TimesNewRoman"/>
          <w:kern w:val="0"/>
          <w:sz w:val="32"/>
          <w:szCs w:val="32"/>
        </w:rPr>
        <w:t>”项目。</w:t>
      </w:r>
    </w:p>
    <w:p w14:paraId="623F3409">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（1）项目概述。完善学前教育经费投入保障机制，保障公办幼儿园日常运转公用经费财政拨款标准为不低于6</w:t>
      </w:r>
      <w:r>
        <w:rPr>
          <w:rFonts w:ascii="TimesNewRoman" w:hAnsi="TimesNewRoman" w:eastAsia="仿宋_GB2312" w:cs="TimesNewRoman"/>
          <w:kern w:val="0"/>
          <w:sz w:val="32"/>
          <w:szCs w:val="32"/>
        </w:rPr>
        <w:t>00元/生/年</w:t>
      </w:r>
    </w:p>
    <w:p w14:paraId="6CAAE6AB">
      <w:pPr>
        <w:widowControl/>
        <w:shd w:val="clear" w:color="auto" w:fill="FFFFFF"/>
        <w:spacing w:line="600" w:lineRule="atLeast"/>
        <w:ind w:firstLine="585"/>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（2）立项依据。安徽省财政厅 安徽省教育厅关于建立公办幼儿园生均公用经费财政拨款制度的通知</w:t>
      </w:r>
    </w:p>
    <w:p w14:paraId="699D7A9C">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（3）起止时间。2</w:t>
      </w:r>
      <w:r>
        <w:rPr>
          <w:rFonts w:ascii="TimesNewRoman" w:hAnsi="TimesNewRoman" w:eastAsia="仿宋_GB2312" w:cs="TimesNewRoman"/>
          <w:kern w:val="0"/>
          <w:sz w:val="32"/>
          <w:szCs w:val="32"/>
        </w:rPr>
        <w:t>02</w:t>
      </w:r>
      <w:r>
        <w:rPr>
          <w:rFonts w:hint="eastAsia" w:ascii="TimesNewRoman" w:hAnsi="TimesNewRoman" w:eastAsia="仿宋_GB2312" w:cs="TimesNewRoman"/>
          <w:kern w:val="0"/>
          <w:sz w:val="32"/>
          <w:szCs w:val="32"/>
        </w:rPr>
        <w:t>5年1月-2025</w:t>
      </w:r>
      <w:bookmarkStart w:id="0" w:name="_GoBack"/>
      <w:bookmarkEnd w:id="0"/>
      <w:r>
        <w:rPr>
          <w:rFonts w:hint="eastAsia" w:ascii="TimesNewRoman" w:hAnsi="TimesNewRoman" w:eastAsia="仿宋_GB2312" w:cs="TimesNewRoman"/>
          <w:kern w:val="0"/>
          <w:sz w:val="32"/>
          <w:szCs w:val="32"/>
        </w:rPr>
        <w:t>年12月</w:t>
      </w:r>
    </w:p>
    <w:p w14:paraId="1804B1C5">
      <w:pPr>
        <w:widowControl/>
        <w:shd w:val="clear" w:color="auto" w:fill="FFFFFF"/>
        <w:spacing w:line="600" w:lineRule="atLeast"/>
        <w:ind w:firstLine="642"/>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项目内容。按照现行财政体制和学前教育经费管理机制，市、县（市、区）人民政府作为所属公办幼儿园生均公用经费财政拨款制度的责任主体，负责履行保障责任，确保公办幼儿园正常运转资金需要。所需资金由同级财政按照生均公用经费财政拨款标准和在园幼儿人数计算，纳入本级财政公共预算给予保障。</w:t>
      </w:r>
    </w:p>
    <w:p w14:paraId="5215CF27">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（5）年度预算安排。一般</w:t>
      </w:r>
      <w:r>
        <w:rPr>
          <w:rFonts w:ascii="TimesNewRoman" w:hAnsi="TimesNewRoman" w:eastAsia="仿宋_GB2312" w:cs="TimesNewRoman"/>
          <w:kern w:val="0"/>
          <w:sz w:val="32"/>
          <w:szCs w:val="32"/>
        </w:rPr>
        <w:t>公共预算</w:t>
      </w:r>
      <w:r>
        <w:rPr>
          <w:rFonts w:hint="eastAsia" w:ascii="TimesNewRoman" w:hAnsi="TimesNewRoman" w:eastAsia="仿宋_GB2312" w:cs="TimesNewRoman"/>
          <w:kern w:val="0"/>
          <w:sz w:val="32"/>
          <w:szCs w:val="32"/>
        </w:rPr>
        <w:t>财政</w:t>
      </w:r>
      <w:r>
        <w:rPr>
          <w:rFonts w:ascii="TimesNewRoman" w:hAnsi="TimesNewRoman" w:eastAsia="仿宋_GB2312" w:cs="TimesNewRoman"/>
          <w:kern w:val="0"/>
          <w:sz w:val="32"/>
          <w:szCs w:val="32"/>
        </w:rPr>
        <w:t>安排资金</w:t>
      </w:r>
      <w:r>
        <w:rPr>
          <w:rFonts w:hint="eastAsia" w:ascii="TimesNewRoman" w:hAnsi="TimesNewRoman" w:eastAsia="仿宋_GB2312" w:cs="TimesNewRoman"/>
          <w:kern w:val="0"/>
          <w:sz w:val="32"/>
          <w:szCs w:val="32"/>
        </w:rPr>
        <w:t>19.38万元</w:t>
      </w:r>
    </w:p>
    <w:p w14:paraId="1974646A">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（6）绩效目标和指标。完善学前教育经费投入保障机制，保障公办幼儿园日常运转公用经费财政拨款标准为不低于6</w:t>
      </w:r>
      <w:r>
        <w:rPr>
          <w:rFonts w:ascii="TimesNewRoman" w:hAnsi="TimesNewRoman" w:eastAsia="仿宋_GB2312" w:cs="TimesNewRoman"/>
          <w:kern w:val="0"/>
          <w:sz w:val="32"/>
          <w:szCs w:val="32"/>
        </w:rPr>
        <w:t>00元／生／年，并当年完成100％</w:t>
      </w:r>
      <w:r>
        <w:rPr>
          <w:rFonts w:hint="eastAsia" w:ascii="TimesNewRoman" w:hAnsi="TimesNewRoman" w:eastAsia="仿宋_GB2312" w:cs="TimesNewRoman"/>
          <w:kern w:val="0"/>
          <w:sz w:val="32"/>
          <w:szCs w:val="32"/>
        </w:rPr>
        <w:t>。</w:t>
      </w:r>
    </w:p>
    <w:p w14:paraId="1CDDD80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（7）绩效目标。</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366"/>
        <w:gridCol w:w="2983"/>
        <w:gridCol w:w="1848"/>
        <w:gridCol w:w="2380"/>
      </w:tblGrid>
      <w:tr w14:paraId="527E5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vAlign w:val="center"/>
          </w:tcPr>
          <w:p w14:paraId="7CEB14FF">
            <w:pPr>
              <w:widowControl/>
              <w:jc w:val="center"/>
              <w:textAlignment w:val="center"/>
              <w:rPr>
                <w:rFonts w:ascii="宋体" w:cs="宋体"/>
                <w:b/>
                <w:bCs/>
                <w:szCs w:val="32"/>
              </w:rPr>
            </w:pPr>
            <w:r>
              <w:rPr>
                <w:rFonts w:hint="eastAsia" w:ascii="宋体" w:hAnsi="宋体" w:eastAsia="宋体" w:cs="宋体"/>
                <w:b/>
                <w:color w:val="000000"/>
                <w:kern w:val="0"/>
                <w:sz w:val="28"/>
                <w:szCs w:val="28"/>
              </w:rPr>
              <w:t>项目支出绩效目标表</w:t>
            </w:r>
          </w:p>
        </w:tc>
      </w:tr>
      <w:tr w14:paraId="68F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tcBorders>
              <w:top w:val="nil"/>
              <w:left w:val="nil"/>
              <w:right w:val="nil"/>
            </w:tcBorders>
            <w:vAlign w:val="center"/>
          </w:tcPr>
          <w:p w14:paraId="4545B93F">
            <w:pPr>
              <w:widowControl/>
              <w:jc w:val="center"/>
              <w:textAlignment w:val="center"/>
              <w:rPr>
                <w:rFonts w:ascii="宋体" w:cs="宋体"/>
                <w:sz w:val="20"/>
              </w:rPr>
            </w:pPr>
            <w:r>
              <w:rPr>
                <w:rFonts w:hint="eastAsia" w:ascii="宋体" w:hAnsi="宋体" w:eastAsia="宋体" w:cs="宋体"/>
                <w:color w:val="000000"/>
                <w:kern w:val="0"/>
                <w:sz w:val="20"/>
                <w:szCs w:val="20"/>
              </w:rPr>
              <w:t xml:space="preserve"> （2025年度）                                </w:t>
            </w:r>
          </w:p>
        </w:tc>
      </w:tr>
      <w:tr w14:paraId="1AE4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7630B65">
            <w:pPr>
              <w:widowControl/>
              <w:jc w:val="center"/>
              <w:textAlignment w:val="center"/>
              <w:rPr>
                <w:rFonts w:ascii="宋体" w:cs="宋体"/>
                <w:sz w:val="20"/>
              </w:rPr>
            </w:pPr>
            <w:r>
              <w:rPr>
                <w:rFonts w:hint="eastAsia" w:ascii="宋体" w:hAnsi="宋体" w:eastAsia="宋体" w:cs="宋体"/>
                <w:color w:val="000000"/>
                <w:kern w:val="0"/>
                <w:sz w:val="20"/>
                <w:szCs w:val="20"/>
              </w:rPr>
              <w:t>项目名称</w:t>
            </w:r>
          </w:p>
        </w:tc>
        <w:tc>
          <w:tcPr>
            <w:tcW w:w="7577" w:type="dxa"/>
            <w:gridSpan w:val="4"/>
            <w:tcBorders>
              <w:tl2br w:val="nil"/>
              <w:tr2bl w:val="nil"/>
            </w:tcBorders>
            <w:vAlign w:val="center"/>
          </w:tcPr>
          <w:p w14:paraId="5DD31A3F">
            <w:pPr>
              <w:widowControl/>
              <w:jc w:val="left"/>
              <w:textAlignment w:val="center"/>
              <w:rPr>
                <w:rFonts w:ascii="宋体" w:cs="宋体"/>
                <w:sz w:val="20"/>
              </w:rPr>
            </w:pPr>
            <w:r>
              <w:rPr>
                <w:rFonts w:hint="eastAsia" w:ascii="宋体" w:hAnsi="宋体" w:eastAsia="宋体" w:cs="宋体"/>
                <w:color w:val="000000"/>
                <w:kern w:val="0"/>
                <w:sz w:val="20"/>
                <w:szCs w:val="20"/>
              </w:rPr>
              <w:t>公办学前</w:t>
            </w:r>
            <w:r>
              <w:rPr>
                <w:rFonts w:ascii="宋体" w:hAnsi="宋体" w:eastAsia="宋体" w:cs="宋体"/>
                <w:color w:val="000000"/>
                <w:kern w:val="0"/>
                <w:sz w:val="20"/>
                <w:szCs w:val="20"/>
              </w:rPr>
              <w:t>公用经费</w:t>
            </w:r>
          </w:p>
        </w:tc>
      </w:tr>
      <w:tr w14:paraId="0AD8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tcBorders>
              <w:tl2br w:val="nil"/>
              <w:tr2bl w:val="nil"/>
            </w:tcBorders>
            <w:vAlign w:val="center"/>
          </w:tcPr>
          <w:p w14:paraId="32F2E991">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主管部门   及代码</w:t>
            </w:r>
          </w:p>
        </w:tc>
        <w:tc>
          <w:tcPr>
            <w:tcW w:w="3349" w:type="dxa"/>
            <w:gridSpan w:val="2"/>
            <w:tcBorders>
              <w:tl2br w:val="nil"/>
              <w:tr2bl w:val="nil"/>
            </w:tcBorders>
            <w:vAlign w:val="center"/>
          </w:tcPr>
          <w:p w14:paraId="03777895">
            <w:pPr>
              <w:jc w:val="center"/>
              <w:rPr>
                <w:rFonts w:ascii="宋体" w:cs="宋体"/>
                <w:sz w:val="20"/>
              </w:rPr>
            </w:pPr>
            <w:r>
              <w:rPr>
                <w:rFonts w:hint="eastAsia" w:ascii="宋体" w:hAnsi="宋体" w:cs="宋体"/>
                <w:kern w:val="0"/>
                <w:sz w:val="22"/>
              </w:rPr>
              <w:t>淮北市烈山区教育局</w:t>
            </w:r>
          </w:p>
        </w:tc>
        <w:tc>
          <w:tcPr>
            <w:tcW w:w="1848" w:type="dxa"/>
            <w:tcBorders>
              <w:tl2br w:val="nil"/>
              <w:tr2bl w:val="nil"/>
            </w:tcBorders>
            <w:vAlign w:val="center"/>
          </w:tcPr>
          <w:p w14:paraId="2248E402">
            <w:pPr>
              <w:widowControl/>
              <w:jc w:val="center"/>
              <w:textAlignment w:val="center"/>
            </w:pPr>
            <w:r>
              <w:rPr>
                <w:rFonts w:hint="eastAsia" w:ascii="宋体" w:hAnsi="宋体" w:eastAsia="宋体" w:cs="宋体"/>
                <w:color w:val="000000"/>
                <w:kern w:val="0"/>
                <w:sz w:val="20"/>
                <w:szCs w:val="20"/>
              </w:rPr>
              <w:t>实施单位</w:t>
            </w:r>
          </w:p>
        </w:tc>
        <w:tc>
          <w:tcPr>
            <w:tcW w:w="2380" w:type="dxa"/>
            <w:tcBorders>
              <w:tl2br w:val="nil"/>
              <w:tr2bl w:val="nil"/>
            </w:tcBorders>
            <w:vAlign w:val="center"/>
          </w:tcPr>
          <w:p w14:paraId="2ED0146C">
            <w:pPr>
              <w:jc w:val="center"/>
            </w:pPr>
            <w:r>
              <w:rPr>
                <w:rFonts w:hint="eastAsia"/>
              </w:rPr>
              <w:t>淮北市烈山区古饶中心学校</w:t>
            </w:r>
          </w:p>
        </w:tc>
      </w:tr>
      <w:tr w14:paraId="1DC03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tcBorders>
              <w:tl2br w:val="nil"/>
              <w:tr2bl w:val="nil"/>
            </w:tcBorders>
            <w:vAlign w:val="center"/>
          </w:tcPr>
          <w:p w14:paraId="0C804D7C">
            <w:pPr>
              <w:widowControl/>
              <w:jc w:val="center"/>
              <w:textAlignment w:val="center"/>
              <w:rPr>
                <w:rFonts w:ascii="宋体" w:cs="宋体"/>
                <w:sz w:val="20"/>
              </w:rPr>
            </w:pPr>
            <w:r>
              <w:rPr>
                <w:rFonts w:hint="eastAsia" w:ascii="宋体" w:hAnsi="宋体" w:eastAsia="宋体" w:cs="宋体"/>
                <w:color w:val="000000"/>
                <w:kern w:val="0"/>
                <w:sz w:val="20"/>
                <w:szCs w:val="20"/>
              </w:rPr>
              <w:t>项目来源</w:t>
            </w:r>
          </w:p>
        </w:tc>
        <w:tc>
          <w:tcPr>
            <w:tcW w:w="3349" w:type="dxa"/>
            <w:gridSpan w:val="2"/>
            <w:tcBorders>
              <w:tl2br w:val="nil"/>
              <w:tr2bl w:val="nil"/>
            </w:tcBorders>
            <w:vAlign w:val="center"/>
          </w:tcPr>
          <w:p w14:paraId="5D02FF12">
            <w:pPr>
              <w:jc w:val="center"/>
              <w:rPr>
                <w:rFonts w:ascii="宋体" w:cs="宋体"/>
                <w:sz w:val="20"/>
              </w:rPr>
            </w:pPr>
            <w:r>
              <w:rPr>
                <w:rFonts w:hint="eastAsia" w:ascii="宋体" w:cs="宋体"/>
                <w:sz w:val="20"/>
              </w:rPr>
              <w:t>一般公共预算财政拨款</w:t>
            </w:r>
          </w:p>
        </w:tc>
        <w:tc>
          <w:tcPr>
            <w:tcW w:w="1848" w:type="dxa"/>
            <w:tcBorders>
              <w:tl2br w:val="nil"/>
              <w:tr2bl w:val="nil"/>
            </w:tcBorders>
            <w:vAlign w:val="center"/>
          </w:tcPr>
          <w:p w14:paraId="6D3444B9">
            <w:pPr>
              <w:widowControl/>
              <w:jc w:val="center"/>
              <w:textAlignment w:val="center"/>
            </w:pPr>
            <w:r>
              <w:rPr>
                <w:rFonts w:hint="eastAsia" w:ascii="宋体" w:hAnsi="宋体" w:eastAsia="宋体" w:cs="宋体"/>
                <w:color w:val="000000"/>
                <w:kern w:val="0"/>
                <w:sz w:val="20"/>
                <w:szCs w:val="20"/>
              </w:rPr>
              <w:t>项目期</w:t>
            </w:r>
          </w:p>
        </w:tc>
        <w:tc>
          <w:tcPr>
            <w:tcW w:w="2380" w:type="dxa"/>
            <w:tcBorders>
              <w:tl2br w:val="nil"/>
              <w:tr2bl w:val="nil"/>
            </w:tcBorders>
            <w:vAlign w:val="center"/>
          </w:tcPr>
          <w:p w14:paraId="3DB20E62">
            <w:pPr>
              <w:jc w:val="center"/>
            </w:pPr>
            <w:r>
              <w:rPr>
                <w:rFonts w:hint="eastAsia"/>
              </w:rPr>
              <w:t>202501-202512</w:t>
            </w:r>
          </w:p>
        </w:tc>
      </w:tr>
      <w:tr w14:paraId="58E1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tcBorders>
              <w:tl2br w:val="nil"/>
              <w:tr2bl w:val="nil"/>
            </w:tcBorders>
            <w:vAlign w:val="center"/>
          </w:tcPr>
          <w:p w14:paraId="5C02CCD3">
            <w:pPr>
              <w:widowControl/>
              <w:jc w:val="center"/>
              <w:textAlignment w:val="center"/>
              <w:rPr>
                <w:rFonts w:ascii="宋体" w:cs="宋体"/>
                <w:sz w:val="20"/>
              </w:rPr>
            </w:pPr>
            <w:r>
              <w:rPr>
                <w:rFonts w:hint="eastAsia" w:ascii="宋体" w:hAnsi="宋体" w:eastAsia="宋体" w:cs="宋体"/>
                <w:color w:val="000000"/>
                <w:kern w:val="0"/>
                <w:sz w:val="20"/>
                <w:szCs w:val="20"/>
              </w:rPr>
              <w:t>项目资金</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（万元）</w:t>
            </w:r>
          </w:p>
        </w:tc>
        <w:tc>
          <w:tcPr>
            <w:tcW w:w="3349" w:type="dxa"/>
            <w:gridSpan w:val="2"/>
            <w:tcBorders>
              <w:tl2br w:val="nil"/>
              <w:tr2bl w:val="nil"/>
            </w:tcBorders>
            <w:vAlign w:val="center"/>
          </w:tcPr>
          <w:p w14:paraId="7FFEE6AA">
            <w:pPr>
              <w:widowControl/>
              <w:jc w:val="left"/>
              <w:textAlignment w:val="center"/>
              <w:rPr>
                <w:rFonts w:ascii="宋体" w:cs="宋体"/>
                <w:sz w:val="20"/>
              </w:rPr>
            </w:pPr>
            <w:r>
              <w:rPr>
                <w:rFonts w:hint="eastAsia" w:ascii="宋体" w:hAnsi="宋体" w:eastAsia="宋体" w:cs="宋体"/>
                <w:color w:val="000000"/>
                <w:kern w:val="0"/>
                <w:sz w:val="20"/>
                <w:szCs w:val="20"/>
              </w:rPr>
              <w:t xml:space="preserve"> 年度资金总额：</w:t>
            </w:r>
          </w:p>
        </w:tc>
        <w:tc>
          <w:tcPr>
            <w:tcW w:w="4228" w:type="dxa"/>
            <w:gridSpan w:val="2"/>
            <w:tcBorders>
              <w:tl2br w:val="nil"/>
              <w:tr2bl w:val="nil"/>
            </w:tcBorders>
            <w:vAlign w:val="center"/>
          </w:tcPr>
          <w:p w14:paraId="1151B89E">
            <w:pPr>
              <w:jc w:val="right"/>
              <w:rPr>
                <w:rFonts w:ascii="宋体" w:cs="宋体"/>
                <w:sz w:val="20"/>
              </w:rPr>
            </w:pPr>
            <w:r>
              <w:rPr>
                <w:rFonts w:hint="eastAsia" w:ascii="宋体" w:cs="宋体"/>
                <w:sz w:val="20"/>
              </w:rPr>
              <w:t>19.38</w:t>
            </w:r>
          </w:p>
        </w:tc>
      </w:tr>
      <w:tr w14:paraId="43E0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7B807D60">
            <w:pPr>
              <w:jc w:val="center"/>
              <w:rPr>
                <w:rFonts w:ascii="宋体" w:cs="宋体"/>
                <w:sz w:val="20"/>
              </w:rPr>
            </w:pPr>
          </w:p>
        </w:tc>
        <w:tc>
          <w:tcPr>
            <w:tcW w:w="3349" w:type="dxa"/>
            <w:gridSpan w:val="2"/>
            <w:tcBorders>
              <w:tl2br w:val="nil"/>
              <w:tr2bl w:val="nil"/>
            </w:tcBorders>
            <w:vAlign w:val="center"/>
          </w:tcPr>
          <w:p w14:paraId="4063374A">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其中：财政拨款</w:t>
            </w:r>
          </w:p>
        </w:tc>
        <w:tc>
          <w:tcPr>
            <w:tcW w:w="4228" w:type="dxa"/>
            <w:gridSpan w:val="2"/>
            <w:tcBorders>
              <w:tl2br w:val="nil"/>
              <w:tr2bl w:val="nil"/>
            </w:tcBorders>
            <w:vAlign w:val="center"/>
          </w:tcPr>
          <w:p w14:paraId="00688DF0">
            <w:pPr>
              <w:jc w:val="right"/>
              <w:rPr>
                <w:rFonts w:ascii="宋体" w:cs="宋体"/>
                <w:sz w:val="20"/>
              </w:rPr>
            </w:pPr>
            <w:r>
              <w:rPr>
                <w:rFonts w:hint="eastAsia" w:ascii="宋体" w:cs="宋体"/>
                <w:sz w:val="20"/>
              </w:rPr>
              <w:t>19.38</w:t>
            </w:r>
          </w:p>
        </w:tc>
      </w:tr>
      <w:tr w14:paraId="1DFD6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2423B809">
            <w:pPr>
              <w:jc w:val="center"/>
              <w:rPr>
                <w:rFonts w:ascii="宋体" w:cs="宋体"/>
                <w:sz w:val="20"/>
              </w:rPr>
            </w:pPr>
          </w:p>
        </w:tc>
        <w:tc>
          <w:tcPr>
            <w:tcW w:w="3349" w:type="dxa"/>
            <w:gridSpan w:val="2"/>
            <w:tcBorders>
              <w:tl2br w:val="nil"/>
              <w:tr2bl w:val="nil"/>
            </w:tcBorders>
            <w:vAlign w:val="center"/>
          </w:tcPr>
          <w:p w14:paraId="134DCB1F">
            <w:pPr>
              <w:widowControl/>
              <w:jc w:val="left"/>
              <w:textAlignment w:val="center"/>
              <w:rPr>
                <w:rFonts w:ascii="宋体" w:cs="宋体"/>
                <w:sz w:val="20"/>
              </w:rPr>
            </w:pPr>
            <w:r>
              <w:rPr>
                <w:rFonts w:hint="eastAsia" w:ascii="宋体" w:hAnsi="宋体" w:eastAsia="宋体" w:cs="宋体"/>
                <w:color w:val="000000"/>
                <w:kern w:val="0"/>
                <w:sz w:val="20"/>
                <w:szCs w:val="20"/>
              </w:rPr>
              <w:t xml:space="preserve">         上年结转</w:t>
            </w:r>
          </w:p>
        </w:tc>
        <w:tc>
          <w:tcPr>
            <w:tcW w:w="4228" w:type="dxa"/>
            <w:gridSpan w:val="2"/>
            <w:tcBorders>
              <w:tl2br w:val="nil"/>
              <w:tr2bl w:val="nil"/>
            </w:tcBorders>
            <w:vAlign w:val="center"/>
          </w:tcPr>
          <w:p w14:paraId="0B078C9B">
            <w:pPr>
              <w:jc w:val="center"/>
              <w:rPr>
                <w:rFonts w:ascii="宋体" w:cs="宋体"/>
                <w:sz w:val="20"/>
              </w:rPr>
            </w:pPr>
          </w:p>
        </w:tc>
      </w:tr>
      <w:tr w14:paraId="6428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tcBorders>
              <w:tl2br w:val="nil"/>
              <w:tr2bl w:val="nil"/>
            </w:tcBorders>
            <w:vAlign w:val="center"/>
          </w:tcPr>
          <w:p w14:paraId="452C3646">
            <w:pPr>
              <w:jc w:val="center"/>
              <w:rPr>
                <w:rFonts w:ascii="宋体" w:cs="宋体"/>
                <w:sz w:val="20"/>
              </w:rPr>
            </w:pPr>
          </w:p>
        </w:tc>
        <w:tc>
          <w:tcPr>
            <w:tcW w:w="3349" w:type="dxa"/>
            <w:gridSpan w:val="2"/>
            <w:tcBorders>
              <w:tl2br w:val="nil"/>
              <w:tr2bl w:val="nil"/>
            </w:tcBorders>
            <w:vAlign w:val="center"/>
          </w:tcPr>
          <w:p w14:paraId="45358A7F">
            <w:pPr>
              <w:widowControl/>
              <w:jc w:val="left"/>
              <w:textAlignment w:val="center"/>
              <w:rPr>
                <w:rFonts w:ascii="宋体" w:cs="宋体"/>
                <w:sz w:val="20"/>
              </w:rPr>
            </w:pPr>
            <w:r>
              <w:rPr>
                <w:rFonts w:hint="eastAsia" w:ascii="宋体" w:hAnsi="宋体" w:eastAsia="宋体" w:cs="宋体"/>
                <w:color w:val="000000"/>
                <w:kern w:val="0"/>
                <w:sz w:val="20"/>
                <w:szCs w:val="20"/>
              </w:rPr>
              <w:t xml:space="preserve">         其他资金</w:t>
            </w:r>
          </w:p>
        </w:tc>
        <w:tc>
          <w:tcPr>
            <w:tcW w:w="4228" w:type="dxa"/>
            <w:gridSpan w:val="2"/>
            <w:tcBorders>
              <w:tl2br w:val="nil"/>
              <w:tr2bl w:val="nil"/>
            </w:tcBorders>
            <w:vAlign w:val="center"/>
          </w:tcPr>
          <w:p w14:paraId="646B1BA8">
            <w:pPr>
              <w:jc w:val="right"/>
              <w:rPr>
                <w:rFonts w:ascii="宋体" w:cs="宋体"/>
                <w:sz w:val="20"/>
              </w:rPr>
            </w:pPr>
          </w:p>
        </w:tc>
      </w:tr>
      <w:tr w14:paraId="55E4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tcBorders>
              <w:tl2br w:val="nil"/>
              <w:tr2bl w:val="nil"/>
            </w:tcBorders>
            <w:vAlign w:val="center"/>
          </w:tcPr>
          <w:p w14:paraId="6F92494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年度</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目标</w:t>
            </w:r>
          </w:p>
        </w:tc>
        <w:tc>
          <w:tcPr>
            <w:tcW w:w="8582" w:type="dxa"/>
            <w:gridSpan w:val="6"/>
            <w:tcBorders>
              <w:tl2br w:val="nil"/>
              <w:tr2bl w:val="nil"/>
            </w:tcBorders>
            <w:vAlign w:val="center"/>
          </w:tcPr>
          <w:p w14:paraId="6756A7C3">
            <w:pPr>
              <w:jc w:val="left"/>
              <w:rPr>
                <w:rFonts w:ascii="宋体" w:cs="宋体"/>
                <w:sz w:val="20"/>
              </w:rPr>
            </w:pPr>
          </w:p>
        </w:tc>
      </w:tr>
      <w:tr w14:paraId="4C10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tcBorders>
              <w:tl2br w:val="nil"/>
              <w:tr2bl w:val="nil"/>
            </w:tcBorders>
            <w:vAlign w:val="center"/>
          </w:tcPr>
          <w:p w14:paraId="28B63DA5">
            <w:pPr>
              <w:widowControl/>
              <w:jc w:val="center"/>
              <w:textAlignment w:val="center"/>
              <w:rPr>
                <w:rFonts w:ascii="宋体" w:cs="宋体"/>
                <w:sz w:val="20"/>
              </w:rPr>
            </w:pPr>
            <w:r>
              <w:rPr>
                <w:rFonts w:hint="eastAsia" w:ascii="宋体" w:hAnsi="宋体" w:eastAsia="宋体" w:cs="宋体"/>
                <w:color w:val="000000"/>
                <w:kern w:val="0"/>
                <w:sz w:val="20"/>
                <w:szCs w:val="20"/>
              </w:rPr>
              <w:t>绩</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效</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标</w:t>
            </w:r>
          </w:p>
        </w:tc>
        <w:tc>
          <w:tcPr>
            <w:tcW w:w="723" w:type="dxa"/>
            <w:tcBorders>
              <w:tl2br w:val="nil"/>
              <w:tr2bl w:val="nil"/>
            </w:tcBorders>
            <w:vAlign w:val="center"/>
          </w:tcPr>
          <w:p w14:paraId="5D3C96E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一级</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指标</w:t>
            </w:r>
          </w:p>
        </w:tc>
        <w:tc>
          <w:tcPr>
            <w:tcW w:w="648" w:type="dxa"/>
            <w:gridSpan w:val="2"/>
            <w:tcBorders>
              <w:tl2br w:val="nil"/>
              <w:tr2bl w:val="nil"/>
            </w:tcBorders>
            <w:vAlign w:val="center"/>
          </w:tcPr>
          <w:p w14:paraId="070072F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二级指标</w:t>
            </w:r>
          </w:p>
        </w:tc>
        <w:tc>
          <w:tcPr>
            <w:tcW w:w="2983" w:type="dxa"/>
            <w:tcBorders>
              <w:tl2br w:val="nil"/>
              <w:tr2bl w:val="nil"/>
            </w:tcBorders>
            <w:vAlign w:val="center"/>
          </w:tcPr>
          <w:p w14:paraId="2D580C07">
            <w:pPr>
              <w:widowControl/>
              <w:jc w:val="center"/>
              <w:textAlignment w:val="center"/>
              <w:rPr>
                <w:rFonts w:ascii="宋体" w:cs="宋体"/>
                <w:sz w:val="20"/>
              </w:rPr>
            </w:pPr>
            <w:r>
              <w:rPr>
                <w:rFonts w:hint="eastAsia" w:ascii="宋体" w:hAnsi="宋体" w:eastAsia="宋体" w:cs="宋体"/>
                <w:color w:val="000000"/>
                <w:kern w:val="0"/>
                <w:sz w:val="20"/>
                <w:szCs w:val="20"/>
              </w:rPr>
              <w:t>三级指标</w:t>
            </w:r>
          </w:p>
        </w:tc>
        <w:tc>
          <w:tcPr>
            <w:tcW w:w="4228" w:type="dxa"/>
            <w:gridSpan w:val="2"/>
            <w:tcBorders>
              <w:tl2br w:val="nil"/>
              <w:tr2bl w:val="nil"/>
            </w:tcBorders>
            <w:vAlign w:val="center"/>
          </w:tcPr>
          <w:p w14:paraId="7B65B332">
            <w:pPr>
              <w:widowControl/>
              <w:jc w:val="center"/>
              <w:textAlignment w:val="center"/>
              <w:rPr>
                <w:rFonts w:ascii="宋体" w:cs="宋体"/>
                <w:sz w:val="20"/>
              </w:rPr>
            </w:pPr>
            <w:r>
              <w:rPr>
                <w:rFonts w:hint="eastAsia" w:ascii="宋体" w:hAnsi="宋体" w:eastAsia="宋体" w:cs="宋体"/>
                <w:color w:val="000000"/>
                <w:kern w:val="0"/>
                <w:sz w:val="20"/>
                <w:szCs w:val="20"/>
              </w:rPr>
              <w:t>指标值</w:t>
            </w:r>
          </w:p>
        </w:tc>
      </w:tr>
      <w:tr w14:paraId="253C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463829B">
            <w:pPr>
              <w:jc w:val="center"/>
              <w:rPr>
                <w:rFonts w:ascii="宋体" w:cs="宋体"/>
                <w:sz w:val="20"/>
              </w:rPr>
            </w:pPr>
          </w:p>
        </w:tc>
        <w:tc>
          <w:tcPr>
            <w:tcW w:w="723" w:type="dxa"/>
            <w:vMerge w:val="restart"/>
            <w:tcBorders>
              <w:tl2br w:val="nil"/>
              <w:tr2bl w:val="nil"/>
            </w:tcBorders>
            <w:vAlign w:val="center"/>
          </w:tcPr>
          <w:p w14:paraId="478EDCF7">
            <w:pPr>
              <w:widowControl/>
              <w:jc w:val="center"/>
              <w:textAlignment w:val="center"/>
              <w:rPr>
                <w:rFonts w:ascii="宋体" w:cs="宋体"/>
                <w:sz w:val="20"/>
              </w:rPr>
            </w:pPr>
            <w:r>
              <w:rPr>
                <w:rFonts w:hint="eastAsia" w:ascii="宋体" w:hAnsi="宋体" w:eastAsia="宋体" w:cs="宋体"/>
                <w:color w:val="000000"/>
                <w:kern w:val="0"/>
                <w:sz w:val="20"/>
                <w:szCs w:val="20"/>
              </w:rPr>
              <w:t>产出指标</w:t>
            </w:r>
          </w:p>
        </w:tc>
        <w:tc>
          <w:tcPr>
            <w:tcW w:w="648" w:type="dxa"/>
            <w:gridSpan w:val="2"/>
            <w:vMerge w:val="restart"/>
            <w:tcBorders>
              <w:tl2br w:val="nil"/>
              <w:tr2bl w:val="nil"/>
            </w:tcBorders>
            <w:vAlign w:val="center"/>
          </w:tcPr>
          <w:p w14:paraId="637F0E37">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数量指标</w:t>
            </w:r>
          </w:p>
        </w:tc>
        <w:tc>
          <w:tcPr>
            <w:tcW w:w="2983" w:type="dxa"/>
            <w:tcBorders>
              <w:tl2br w:val="nil"/>
              <w:tr2bl w:val="nil"/>
            </w:tcBorders>
            <w:vAlign w:val="center"/>
          </w:tcPr>
          <w:p w14:paraId="62673A8D">
            <w:pPr>
              <w:widowControl/>
              <w:jc w:val="left"/>
              <w:textAlignment w:val="center"/>
              <w:rPr>
                <w:rFonts w:ascii="宋体" w:cs="宋体"/>
                <w:sz w:val="20"/>
              </w:rPr>
            </w:pPr>
            <w:r>
              <w:rPr>
                <w:rFonts w:hint="eastAsia" w:ascii="宋体" w:hAnsi="宋体" w:eastAsia="宋体" w:cs="宋体"/>
                <w:color w:val="000000"/>
                <w:kern w:val="0"/>
                <w:sz w:val="20"/>
                <w:szCs w:val="20"/>
              </w:rPr>
              <w:t>指标1：公办学前公用经费</w:t>
            </w:r>
          </w:p>
        </w:tc>
        <w:tc>
          <w:tcPr>
            <w:tcW w:w="4228" w:type="dxa"/>
            <w:gridSpan w:val="2"/>
            <w:tcBorders>
              <w:tl2br w:val="nil"/>
              <w:tr2bl w:val="nil"/>
            </w:tcBorders>
            <w:vAlign w:val="center"/>
          </w:tcPr>
          <w:p w14:paraId="686EBFA6">
            <w:pPr>
              <w:jc w:val="center"/>
              <w:rPr>
                <w:rFonts w:ascii="宋体" w:cs="宋体"/>
                <w:sz w:val="20"/>
              </w:rPr>
            </w:pPr>
            <w:r>
              <w:rPr>
                <w:rFonts w:hint="eastAsia" w:ascii="宋体" w:cs="宋体"/>
                <w:sz w:val="20"/>
              </w:rPr>
              <w:t>19.38万元</w:t>
            </w:r>
          </w:p>
        </w:tc>
      </w:tr>
      <w:tr w14:paraId="2E1D2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15B10DF">
            <w:pPr>
              <w:jc w:val="center"/>
              <w:rPr>
                <w:rFonts w:ascii="宋体" w:cs="宋体"/>
                <w:sz w:val="20"/>
              </w:rPr>
            </w:pPr>
          </w:p>
        </w:tc>
        <w:tc>
          <w:tcPr>
            <w:tcW w:w="723" w:type="dxa"/>
            <w:vMerge w:val="continue"/>
            <w:tcBorders>
              <w:tl2br w:val="nil"/>
              <w:tr2bl w:val="nil"/>
            </w:tcBorders>
            <w:vAlign w:val="center"/>
          </w:tcPr>
          <w:p w14:paraId="639B1795">
            <w:pPr>
              <w:jc w:val="center"/>
              <w:rPr>
                <w:rFonts w:ascii="宋体" w:cs="宋体"/>
                <w:sz w:val="20"/>
              </w:rPr>
            </w:pPr>
          </w:p>
        </w:tc>
        <w:tc>
          <w:tcPr>
            <w:tcW w:w="648" w:type="dxa"/>
            <w:gridSpan w:val="2"/>
            <w:vMerge w:val="continue"/>
            <w:tcBorders>
              <w:tl2br w:val="nil"/>
              <w:tr2bl w:val="nil"/>
            </w:tcBorders>
            <w:vAlign w:val="center"/>
          </w:tcPr>
          <w:p w14:paraId="66D20B29">
            <w:pPr>
              <w:jc w:val="center"/>
              <w:rPr>
                <w:rFonts w:ascii="宋体" w:cs="宋体"/>
                <w:sz w:val="20"/>
              </w:rPr>
            </w:pPr>
          </w:p>
        </w:tc>
        <w:tc>
          <w:tcPr>
            <w:tcW w:w="2983" w:type="dxa"/>
            <w:tcBorders>
              <w:tl2br w:val="nil"/>
              <w:tr2bl w:val="nil"/>
            </w:tcBorders>
            <w:vAlign w:val="center"/>
          </w:tcPr>
          <w:p w14:paraId="5A0F6D6A">
            <w:pPr>
              <w:widowControl/>
              <w:jc w:val="left"/>
              <w:textAlignment w:val="center"/>
              <w:rPr>
                <w:rFonts w:ascii="宋体" w:cs="宋体"/>
                <w:sz w:val="20"/>
              </w:rPr>
            </w:pPr>
          </w:p>
        </w:tc>
        <w:tc>
          <w:tcPr>
            <w:tcW w:w="4228" w:type="dxa"/>
            <w:gridSpan w:val="2"/>
            <w:tcBorders>
              <w:tl2br w:val="nil"/>
              <w:tr2bl w:val="nil"/>
            </w:tcBorders>
            <w:vAlign w:val="center"/>
          </w:tcPr>
          <w:p w14:paraId="1227C23A">
            <w:pPr>
              <w:rPr>
                <w:rFonts w:ascii="宋体" w:cs="宋体"/>
                <w:sz w:val="20"/>
              </w:rPr>
            </w:pPr>
          </w:p>
        </w:tc>
      </w:tr>
      <w:tr w14:paraId="087A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0134C3B">
            <w:pPr>
              <w:jc w:val="center"/>
              <w:rPr>
                <w:rFonts w:ascii="宋体" w:cs="宋体"/>
                <w:sz w:val="20"/>
              </w:rPr>
            </w:pPr>
          </w:p>
        </w:tc>
        <w:tc>
          <w:tcPr>
            <w:tcW w:w="723" w:type="dxa"/>
            <w:vMerge w:val="continue"/>
            <w:tcBorders>
              <w:tl2br w:val="nil"/>
              <w:tr2bl w:val="nil"/>
            </w:tcBorders>
            <w:vAlign w:val="center"/>
          </w:tcPr>
          <w:p w14:paraId="6C53D6D2">
            <w:pPr>
              <w:jc w:val="center"/>
              <w:rPr>
                <w:rFonts w:ascii="宋体" w:cs="宋体"/>
                <w:sz w:val="20"/>
              </w:rPr>
            </w:pPr>
          </w:p>
        </w:tc>
        <w:tc>
          <w:tcPr>
            <w:tcW w:w="648" w:type="dxa"/>
            <w:gridSpan w:val="2"/>
            <w:vMerge w:val="restart"/>
            <w:tcBorders>
              <w:tl2br w:val="nil"/>
              <w:tr2bl w:val="nil"/>
            </w:tcBorders>
            <w:vAlign w:val="center"/>
          </w:tcPr>
          <w:p w14:paraId="51114262">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质量指标</w:t>
            </w:r>
          </w:p>
        </w:tc>
        <w:tc>
          <w:tcPr>
            <w:tcW w:w="2983" w:type="dxa"/>
            <w:tcBorders>
              <w:tl2br w:val="nil"/>
              <w:tr2bl w:val="nil"/>
            </w:tcBorders>
            <w:vAlign w:val="center"/>
          </w:tcPr>
          <w:p w14:paraId="74B02C6B">
            <w:pPr>
              <w:widowControl/>
              <w:jc w:val="left"/>
              <w:textAlignment w:val="center"/>
              <w:rPr>
                <w:rFonts w:ascii="宋体" w:cs="宋体"/>
                <w:sz w:val="20"/>
              </w:rPr>
            </w:pPr>
            <w:r>
              <w:rPr>
                <w:rFonts w:hint="eastAsia" w:ascii="宋体" w:hAnsi="宋体" w:eastAsia="宋体" w:cs="宋体"/>
                <w:color w:val="000000"/>
                <w:kern w:val="0"/>
                <w:sz w:val="20"/>
                <w:szCs w:val="20"/>
              </w:rPr>
              <w:t>指标1：经费支出合规性</w:t>
            </w:r>
          </w:p>
        </w:tc>
        <w:tc>
          <w:tcPr>
            <w:tcW w:w="4228" w:type="dxa"/>
            <w:gridSpan w:val="2"/>
            <w:tcBorders>
              <w:tl2br w:val="nil"/>
              <w:tr2bl w:val="nil"/>
            </w:tcBorders>
            <w:vAlign w:val="center"/>
          </w:tcPr>
          <w:p w14:paraId="5492628D">
            <w:pPr>
              <w:jc w:val="center"/>
              <w:rPr>
                <w:rFonts w:ascii="宋体" w:cs="宋体"/>
                <w:sz w:val="20"/>
              </w:rPr>
            </w:pPr>
            <w:r>
              <w:rPr>
                <w:rFonts w:hint="eastAsia" w:ascii="宋体" w:cs="宋体"/>
                <w:sz w:val="20"/>
              </w:rPr>
              <w:t>严格执行相关法规制度</w:t>
            </w:r>
          </w:p>
        </w:tc>
      </w:tr>
      <w:tr w14:paraId="097D5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DCE1AE7">
            <w:pPr>
              <w:jc w:val="center"/>
              <w:rPr>
                <w:rFonts w:ascii="宋体" w:cs="宋体"/>
                <w:sz w:val="20"/>
              </w:rPr>
            </w:pPr>
          </w:p>
        </w:tc>
        <w:tc>
          <w:tcPr>
            <w:tcW w:w="723" w:type="dxa"/>
            <w:vMerge w:val="continue"/>
            <w:tcBorders>
              <w:tl2br w:val="nil"/>
              <w:tr2bl w:val="nil"/>
            </w:tcBorders>
            <w:vAlign w:val="center"/>
          </w:tcPr>
          <w:p w14:paraId="3B554612">
            <w:pPr>
              <w:jc w:val="center"/>
              <w:rPr>
                <w:rFonts w:ascii="宋体" w:cs="宋体"/>
                <w:sz w:val="20"/>
              </w:rPr>
            </w:pPr>
          </w:p>
        </w:tc>
        <w:tc>
          <w:tcPr>
            <w:tcW w:w="648" w:type="dxa"/>
            <w:gridSpan w:val="2"/>
            <w:vMerge w:val="continue"/>
            <w:tcBorders>
              <w:tl2br w:val="nil"/>
              <w:tr2bl w:val="nil"/>
            </w:tcBorders>
            <w:vAlign w:val="center"/>
          </w:tcPr>
          <w:p w14:paraId="1DF5D163">
            <w:pPr>
              <w:jc w:val="center"/>
              <w:rPr>
                <w:rFonts w:ascii="宋体" w:cs="宋体"/>
                <w:sz w:val="20"/>
              </w:rPr>
            </w:pPr>
          </w:p>
        </w:tc>
        <w:tc>
          <w:tcPr>
            <w:tcW w:w="2983" w:type="dxa"/>
            <w:tcBorders>
              <w:tl2br w:val="nil"/>
              <w:tr2bl w:val="nil"/>
            </w:tcBorders>
            <w:vAlign w:val="center"/>
          </w:tcPr>
          <w:p w14:paraId="476BBEE8">
            <w:pPr>
              <w:widowControl/>
              <w:jc w:val="left"/>
              <w:textAlignment w:val="center"/>
              <w:rPr>
                <w:rFonts w:ascii="宋体" w:cs="宋体"/>
                <w:sz w:val="20"/>
              </w:rPr>
            </w:pPr>
          </w:p>
        </w:tc>
        <w:tc>
          <w:tcPr>
            <w:tcW w:w="4228" w:type="dxa"/>
            <w:gridSpan w:val="2"/>
            <w:tcBorders>
              <w:tl2br w:val="nil"/>
              <w:tr2bl w:val="nil"/>
            </w:tcBorders>
            <w:vAlign w:val="center"/>
          </w:tcPr>
          <w:p w14:paraId="62CAFC08">
            <w:pPr>
              <w:jc w:val="center"/>
              <w:rPr>
                <w:rFonts w:ascii="宋体" w:cs="宋体"/>
                <w:sz w:val="20"/>
              </w:rPr>
            </w:pPr>
          </w:p>
        </w:tc>
      </w:tr>
      <w:tr w14:paraId="7B97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9F4EE79">
            <w:pPr>
              <w:jc w:val="center"/>
              <w:rPr>
                <w:rFonts w:ascii="宋体" w:cs="宋体"/>
                <w:sz w:val="20"/>
              </w:rPr>
            </w:pPr>
          </w:p>
        </w:tc>
        <w:tc>
          <w:tcPr>
            <w:tcW w:w="723" w:type="dxa"/>
            <w:vMerge w:val="continue"/>
            <w:tcBorders>
              <w:tl2br w:val="nil"/>
              <w:tr2bl w:val="nil"/>
            </w:tcBorders>
            <w:vAlign w:val="center"/>
          </w:tcPr>
          <w:p w14:paraId="7B97D714">
            <w:pPr>
              <w:jc w:val="center"/>
              <w:rPr>
                <w:rFonts w:ascii="宋体" w:cs="宋体"/>
                <w:sz w:val="20"/>
              </w:rPr>
            </w:pPr>
          </w:p>
        </w:tc>
        <w:tc>
          <w:tcPr>
            <w:tcW w:w="648" w:type="dxa"/>
            <w:gridSpan w:val="2"/>
            <w:vMerge w:val="restart"/>
            <w:tcBorders>
              <w:tl2br w:val="nil"/>
              <w:tr2bl w:val="nil"/>
            </w:tcBorders>
            <w:vAlign w:val="center"/>
          </w:tcPr>
          <w:p w14:paraId="365D3E8E">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时效指标</w:t>
            </w:r>
          </w:p>
        </w:tc>
        <w:tc>
          <w:tcPr>
            <w:tcW w:w="2983" w:type="dxa"/>
            <w:tcBorders>
              <w:tl2br w:val="nil"/>
              <w:tr2bl w:val="nil"/>
            </w:tcBorders>
            <w:vAlign w:val="center"/>
          </w:tcPr>
          <w:p w14:paraId="696E5D0F">
            <w:pPr>
              <w:widowControl/>
              <w:jc w:val="left"/>
              <w:textAlignment w:val="center"/>
              <w:rPr>
                <w:rFonts w:ascii="宋体" w:cs="宋体"/>
                <w:sz w:val="20"/>
              </w:rPr>
            </w:pPr>
            <w:r>
              <w:rPr>
                <w:rFonts w:hint="eastAsia" w:ascii="宋体" w:hAnsi="宋体" w:eastAsia="宋体" w:cs="宋体"/>
                <w:color w:val="000000"/>
                <w:kern w:val="0"/>
                <w:sz w:val="20"/>
                <w:szCs w:val="20"/>
              </w:rPr>
              <w:t>指标1：资金支付及时性</w:t>
            </w:r>
          </w:p>
        </w:tc>
        <w:tc>
          <w:tcPr>
            <w:tcW w:w="4228" w:type="dxa"/>
            <w:gridSpan w:val="2"/>
            <w:tcBorders>
              <w:tl2br w:val="nil"/>
              <w:tr2bl w:val="nil"/>
            </w:tcBorders>
            <w:vAlign w:val="center"/>
          </w:tcPr>
          <w:p w14:paraId="44FC3219">
            <w:pPr>
              <w:jc w:val="center"/>
              <w:rPr>
                <w:rFonts w:ascii="宋体" w:cs="宋体"/>
                <w:sz w:val="20"/>
              </w:rPr>
            </w:pPr>
            <w:r>
              <w:rPr>
                <w:rFonts w:hint="eastAsia" w:ascii="宋体" w:cs="宋体"/>
                <w:sz w:val="20"/>
              </w:rPr>
              <w:t>及时</w:t>
            </w:r>
          </w:p>
        </w:tc>
      </w:tr>
      <w:tr w14:paraId="4F38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2BBB77B">
            <w:pPr>
              <w:jc w:val="center"/>
              <w:rPr>
                <w:rFonts w:ascii="宋体" w:cs="宋体"/>
                <w:sz w:val="20"/>
              </w:rPr>
            </w:pPr>
          </w:p>
        </w:tc>
        <w:tc>
          <w:tcPr>
            <w:tcW w:w="723" w:type="dxa"/>
            <w:vMerge w:val="continue"/>
            <w:tcBorders>
              <w:tl2br w:val="nil"/>
              <w:tr2bl w:val="nil"/>
            </w:tcBorders>
            <w:vAlign w:val="center"/>
          </w:tcPr>
          <w:p w14:paraId="54A85092">
            <w:pPr>
              <w:jc w:val="center"/>
              <w:rPr>
                <w:rFonts w:ascii="宋体" w:cs="宋体"/>
                <w:sz w:val="20"/>
              </w:rPr>
            </w:pPr>
          </w:p>
        </w:tc>
        <w:tc>
          <w:tcPr>
            <w:tcW w:w="648" w:type="dxa"/>
            <w:gridSpan w:val="2"/>
            <w:vMerge w:val="continue"/>
            <w:tcBorders>
              <w:tl2br w:val="nil"/>
              <w:tr2bl w:val="nil"/>
            </w:tcBorders>
            <w:vAlign w:val="center"/>
          </w:tcPr>
          <w:p w14:paraId="2BE27876">
            <w:pPr>
              <w:jc w:val="center"/>
              <w:rPr>
                <w:rFonts w:ascii="宋体" w:cs="宋体"/>
                <w:sz w:val="20"/>
              </w:rPr>
            </w:pPr>
          </w:p>
        </w:tc>
        <w:tc>
          <w:tcPr>
            <w:tcW w:w="2983" w:type="dxa"/>
            <w:tcBorders>
              <w:tl2br w:val="nil"/>
              <w:tr2bl w:val="nil"/>
            </w:tcBorders>
            <w:vAlign w:val="center"/>
          </w:tcPr>
          <w:p w14:paraId="56A35467">
            <w:pPr>
              <w:widowControl/>
              <w:jc w:val="left"/>
              <w:textAlignment w:val="center"/>
              <w:rPr>
                <w:rFonts w:ascii="宋体" w:cs="宋体"/>
                <w:sz w:val="20"/>
              </w:rPr>
            </w:pPr>
          </w:p>
        </w:tc>
        <w:tc>
          <w:tcPr>
            <w:tcW w:w="4228" w:type="dxa"/>
            <w:gridSpan w:val="2"/>
            <w:tcBorders>
              <w:tl2br w:val="nil"/>
              <w:tr2bl w:val="nil"/>
            </w:tcBorders>
            <w:vAlign w:val="center"/>
          </w:tcPr>
          <w:p w14:paraId="3A83FBB5">
            <w:pPr>
              <w:jc w:val="center"/>
              <w:rPr>
                <w:rFonts w:ascii="宋体" w:cs="宋体"/>
                <w:sz w:val="20"/>
              </w:rPr>
            </w:pPr>
          </w:p>
        </w:tc>
      </w:tr>
      <w:tr w14:paraId="6654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E2480CA">
            <w:pPr>
              <w:jc w:val="center"/>
              <w:rPr>
                <w:rFonts w:ascii="宋体" w:cs="宋体"/>
                <w:sz w:val="20"/>
              </w:rPr>
            </w:pPr>
          </w:p>
        </w:tc>
        <w:tc>
          <w:tcPr>
            <w:tcW w:w="723" w:type="dxa"/>
            <w:vMerge w:val="continue"/>
            <w:tcBorders>
              <w:tl2br w:val="nil"/>
              <w:tr2bl w:val="nil"/>
            </w:tcBorders>
            <w:vAlign w:val="center"/>
          </w:tcPr>
          <w:p w14:paraId="1ECAAB5B">
            <w:pPr>
              <w:jc w:val="center"/>
              <w:rPr>
                <w:rFonts w:ascii="宋体" w:cs="宋体"/>
                <w:sz w:val="20"/>
              </w:rPr>
            </w:pPr>
          </w:p>
        </w:tc>
        <w:tc>
          <w:tcPr>
            <w:tcW w:w="648" w:type="dxa"/>
            <w:gridSpan w:val="2"/>
            <w:vMerge w:val="restart"/>
            <w:tcBorders>
              <w:tl2br w:val="nil"/>
              <w:tr2bl w:val="nil"/>
            </w:tcBorders>
            <w:vAlign w:val="center"/>
          </w:tcPr>
          <w:p w14:paraId="077D5F6C">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成本指标</w:t>
            </w:r>
          </w:p>
        </w:tc>
        <w:tc>
          <w:tcPr>
            <w:tcW w:w="2983" w:type="dxa"/>
            <w:tcBorders>
              <w:tl2br w:val="nil"/>
              <w:tr2bl w:val="nil"/>
            </w:tcBorders>
            <w:vAlign w:val="center"/>
          </w:tcPr>
          <w:p w14:paraId="5E930FBB">
            <w:pPr>
              <w:widowControl/>
              <w:jc w:val="left"/>
              <w:textAlignment w:val="center"/>
              <w:rPr>
                <w:rFonts w:ascii="宋体" w:cs="宋体"/>
                <w:sz w:val="20"/>
              </w:rPr>
            </w:pPr>
            <w:r>
              <w:rPr>
                <w:rFonts w:hint="eastAsia" w:ascii="宋体" w:hAnsi="宋体" w:eastAsia="宋体" w:cs="宋体"/>
                <w:color w:val="000000"/>
                <w:kern w:val="0"/>
                <w:sz w:val="20"/>
                <w:szCs w:val="20"/>
              </w:rPr>
              <w:t>指标1：项目总成本</w:t>
            </w:r>
          </w:p>
        </w:tc>
        <w:tc>
          <w:tcPr>
            <w:tcW w:w="4228" w:type="dxa"/>
            <w:gridSpan w:val="2"/>
            <w:tcBorders>
              <w:tl2br w:val="nil"/>
              <w:tr2bl w:val="nil"/>
            </w:tcBorders>
            <w:vAlign w:val="center"/>
          </w:tcPr>
          <w:p w14:paraId="6E24141C">
            <w:pPr>
              <w:jc w:val="center"/>
              <w:rPr>
                <w:rFonts w:ascii="宋体" w:cs="宋体"/>
                <w:sz w:val="20"/>
              </w:rPr>
            </w:pPr>
            <w:r>
              <w:rPr>
                <w:rFonts w:hint="eastAsia" w:cs="宋体" w:asciiTheme="minorEastAsia" w:hAnsiTheme="minorEastAsia"/>
                <w:sz w:val="20"/>
              </w:rPr>
              <w:t>≤</w:t>
            </w:r>
            <w:r>
              <w:rPr>
                <w:rFonts w:hint="eastAsia" w:ascii="宋体" w:hAnsi="宋体" w:eastAsia="宋体" w:cs="宋体"/>
                <w:sz w:val="20"/>
              </w:rPr>
              <w:t>19.38万元</w:t>
            </w:r>
          </w:p>
        </w:tc>
      </w:tr>
      <w:tr w14:paraId="0C3D1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1512F64">
            <w:pPr>
              <w:jc w:val="center"/>
              <w:rPr>
                <w:rFonts w:ascii="宋体" w:cs="宋体"/>
                <w:sz w:val="20"/>
              </w:rPr>
            </w:pPr>
          </w:p>
        </w:tc>
        <w:tc>
          <w:tcPr>
            <w:tcW w:w="723" w:type="dxa"/>
            <w:vMerge w:val="continue"/>
            <w:tcBorders>
              <w:tl2br w:val="nil"/>
              <w:tr2bl w:val="nil"/>
            </w:tcBorders>
            <w:vAlign w:val="center"/>
          </w:tcPr>
          <w:p w14:paraId="02910B95">
            <w:pPr>
              <w:jc w:val="center"/>
              <w:rPr>
                <w:rFonts w:ascii="宋体" w:cs="宋体"/>
                <w:sz w:val="20"/>
              </w:rPr>
            </w:pPr>
          </w:p>
        </w:tc>
        <w:tc>
          <w:tcPr>
            <w:tcW w:w="648" w:type="dxa"/>
            <w:gridSpan w:val="2"/>
            <w:vMerge w:val="continue"/>
            <w:tcBorders>
              <w:tl2br w:val="nil"/>
              <w:tr2bl w:val="nil"/>
            </w:tcBorders>
            <w:vAlign w:val="center"/>
          </w:tcPr>
          <w:p w14:paraId="13AFF660">
            <w:pPr>
              <w:jc w:val="center"/>
              <w:rPr>
                <w:rFonts w:ascii="宋体" w:cs="宋体"/>
                <w:sz w:val="20"/>
              </w:rPr>
            </w:pPr>
          </w:p>
        </w:tc>
        <w:tc>
          <w:tcPr>
            <w:tcW w:w="2983" w:type="dxa"/>
            <w:tcBorders>
              <w:tl2br w:val="nil"/>
              <w:tr2bl w:val="nil"/>
            </w:tcBorders>
            <w:vAlign w:val="center"/>
          </w:tcPr>
          <w:p w14:paraId="319229D3">
            <w:pPr>
              <w:widowControl/>
              <w:jc w:val="left"/>
              <w:textAlignment w:val="center"/>
              <w:rPr>
                <w:rFonts w:ascii="宋体" w:cs="宋体"/>
                <w:sz w:val="20"/>
              </w:rPr>
            </w:pPr>
          </w:p>
        </w:tc>
        <w:tc>
          <w:tcPr>
            <w:tcW w:w="4228" w:type="dxa"/>
            <w:gridSpan w:val="2"/>
            <w:tcBorders>
              <w:tl2br w:val="nil"/>
              <w:tr2bl w:val="nil"/>
            </w:tcBorders>
            <w:vAlign w:val="center"/>
          </w:tcPr>
          <w:p w14:paraId="3DD84BBB">
            <w:pPr>
              <w:jc w:val="center"/>
              <w:rPr>
                <w:rFonts w:ascii="宋体" w:cs="宋体"/>
                <w:sz w:val="20"/>
              </w:rPr>
            </w:pPr>
          </w:p>
        </w:tc>
      </w:tr>
      <w:tr w14:paraId="2219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0BF9F761">
            <w:pPr>
              <w:jc w:val="center"/>
              <w:rPr>
                <w:rFonts w:ascii="宋体" w:cs="宋体"/>
                <w:sz w:val="20"/>
              </w:rPr>
            </w:pPr>
          </w:p>
        </w:tc>
        <w:tc>
          <w:tcPr>
            <w:tcW w:w="723" w:type="dxa"/>
            <w:vMerge w:val="restart"/>
            <w:tcBorders>
              <w:tl2br w:val="nil"/>
              <w:tr2bl w:val="nil"/>
            </w:tcBorders>
            <w:vAlign w:val="center"/>
          </w:tcPr>
          <w:p w14:paraId="14A3669F">
            <w:pPr>
              <w:widowControl/>
              <w:jc w:val="center"/>
              <w:textAlignment w:val="center"/>
              <w:rPr>
                <w:rFonts w:ascii="宋体" w:cs="宋体"/>
                <w:sz w:val="20"/>
              </w:rPr>
            </w:pPr>
            <w:r>
              <w:rPr>
                <w:rFonts w:hint="eastAsia" w:ascii="宋体" w:hAnsi="宋体" w:eastAsia="宋体" w:cs="宋体"/>
                <w:color w:val="000000"/>
                <w:kern w:val="0"/>
                <w:sz w:val="20"/>
                <w:szCs w:val="20"/>
              </w:rPr>
              <w:t>效益指标</w:t>
            </w:r>
          </w:p>
        </w:tc>
        <w:tc>
          <w:tcPr>
            <w:tcW w:w="648" w:type="dxa"/>
            <w:gridSpan w:val="2"/>
            <w:vMerge w:val="restart"/>
            <w:tcBorders>
              <w:tl2br w:val="nil"/>
              <w:tr2bl w:val="nil"/>
            </w:tcBorders>
            <w:vAlign w:val="center"/>
          </w:tcPr>
          <w:p w14:paraId="4967D688">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经济效益指标</w:t>
            </w:r>
          </w:p>
        </w:tc>
        <w:tc>
          <w:tcPr>
            <w:tcW w:w="2983" w:type="dxa"/>
            <w:tcBorders>
              <w:tl2br w:val="nil"/>
              <w:tr2bl w:val="nil"/>
            </w:tcBorders>
            <w:vAlign w:val="center"/>
          </w:tcPr>
          <w:p w14:paraId="10E1AB7F">
            <w:pPr>
              <w:widowControl/>
              <w:jc w:val="left"/>
              <w:textAlignment w:val="center"/>
              <w:rPr>
                <w:rFonts w:ascii="宋体" w:cs="宋体"/>
                <w:sz w:val="20"/>
              </w:rPr>
            </w:pPr>
            <w:r>
              <w:rPr>
                <w:rFonts w:hint="eastAsia" w:ascii="宋体" w:hAnsi="宋体" w:eastAsia="宋体" w:cs="宋体"/>
                <w:color w:val="000000"/>
                <w:kern w:val="0"/>
                <w:sz w:val="20"/>
                <w:szCs w:val="20"/>
              </w:rPr>
              <w:t>指标1：资金使用效率</w:t>
            </w:r>
          </w:p>
        </w:tc>
        <w:tc>
          <w:tcPr>
            <w:tcW w:w="4228" w:type="dxa"/>
            <w:gridSpan w:val="2"/>
            <w:tcBorders>
              <w:tl2br w:val="nil"/>
              <w:tr2bl w:val="nil"/>
            </w:tcBorders>
            <w:vAlign w:val="center"/>
          </w:tcPr>
          <w:p w14:paraId="15DE5D15">
            <w:pPr>
              <w:jc w:val="center"/>
              <w:rPr>
                <w:rFonts w:ascii="宋体" w:cs="宋体"/>
                <w:sz w:val="20"/>
              </w:rPr>
            </w:pPr>
            <w:r>
              <w:rPr>
                <w:rFonts w:hint="eastAsia" w:ascii="宋体" w:cs="宋体"/>
                <w:sz w:val="20"/>
              </w:rPr>
              <w:t>100%</w:t>
            </w:r>
          </w:p>
        </w:tc>
      </w:tr>
      <w:tr w14:paraId="3492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E3C7FC">
            <w:pPr>
              <w:jc w:val="center"/>
              <w:rPr>
                <w:rFonts w:ascii="宋体" w:cs="宋体"/>
                <w:sz w:val="20"/>
              </w:rPr>
            </w:pPr>
          </w:p>
        </w:tc>
        <w:tc>
          <w:tcPr>
            <w:tcW w:w="723" w:type="dxa"/>
            <w:vMerge w:val="continue"/>
            <w:tcBorders>
              <w:tl2br w:val="nil"/>
              <w:tr2bl w:val="nil"/>
            </w:tcBorders>
            <w:vAlign w:val="center"/>
          </w:tcPr>
          <w:p w14:paraId="40A41891">
            <w:pPr>
              <w:jc w:val="center"/>
              <w:rPr>
                <w:rFonts w:ascii="宋体" w:cs="宋体"/>
                <w:sz w:val="20"/>
              </w:rPr>
            </w:pPr>
          </w:p>
        </w:tc>
        <w:tc>
          <w:tcPr>
            <w:tcW w:w="648" w:type="dxa"/>
            <w:gridSpan w:val="2"/>
            <w:vMerge w:val="continue"/>
            <w:tcBorders>
              <w:tl2br w:val="nil"/>
              <w:tr2bl w:val="nil"/>
            </w:tcBorders>
            <w:vAlign w:val="center"/>
          </w:tcPr>
          <w:p w14:paraId="1D030C48">
            <w:pPr>
              <w:jc w:val="center"/>
              <w:rPr>
                <w:rFonts w:ascii="宋体" w:cs="宋体"/>
                <w:sz w:val="20"/>
              </w:rPr>
            </w:pPr>
          </w:p>
        </w:tc>
        <w:tc>
          <w:tcPr>
            <w:tcW w:w="2983" w:type="dxa"/>
            <w:tcBorders>
              <w:tl2br w:val="nil"/>
              <w:tr2bl w:val="nil"/>
            </w:tcBorders>
            <w:vAlign w:val="center"/>
          </w:tcPr>
          <w:p w14:paraId="45430200">
            <w:pPr>
              <w:widowControl/>
              <w:jc w:val="left"/>
              <w:textAlignment w:val="center"/>
              <w:rPr>
                <w:rFonts w:ascii="宋体" w:cs="宋体"/>
                <w:sz w:val="20"/>
              </w:rPr>
            </w:pPr>
          </w:p>
        </w:tc>
        <w:tc>
          <w:tcPr>
            <w:tcW w:w="4228" w:type="dxa"/>
            <w:gridSpan w:val="2"/>
            <w:tcBorders>
              <w:tl2br w:val="nil"/>
              <w:tr2bl w:val="nil"/>
            </w:tcBorders>
            <w:vAlign w:val="center"/>
          </w:tcPr>
          <w:p w14:paraId="57EAAA65">
            <w:pPr>
              <w:jc w:val="center"/>
              <w:rPr>
                <w:rFonts w:ascii="宋体" w:cs="宋体"/>
                <w:sz w:val="20"/>
              </w:rPr>
            </w:pPr>
          </w:p>
        </w:tc>
      </w:tr>
      <w:tr w14:paraId="1FB1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49FEBDE">
            <w:pPr>
              <w:jc w:val="center"/>
              <w:rPr>
                <w:rFonts w:ascii="宋体" w:cs="宋体"/>
                <w:sz w:val="20"/>
              </w:rPr>
            </w:pPr>
          </w:p>
        </w:tc>
        <w:tc>
          <w:tcPr>
            <w:tcW w:w="723" w:type="dxa"/>
            <w:vMerge w:val="continue"/>
            <w:tcBorders>
              <w:tl2br w:val="nil"/>
              <w:tr2bl w:val="nil"/>
            </w:tcBorders>
            <w:vAlign w:val="center"/>
          </w:tcPr>
          <w:p w14:paraId="04BD1CB9">
            <w:pPr>
              <w:jc w:val="center"/>
              <w:rPr>
                <w:rFonts w:ascii="宋体" w:cs="宋体"/>
                <w:sz w:val="20"/>
              </w:rPr>
            </w:pPr>
          </w:p>
        </w:tc>
        <w:tc>
          <w:tcPr>
            <w:tcW w:w="648" w:type="dxa"/>
            <w:gridSpan w:val="2"/>
            <w:vMerge w:val="restart"/>
            <w:tcBorders>
              <w:tl2br w:val="nil"/>
              <w:tr2bl w:val="nil"/>
            </w:tcBorders>
            <w:vAlign w:val="center"/>
          </w:tcPr>
          <w:p w14:paraId="3DE8ACA3">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社会效益指标</w:t>
            </w:r>
          </w:p>
        </w:tc>
        <w:tc>
          <w:tcPr>
            <w:tcW w:w="2983" w:type="dxa"/>
            <w:tcBorders>
              <w:tl2br w:val="nil"/>
              <w:tr2bl w:val="nil"/>
            </w:tcBorders>
            <w:vAlign w:val="center"/>
          </w:tcPr>
          <w:p w14:paraId="2A043E04">
            <w:pPr>
              <w:widowControl/>
              <w:jc w:val="left"/>
              <w:textAlignment w:val="center"/>
              <w:rPr>
                <w:rFonts w:ascii="宋体" w:cs="宋体"/>
                <w:sz w:val="20"/>
              </w:rPr>
            </w:pPr>
            <w:r>
              <w:rPr>
                <w:rFonts w:hint="eastAsia" w:ascii="宋体" w:hAnsi="宋体" w:eastAsia="宋体" w:cs="宋体"/>
                <w:color w:val="000000"/>
                <w:kern w:val="0"/>
                <w:sz w:val="20"/>
                <w:szCs w:val="20"/>
              </w:rPr>
              <w:t>指标1：社会效益</w:t>
            </w:r>
          </w:p>
        </w:tc>
        <w:tc>
          <w:tcPr>
            <w:tcW w:w="4228" w:type="dxa"/>
            <w:gridSpan w:val="2"/>
            <w:tcBorders>
              <w:tl2br w:val="nil"/>
              <w:tr2bl w:val="nil"/>
            </w:tcBorders>
            <w:vAlign w:val="center"/>
          </w:tcPr>
          <w:p w14:paraId="3851D2AB">
            <w:pPr>
              <w:jc w:val="center"/>
              <w:rPr>
                <w:rFonts w:ascii="宋体" w:cs="宋体"/>
                <w:sz w:val="20"/>
              </w:rPr>
            </w:pPr>
            <w:r>
              <w:rPr>
                <w:rFonts w:hint="eastAsia" w:ascii="宋体" w:cs="宋体"/>
                <w:sz w:val="20"/>
              </w:rPr>
              <w:t>影响程度较高</w:t>
            </w:r>
          </w:p>
        </w:tc>
      </w:tr>
      <w:tr w14:paraId="0C09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3FC56004">
            <w:pPr>
              <w:jc w:val="center"/>
              <w:rPr>
                <w:rFonts w:ascii="宋体" w:cs="宋体"/>
                <w:sz w:val="20"/>
              </w:rPr>
            </w:pPr>
          </w:p>
        </w:tc>
        <w:tc>
          <w:tcPr>
            <w:tcW w:w="723" w:type="dxa"/>
            <w:vMerge w:val="continue"/>
            <w:tcBorders>
              <w:tl2br w:val="nil"/>
              <w:tr2bl w:val="nil"/>
            </w:tcBorders>
            <w:vAlign w:val="center"/>
          </w:tcPr>
          <w:p w14:paraId="2810E4FA">
            <w:pPr>
              <w:jc w:val="center"/>
              <w:rPr>
                <w:rFonts w:ascii="宋体" w:cs="宋体"/>
                <w:sz w:val="20"/>
              </w:rPr>
            </w:pPr>
          </w:p>
        </w:tc>
        <w:tc>
          <w:tcPr>
            <w:tcW w:w="648" w:type="dxa"/>
            <w:gridSpan w:val="2"/>
            <w:vMerge w:val="continue"/>
            <w:tcBorders>
              <w:tl2br w:val="nil"/>
              <w:tr2bl w:val="nil"/>
            </w:tcBorders>
            <w:vAlign w:val="center"/>
          </w:tcPr>
          <w:p w14:paraId="5797A7CD">
            <w:pPr>
              <w:jc w:val="center"/>
              <w:rPr>
                <w:rFonts w:ascii="宋体" w:cs="宋体"/>
                <w:sz w:val="20"/>
              </w:rPr>
            </w:pPr>
          </w:p>
        </w:tc>
        <w:tc>
          <w:tcPr>
            <w:tcW w:w="2983" w:type="dxa"/>
            <w:tcBorders>
              <w:tl2br w:val="nil"/>
              <w:tr2bl w:val="nil"/>
            </w:tcBorders>
            <w:vAlign w:val="center"/>
          </w:tcPr>
          <w:p w14:paraId="2AB875FE">
            <w:pPr>
              <w:widowControl/>
              <w:jc w:val="left"/>
              <w:textAlignment w:val="center"/>
              <w:rPr>
                <w:rFonts w:ascii="宋体" w:cs="宋体"/>
                <w:sz w:val="20"/>
              </w:rPr>
            </w:pPr>
          </w:p>
        </w:tc>
        <w:tc>
          <w:tcPr>
            <w:tcW w:w="4228" w:type="dxa"/>
            <w:gridSpan w:val="2"/>
            <w:tcBorders>
              <w:tl2br w:val="nil"/>
              <w:tr2bl w:val="nil"/>
            </w:tcBorders>
            <w:vAlign w:val="center"/>
          </w:tcPr>
          <w:p w14:paraId="09DDF2EB">
            <w:pPr>
              <w:jc w:val="center"/>
              <w:rPr>
                <w:rFonts w:ascii="宋体" w:cs="宋体"/>
                <w:sz w:val="20"/>
              </w:rPr>
            </w:pPr>
          </w:p>
        </w:tc>
      </w:tr>
      <w:tr w14:paraId="403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2D9D168F">
            <w:pPr>
              <w:jc w:val="center"/>
              <w:rPr>
                <w:rFonts w:ascii="宋体" w:cs="宋体"/>
                <w:sz w:val="20"/>
              </w:rPr>
            </w:pPr>
          </w:p>
        </w:tc>
        <w:tc>
          <w:tcPr>
            <w:tcW w:w="723" w:type="dxa"/>
            <w:vMerge w:val="continue"/>
            <w:tcBorders>
              <w:tl2br w:val="nil"/>
              <w:tr2bl w:val="nil"/>
            </w:tcBorders>
            <w:vAlign w:val="center"/>
          </w:tcPr>
          <w:p w14:paraId="164B7446">
            <w:pPr>
              <w:jc w:val="center"/>
              <w:rPr>
                <w:rFonts w:ascii="宋体" w:cs="宋体"/>
                <w:sz w:val="20"/>
              </w:rPr>
            </w:pPr>
          </w:p>
        </w:tc>
        <w:tc>
          <w:tcPr>
            <w:tcW w:w="648" w:type="dxa"/>
            <w:gridSpan w:val="2"/>
            <w:vMerge w:val="restart"/>
            <w:tcBorders>
              <w:tl2br w:val="nil"/>
              <w:tr2bl w:val="nil"/>
            </w:tcBorders>
            <w:vAlign w:val="center"/>
          </w:tcPr>
          <w:p w14:paraId="2802A9B0">
            <w:pPr>
              <w:widowControl/>
              <w:spacing w:line="200" w:lineRule="exact"/>
              <w:jc w:val="center"/>
              <w:textAlignment w:val="center"/>
              <w:rPr>
                <w:rFonts w:ascii="宋体" w:cs="宋体"/>
                <w:sz w:val="20"/>
              </w:rPr>
            </w:pPr>
            <w:r>
              <w:rPr>
                <w:rFonts w:hint="eastAsia" w:ascii="宋体" w:hAnsi="宋体" w:eastAsia="宋体" w:cs="宋体"/>
                <w:color w:val="000000"/>
                <w:kern w:val="0"/>
                <w:sz w:val="20"/>
                <w:szCs w:val="20"/>
              </w:rPr>
              <w:t>生态效益指标</w:t>
            </w:r>
          </w:p>
        </w:tc>
        <w:tc>
          <w:tcPr>
            <w:tcW w:w="2983" w:type="dxa"/>
            <w:tcBorders>
              <w:tl2br w:val="nil"/>
              <w:tr2bl w:val="nil"/>
            </w:tcBorders>
            <w:vAlign w:val="center"/>
          </w:tcPr>
          <w:p w14:paraId="42B92FF0">
            <w:pPr>
              <w:widowControl/>
              <w:jc w:val="left"/>
              <w:textAlignment w:val="center"/>
              <w:rPr>
                <w:rFonts w:ascii="宋体" w:cs="宋体"/>
                <w:sz w:val="20"/>
              </w:rPr>
            </w:pPr>
            <w:r>
              <w:rPr>
                <w:rFonts w:hint="eastAsia" w:ascii="宋体" w:hAnsi="宋体" w:eastAsia="宋体" w:cs="宋体"/>
                <w:color w:val="000000"/>
                <w:kern w:val="0"/>
                <w:sz w:val="20"/>
                <w:szCs w:val="20"/>
              </w:rPr>
              <w:t>指标1：对学生环保意识影响程度</w:t>
            </w:r>
          </w:p>
        </w:tc>
        <w:tc>
          <w:tcPr>
            <w:tcW w:w="4228" w:type="dxa"/>
            <w:gridSpan w:val="2"/>
            <w:tcBorders>
              <w:tl2br w:val="nil"/>
              <w:tr2bl w:val="nil"/>
            </w:tcBorders>
            <w:vAlign w:val="center"/>
          </w:tcPr>
          <w:p w14:paraId="6B19799D">
            <w:pPr>
              <w:jc w:val="center"/>
              <w:rPr>
                <w:rFonts w:ascii="宋体" w:cs="宋体"/>
                <w:sz w:val="20"/>
              </w:rPr>
            </w:pPr>
            <w:r>
              <w:rPr>
                <w:rFonts w:hint="eastAsia" w:ascii="宋体" w:cs="宋体"/>
                <w:sz w:val="20"/>
              </w:rPr>
              <w:t>影响程度较高</w:t>
            </w:r>
          </w:p>
        </w:tc>
      </w:tr>
      <w:tr w14:paraId="756BE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417F2DBC">
            <w:pPr>
              <w:jc w:val="center"/>
              <w:rPr>
                <w:rFonts w:ascii="宋体" w:cs="宋体"/>
                <w:sz w:val="20"/>
              </w:rPr>
            </w:pPr>
          </w:p>
        </w:tc>
        <w:tc>
          <w:tcPr>
            <w:tcW w:w="723" w:type="dxa"/>
            <w:vMerge w:val="continue"/>
            <w:tcBorders>
              <w:tl2br w:val="nil"/>
              <w:tr2bl w:val="nil"/>
            </w:tcBorders>
            <w:vAlign w:val="center"/>
          </w:tcPr>
          <w:p w14:paraId="1DEF1CC7">
            <w:pPr>
              <w:jc w:val="center"/>
              <w:rPr>
                <w:rFonts w:ascii="宋体" w:cs="宋体"/>
                <w:sz w:val="20"/>
              </w:rPr>
            </w:pPr>
          </w:p>
        </w:tc>
        <w:tc>
          <w:tcPr>
            <w:tcW w:w="648" w:type="dxa"/>
            <w:gridSpan w:val="2"/>
            <w:vMerge w:val="continue"/>
            <w:tcBorders>
              <w:tl2br w:val="nil"/>
              <w:tr2bl w:val="nil"/>
            </w:tcBorders>
            <w:vAlign w:val="center"/>
          </w:tcPr>
          <w:p w14:paraId="145C8CD7">
            <w:pPr>
              <w:jc w:val="center"/>
              <w:rPr>
                <w:rFonts w:ascii="宋体" w:cs="宋体"/>
                <w:sz w:val="20"/>
              </w:rPr>
            </w:pPr>
          </w:p>
        </w:tc>
        <w:tc>
          <w:tcPr>
            <w:tcW w:w="2983" w:type="dxa"/>
            <w:tcBorders>
              <w:tl2br w:val="nil"/>
              <w:tr2bl w:val="nil"/>
            </w:tcBorders>
            <w:vAlign w:val="center"/>
          </w:tcPr>
          <w:p w14:paraId="320B5BB9">
            <w:pPr>
              <w:widowControl/>
              <w:jc w:val="left"/>
              <w:textAlignment w:val="center"/>
              <w:rPr>
                <w:rFonts w:ascii="汉仪中秀体简" w:hAnsi="汉仪中秀体简" w:eastAsia="汉仪中秀体简" w:cs="汉仪中秀体简"/>
                <w:color w:val="000000"/>
                <w:kern w:val="0"/>
                <w:sz w:val="20"/>
                <w:szCs w:val="20"/>
              </w:rPr>
            </w:pPr>
          </w:p>
        </w:tc>
        <w:tc>
          <w:tcPr>
            <w:tcW w:w="4228" w:type="dxa"/>
            <w:gridSpan w:val="2"/>
            <w:tcBorders>
              <w:tl2br w:val="nil"/>
              <w:tr2bl w:val="nil"/>
            </w:tcBorders>
            <w:vAlign w:val="center"/>
          </w:tcPr>
          <w:p w14:paraId="001BF9B9">
            <w:pPr>
              <w:widowControl/>
              <w:jc w:val="left"/>
              <w:textAlignment w:val="center"/>
              <w:rPr>
                <w:rFonts w:ascii="汉仪中秀体简" w:hAnsi="汉仪中秀体简" w:eastAsia="汉仪中秀体简" w:cs="汉仪中秀体简"/>
                <w:color w:val="000000"/>
                <w:kern w:val="0"/>
                <w:sz w:val="20"/>
                <w:szCs w:val="20"/>
              </w:rPr>
            </w:pPr>
          </w:p>
        </w:tc>
      </w:tr>
      <w:tr w14:paraId="59D3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tcBorders>
              <w:tl2br w:val="nil"/>
              <w:tr2bl w:val="nil"/>
            </w:tcBorders>
            <w:vAlign w:val="center"/>
          </w:tcPr>
          <w:p w14:paraId="3A3C3793">
            <w:pPr>
              <w:jc w:val="center"/>
              <w:rPr>
                <w:rFonts w:ascii="宋体" w:cs="宋体"/>
                <w:sz w:val="20"/>
              </w:rPr>
            </w:pPr>
          </w:p>
        </w:tc>
        <w:tc>
          <w:tcPr>
            <w:tcW w:w="723" w:type="dxa"/>
            <w:vMerge w:val="continue"/>
            <w:tcBorders>
              <w:tl2br w:val="nil"/>
              <w:tr2bl w:val="nil"/>
            </w:tcBorders>
            <w:vAlign w:val="center"/>
          </w:tcPr>
          <w:p w14:paraId="3C7E3ED6">
            <w:pPr>
              <w:jc w:val="center"/>
              <w:rPr>
                <w:rFonts w:ascii="宋体" w:cs="宋体"/>
                <w:sz w:val="20"/>
              </w:rPr>
            </w:pPr>
          </w:p>
        </w:tc>
        <w:tc>
          <w:tcPr>
            <w:tcW w:w="648" w:type="dxa"/>
            <w:gridSpan w:val="2"/>
            <w:vMerge w:val="restart"/>
            <w:tcBorders>
              <w:tl2br w:val="nil"/>
              <w:tr2bl w:val="nil"/>
            </w:tcBorders>
            <w:vAlign w:val="center"/>
          </w:tcPr>
          <w:p w14:paraId="01B4775B">
            <w:pPr>
              <w:widowControl/>
              <w:spacing w:line="200" w:lineRule="exact"/>
              <w:jc w:val="center"/>
              <w:rPr>
                <w:rFonts w:ascii="宋体" w:hAnsi="宋体" w:eastAsia="宋体" w:cs="宋体"/>
                <w:sz w:val="20"/>
              </w:rPr>
            </w:pPr>
            <w:r>
              <w:rPr>
                <w:rFonts w:hint="eastAsia" w:ascii="宋体" w:hAnsi="宋体" w:eastAsia="宋体" w:cs="宋体"/>
                <w:sz w:val="20"/>
              </w:rPr>
              <w:t>可持续影响指标</w:t>
            </w:r>
          </w:p>
        </w:tc>
        <w:tc>
          <w:tcPr>
            <w:tcW w:w="2983" w:type="dxa"/>
            <w:tcBorders>
              <w:tl2br w:val="nil"/>
              <w:tr2bl w:val="nil"/>
            </w:tcBorders>
            <w:vAlign w:val="center"/>
          </w:tcPr>
          <w:p w14:paraId="1593CA94">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指标1：可持续影响</w:t>
            </w:r>
          </w:p>
        </w:tc>
        <w:tc>
          <w:tcPr>
            <w:tcW w:w="4228" w:type="dxa"/>
            <w:gridSpan w:val="2"/>
            <w:tcBorders>
              <w:tl2br w:val="nil"/>
              <w:tr2bl w:val="nil"/>
            </w:tcBorders>
            <w:vAlign w:val="center"/>
          </w:tcPr>
          <w:p w14:paraId="3D6C84F8">
            <w:pPr>
              <w:jc w:val="center"/>
              <w:rPr>
                <w:rFonts w:ascii="宋体" w:cs="宋体"/>
                <w:sz w:val="20"/>
              </w:rPr>
            </w:pPr>
            <w:r>
              <w:rPr>
                <w:rFonts w:hint="eastAsia" w:ascii="宋体" w:cs="宋体"/>
                <w:sz w:val="20"/>
              </w:rPr>
              <w:t>影响程度较高</w:t>
            </w:r>
          </w:p>
        </w:tc>
      </w:tr>
      <w:tr w14:paraId="154E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38" w:type="dxa"/>
            <w:vMerge w:val="continue"/>
            <w:tcBorders>
              <w:tl2br w:val="nil"/>
              <w:tr2bl w:val="nil"/>
            </w:tcBorders>
            <w:vAlign w:val="center"/>
          </w:tcPr>
          <w:p w14:paraId="079A9324">
            <w:pPr>
              <w:jc w:val="center"/>
              <w:rPr>
                <w:rFonts w:ascii="宋体" w:cs="宋体"/>
                <w:sz w:val="20"/>
              </w:rPr>
            </w:pPr>
          </w:p>
        </w:tc>
        <w:tc>
          <w:tcPr>
            <w:tcW w:w="723" w:type="dxa"/>
            <w:vMerge w:val="continue"/>
            <w:tcBorders>
              <w:tl2br w:val="nil"/>
              <w:tr2bl w:val="nil"/>
            </w:tcBorders>
            <w:vAlign w:val="center"/>
          </w:tcPr>
          <w:p w14:paraId="5E99A84F">
            <w:pPr>
              <w:jc w:val="center"/>
              <w:rPr>
                <w:rFonts w:ascii="宋体" w:cs="宋体"/>
                <w:sz w:val="20"/>
              </w:rPr>
            </w:pPr>
          </w:p>
        </w:tc>
        <w:tc>
          <w:tcPr>
            <w:tcW w:w="648" w:type="dxa"/>
            <w:gridSpan w:val="2"/>
            <w:vMerge w:val="continue"/>
            <w:tcBorders>
              <w:tl2br w:val="nil"/>
              <w:tr2bl w:val="nil"/>
            </w:tcBorders>
            <w:vAlign w:val="center"/>
          </w:tcPr>
          <w:p w14:paraId="736C9AEC">
            <w:pPr>
              <w:jc w:val="center"/>
              <w:rPr>
                <w:rFonts w:ascii="宋体" w:hAnsi="宋体" w:eastAsia="宋体" w:cs="宋体"/>
                <w:sz w:val="20"/>
              </w:rPr>
            </w:pPr>
          </w:p>
        </w:tc>
        <w:tc>
          <w:tcPr>
            <w:tcW w:w="2983" w:type="dxa"/>
            <w:tcBorders>
              <w:tl2br w:val="nil"/>
              <w:tr2bl w:val="nil"/>
            </w:tcBorders>
            <w:vAlign w:val="center"/>
          </w:tcPr>
          <w:p w14:paraId="785EB98D">
            <w:pPr>
              <w:widowControl/>
              <w:jc w:val="left"/>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14:paraId="350F3EB3">
            <w:pPr>
              <w:jc w:val="center"/>
              <w:rPr>
                <w:rFonts w:ascii="宋体" w:cs="宋体"/>
                <w:sz w:val="20"/>
              </w:rPr>
            </w:pPr>
          </w:p>
        </w:tc>
      </w:tr>
      <w:tr w14:paraId="5B929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516C34E8">
            <w:pPr>
              <w:jc w:val="center"/>
              <w:rPr>
                <w:rFonts w:ascii="宋体" w:cs="宋体"/>
                <w:sz w:val="20"/>
              </w:rPr>
            </w:pPr>
          </w:p>
        </w:tc>
        <w:tc>
          <w:tcPr>
            <w:tcW w:w="723" w:type="dxa"/>
            <w:vMerge w:val="restart"/>
            <w:tcBorders>
              <w:tl2br w:val="nil"/>
              <w:tr2bl w:val="nil"/>
            </w:tcBorders>
            <w:vAlign w:val="center"/>
          </w:tcPr>
          <w:p w14:paraId="1683D6B9">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648" w:type="dxa"/>
            <w:gridSpan w:val="2"/>
            <w:vMerge w:val="restart"/>
            <w:tcBorders>
              <w:tl2br w:val="nil"/>
              <w:tr2bl w:val="nil"/>
            </w:tcBorders>
            <w:vAlign w:val="center"/>
          </w:tcPr>
          <w:p w14:paraId="1A3EA76F">
            <w:pPr>
              <w:widowControl/>
              <w:spacing w:line="200" w:lineRule="exact"/>
              <w:jc w:val="center"/>
              <w:rPr>
                <w:rFonts w:ascii="宋体" w:hAnsi="宋体" w:eastAsia="宋体" w:cs="宋体"/>
                <w:sz w:val="20"/>
              </w:rPr>
            </w:pPr>
            <w:r>
              <w:rPr>
                <w:rFonts w:hint="eastAsia" w:ascii="宋体" w:hAnsi="宋体" w:eastAsia="宋体" w:cs="宋体"/>
                <w:sz w:val="20"/>
              </w:rPr>
              <w:t>满意度指标</w:t>
            </w:r>
          </w:p>
        </w:tc>
        <w:tc>
          <w:tcPr>
            <w:tcW w:w="2983" w:type="dxa"/>
            <w:tcBorders>
              <w:tl2br w:val="nil"/>
              <w:tr2bl w:val="nil"/>
            </w:tcBorders>
            <w:vAlign w:val="center"/>
          </w:tcPr>
          <w:p w14:paraId="16D84DB2">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指标1：满意度</w:t>
            </w:r>
          </w:p>
        </w:tc>
        <w:tc>
          <w:tcPr>
            <w:tcW w:w="4228" w:type="dxa"/>
            <w:gridSpan w:val="2"/>
            <w:tcBorders>
              <w:tl2br w:val="nil"/>
              <w:tr2bl w:val="nil"/>
            </w:tcBorders>
            <w:vAlign w:val="center"/>
          </w:tcPr>
          <w:p w14:paraId="34B15A3E">
            <w:pPr>
              <w:jc w:val="center"/>
              <w:rPr>
                <w:rFonts w:ascii="宋体" w:cs="宋体"/>
                <w:sz w:val="20"/>
              </w:rPr>
            </w:pPr>
            <w:r>
              <w:rPr>
                <w:rFonts w:hint="eastAsia" w:cs="宋体" w:asciiTheme="minorEastAsia" w:hAnsiTheme="minorEastAsia"/>
                <w:sz w:val="20"/>
              </w:rPr>
              <w:t>≥</w:t>
            </w:r>
            <w:r>
              <w:rPr>
                <w:rFonts w:hint="eastAsia" w:ascii="宋体" w:cs="宋体"/>
                <w:sz w:val="20"/>
              </w:rPr>
              <w:t>100%</w:t>
            </w:r>
          </w:p>
        </w:tc>
      </w:tr>
      <w:tr w14:paraId="403D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tcBorders>
              <w:tl2br w:val="nil"/>
              <w:tr2bl w:val="nil"/>
            </w:tcBorders>
            <w:vAlign w:val="center"/>
          </w:tcPr>
          <w:p w14:paraId="17DE8F0A">
            <w:pPr>
              <w:jc w:val="center"/>
              <w:rPr>
                <w:rFonts w:ascii="宋体" w:cs="宋体"/>
                <w:sz w:val="20"/>
              </w:rPr>
            </w:pPr>
          </w:p>
        </w:tc>
        <w:tc>
          <w:tcPr>
            <w:tcW w:w="723" w:type="dxa"/>
            <w:vMerge w:val="continue"/>
            <w:tcBorders>
              <w:tl2br w:val="nil"/>
              <w:tr2bl w:val="nil"/>
            </w:tcBorders>
            <w:vAlign w:val="center"/>
          </w:tcPr>
          <w:p w14:paraId="18632835">
            <w:pPr>
              <w:jc w:val="center"/>
              <w:rPr>
                <w:rFonts w:ascii="宋体" w:hAnsi="宋体" w:eastAsia="宋体" w:cs="宋体"/>
                <w:sz w:val="20"/>
              </w:rPr>
            </w:pPr>
          </w:p>
        </w:tc>
        <w:tc>
          <w:tcPr>
            <w:tcW w:w="648" w:type="dxa"/>
            <w:gridSpan w:val="2"/>
            <w:vMerge w:val="continue"/>
            <w:tcBorders>
              <w:tl2br w:val="nil"/>
              <w:tr2bl w:val="nil"/>
            </w:tcBorders>
            <w:vAlign w:val="center"/>
          </w:tcPr>
          <w:p w14:paraId="04974DF5">
            <w:pPr>
              <w:jc w:val="center"/>
              <w:rPr>
                <w:rFonts w:ascii="宋体" w:hAnsi="宋体" w:eastAsia="宋体" w:cs="宋体"/>
                <w:sz w:val="20"/>
              </w:rPr>
            </w:pPr>
          </w:p>
        </w:tc>
        <w:tc>
          <w:tcPr>
            <w:tcW w:w="2983" w:type="dxa"/>
            <w:tcBorders>
              <w:tl2br w:val="nil"/>
              <w:tr2bl w:val="nil"/>
            </w:tcBorders>
            <w:vAlign w:val="center"/>
          </w:tcPr>
          <w:p w14:paraId="59799873">
            <w:pPr>
              <w:widowControl/>
              <w:jc w:val="left"/>
              <w:textAlignment w:val="center"/>
              <w:rPr>
                <w:rFonts w:ascii="宋体" w:hAnsi="宋体" w:eastAsia="宋体" w:cs="宋体"/>
                <w:sz w:val="20"/>
              </w:rPr>
            </w:pPr>
            <w:r>
              <w:rPr>
                <w:rFonts w:hint="eastAsia" w:ascii="宋体" w:hAnsi="宋体" w:eastAsia="宋体" w:cs="宋体"/>
                <w:color w:val="000000"/>
                <w:kern w:val="0"/>
                <w:sz w:val="20"/>
                <w:szCs w:val="20"/>
              </w:rPr>
              <w:t>…</w:t>
            </w:r>
          </w:p>
        </w:tc>
        <w:tc>
          <w:tcPr>
            <w:tcW w:w="4228" w:type="dxa"/>
            <w:gridSpan w:val="2"/>
            <w:tcBorders>
              <w:tl2br w:val="nil"/>
              <w:tr2bl w:val="nil"/>
            </w:tcBorders>
            <w:vAlign w:val="center"/>
          </w:tcPr>
          <w:p w14:paraId="7F8E86DB">
            <w:pPr>
              <w:jc w:val="center"/>
              <w:rPr>
                <w:rFonts w:ascii="宋体" w:cs="宋体"/>
                <w:sz w:val="20"/>
              </w:rPr>
            </w:pPr>
          </w:p>
        </w:tc>
      </w:tr>
    </w:tbl>
    <w:p w14:paraId="6695EB7E">
      <w:pPr>
        <w:ind w:firstLine="420" w:firstLineChars="200"/>
      </w:pPr>
    </w:p>
    <w:p w14:paraId="1CA16242">
      <w:pPr>
        <w:widowControl/>
        <w:shd w:val="clear" w:color="auto" w:fill="FFFFFF"/>
        <w:spacing w:line="600" w:lineRule="atLeast"/>
        <w:ind w:firstLine="640"/>
        <w:rPr>
          <w:kern w:val="0"/>
          <w:szCs w:val="21"/>
        </w:rPr>
      </w:pPr>
    </w:p>
    <w:p w14:paraId="4AE0802A">
      <w:pPr>
        <w:ind w:firstLine="420" w:firstLineChars="200"/>
      </w:pPr>
    </w:p>
    <w:p w14:paraId="3B0760B7">
      <w:pPr>
        <w:widowControl/>
        <w:shd w:val="clear" w:color="auto" w:fill="FFFFFF"/>
        <w:spacing w:line="600" w:lineRule="atLeast"/>
        <w:ind w:firstLine="8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 “2025-城乡义务教育生均公用经费”项目。</w:t>
      </w:r>
    </w:p>
    <w:p w14:paraId="75462792">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（1）项目概述。农村学校义保公用经费补助标准按照中央、省、市、区确定的公用经费标准执行，对城乡义务教育学生（含民办学校学生）免除学杂费</w:t>
      </w:r>
    </w:p>
    <w:p w14:paraId="3178E217">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（2）立项依据。财政部、教育部关于印发〈城乡义务教育补助经费管理办法〉的通知》（财教〔</w:t>
      </w:r>
      <w:r>
        <w:rPr>
          <w:rFonts w:ascii="TimesNewRoman" w:hAnsi="TimesNewRoman" w:eastAsia="仿宋_GB2312" w:cs="TimesNewRoman"/>
          <w:kern w:val="0"/>
          <w:sz w:val="32"/>
          <w:szCs w:val="32"/>
        </w:rPr>
        <w:t>2021〕56号</w:t>
      </w:r>
    </w:p>
    <w:p w14:paraId="15045B17">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（3）起止时间。2</w:t>
      </w:r>
      <w:r>
        <w:rPr>
          <w:rFonts w:ascii="TimesNewRoman" w:hAnsi="TimesNewRoman" w:eastAsia="仿宋_GB2312" w:cs="TimesNewRoman"/>
          <w:kern w:val="0"/>
          <w:sz w:val="32"/>
          <w:szCs w:val="32"/>
        </w:rPr>
        <w:t>0</w:t>
      </w:r>
      <w:r>
        <w:rPr>
          <w:rFonts w:hint="eastAsia" w:ascii="TimesNewRoman" w:hAnsi="TimesNewRoman" w:eastAsia="仿宋_GB2312" w:cs="TimesNewRoman"/>
          <w:kern w:val="0"/>
          <w:sz w:val="32"/>
          <w:szCs w:val="32"/>
        </w:rPr>
        <w:t>25年1月-2025年12月</w:t>
      </w:r>
    </w:p>
    <w:p w14:paraId="424EC1DF">
      <w:pPr>
        <w:widowControl/>
        <w:shd w:val="clear" w:color="auto" w:fill="FFFFFF"/>
        <w:spacing w:line="600" w:lineRule="atLeast"/>
        <w:ind w:firstLine="642"/>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4）项目内容。城乡义务教育补助经费管理办法，对城乡义务教育学生（含民办学校学生）免除学杂费、免费提供教科书、对家庭经济困难学生补助生活费。民办学校学生由学校按照获得的生均公用经费补助免除学杂费。免费提供国家规定课程教科书和免费为小学一年级新生提供正版学生字典</w:t>
      </w:r>
    </w:p>
    <w:p w14:paraId="4BAB5E9F">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（5）年度预算安排。一般</w:t>
      </w:r>
      <w:r>
        <w:rPr>
          <w:rFonts w:ascii="TimesNewRoman" w:hAnsi="TimesNewRoman" w:eastAsia="仿宋_GB2312" w:cs="TimesNewRoman"/>
          <w:kern w:val="0"/>
          <w:sz w:val="32"/>
          <w:szCs w:val="32"/>
        </w:rPr>
        <w:t>公共预算</w:t>
      </w:r>
      <w:r>
        <w:rPr>
          <w:rFonts w:hint="eastAsia" w:ascii="TimesNewRoman" w:hAnsi="TimesNewRoman" w:eastAsia="仿宋_GB2312" w:cs="TimesNewRoman"/>
          <w:kern w:val="0"/>
          <w:sz w:val="32"/>
          <w:szCs w:val="32"/>
        </w:rPr>
        <w:t>财政</w:t>
      </w:r>
      <w:r>
        <w:rPr>
          <w:rFonts w:ascii="TimesNewRoman" w:hAnsi="TimesNewRoman" w:eastAsia="仿宋_GB2312" w:cs="TimesNewRoman"/>
          <w:kern w:val="0"/>
          <w:sz w:val="32"/>
          <w:szCs w:val="32"/>
        </w:rPr>
        <w:t>安排资金</w:t>
      </w:r>
      <w:r>
        <w:rPr>
          <w:rFonts w:hint="eastAsia" w:ascii="TimesNewRoman" w:hAnsi="TimesNewRoman" w:eastAsia="仿宋_GB2312" w:cs="TimesNewRoman"/>
          <w:kern w:val="0"/>
          <w:sz w:val="32"/>
          <w:szCs w:val="32"/>
        </w:rPr>
        <w:t>6.95万</w:t>
      </w:r>
      <w:r>
        <w:rPr>
          <w:rFonts w:ascii="TimesNewRoman" w:hAnsi="TimesNewRoman" w:eastAsia="仿宋_GB2312" w:cs="TimesNewRoman"/>
          <w:kern w:val="0"/>
          <w:sz w:val="32"/>
          <w:szCs w:val="32"/>
        </w:rPr>
        <w:t>元。</w:t>
      </w:r>
    </w:p>
    <w:p w14:paraId="1650E2A1">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6）绩效目标和指标。义务教育经费保障机制实施办法规定，农村学校公用经费补助标准按照中央、省、市、区确定的公用经费标准执行，小学按照生均745元足额拨款，初中按照生均965元足额拨款，寄宿生按照每生300元标准拨款，并当年完成100％。</w:t>
      </w:r>
    </w:p>
    <w:p w14:paraId="48502374">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（二）机关运行经费。</w:t>
      </w:r>
    </w:p>
    <w:p w14:paraId="51D54ECC">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淮北市烈山区古饶中心学校2025年无机关运行经费财政拨款预算。</w:t>
      </w:r>
    </w:p>
    <w:p w14:paraId="025C2EF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（三）政府采购情况。</w:t>
      </w:r>
    </w:p>
    <w:p w14:paraId="073ABC76">
      <w:pPr>
        <w:ind w:firstLine="640" w:firstLineChars="200"/>
        <w:rPr>
          <w:rFonts w:hint="eastAsia"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淮北市烈山区古饶中心学校2025年没有安排</w:t>
      </w:r>
      <w:r>
        <w:rPr>
          <w:rFonts w:ascii="TimesNewRoman" w:hAnsi="TimesNewRoman" w:eastAsia="仿宋_GB2312" w:cs="TimesNewRoman"/>
          <w:kern w:val="0"/>
          <w:sz w:val="32"/>
          <w:szCs w:val="32"/>
        </w:rPr>
        <w:t>政府采购预算</w:t>
      </w:r>
      <w:r>
        <w:rPr>
          <w:rFonts w:hint="eastAsia" w:ascii="TimesNewRoman" w:hAnsi="TimesNewRoman" w:eastAsia="仿宋_GB2312" w:cs="TimesNewRoman"/>
          <w:kern w:val="0"/>
          <w:sz w:val="32"/>
          <w:szCs w:val="32"/>
        </w:rPr>
        <w:t>。</w:t>
      </w:r>
    </w:p>
    <w:p w14:paraId="42EE09D2">
      <w:pPr>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（四）国有资产占有使用情况。</w:t>
      </w:r>
    </w:p>
    <w:p w14:paraId="6DE9EFDC">
      <w:pPr>
        <w:widowControl/>
        <w:shd w:val="clear" w:color="auto" w:fill="FFFFFF"/>
        <w:spacing w:line="600" w:lineRule="atLeast"/>
        <w:ind w:firstLine="64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截至2024年12月31日，烈山区古饶中心学校无车辆，也没有超过50万以上的大型设备。</w:t>
      </w:r>
    </w:p>
    <w:p w14:paraId="1F94CDDA">
      <w:pPr>
        <w:adjustRightInd w:val="0"/>
        <w:snapToGrid w:val="0"/>
        <w:spacing w:line="580" w:lineRule="exact"/>
        <w:ind w:firstLine="643" w:firstLineChars="200"/>
        <w:rPr>
          <w:rFonts w:ascii="TimesNewRoman" w:hAnsi="TimesNewRoman" w:eastAsia="仿宋_GB2312" w:cs="TimesNewRoman"/>
          <w:b/>
          <w:sz w:val="32"/>
          <w:szCs w:val="32"/>
        </w:rPr>
      </w:pPr>
      <w:r>
        <w:rPr>
          <w:rFonts w:hint="eastAsia" w:ascii="TimesNewRoman" w:hAnsi="TimesNewRoman" w:eastAsia="仿宋_GB2312" w:cs="TimesNewRoman"/>
          <w:b/>
          <w:sz w:val="32"/>
          <w:szCs w:val="32"/>
        </w:rPr>
        <w:t>（五）绩效目标设置情况。</w:t>
      </w:r>
    </w:p>
    <w:p w14:paraId="6F2D0084">
      <w:pPr>
        <w:adjustRightInd w:val="0"/>
        <w:snapToGrid w:val="0"/>
        <w:spacing w:line="600" w:lineRule="exact"/>
        <w:ind w:firstLine="640" w:firstLineChars="200"/>
        <w:rPr>
          <w:rFonts w:ascii="仿宋_GB2312" w:hAnsi="楷体"/>
          <w:szCs w:val="32"/>
        </w:rPr>
      </w:pPr>
      <w:r>
        <w:rPr>
          <w:rFonts w:hint="eastAsia" w:ascii="TimesNewRoman" w:hAnsi="TimesNewRoman" w:eastAsia="仿宋_GB2312" w:cs="TimesNewRoman"/>
          <w:kern w:val="0"/>
          <w:sz w:val="32"/>
          <w:szCs w:val="32"/>
        </w:rPr>
        <w:t>2025年，烈山区古饶中心校2025年项目支出按规定设置支出绩效目标，其中，部门预算批复了2025-城乡义务教育生均公用经费及公办学前公用经费2个项目支出绩效目标，涉及金额26.33万元，其他项目实行部门自评或第三方评价。</w:t>
      </w:r>
    </w:p>
    <w:p w14:paraId="6BECEB32">
      <w:pPr>
        <w:ind w:firstLine="640" w:firstLineChars="200"/>
        <w:rPr>
          <w:rFonts w:ascii="TimesNewRoman" w:hAnsi="TimesNewRoman" w:eastAsia="仿宋_GB2312" w:cs="TimesNewRoman"/>
          <w:kern w:val="0"/>
          <w:sz w:val="32"/>
          <w:szCs w:val="32"/>
        </w:rPr>
      </w:pPr>
      <w:r>
        <w:rPr>
          <w:rFonts w:hint="eastAsia" w:ascii="TimesNewRoman" w:hAnsi="TimesNewRoman" w:eastAsia="仿宋_GB2312" w:cs="TimesNewRoman"/>
          <w:kern w:val="0"/>
          <w:sz w:val="32"/>
          <w:szCs w:val="32"/>
        </w:rPr>
        <w:t>。</w:t>
      </w:r>
    </w:p>
    <w:p w14:paraId="216A36CF">
      <w:pPr>
        <w:pStyle w:val="4"/>
        <w:adjustRightInd w:val="0"/>
        <w:snapToGrid w:val="0"/>
        <w:spacing w:line="560" w:lineRule="exact"/>
        <w:jc w:val="center"/>
        <w:rPr>
          <w:rFonts w:ascii="TimesNewRoman" w:hAnsi="TimesNewRoman" w:eastAsia="黑体" w:cs="TimesNewRoman"/>
          <w:bCs/>
          <w:sz w:val="36"/>
          <w:szCs w:val="36"/>
        </w:rPr>
      </w:pPr>
    </w:p>
    <w:p w14:paraId="2D0010DB">
      <w:pPr>
        <w:pStyle w:val="4"/>
        <w:adjustRightInd w:val="0"/>
        <w:snapToGrid w:val="0"/>
        <w:spacing w:line="560" w:lineRule="exact"/>
        <w:jc w:val="center"/>
        <w:rPr>
          <w:rFonts w:ascii="TimesNewRoman" w:hAnsi="TimesNewRoman" w:eastAsia="黑体" w:cs="TimesNewRoman"/>
          <w:bCs/>
          <w:sz w:val="36"/>
          <w:szCs w:val="36"/>
        </w:rPr>
      </w:pPr>
      <w:r>
        <w:rPr>
          <w:rFonts w:hint="eastAsia" w:ascii="TimesNewRoman" w:hAnsi="TimesNewRoman" w:eastAsia="黑体" w:cs="TimesNewRoman"/>
          <w:bCs/>
          <w:sz w:val="36"/>
          <w:szCs w:val="36"/>
        </w:rPr>
        <w:t>第四部分 名词解释</w:t>
      </w:r>
    </w:p>
    <w:p w14:paraId="21B44728"/>
    <w:p w14:paraId="54745D6B">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一、财政拨款收入：</w:t>
      </w:r>
      <w:r>
        <w:rPr>
          <w:rFonts w:hint="eastAsia" w:ascii="TimesNewRoman" w:hAnsi="TimesNewRoman" w:eastAsia="仿宋_GB2312" w:cs="TimesNewRoman"/>
          <w:sz w:val="32"/>
          <w:szCs w:val="32"/>
        </w:rPr>
        <w:t>指部门或单位从同级财政部门取得的财政预算资金。</w:t>
      </w:r>
    </w:p>
    <w:p w14:paraId="53E7E83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二、事业收入：</w:t>
      </w:r>
      <w:r>
        <w:rPr>
          <w:rFonts w:hint="eastAsia" w:ascii="TimesNewRoman" w:hAnsi="TimesNewRoman" w:eastAsia="仿宋_GB2312" w:cs="TimesNewRoman"/>
          <w:sz w:val="32"/>
          <w:szCs w:val="32"/>
        </w:rPr>
        <w:t>指事业单位开展专业业务活动及辅助活动所取得的收入。</w:t>
      </w:r>
    </w:p>
    <w:p w14:paraId="431E565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三、财政专户管理资金：</w:t>
      </w:r>
      <w:r>
        <w:rPr>
          <w:rFonts w:hint="eastAsia" w:ascii="TimesNewRoman" w:hAnsi="TimesNewRoman" w:eastAsia="仿宋_GB2312" w:cs="TimesNewRoman"/>
          <w:sz w:val="32"/>
          <w:szCs w:val="32"/>
        </w:rPr>
        <w:t>指按照非税收入管理相关规定，纳入财政专户管理的教育收费等。</w:t>
      </w:r>
    </w:p>
    <w:p w14:paraId="1CE9CF71">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四、事业单位经营收入：</w:t>
      </w:r>
      <w:r>
        <w:rPr>
          <w:rFonts w:hint="eastAsia" w:ascii="TimesNewRoman" w:hAnsi="TimesNewRoman" w:eastAsia="仿宋_GB2312" w:cs="TimesNewRoman"/>
          <w:sz w:val="32"/>
          <w:szCs w:val="32"/>
        </w:rPr>
        <w:t>指事业单位在专业业务活动及其辅助活动之外开展非独立核算经营活动取得的收入。</w:t>
      </w:r>
    </w:p>
    <w:p w14:paraId="65319F20">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五、附属单位上缴收入：</w:t>
      </w:r>
      <w:r>
        <w:rPr>
          <w:rFonts w:hint="eastAsia" w:ascii="TimesNewRoman" w:hAnsi="TimesNewRoman" w:eastAsia="仿宋_GB2312" w:cs="TimesNewRoman"/>
          <w:sz w:val="32"/>
          <w:szCs w:val="32"/>
        </w:rPr>
        <w:t>本单位所属下级单位上缴给本单位的全部收入。</w:t>
      </w:r>
    </w:p>
    <w:p w14:paraId="4F6647B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六、上年结转：</w:t>
      </w:r>
      <w:r>
        <w:rPr>
          <w:rFonts w:hint="eastAsia" w:ascii="TimesNewRoman" w:hAnsi="TimesNewRoman" w:eastAsia="仿宋_GB2312" w:cs="TimesNewRoman"/>
          <w:sz w:val="32"/>
          <w:szCs w:val="32"/>
        </w:rPr>
        <w:t>指以前年度安排、结转到本年仍按原用途继续使用的资金。</w:t>
      </w:r>
    </w:p>
    <w:p w14:paraId="78247E79">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七、结转下年：</w:t>
      </w:r>
      <w:r>
        <w:rPr>
          <w:rFonts w:hint="eastAsia" w:ascii="TimesNewRoman" w:hAnsi="TimesNewRoman" w:eastAsia="仿宋_GB2312" w:cs="TimesNewRoman"/>
          <w:sz w:val="32"/>
          <w:szCs w:val="32"/>
        </w:rPr>
        <w:t>指以前年度预算安排、因客观条件发生变化无法按原计划实施，需以后年度按原用途继续使用的资金。</w:t>
      </w:r>
    </w:p>
    <w:p w14:paraId="77F36AF2">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八、基本支出：</w:t>
      </w:r>
      <w:r>
        <w:rPr>
          <w:rFonts w:hint="eastAsia" w:ascii="TimesNewRoman" w:hAnsi="TimesNewRoman" w:eastAsia="仿宋_GB2312" w:cs="TimesNewRoman"/>
          <w:sz w:val="32"/>
          <w:szCs w:val="32"/>
        </w:rPr>
        <w:t>指为保障机构正常运转、完成日常工作任务而发生的人员支出和公用支出。</w:t>
      </w:r>
    </w:p>
    <w:p w14:paraId="22648CE6">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九、项目支出：</w:t>
      </w:r>
      <w:r>
        <w:rPr>
          <w:rFonts w:hint="eastAsia" w:ascii="TimesNewRoman" w:hAnsi="TimesNewRoman" w:eastAsia="仿宋_GB2312" w:cs="TimesNewRoman"/>
          <w:sz w:val="32"/>
          <w:szCs w:val="32"/>
        </w:rPr>
        <w:t>指在除基本支出之外的支出，主要用于完成特定的工作任务和事业发展目标。</w:t>
      </w:r>
    </w:p>
    <w:p w14:paraId="2450F48C">
      <w:pPr>
        <w:pStyle w:val="4"/>
        <w:adjustRightInd w:val="0"/>
        <w:snapToGrid w:val="0"/>
        <w:spacing w:line="560" w:lineRule="exact"/>
        <w:ind w:firstLine="630" w:firstLineChars="196"/>
        <w:rPr>
          <w:rFonts w:ascii="TimesNewRoman" w:hAnsi="TimesNewRoman" w:eastAsia="仿宋_GB2312" w:cs="TimesNewRoman"/>
          <w:sz w:val="32"/>
          <w:szCs w:val="32"/>
        </w:rPr>
      </w:pPr>
      <w:r>
        <w:rPr>
          <w:rFonts w:hint="eastAsia" w:ascii="TimesNewRoman" w:hAnsi="TimesNewRoman" w:eastAsia="仿宋_GB2312" w:cs="TimesNewRoman"/>
          <w:b/>
          <w:sz w:val="32"/>
          <w:szCs w:val="32"/>
        </w:rPr>
        <w:t xml:space="preserve">十、机关运行经费: </w:t>
      </w:r>
      <w:r>
        <w:rPr>
          <w:rFonts w:hint="eastAsia"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6F9D60B8"/>
    <w:p w14:paraId="2C37634C"/>
    <w:p w14:paraId="02106B4C"/>
    <w:p w14:paraId="0DDF9593"/>
    <w:p w14:paraId="27036215"/>
    <w:sectPr>
      <w:pgSz w:w="11906" w:h="16838"/>
      <w:pgMar w:top="1304" w:right="1134" w:bottom="130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Segoe Print"/>
    <w:panose1 w:val="00000000000000000000"/>
    <w:charset w:val="00"/>
    <w:family w:val="auto"/>
    <w:pitch w:val="default"/>
    <w:sig w:usb0="00000000" w:usb1="00000000" w:usb2="00000029" w:usb3="00000000" w:csb0="600001FF" w:csb1="FFFF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汉仪中秀体简">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34CC7"/>
    <w:rsid w:val="000447EE"/>
    <w:rsid w:val="000E28EE"/>
    <w:rsid w:val="00140148"/>
    <w:rsid w:val="00181A9D"/>
    <w:rsid w:val="001912D4"/>
    <w:rsid w:val="002062AB"/>
    <w:rsid w:val="00263189"/>
    <w:rsid w:val="0026599A"/>
    <w:rsid w:val="00267E33"/>
    <w:rsid w:val="002E5B52"/>
    <w:rsid w:val="00340BE5"/>
    <w:rsid w:val="00347AA4"/>
    <w:rsid w:val="004539C7"/>
    <w:rsid w:val="004A4DC6"/>
    <w:rsid w:val="004D4CF9"/>
    <w:rsid w:val="004E5BBA"/>
    <w:rsid w:val="004F5B64"/>
    <w:rsid w:val="0057562B"/>
    <w:rsid w:val="0058405F"/>
    <w:rsid w:val="006546AF"/>
    <w:rsid w:val="00665CB7"/>
    <w:rsid w:val="0067333C"/>
    <w:rsid w:val="00694545"/>
    <w:rsid w:val="00726D96"/>
    <w:rsid w:val="008F6D1A"/>
    <w:rsid w:val="00990817"/>
    <w:rsid w:val="009A3CA3"/>
    <w:rsid w:val="00A8359A"/>
    <w:rsid w:val="00AA2EF2"/>
    <w:rsid w:val="00AD63E9"/>
    <w:rsid w:val="00AE3242"/>
    <w:rsid w:val="00BD640A"/>
    <w:rsid w:val="00D82D84"/>
    <w:rsid w:val="00DB2A5C"/>
    <w:rsid w:val="00E907C4"/>
    <w:rsid w:val="00EC7755"/>
    <w:rsid w:val="00F974AD"/>
    <w:rsid w:val="00FD3B29"/>
    <w:rsid w:val="1C56155A"/>
    <w:rsid w:val="3C467E1E"/>
    <w:rsid w:val="535645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5163</Words>
  <Characters>5910</Characters>
  <Lines>44</Lines>
  <Paragraphs>12</Paragraphs>
  <TotalTime>550</TotalTime>
  <ScaleCrop>false</ScaleCrop>
  <LinksUpToDate>false</LinksUpToDate>
  <CharactersWithSpaces>5984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2023-01-30T01:51:00Z</dcterms:created>
  <dc:creator>lenovo</dc:creator>
  <cp:lastModifiedBy>星</cp:lastModifiedBy>
  <dcterms:modified xsi:type="dcterms:W3CDTF">2025-09-17T06:52:48Z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eyJoZGlkIjoiNmJiOTQ4ZWJkN2NjZTEwOWU2MzY4ZWFjMWFlNzg1YTgiLCJ1c2VySWQiOiIzMjQxMTc5NjYifQ==</vt:lpwstr>
  </property>
  <property fmtid="{D5CDD505-2E9C-101B-9397-08002B2CF9AE}" pid="3" name="KSOProductBuildVer">
    <vt:lpwstr>2052-12.1.0.22529</vt:lpwstr>
  </property>
  <property fmtid="{D5CDD505-2E9C-101B-9397-08002B2CF9AE}" pid="4" name="ICV">
    <vt:lpwstr>9208B37B64C14DB0BA8C8B4D0F0E25A6_13</vt:lpwstr>
  </property>
</Properties>
</file>