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32" w:type="dxa"/>
          <w:left w:w="64" w:type="dxa"/>
          <w:bottom w:w="32" w:type="dxa"/>
          <w:right w:w="64" w:type="dxa"/>
        </w:tblCellMar>
      </w:tblPr>
      <w:tblGrid>
        <w:gridCol w:w="2360"/>
        <w:gridCol w:w="1508"/>
        <w:gridCol w:w="745"/>
        <w:gridCol w:w="513"/>
        <w:gridCol w:w="435"/>
        <w:gridCol w:w="1566"/>
        <w:gridCol w:w="107"/>
        <w:gridCol w:w="207"/>
        <w:gridCol w:w="319"/>
        <w:gridCol w:w="310"/>
        <w:gridCol w:w="310"/>
        <w:gridCol w:w="680"/>
      </w:tblGrid>
      <w:tr w14:paraId="6207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2"/>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7A3AD6C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21"/>
                <w:szCs w:val="21"/>
              </w:rPr>
            </w:pPr>
            <w:r>
              <w:rPr>
                <w:rFonts w:hint="default" w:ascii="Times New Roman" w:hAnsi="Times New Roman" w:eastAsia="宋体" w:cs="Times New Roman"/>
                <w:b/>
                <w:bCs/>
                <w:i w:val="0"/>
                <w:iCs w:val="0"/>
                <w:caps w:val="0"/>
                <w:color w:val="333333"/>
                <w:spacing w:val="0"/>
                <w:sz w:val="24"/>
                <w:szCs w:val="24"/>
                <w:bdr w:val="none" w:color="auto" w:sz="0" w:space="0"/>
              </w:rPr>
              <w:t>项目支出绩效目标申报表</w:t>
            </w:r>
          </w:p>
        </w:tc>
      </w:tr>
      <w:tr w14:paraId="0CBC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2"/>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1BE24B1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21"/>
                <w:szCs w:val="21"/>
              </w:rPr>
            </w:pPr>
            <w:r>
              <w:rPr>
                <w:rFonts w:hint="default" w:ascii="Times New Roman" w:hAnsi="Times New Roman" w:eastAsia="宋体" w:cs="Times New Roman"/>
                <w:i w:val="0"/>
                <w:iCs w:val="0"/>
                <w:caps w:val="0"/>
                <w:color w:val="333333"/>
                <w:spacing w:val="0"/>
                <w:sz w:val="24"/>
                <w:szCs w:val="24"/>
                <w:bdr w:val="none" w:color="auto" w:sz="0" w:space="0"/>
              </w:rPr>
              <w:t>（</w:t>
            </w:r>
            <w:r>
              <w:rPr>
                <w:rFonts w:hint="default" w:ascii="Times New Roman" w:hAnsi="Times New Roman" w:eastAsia="微软雅黑" w:cs="Times New Roman"/>
                <w:i w:val="0"/>
                <w:iCs w:val="0"/>
                <w:caps w:val="0"/>
                <w:color w:val="333333"/>
                <w:spacing w:val="0"/>
                <w:sz w:val="24"/>
                <w:szCs w:val="24"/>
                <w:bdr w:val="none" w:color="auto" w:sz="0" w:space="0"/>
              </w:rPr>
              <w:t>  </w:t>
            </w:r>
            <w:r>
              <w:rPr>
                <w:rFonts w:hint="default" w:ascii="Times New Roman" w:hAnsi="Times New Roman" w:eastAsia="微软雅黑" w:cs="Times New Roman"/>
                <w:i w:val="0"/>
                <w:iCs w:val="0"/>
                <w:caps w:val="0"/>
                <w:color w:val="333333"/>
                <w:spacing w:val="0"/>
                <w:sz w:val="24"/>
                <w:szCs w:val="24"/>
                <w:bdr w:val="none" w:color="auto" w:sz="0" w:space="0"/>
              </w:rPr>
              <w:t> </w:t>
            </w:r>
            <w:r>
              <w:rPr>
                <w:rFonts w:hint="default" w:ascii="Times New Roman" w:hAnsi="Times New Roman" w:eastAsia="宋体" w:cs="Times New Roman"/>
                <w:i w:val="0"/>
                <w:iCs w:val="0"/>
                <w:caps w:val="0"/>
                <w:color w:val="333333"/>
                <w:spacing w:val="0"/>
                <w:sz w:val="24"/>
                <w:szCs w:val="24"/>
                <w:bdr w:val="none" w:color="auto" w:sz="0" w:space="0"/>
              </w:rPr>
              <w:t>2024</w:t>
            </w:r>
            <w:r>
              <w:rPr>
                <w:rFonts w:hint="default" w:ascii="Times New Roman" w:hAnsi="Times New Roman" w:eastAsia="微软雅黑" w:cs="Times New Roman"/>
                <w:i w:val="0"/>
                <w:iCs w:val="0"/>
                <w:caps w:val="0"/>
                <w:color w:val="333333"/>
                <w:spacing w:val="0"/>
                <w:sz w:val="24"/>
                <w:szCs w:val="24"/>
                <w:bdr w:val="none" w:color="auto" w:sz="0" w:space="0"/>
              </w:rPr>
              <w:t>  </w:t>
            </w:r>
            <w:r>
              <w:rPr>
                <w:rFonts w:hint="default" w:ascii="Times New Roman" w:hAnsi="Times New Roman" w:eastAsia="宋体" w:cs="Times New Roman"/>
                <w:i w:val="0"/>
                <w:iCs w:val="0"/>
                <w:caps w:val="0"/>
                <w:color w:val="333333"/>
                <w:spacing w:val="0"/>
                <w:sz w:val="24"/>
                <w:szCs w:val="24"/>
                <w:bdr w:val="none" w:color="auto" w:sz="0" w:space="0"/>
              </w:rPr>
              <w:t>年度）</w:t>
            </w:r>
          </w:p>
        </w:tc>
      </w:tr>
      <w:tr w14:paraId="479A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2BEDE40F">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8"/>
                <w:szCs w:val="18"/>
              </w:rPr>
            </w:pPr>
            <w:bookmarkStart w:id="0" w:name="_GoBack" w:colFirst="0" w:colLast="1"/>
            <w:r>
              <w:rPr>
                <w:rFonts w:hint="default" w:ascii="Times New Roman" w:hAnsi="Times New Roman" w:eastAsia="宋体" w:cs="Times New Roman"/>
                <w:i w:val="0"/>
                <w:iCs w:val="0"/>
                <w:caps w:val="0"/>
                <w:color w:val="333333"/>
                <w:spacing w:val="0"/>
                <w:sz w:val="21"/>
                <w:szCs w:val="21"/>
                <w:bdr w:val="none" w:color="auto" w:sz="0" w:space="0"/>
              </w:rPr>
              <w:t>填报单位：</w:t>
            </w:r>
          </w:p>
        </w:tc>
        <w:tc>
          <w:tcPr>
            <w:tcW w:w="833"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449C5A5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8"/>
                <w:szCs w:val="18"/>
              </w:rPr>
            </w:pPr>
            <w:r>
              <w:rPr>
                <w:rFonts w:hint="default" w:ascii="Times New Roman" w:hAnsi="Times New Roman" w:eastAsia="宋体" w:cs="Times New Roman"/>
                <w:i w:val="0"/>
                <w:iCs w:val="0"/>
                <w:caps w:val="0"/>
                <w:color w:val="333333"/>
                <w:spacing w:val="0"/>
                <w:sz w:val="21"/>
                <w:szCs w:val="21"/>
                <w:bdr w:val="none" w:color="auto" w:sz="0" w:space="0"/>
              </w:rPr>
              <w:t>烈山区审计局</w:t>
            </w:r>
          </w:p>
        </w:tc>
        <w:tc>
          <w:tcPr>
            <w:tcW w:w="411"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34ECC75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283"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7640328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240"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1848A939">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864"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5AD4FA8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173" w:type="pct"/>
            <w:gridSpan w:val="2"/>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4A3B8D53">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176"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404AE3CD">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171"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68678C66">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171"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05D2DC9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c>
          <w:tcPr>
            <w:tcW w:w="373" w:type="pct"/>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19D814C6">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21"/>
                <w:szCs w:val="21"/>
              </w:rPr>
            </w:pPr>
            <w:r>
              <w:rPr>
                <w:rFonts w:hint="default" w:ascii="Times New Roman" w:hAnsi="Times New Roman" w:eastAsia="微软雅黑" w:cs="Times New Roman"/>
                <w:i w:val="0"/>
                <w:iCs w:val="0"/>
                <w:caps w:val="0"/>
                <w:color w:val="333333"/>
                <w:spacing w:val="0"/>
                <w:sz w:val="24"/>
                <w:szCs w:val="24"/>
                <w:bdr w:val="none" w:color="auto" w:sz="0" w:space="0"/>
              </w:rPr>
              <w:t> </w:t>
            </w:r>
          </w:p>
        </w:tc>
      </w:tr>
      <w:bookmarkEnd w:id="0"/>
      <w:tr w14:paraId="1776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1ECDF9A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项目名称</w:t>
            </w:r>
          </w:p>
        </w:tc>
        <w:tc>
          <w:tcPr>
            <w:tcW w:w="1767" w:type="pct"/>
            <w:gridSpan w:val="4"/>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14:paraId="6273F14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协审费用</w:t>
            </w:r>
          </w:p>
        </w:tc>
        <w:tc>
          <w:tcPr>
            <w:tcW w:w="923" w:type="pct"/>
            <w:gridSpan w:val="2"/>
            <w:tcBorders>
              <w:top w:val="single" w:color="auto" w:sz="8" w:space="0"/>
              <w:left w:val="nil"/>
              <w:bottom w:val="nil"/>
              <w:right w:val="single" w:color="auto" w:sz="8" w:space="0"/>
            </w:tcBorders>
            <w:shd w:val="clear" w:color="auto" w:fill="FFFFFF"/>
            <w:noWrap/>
            <w:tcMar>
              <w:left w:w="108" w:type="dxa"/>
              <w:right w:w="108" w:type="dxa"/>
            </w:tcMar>
            <w:vAlign w:val="center"/>
          </w:tcPr>
          <w:p w14:paraId="664C0A6B">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项目属性</w:t>
            </w:r>
          </w:p>
        </w:tc>
        <w:tc>
          <w:tcPr>
            <w:tcW w:w="1005" w:type="pct"/>
            <w:gridSpan w:val="5"/>
            <w:tcBorders>
              <w:top w:val="single" w:color="auto" w:sz="8" w:space="0"/>
              <w:left w:val="nil"/>
              <w:bottom w:val="nil"/>
              <w:right w:val="single" w:color="auto" w:sz="8" w:space="0"/>
            </w:tcBorders>
            <w:shd w:val="clear" w:color="auto" w:fill="FFFFFF"/>
            <w:noWrap/>
            <w:tcMar>
              <w:left w:w="108" w:type="dxa"/>
              <w:right w:w="108" w:type="dxa"/>
            </w:tcMar>
            <w:vAlign w:val="center"/>
          </w:tcPr>
          <w:p w14:paraId="0A6338D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经常性项目</w:t>
            </w:r>
          </w:p>
        </w:tc>
      </w:tr>
      <w:tr w14:paraId="7385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6227E1E8">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主管部门</w:t>
            </w:r>
          </w:p>
        </w:tc>
        <w:tc>
          <w:tcPr>
            <w:tcW w:w="1767" w:type="pct"/>
            <w:gridSpan w:val="4"/>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4D7BE639">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烈山区审计局</w:t>
            </w:r>
          </w:p>
        </w:tc>
        <w:tc>
          <w:tcPr>
            <w:tcW w:w="923" w:type="pct"/>
            <w:gridSpan w:val="2"/>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524EA99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功能科目</w:t>
            </w:r>
          </w:p>
        </w:tc>
        <w:tc>
          <w:tcPr>
            <w:tcW w:w="1005" w:type="pct"/>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984E71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其他审计事务支出</w:t>
            </w:r>
          </w:p>
        </w:tc>
      </w:tr>
      <w:tr w14:paraId="3463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5A16800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项目起止时间</w:t>
            </w:r>
          </w:p>
        </w:tc>
        <w:tc>
          <w:tcPr>
            <w:tcW w:w="1767" w:type="pct"/>
            <w:gridSpan w:val="4"/>
            <w:tcBorders>
              <w:top w:val="nil"/>
              <w:left w:val="single" w:color="auto" w:sz="8" w:space="0"/>
              <w:bottom w:val="single" w:color="auto" w:sz="8" w:space="0"/>
              <w:right w:val="nil"/>
            </w:tcBorders>
            <w:shd w:val="clear" w:color="auto" w:fill="FFFFFF"/>
            <w:noWrap/>
            <w:tcMar>
              <w:left w:w="108" w:type="dxa"/>
              <w:right w:w="108" w:type="dxa"/>
            </w:tcMar>
            <w:vAlign w:val="center"/>
          </w:tcPr>
          <w:p w14:paraId="6F94E3A3">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2023-2023</w:t>
            </w:r>
          </w:p>
        </w:tc>
        <w:tc>
          <w:tcPr>
            <w:tcW w:w="923" w:type="pct"/>
            <w:gridSpan w:val="2"/>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678DC41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项目资金属性</w:t>
            </w:r>
          </w:p>
        </w:tc>
        <w:tc>
          <w:tcPr>
            <w:tcW w:w="1005" w:type="pct"/>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14:paraId="1DE0106B">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一般预算</w:t>
            </w:r>
          </w:p>
        </w:tc>
      </w:tr>
      <w:tr w14:paraId="13A7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nil"/>
              <w:right w:val="nil"/>
            </w:tcBorders>
            <w:shd w:val="clear" w:color="auto" w:fill="FFFFFF"/>
            <w:noWrap/>
            <w:tcMar>
              <w:left w:w="108" w:type="dxa"/>
              <w:right w:w="108" w:type="dxa"/>
            </w:tcMar>
            <w:vAlign w:val="center"/>
          </w:tcPr>
          <w:p w14:paraId="5D5AAC1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项目分类</w:t>
            </w:r>
          </w:p>
        </w:tc>
        <w:tc>
          <w:tcPr>
            <w:tcW w:w="1767" w:type="pct"/>
            <w:gridSpan w:val="4"/>
            <w:tcBorders>
              <w:top w:val="nil"/>
              <w:left w:val="single" w:color="auto" w:sz="8" w:space="0"/>
              <w:bottom w:val="single" w:color="auto" w:sz="8" w:space="0"/>
              <w:right w:val="nil"/>
            </w:tcBorders>
            <w:shd w:val="clear" w:color="auto" w:fill="FFFFFF"/>
            <w:noWrap/>
            <w:tcMar>
              <w:left w:w="108" w:type="dxa"/>
              <w:right w:w="108" w:type="dxa"/>
            </w:tcMar>
            <w:vAlign w:val="center"/>
          </w:tcPr>
          <w:p w14:paraId="27914B9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c>
          <w:tcPr>
            <w:tcW w:w="923" w:type="pct"/>
            <w:gridSpan w:val="2"/>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7A73342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项目级次</w:t>
            </w:r>
          </w:p>
        </w:tc>
        <w:tc>
          <w:tcPr>
            <w:tcW w:w="1005" w:type="pct"/>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14:paraId="2DBCE0AD">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本级支出</w:t>
            </w:r>
          </w:p>
        </w:tc>
      </w:tr>
      <w:tr w14:paraId="128F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656B971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项目实施单位</w:t>
            </w:r>
          </w:p>
        </w:tc>
        <w:tc>
          <w:tcPr>
            <w:tcW w:w="1767" w:type="pct"/>
            <w:gridSpan w:val="4"/>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07C6F48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烈山区审计局</w:t>
            </w:r>
          </w:p>
        </w:tc>
        <w:tc>
          <w:tcPr>
            <w:tcW w:w="923" w:type="pct"/>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14:paraId="3AB1ADEF">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项目负责人</w:t>
            </w:r>
          </w:p>
        </w:tc>
        <w:tc>
          <w:tcPr>
            <w:tcW w:w="1005" w:type="pct"/>
            <w:gridSpan w:val="5"/>
            <w:tcBorders>
              <w:top w:val="nil"/>
              <w:left w:val="nil"/>
              <w:bottom w:val="nil"/>
              <w:right w:val="single" w:color="auto" w:sz="8" w:space="0"/>
            </w:tcBorders>
            <w:shd w:val="clear" w:color="auto" w:fill="FFFFFF"/>
            <w:noWrap/>
            <w:tcMar>
              <w:left w:w="108" w:type="dxa"/>
              <w:right w:w="108" w:type="dxa"/>
            </w:tcMar>
            <w:vAlign w:val="center"/>
          </w:tcPr>
          <w:p w14:paraId="486F1C5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r>
      <w:tr w14:paraId="087C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nil"/>
              <w:right w:val="single" w:color="auto" w:sz="8" w:space="0"/>
            </w:tcBorders>
            <w:shd w:val="clear" w:color="auto" w:fill="FFFFFF"/>
            <w:noWrap/>
            <w:tcMar>
              <w:left w:w="108" w:type="dxa"/>
              <w:right w:w="108" w:type="dxa"/>
            </w:tcMar>
            <w:vAlign w:val="center"/>
          </w:tcPr>
          <w:p w14:paraId="4466938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联系电话</w:t>
            </w:r>
          </w:p>
        </w:tc>
        <w:tc>
          <w:tcPr>
            <w:tcW w:w="1767" w:type="pct"/>
            <w:gridSpan w:val="4"/>
            <w:tcBorders>
              <w:top w:val="single" w:color="DDDDDD" w:sz="6" w:space="0"/>
              <w:left w:val="single" w:color="DDDDDD" w:sz="6" w:space="0"/>
              <w:bottom w:val="single" w:color="DDDDDD" w:sz="6" w:space="0"/>
              <w:right w:val="single" w:color="DDDDDD" w:sz="6" w:space="0"/>
            </w:tcBorders>
            <w:shd w:val="clear" w:color="auto" w:fill="FFFFFF"/>
            <w:noWrap/>
            <w:tcMar>
              <w:left w:w="108" w:type="dxa"/>
              <w:right w:w="108" w:type="dxa"/>
            </w:tcMar>
            <w:vAlign w:val="center"/>
          </w:tcPr>
          <w:p w14:paraId="43F12C3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c>
          <w:tcPr>
            <w:tcW w:w="923" w:type="pct"/>
            <w:gridSpan w:val="2"/>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296DF51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项目实施时限</w:t>
            </w:r>
          </w:p>
        </w:tc>
        <w:tc>
          <w:tcPr>
            <w:tcW w:w="1005" w:type="pct"/>
            <w:gridSpan w:val="5"/>
            <w:tcBorders>
              <w:top w:val="single" w:color="auto" w:sz="8" w:space="0"/>
              <w:left w:val="nil"/>
              <w:bottom w:val="nil"/>
              <w:right w:val="single" w:color="auto" w:sz="8" w:space="0"/>
            </w:tcBorders>
            <w:shd w:val="clear" w:color="auto" w:fill="FFFFFF"/>
            <w:noWrap/>
            <w:tcMar>
              <w:left w:w="108" w:type="dxa"/>
              <w:right w:w="108" w:type="dxa"/>
            </w:tcMar>
            <w:vAlign w:val="center"/>
          </w:tcPr>
          <w:p w14:paraId="66CCB46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0</w:t>
            </w:r>
          </w:p>
        </w:tc>
      </w:tr>
      <w:tr w14:paraId="3AF3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single" w:color="auto" w:sz="8" w:space="0"/>
              <w:left w:val="single" w:color="auto" w:sz="8" w:space="0"/>
              <w:bottom w:val="nil"/>
              <w:right w:val="nil"/>
            </w:tcBorders>
            <w:shd w:val="clear" w:color="auto" w:fill="FFFFFF"/>
            <w:tcMar>
              <w:left w:w="108" w:type="dxa"/>
              <w:right w:w="108" w:type="dxa"/>
            </w:tcMar>
            <w:vAlign w:val="center"/>
          </w:tcPr>
          <w:p w14:paraId="1F23904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项目实施单位职能概述</w:t>
            </w:r>
          </w:p>
        </w:tc>
        <w:tc>
          <w:tcPr>
            <w:tcW w:w="3696" w:type="pct"/>
            <w:gridSpan w:val="11"/>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A1A4F7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主要负责地方政府各部门</w:t>
            </w:r>
            <w:r>
              <w:rPr>
                <w:rFonts w:hint="default" w:ascii="Times New Roman" w:hAnsi="Times New Roman" w:eastAsia="微软雅黑" w:cs="Times New Roman"/>
                <w:i w:val="0"/>
                <w:iCs w:val="0"/>
                <w:caps w:val="0"/>
                <w:color w:val="333333"/>
                <w:spacing w:val="0"/>
                <w:sz w:val="16"/>
                <w:szCs w:val="16"/>
                <w:bdr w:val="none" w:color="auto" w:sz="0" w:space="0"/>
              </w:rPr>
              <w:t>]</w:t>
            </w:r>
            <w:r>
              <w:rPr>
                <w:rFonts w:hint="default" w:ascii="Times New Roman" w:hAnsi="Times New Roman" w:eastAsia="宋体" w:cs="Times New Roman"/>
                <w:i w:val="0"/>
                <w:iCs w:val="0"/>
                <w:caps w:val="0"/>
                <w:color w:val="333333"/>
                <w:spacing w:val="0"/>
                <w:sz w:val="16"/>
                <w:szCs w:val="16"/>
                <w:bdr w:val="none" w:color="auto" w:sz="0" w:space="0"/>
              </w:rPr>
              <w:t>和企事业单位的审计监督工作</w:t>
            </w:r>
          </w:p>
        </w:tc>
      </w:tr>
      <w:tr w14:paraId="2ED9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2EEFAB87">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项目概况</w:t>
            </w:r>
          </w:p>
        </w:tc>
        <w:tc>
          <w:tcPr>
            <w:tcW w:w="3696" w:type="pct"/>
            <w:gridSpan w:val="11"/>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0C06F9">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1</w:t>
            </w:r>
            <w:r>
              <w:rPr>
                <w:rFonts w:hint="default" w:ascii="Times New Roman" w:hAnsi="Times New Roman" w:eastAsia="宋体" w:cs="Times New Roman"/>
                <w:i w:val="0"/>
                <w:iCs w:val="0"/>
                <w:caps w:val="0"/>
                <w:color w:val="333333"/>
                <w:spacing w:val="0"/>
                <w:sz w:val="16"/>
                <w:szCs w:val="16"/>
                <w:bdr w:val="none" w:color="auto" w:sz="0" w:space="0"/>
              </w:rPr>
              <w:t>、经济责任审计</w:t>
            </w:r>
            <w:r>
              <w:rPr>
                <w:rFonts w:hint="default" w:ascii="Times New Roman" w:hAnsi="Times New Roman" w:eastAsia="等线" w:cs="Times New Roman"/>
                <w:i w:val="0"/>
                <w:iCs w:val="0"/>
                <w:caps w:val="0"/>
                <w:color w:val="333333"/>
                <w:spacing w:val="0"/>
                <w:sz w:val="16"/>
                <w:szCs w:val="16"/>
                <w:bdr w:val="none" w:color="auto" w:sz="0" w:space="0"/>
              </w:rPr>
              <w:t>5</w:t>
            </w:r>
            <w:r>
              <w:rPr>
                <w:rFonts w:hint="default" w:ascii="Times New Roman" w:hAnsi="Times New Roman" w:eastAsia="宋体" w:cs="Times New Roman"/>
                <w:i w:val="0"/>
                <w:iCs w:val="0"/>
                <w:caps w:val="0"/>
                <w:color w:val="333333"/>
                <w:spacing w:val="0"/>
                <w:sz w:val="16"/>
                <w:szCs w:val="16"/>
                <w:bdr w:val="none" w:color="auto" w:sz="0" w:space="0"/>
              </w:rPr>
              <w:t>个项目，预算</w:t>
            </w:r>
            <w:r>
              <w:rPr>
                <w:rFonts w:hint="default" w:ascii="Times New Roman" w:hAnsi="Times New Roman" w:eastAsia="等线" w:cs="Times New Roman"/>
                <w:i w:val="0"/>
                <w:iCs w:val="0"/>
                <w:caps w:val="0"/>
                <w:color w:val="333333"/>
                <w:spacing w:val="0"/>
                <w:sz w:val="16"/>
                <w:szCs w:val="16"/>
                <w:bdr w:val="none" w:color="auto" w:sz="0" w:space="0"/>
              </w:rPr>
              <w:t>7</w:t>
            </w:r>
            <w:r>
              <w:rPr>
                <w:rFonts w:hint="default" w:ascii="Times New Roman" w:hAnsi="Times New Roman" w:eastAsia="宋体" w:cs="Times New Roman"/>
                <w:i w:val="0"/>
                <w:iCs w:val="0"/>
                <w:caps w:val="0"/>
                <w:color w:val="333333"/>
                <w:spacing w:val="0"/>
                <w:sz w:val="16"/>
                <w:szCs w:val="16"/>
                <w:bdr w:val="none" w:color="auto" w:sz="0" w:space="0"/>
              </w:rPr>
              <w:t>万。</w:t>
            </w:r>
          </w:p>
          <w:p w14:paraId="1F8D9DE9">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等线" w:cs="Times New Roman"/>
                <w:i w:val="0"/>
                <w:iCs w:val="0"/>
                <w:caps w:val="0"/>
                <w:color w:val="333333"/>
                <w:spacing w:val="0"/>
                <w:sz w:val="16"/>
                <w:szCs w:val="16"/>
                <w:bdr w:val="none" w:color="auto" w:sz="0" w:space="0"/>
              </w:rPr>
              <w:t>2</w:t>
            </w:r>
            <w:r>
              <w:rPr>
                <w:rFonts w:hint="default" w:ascii="Times New Roman" w:hAnsi="Times New Roman" w:eastAsia="宋体" w:cs="Times New Roman"/>
                <w:i w:val="0"/>
                <w:iCs w:val="0"/>
                <w:caps w:val="0"/>
                <w:color w:val="333333"/>
                <w:spacing w:val="0"/>
                <w:sz w:val="16"/>
                <w:szCs w:val="16"/>
                <w:bdr w:val="none" w:color="auto" w:sz="0" w:space="0"/>
              </w:rPr>
              <w:t>、财政同级审专项审计</w:t>
            </w:r>
            <w:r>
              <w:rPr>
                <w:rFonts w:hint="default" w:ascii="Times New Roman" w:hAnsi="Times New Roman" w:eastAsia="等线" w:cs="Times New Roman"/>
                <w:i w:val="0"/>
                <w:iCs w:val="0"/>
                <w:caps w:val="0"/>
                <w:color w:val="333333"/>
                <w:spacing w:val="0"/>
                <w:sz w:val="16"/>
                <w:szCs w:val="16"/>
                <w:bdr w:val="none" w:color="auto" w:sz="0" w:space="0"/>
              </w:rPr>
              <w:t>3</w:t>
            </w:r>
            <w:r>
              <w:rPr>
                <w:rFonts w:hint="default" w:ascii="Times New Roman" w:hAnsi="Times New Roman" w:eastAsia="宋体" w:cs="Times New Roman"/>
                <w:i w:val="0"/>
                <w:iCs w:val="0"/>
                <w:caps w:val="0"/>
                <w:color w:val="333333"/>
                <w:spacing w:val="0"/>
                <w:sz w:val="16"/>
                <w:szCs w:val="16"/>
                <w:bdr w:val="none" w:color="auto" w:sz="0" w:space="0"/>
              </w:rPr>
              <w:t>个单位项目，预算</w:t>
            </w:r>
            <w:r>
              <w:rPr>
                <w:rFonts w:hint="default" w:ascii="Times New Roman" w:hAnsi="Times New Roman" w:eastAsia="等线" w:cs="Times New Roman"/>
                <w:i w:val="0"/>
                <w:iCs w:val="0"/>
                <w:caps w:val="0"/>
                <w:color w:val="333333"/>
                <w:spacing w:val="0"/>
                <w:sz w:val="16"/>
                <w:szCs w:val="16"/>
                <w:bdr w:val="none" w:color="auto" w:sz="0" w:space="0"/>
              </w:rPr>
              <w:t>3</w:t>
            </w:r>
            <w:r>
              <w:rPr>
                <w:rFonts w:hint="default" w:ascii="Times New Roman" w:hAnsi="Times New Roman" w:eastAsia="宋体" w:cs="Times New Roman"/>
                <w:i w:val="0"/>
                <w:iCs w:val="0"/>
                <w:caps w:val="0"/>
                <w:color w:val="333333"/>
                <w:spacing w:val="0"/>
                <w:sz w:val="16"/>
                <w:szCs w:val="16"/>
                <w:bdr w:val="none" w:color="auto" w:sz="0" w:space="0"/>
              </w:rPr>
              <w:t>万元。</w:t>
            </w:r>
            <w:r>
              <w:rPr>
                <w:rFonts w:hint="default" w:ascii="Times New Roman" w:hAnsi="Times New Roman" w:eastAsia="微软雅黑" w:cs="Times New Roman"/>
                <w:i w:val="0"/>
                <w:iCs w:val="0"/>
                <w:caps w:val="0"/>
                <w:color w:val="333333"/>
                <w:spacing w:val="0"/>
                <w:sz w:val="16"/>
                <w:szCs w:val="16"/>
                <w:bdr w:val="none" w:color="auto" w:sz="0" w:space="0"/>
              </w:rPr>
              <w:t> </w:t>
            </w:r>
          </w:p>
          <w:p w14:paraId="3C5D2DE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等线" w:cs="Times New Roman"/>
                <w:i w:val="0"/>
                <w:iCs w:val="0"/>
                <w:caps w:val="0"/>
                <w:color w:val="333333"/>
                <w:spacing w:val="0"/>
                <w:sz w:val="16"/>
                <w:szCs w:val="16"/>
                <w:bdr w:val="none" w:color="auto" w:sz="0" w:space="0"/>
              </w:rPr>
              <w:t>3</w:t>
            </w:r>
            <w:r>
              <w:rPr>
                <w:rFonts w:hint="default" w:ascii="Times New Roman" w:hAnsi="Times New Roman" w:eastAsia="宋体" w:cs="Times New Roman"/>
                <w:i w:val="0"/>
                <w:iCs w:val="0"/>
                <w:caps w:val="0"/>
                <w:color w:val="333333"/>
                <w:spacing w:val="0"/>
                <w:sz w:val="16"/>
                <w:szCs w:val="16"/>
                <w:bdr w:val="none" w:color="auto" w:sz="0" w:space="0"/>
              </w:rPr>
              <w:t>往年未结清的投资审计项目</w:t>
            </w:r>
            <w:r>
              <w:rPr>
                <w:rFonts w:hint="default" w:ascii="Times New Roman" w:hAnsi="Times New Roman" w:eastAsia="等线" w:cs="Times New Roman"/>
                <w:i w:val="0"/>
                <w:iCs w:val="0"/>
                <w:caps w:val="0"/>
                <w:color w:val="333333"/>
                <w:spacing w:val="0"/>
                <w:sz w:val="16"/>
                <w:szCs w:val="16"/>
                <w:bdr w:val="none" w:color="auto" w:sz="0" w:space="0"/>
              </w:rPr>
              <w:t>2</w:t>
            </w:r>
            <w:r>
              <w:rPr>
                <w:rFonts w:hint="default" w:ascii="Times New Roman" w:hAnsi="Times New Roman" w:eastAsia="宋体" w:cs="Times New Roman"/>
                <w:i w:val="0"/>
                <w:iCs w:val="0"/>
                <w:caps w:val="0"/>
                <w:color w:val="333333"/>
                <w:spacing w:val="0"/>
                <w:sz w:val="16"/>
                <w:szCs w:val="16"/>
                <w:bdr w:val="none" w:color="auto" w:sz="0" w:space="0"/>
              </w:rPr>
              <w:t>个，预算</w:t>
            </w:r>
            <w:r>
              <w:rPr>
                <w:rFonts w:hint="default" w:ascii="Times New Roman" w:hAnsi="Times New Roman" w:eastAsia="等线" w:cs="Times New Roman"/>
                <w:i w:val="0"/>
                <w:iCs w:val="0"/>
                <w:caps w:val="0"/>
                <w:color w:val="333333"/>
                <w:spacing w:val="0"/>
                <w:sz w:val="16"/>
                <w:szCs w:val="16"/>
                <w:bdr w:val="none" w:color="auto" w:sz="0" w:space="0"/>
              </w:rPr>
              <w:t>5.</w:t>
            </w:r>
            <w:r>
              <w:rPr>
                <w:rFonts w:hint="default" w:ascii="Times New Roman" w:hAnsi="Times New Roman" w:eastAsia="微软雅黑" w:cs="Times New Roman"/>
                <w:i w:val="0"/>
                <w:iCs w:val="0"/>
                <w:caps w:val="0"/>
                <w:color w:val="333333"/>
                <w:spacing w:val="0"/>
                <w:sz w:val="16"/>
                <w:szCs w:val="16"/>
                <w:bdr w:val="none" w:color="auto" w:sz="0" w:space="0"/>
              </w:rPr>
              <w:t>5</w:t>
            </w:r>
            <w:r>
              <w:rPr>
                <w:rFonts w:hint="default" w:ascii="Times New Roman" w:hAnsi="Times New Roman" w:eastAsia="宋体" w:cs="Times New Roman"/>
                <w:i w:val="0"/>
                <w:iCs w:val="0"/>
                <w:caps w:val="0"/>
                <w:color w:val="333333"/>
                <w:spacing w:val="0"/>
                <w:sz w:val="16"/>
                <w:szCs w:val="16"/>
                <w:bdr w:val="none" w:color="auto" w:sz="0" w:space="0"/>
              </w:rPr>
              <w:t>万元。</w:t>
            </w:r>
          </w:p>
        </w:tc>
      </w:tr>
      <w:tr w14:paraId="06BB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0011351F">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项目立项依据类型</w:t>
            </w:r>
          </w:p>
        </w:tc>
        <w:tc>
          <w:tcPr>
            <w:tcW w:w="3696" w:type="pct"/>
            <w:gridSpan w:val="11"/>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2C5B813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r>
      <w:tr w14:paraId="748C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6"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050C70B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项目立项依据</w:t>
            </w:r>
          </w:p>
        </w:tc>
        <w:tc>
          <w:tcPr>
            <w:tcW w:w="3696" w:type="pct"/>
            <w:gridSpan w:val="11"/>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9BC5698">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w:t>
            </w:r>
            <w:r>
              <w:rPr>
                <w:rFonts w:hint="default" w:ascii="Times New Roman" w:hAnsi="Times New Roman" w:eastAsia="宋体" w:cs="Times New Roman"/>
                <w:i w:val="0"/>
                <w:iCs w:val="0"/>
                <w:caps w:val="0"/>
                <w:color w:val="333333"/>
                <w:spacing w:val="0"/>
                <w:sz w:val="16"/>
                <w:szCs w:val="16"/>
                <w:bdr w:val="none" w:color="auto" w:sz="0" w:space="0"/>
              </w:rPr>
              <w:t>根据区委组织部委托，进行经济责任审计</w:t>
            </w:r>
            <w:r>
              <w:rPr>
                <w:rFonts w:hint="default" w:ascii="Times New Roman" w:hAnsi="Times New Roman" w:eastAsia="等线" w:cs="Times New Roman"/>
                <w:i w:val="0"/>
                <w:iCs w:val="0"/>
                <w:caps w:val="0"/>
                <w:color w:val="333333"/>
                <w:spacing w:val="0"/>
                <w:sz w:val="16"/>
                <w:szCs w:val="16"/>
                <w:bdr w:val="none" w:color="auto" w:sz="0" w:space="0"/>
              </w:rPr>
              <w:t>2.</w:t>
            </w:r>
            <w:r>
              <w:rPr>
                <w:rFonts w:hint="default" w:ascii="Times New Roman" w:hAnsi="Times New Roman" w:eastAsia="宋体" w:cs="Times New Roman"/>
                <w:i w:val="0"/>
                <w:iCs w:val="0"/>
                <w:caps w:val="0"/>
                <w:color w:val="333333"/>
                <w:spacing w:val="0"/>
                <w:sz w:val="16"/>
                <w:szCs w:val="16"/>
                <w:bdr w:val="none" w:color="auto" w:sz="0" w:space="0"/>
              </w:rPr>
              <w:t>根据区委、区政府领导的安排对辖区内国有企业和财政投资的项目由必要有选择的进行审计</w:t>
            </w:r>
            <w:r>
              <w:rPr>
                <w:rFonts w:hint="default" w:ascii="Times New Roman" w:hAnsi="Times New Roman" w:eastAsia="等线" w:cs="Times New Roman"/>
                <w:i w:val="0"/>
                <w:iCs w:val="0"/>
                <w:caps w:val="0"/>
                <w:color w:val="333333"/>
                <w:spacing w:val="0"/>
                <w:sz w:val="16"/>
                <w:szCs w:val="16"/>
                <w:bdr w:val="none" w:color="auto" w:sz="0" w:space="0"/>
              </w:rPr>
              <w:t>3.</w:t>
            </w:r>
            <w:r>
              <w:rPr>
                <w:rFonts w:hint="default" w:ascii="Times New Roman" w:hAnsi="Times New Roman" w:eastAsia="宋体" w:cs="Times New Roman"/>
                <w:i w:val="0"/>
                <w:iCs w:val="0"/>
                <w:caps w:val="0"/>
                <w:color w:val="333333"/>
                <w:spacing w:val="0"/>
                <w:sz w:val="16"/>
                <w:szCs w:val="16"/>
                <w:bdr w:val="none" w:color="auto" w:sz="0" w:space="0"/>
              </w:rPr>
              <w:t>稂据《审计法》法定职责进行同级财政预算执行审计，并延伸区直相关单位和镇办进行必要的专项项自审计。</w:t>
            </w:r>
          </w:p>
        </w:tc>
      </w:tr>
      <w:tr w14:paraId="1D70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tcMar>
              <w:left w:w="108" w:type="dxa"/>
              <w:right w:w="108" w:type="dxa"/>
            </w:tcMar>
            <w:vAlign w:val="center"/>
          </w:tcPr>
          <w:p w14:paraId="1E0548C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项目实施可行性必要性</w:t>
            </w:r>
          </w:p>
        </w:tc>
        <w:tc>
          <w:tcPr>
            <w:tcW w:w="3696" w:type="pct"/>
            <w:gridSpan w:val="11"/>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D1C77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对领导干部实行经济责任审计是对领导干部经济行为的器督，是加强干部管理和监督的重要环节</w:t>
            </w:r>
            <w:r>
              <w:rPr>
                <w:rFonts w:hint="default" w:ascii="Times New Roman" w:hAnsi="Times New Roman" w:eastAsia="微软雅黑" w:cs="Times New Roman"/>
                <w:i w:val="0"/>
                <w:iCs w:val="0"/>
                <w:caps w:val="0"/>
                <w:color w:val="333333"/>
                <w:spacing w:val="0"/>
                <w:sz w:val="16"/>
                <w:szCs w:val="16"/>
                <w:bdr w:val="none" w:color="auto" w:sz="0" w:space="0"/>
              </w:rPr>
              <w:t>:</w:t>
            </w:r>
            <w:r>
              <w:rPr>
                <w:rFonts w:hint="default" w:ascii="Times New Roman" w:hAnsi="Times New Roman" w:eastAsia="宋体" w:cs="Times New Roman"/>
                <w:i w:val="0"/>
                <w:iCs w:val="0"/>
                <w:caps w:val="0"/>
                <w:color w:val="333333"/>
                <w:spacing w:val="0"/>
                <w:sz w:val="16"/>
                <w:szCs w:val="16"/>
                <w:bdr w:val="none" w:color="auto" w:sz="0" w:space="0"/>
              </w:rPr>
              <w:t>对同级财政预算执行进行审计是强化对政府财政收支实施监督的需要，也是促进政府加强宏观调控的需要</w:t>
            </w:r>
            <w:r>
              <w:rPr>
                <w:rFonts w:hint="default" w:ascii="Times New Roman" w:hAnsi="Times New Roman" w:eastAsia="等线" w:cs="Times New Roman"/>
                <w:i w:val="0"/>
                <w:iCs w:val="0"/>
                <w:caps w:val="0"/>
                <w:color w:val="333333"/>
                <w:spacing w:val="0"/>
                <w:sz w:val="16"/>
                <w:szCs w:val="16"/>
                <w:bdr w:val="none" w:color="auto" w:sz="0" w:space="0"/>
              </w:rPr>
              <w:t>,</w:t>
            </w:r>
            <w:r>
              <w:rPr>
                <w:rFonts w:hint="default" w:ascii="Times New Roman" w:hAnsi="Times New Roman" w:eastAsia="宋体" w:cs="Times New Roman"/>
                <w:i w:val="0"/>
                <w:iCs w:val="0"/>
                <w:caps w:val="0"/>
                <w:color w:val="333333"/>
                <w:spacing w:val="0"/>
                <w:sz w:val="16"/>
                <w:szCs w:val="16"/>
                <w:bdr w:val="none" w:color="auto" w:sz="0" w:space="0"/>
              </w:rPr>
              <w:t>对国有企业和财政投资项目进行审计或者跟踪是防范金融风险和落实党中央三大攻坚战的重要抓手。</w:t>
            </w:r>
          </w:p>
        </w:tc>
      </w:tr>
      <w:tr w14:paraId="116D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vMerge w:val="restar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5D431D63">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项目绩效目标概述</w:t>
            </w:r>
          </w:p>
        </w:tc>
        <w:tc>
          <w:tcPr>
            <w:tcW w:w="2631" w:type="pct"/>
            <w:gridSpan w:val="5"/>
            <w:tcBorders>
              <w:top w:val="nil"/>
              <w:left w:val="nil"/>
              <w:bottom w:val="nil"/>
              <w:right w:val="single" w:color="auto" w:sz="8" w:space="0"/>
            </w:tcBorders>
            <w:shd w:val="clear" w:color="auto" w:fill="FFFFFF"/>
            <w:noWrap/>
            <w:tcMar>
              <w:left w:w="108" w:type="dxa"/>
              <w:right w:w="108" w:type="dxa"/>
            </w:tcMar>
            <w:vAlign w:val="center"/>
          </w:tcPr>
          <w:p w14:paraId="0BA2AA7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b/>
                <w:bCs/>
                <w:i w:val="0"/>
                <w:iCs w:val="0"/>
                <w:caps w:val="0"/>
                <w:color w:val="333333"/>
                <w:spacing w:val="0"/>
                <w:sz w:val="16"/>
                <w:szCs w:val="16"/>
                <w:bdr w:val="none" w:color="auto" w:sz="0" w:space="0"/>
              </w:rPr>
              <w:t>总体目标</w:t>
            </w:r>
          </w:p>
        </w:tc>
        <w:tc>
          <w:tcPr>
            <w:tcW w:w="1064" w:type="pct"/>
            <w:gridSpan w:val="6"/>
            <w:tcBorders>
              <w:top w:val="nil"/>
              <w:left w:val="nil"/>
              <w:bottom w:val="nil"/>
              <w:right w:val="single" w:color="auto" w:sz="8" w:space="0"/>
            </w:tcBorders>
            <w:shd w:val="clear" w:color="auto" w:fill="FFFFFF"/>
            <w:noWrap/>
            <w:tcMar>
              <w:left w:w="108" w:type="dxa"/>
              <w:right w:w="108" w:type="dxa"/>
            </w:tcMar>
            <w:vAlign w:val="center"/>
          </w:tcPr>
          <w:p w14:paraId="31D6857B">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b/>
                <w:bCs/>
                <w:i w:val="0"/>
                <w:iCs w:val="0"/>
                <w:caps w:val="0"/>
                <w:color w:val="333333"/>
                <w:spacing w:val="0"/>
                <w:sz w:val="16"/>
                <w:szCs w:val="16"/>
                <w:bdr w:val="none" w:color="auto" w:sz="0" w:space="0"/>
              </w:rPr>
              <w:t>年度目标</w:t>
            </w:r>
          </w:p>
        </w:tc>
      </w:tr>
      <w:tr w14:paraId="7E40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vMerge w:val="continue"/>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3358B763">
            <w:pPr>
              <w:snapToGrid w:val="0"/>
              <w:jc w:val="both"/>
              <w:rPr>
                <w:rFonts w:hint="default" w:ascii="Times New Roman" w:hAnsi="Times New Roman" w:eastAsia="宋体" w:cs="Times New Roman"/>
                <w:i w:val="0"/>
                <w:iCs w:val="0"/>
                <w:caps w:val="0"/>
                <w:color w:val="333333"/>
                <w:spacing w:val="0"/>
                <w:sz w:val="16"/>
                <w:szCs w:val="16"/>
              </w:rPr>
            </w:pPr>
          </w:p>
        </w:tc>
        <w:tc>
          <w:tcPr>
            <w:tcW w:w="2631" w:type="pct"/>
            <w:gridSpan w:val="5"/>
            <w:tcBorders>
              <w:top w:val="single" w:color="auto" w:sz="8" w:space="0"/>
              <w:left w:val="nil"/>
              <w:bottom w:val="nil"/>
              <w:right w:val="single" w:color="auto" w:sz="8" w:space="0"/>
            </w:tcBorders>
            <w:shd w:val="clear" w:color="auto" w:fill="FFFFFF"/>
            <w:tcMar>
              <w:left w:w="108" w:type="dxa"/>
              <w:right w:w="108" w:type="dxa"/>
            </w:tcMar>
            <w:vAlign w:val="center"/>
          </w:tcPr>
          <w:p w14:paraId="166F0D0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目标1：继续扎实推进预算执行、重点领域民生资金和经济责任三大重点板块审计工作。</w:t>
            </w:r>
          </w:p>
          <w:p w14:paraId="123F2A6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目标2：持续强化政府投资建设项目审计管理和监督</w:t>
            </w:r>
          </w:p>
        </w:tc>
        <w:tc>
          <w:tcPr>
            <w:tcW w:w="1064" w:type="pct"/>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092D77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目标1：加强政府投资审计项目审计监督，保障政府财政资金的有效使用；目标2：完成年度安排的市、县（区）交叉审计项目。目标3：规范履行审计监督职责，完成年度审计计划任务。</w:t>
            </w:r>
          </w:p>
        </w:tc>
      </w:tr>
      <w:tr w14:paraId="1841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69AB2CB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项目完成数量</w:t>
            </w:r>
          </w:p>
        </w:tc>
        <w:tc>
          <w:tcPr>
            <w:tcW w:w="2631" w:type="pct"/>
            <w:gridSpan w:val="5"/>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0DFC974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16个</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7C6F008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16个</w:t>
            </w:r>
          </w:p>
        </w:tc>
      </w:tr>
      <w:tr w14:paraId="0D0B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2"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2184425B">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项目实施进度</w:t>
            </w:r>
          </w:p>
        </w:tc>
        <w:tc>
          <w:tcPr>
            <w:tcW w:w="2631" w:type="pct"/>
            <w:gridSpan w:val="5"/>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03E4CD7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按序时进度，100%完成</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286C82A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16"/>
                <w:szCs w:val="16"/>
              </w:rPr>
              <w:t>按序时进度，100%完成</w:t>
            </w:r>
          </w:p>
        </w:tc>
      </w:tr>
      <w:tr w14:paraId="2AC5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5F391F6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项目完成质量</w:t>
            </w:r>
          </w:p>
        </w:tc>
        <w:tc>
          <w:tcPr>
            <w:tcW w:w="2631" w:type="pct"/>
            <w:gridSpan w:val="5"/>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0C6F800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100%完成</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7CCCEE8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16"/>
                <w:szCs w:val="16"/>
              </w:rPr>
              <w:t>100%完成</w:t>
            </w:r>
          </w:p>
        </w:tc>
      </w:tr>
      <w:tr w14:paraId="54B2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48AB217B">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项目金额测算</w:t>
            </w:r>
          </w:p>
        </w:tc>
        <w:tc>
          <w:tcPr>
            <w:tcW w:w="2631" w:type="pct"/>
            <w:gridSpan w:val="5"/>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21E4B66D">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15.5万</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2C73081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宋体" w:cs="Times New Roman"/>
                <w:i w:val="0"/>
                <w:iCs w:val="0"/>
                <w:caps w:val="0"/>
                <w:color w:val="333333"/>
                <w:spacing w:val="0"/>
                <w:sz w:val="16"/>
                <w:szCs w:val="16"/>
              </w:rPr>
            </w:pPr>
            <w:r>
              <w:rPr>
                <w:rFonts w:hint="default" w:ascii="Times New Roman" w:hAnsi="Times New Roman" w:eastAsia="宋体" w:cs="Times New Roman"/>
                <w:i w:val="0"/>
                <w:iCs w:val="0"/>
                <w:caps w:val="0"/>
                <w:color w:val="333333"/>
                <w:spacing w:val="0"/>
                <w:sz w:val="16"/>
                <w:szCs w:val="16"/>
              </w:rPr>
              <w:t>15.5万</w:t>
            </w:r>
          </w:p>
        </w:tc>
      </w:tr>
      <w:tr w14:paraId="73AB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52A42B0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项目预计效益</w:t>
            </w:r>
          </w:p>
        </w:tc>
        <w:tc>
          <w:tcPr>
            <w:tcW w:w="2631" w:type="pct"/>
            <w:gridSpan w:val="5"/>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3433A7A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审计监督力度不断加强，节约财政资金</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71707A8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审计监督力度不断加强，节约财政资金</w:t>
            </w:r>
          </w:p>
        </w:tc>
      </w:tr>
      <w:tr w14:paraId="1F0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35821F61">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服务对象满意度</w:t>
            </w:r>
          </w:p>
        </w:tc>
        <w:tc>
          <w:tcPr>
            <w:tcW w:w="2631" w:type="pct"/>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944D074">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好</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5ABB1A2A">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好</w:t>
            </w:r>
          </w:p>
        </w:tc>
      </w:tr>
      <w:tr w14:paraId="4D54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tcBorders>
              <w:top w:val="nil"/>
              <w:left w:val="single" w:color="auto" w:sz="8" w:space="0"/>
              <w:bottom w:val="single" w:color="auto" w:sz="8" w:space="0"/>
              <w:right w:val="nil"/>
            </w:tcBorders>
            <w:shd w:val="clear" w:color="auto" w:fill="FFFFFF"/>
            <w:noWrap/>
            <w:tcMar>
              <w:left w:w="108" w:type="dxa"/>
              <w:right w:w="108" w:type="dxa"/>
            </w:tcMar>
            <w:vAlign w:val="center"/>
          </w:tcPr>
          <w:p w14:paraId="1646390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r>
              <w:rPr>
                <w:rFonts w:hint="default" w:ascii="Times New Roman" w:hAnsi="Times New Roman" w:eastAsia="宋体" w:cs="Times New Roman"/>
                <w:i w:val="0"/>
                <w:iCs w:val="0"/>
                <w:caps w:val="0"/>
                <w:color w:val="333333"/>
                <w:spacing w:val="0"/>
                <w:sz w:val="16"/>
                <w:szCs w:val="16"/>
                <w:bdr w:val="none" w:color="auto" w:sz="0" w:space="0"/>
              </w:rPr>
              <w:t>其他</w:t>
            </w:r>
          </w:p>
        </w:tc>
        <w:tc>
          <w:tcPr>
            <w:tcW w:w="2631"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FD2FC8">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c>
          <w:tcPr>
            <w:tcW w:w="1064" w:type="pct"/>
            <w:gridSpan w:val="6"/>
            <w:tcBorders>
              <w:top w:val="nil"/>
              <w:left w:val="nil"/>
              <w:bottom w:val="single" w:color="auto" w:sz="8" w:space="0"/>
              <w:right w:val="single" w:color="auto" w:sz="8" w:space="0"/>
            </w:tcBorders>
            <w:shd w:val="clear" w:color="auto" w:fill="FFFFFF"/>
            <w:tcMar>
              <w:left w:w="108" w:type="dxa"/>
              <w:right w:w="108" w:type="dxa"/>
            </w:tcMar>
            <w:vAlign w:val="center"/>
          </w:tcPr>
          <w:p w14:paraId="52C568F6">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left"/>
              <w:rPr>
                <w:rFonts w:hint="default" w:ascii="Times New Roman" w:hAnsi="Times New Roman" w:eastAsia="等线" w:cs="Times New Roman"/>
                <w:sz w:val="13"/>
                <w:szCs w:val="13"/>
              </w:rPr>
            </w:pPr>
            <w:r>
              <w:rPr>
                <w:rFonts w:hint="default" w:ascii="Times New Roman" w:hAnsi="Times New Roman" w:eastAsia="微软雅黑" w:cs="Times New Roman"/>
                <w:i w:val="0"/>
                <w:iCs w:val="0"/>
                <w:caps w:val="0"/>
                <w:color w:val="333333"/>
                <w:spacing w:val="0"/>
                <w:sz w:val="16"/>
                <w:szCs w:val="16"/>
                <w:bdr w:val="none" w:color="auto" w:sz="0" w:space="0"/>
              </w:rPr>
              <w:t> </w:t>
            </w:r>
          </w:p>
        </w:tc>
      </w:tr>
      <w:tr w14:paraId="02DE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B8375D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项目资金申报数（万元）</w:t>
            </w:r>
          </w:p>
        </w:tc>
        <w:tc>
          <w:tcPr>
            <w:tcW w:w="833" w:type="pct"/>
            <w:vMerge w:val="restart"/>
            <w:tcBorders>
              <w:top w:val="nil"/>
              <w:left w:val="nil"/>
              <w:bottom w:val="nil"/>
              <w:right w:val="single" w:color="auto" w:sz="8" w:space="0"/>
            </w:tcBorders>
            <w:shd w:val="clear" w:color="auto" w:fill="FFFFFF"/>
            <w:tcMar>
              <w:left w:w="108" w:type="dxa"/>
              <w:right w:w="108" w:type="dxa"/>
            </w:tcMar>
            <w:vAlign w:val="center"/>
          </w:tcPr>
          <w:p w14:paraId="194ED49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总计</w:t>
            </w:r>
          </w:p>
        </w:tc>
        <w:tc>
          <w:tcPr>
            <w:tcW w:w="1798"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062053F5">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预算拨款安排</w:t>
            </w:r>
          </w:p>
        </w:tc>
        <w:tc>
          <w:tcPr>
            <w:tcW w:w="349" w:type="pct"/>
            <w:gridSpan w:val="3"/>
            <w:vMerge w:val="restart"/>
            <w:tcBorders>
              <w:top w:val="nil"/>
              <w:left w:val="nil"/>
              <w:bottom w:val="nil"/>
              <w:right w:val="single" w:color="auto" w:sz="8" w:space="0"/>
            </w:tcBorders>
            <w:shd w:val="clear" w:color="auto" w:fill="FFFFFF"/>
            <w:tcMar>
              <w:left w:w="108" w:type="dxa"/>
              <w:right w:w="108" w:type="dxa"/>
            </w:tcMar>
            <w:vAlign w:val="center"/>
          </w:tcPr>
          <w:p w14:paraId="15E1BD2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纳入专户管理政府非税收入</w:t>
            </w:r>
          </w:p>
        </w:tc>
        <w:tc>
          <w:tcPr>
            <w:tcW w:w="342" w:type="pct"/>
            <w:gridSpan w:val="2"/>
            <w:vMerge w:val="restart"/>
            <w:tcBorders>
              <w:top w:val="nil"/>
              <w:left w:val="nil"/>
              <w:bottom w:val="nil"/>
              <w:right w:val="single" w:color="auto" w:sz="8" w:space="0"/>
            </w:tcBorders>
            <w:shd w:val="clear" w:color="auto" w:fill="FFFFFF"/>
            <w:tcMar>
              <w:left w:w="108" w:type="dxa"/>
              <w:right w:w="108" w:type="dxa"/>
            </w:tcMar>
            <w:vAlign w:val="center"/>
          </w:tcPr>
          <w:p w14:paraId="33F5C058">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基金支出安排</w:t>
            </w:r>
          </w:p>
        </w:tc>
        <w:tc>
          <w:tcPr>
            <w:tcW w:w="373" w:type="pct"/>
            <w:vMerge w:val="restart"/>
            <w:tcBorders>
              <w:top w:val="nil"/>
              <w:left w:val="nil"/>
              <w:bottom w:val="nil"/>
              <w:right w:val="single" w:color="auto" w:sz="8" w:space="0"/>
            </w:tcBorders>
            <w:shd w:val="clear" w:color="auto" w:fill="FFFFFF"/>
            <w:tcMar>
              <w:left w:w="108" w:type="dxa"/>
              <w:right w:w="108" w:type="dxa"/>
            </w:tcMar>
            <w:vAlign w:val="center"/>
          </w:tcPr>
          <w:p w14:paraId="0A2EC0C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上年结余</w:t>
            </w:r>
          </w:p>
        </w:tc>
      </w:tr>
      <w:tr w14:paraId="6D10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32" w:type="dxa"/>
            <w:left w:w="64" w:type="dxa"/>
            <w:bottom w:w="32" w:type="dxa"/>
            <w:right w:w="64" w:type="dxa"/>
          </w:tblCellMar>
        </w:tblPrEx>
        <w:trPr>
          <w:trHeight w:val="0" w:hRule="atLeast"/>
          <w:jc w:val="center"/>
        </w:trPr>
        <w:tc>
          <w:tcPr>
            <w:tcW w:w="1303" w:type="pct"/>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827D909">
            <w:pPr>
              <w:snapToGrid w:val="0"/>
              <w:jc w:val="both"/>
              <w:rPr>
                <w:rFonts w:hint="default" w:ascii="Times New Roman" w:hAnsi="Times New Roman" w:eastAsia="宋体" w:cs="Times New Roman"/>
                <w:i w:val="0"/>
                <w:iCs w:val="0"/>
                <w:caps w:val="0"/>
                <w:color w:val="333333"/>
                <w:spacing w:val="0"/>
                <w:sz w:val="16"/>
                <w:szCs w:val="16"/>
              </w:rPr>
            </w:pPr>
          </w:p>
        </w:tc>
        <w:tc>
          <w:tcPr>
            <w:tcW w:w="833" w:type="pct"/>
            <w:vMerge w:val="continue"/>
            <w:tcBorders>
              <w:top w:val="nil"/>
              <w:left w:val="nil"/>
              <w:bottom w:val="nil"/>
              <w:right w:val="single" w:color="auto" w:sz="8" w:space="0"/>
            </w:tcBorders>
            <w:shd w:val="clear" w:color="auto" w:fill="FFFFFF"/>
            <w:tcMar>
              <w:left w:w="108" w:type="dxa"/>
              <w:right w:w="108" w:type="dxa"/>
            </w:tcMar>
            <w:vAlign w:val="center"/>
          </w:tcPr>
          <w:p w14:paraId="0BDCD88F">
            <w:pPr>
              <w:snapToGrid w:val="0"/>
              <w:jc w:val="both"/>
              <w:rPr>
                <w:rFonts w:hint="default" w:ascii="Times New Roman" w:hAnsi="Times New Roman" w:eastAsia="宋体" w:cs="Times New Roman"/>
                <w:i w:val="0"/>
                <w:iCs w:val="0"/>
                <w:caps w:val="0"/>
                <w:color w:val="333333"/>
                <w:spacing w:val="0"/>
                <w:sz w:val="16"/>
                <w:szCs w:val="16"/>
              </w:rPr>
            </w:pPr>
          </w:p>
        </w:tc>
        <w:tc>
          <w:tcPr>
            <w:tcW w:w="411" w:type="pct"/>
            <w:tcBorders>
              <w:top w:val="single" w:color="DDDDDD" w:sz="6" w:space="0"/>
              <w:left w:val="single" w:color="DDDDDD" w:sz="6" w:space="0"/>
              <w:bottom w:val="single" w:color="DDDDDD" w:sz="6" w:space="0"/>
              <w:right w:val="single" w:color="DDDDDD" w:sz="6" w:space="0"/>
            </w:tcBorders>
            <w:shd w:val="clear" w:color="auto" w:fill="FFFFFF"/>
            <w:tcMar>
              <w:left w:w="108" w:type="dxa"/>
              <w:right w:w="108" w:type="dxa"/>
            </w:tcMar>
            <w:vAlign w:val="center"/>
          </w:tcPr>
          <w:p w14:paraId="5518EEE6">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小计</w:t>
            </w:r>
          </w:p>
        </w:tc>
        <w:tc>
          <w:tcPr>
            <w:tcW w:w="523" w:type="pct"/>
            <w:gridSpan w:val="2"/>
            <w:tcBorders>
              <w:top w:val="single" w:color="auto" w:sz="8" w:space="0"/>
              <w:left w:val="single" w:color="auto" w:sz="8" w:space="0"/>
              <w:bottom w:val="nil"/>
              <w:right w:val="single" w:color="auto" w:sz="8" w:space="0"/>
            </w:tcBorders>
            <w:shd w:val="clear" w:color="auto" w:fill="FFFFFF"/>
            <w:tcMar>
              <w:left w:w="108" w:type="dxa"/>
              <w:right w:w="108" w:type="dxa"/>
            </w:tcMar>
            <w:vAlign w:val="center"/>
          </w:tcPr>
          <w:p w14:paraId="4C52F4BD">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财政拨款安排</w:t>
            </w:r>
          </w:p>
        </w:tc>
        <w:tc>
          <w:tcPr>
            <w:tcW w:w="864" w:type="pct"/>
            <w:tcBorders>
              <w:top w:val="nil"/>
              <w:left w:val="nil"/>
              <w:bottom w:val="nil"/>
              <w:right w:val="single" w:color="auto" w:sz="8" w:space="0"/>
            </w:tcBorders>
            <w:shd w:val="clear" w:color="auto" w:fill="FFFFFF"/>
            <w:tcMar>
              <w:left w:w="108" w:type="dxa"/>
              <w:right w:w="108" w:type="dxa"/>
            </w:tcMar>
            <w:vAlign w:val="center"/>
          </w:tcPr>
          <w:p w14:paraId="19900C6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预算内政府非税收入</w:t>
            </w:r>
          </w:p>
        </w:tc>
        <w:tc>
          <w:tcPr>
            <w:tcW w:w="349" w:type="pct"/>
            <w:gridSpan w:val="3"/>
            <w:vMerge w:val="continue"/>
            <w:tcBorders>
              <w:top w:val="nil"/>
              <w:left w:val="nil"/>
              <w:bottom w:val="nil"/>
              <w:right w:val="single" w:color="auto" w:sz="8" w:space="0"/>
            </w:tcBorders>
            <w:shd w:val="clear" w:color="auto" w:fill="FFFFFF"/>
            <w:tcMar>
              <w:left w:w="108" w:type="dxa"/>
              <w:right w:w="108" w:type="dxa"/>
            </w:tcMar>
            <w:vAlign w:val="center"/>
          </w:tcPr>
          <w:p w14:paraId="3F2E597D">
            <w:pPr>
              <w:snapToGrid w:val="0"/>
              <w:jc w:val="both"/>
              <w:rPr>
                <w:rFonts w:hint="default" w:ascii="Times New Roman" w:hAnsi="Times New Roman" w:eastAsia="宋体" w:cs="Times New Roman"/>
                <w:i w:val="0"/>
                <w:iCs w:val="0"/>
                <w:caps w:val="0"/>
                <w:color w:val="333333"/>
                <w:spacing w:val="0"/>
                <w:sz w:val="16"/>
                <w:szCs w:val="16"/>
              </w:rPr>
            </w:pPr>
          </w:p>
        </w:tc>
        <w:tc>
          <w:tcPr>
            <w:tcW w:w="342" w:type="pct"/>
            <w:gridSpan w:val="2"/>
            <w:vMerge w:val="continue"/>
            <w:tcBorders>
              <w:top w:val="nil"/>
              <w:left w:val="nil"/>
              <w:bottom w:val="nil"/>
              <w:right w:val="single" w:color="auto" w:sz="8" w:space="0"/>
            </w:tcBorders>
            <w:shd w:val="clear" w:color="auto" w:fill="FFFFFF"/>
            <w:tcMar>
              <w:left w:w="108" w:type="dxa"/>
              <w:right w:w="108" w:type="dxa"/>
            </w:tcMar>
            <w:vAlign w:val="center"/>
          </w:tcPr>
          <w:p w14:paraId="7E666B86">
            <w:pPr>
              <w:snapToGrid w:val="0"/>
              <w:jc w:val="both"/>
              <w:rPr>
                <w:rFonts w:hint="default" w:ascii="Times New Roman" w:hAnsi="Times New Roman" w:eastAsia="宋体" w:cs="Times New Roman"/>
                <w:i w:val="0"/>
                <w:iCs w:val="0"/>
                <w:caps w:val="0"/>
                <w:color w:val="333333"/>
                <w:spacing w:val="0"/>
                <w:sz w:val="16"/>
                <w:szCs w:val="16"/>
              </w:rPr>
            </w:pPr>
          </w:p>
        </w:tc>
        <w:tc>
          <w:tcPr>
            <w:tcW w:w="373" w:type="pct"/>
            <w:vMerge w:val="continue"/>
            <w:tcBorders>
              <w:top w:val="nil"/>
              <w:left w:val="nil"/>
              <w:bottom w:val="nil"/>
              <w:right w:val="single" w:color="auto" w:sz="8" w:space="0"/>
            </w:tcBorders>
            <w:shd w:val="clear" w:color="auto" w:fill="FFFFFF"/>
            <w:tcMar>
              <w:left w:w="108" w:type="dxa"/>
              <w:right w:w="108" w:type="dxa"/>
            </w:tcMar>
            <w:vAlign w:val="center"/>
          </w:tcPr>
          <w:p w14:paraId="528FCE60">
            <w:pPr>
              <w:snapToGrid w:val="0"/>
              <w:jc w:val="both"/>
              <w:rPr>
                <w:rFonts w:hint="default" w:ascii="Times New Roman" w:hAnsi="Times New Roman" w:eastAsia="宋体" w:cs="Times New Roman"/>
                <w:i w:val="0"/>
                <w:iCs w:val="0"/>
                <w:caps w:val="0"/>
                <w:color w:val="333333"/>
                <w:spacing w:val="0"/>
                <w:sz w:val="16"/>
                <w:szCs w:val="16"/>
              </w:rPr>
            </w:pPr>
          </w:p>
        </w:tc>
      </w:tr>
      <w:tr w14:paraId="10BB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03" w:type="pct"/>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464F598">
            <w:pPr>
              <w:snapToGrid w:val="0"/>
              <w:jc w:val="both"/>
              <w:rPr>
                <w:rFonts w:hint="default" w:ascii="Times New Roman" w:hAnsi="Times New Roman" w:eastAsia="宋体" w:cs="Times New Roman"/>
                <w:i w:val="0"/>
                <w:iCs w:val="0"/>
                <w:caps w:val="0"/>
                <w:color w:val="333333"/>
                <w:spacing w:val="0"/>
                <w:sz w:val="16"/>
                <w:szCs w:val="16"/>
              </w:rPr>
            </w:pPr>
          </w:p>
        </w:tc>
        <w:tc>
          <w:tcPr>
            <w:tcW w:w="833" w:type="pct"/>
            <w:tcBorders>
              <w:top w:val="single" w:color="auto" w:sz="8" w:space="0"/>
              <w:left w:val="nil"/>
              <w:bottom w:val="single" w:color="auto" w:sz="8" w:space="0"/>
              <w:right w:val="nil"/>
            </w:tcBorders>
            <w:shd w:val="clear" w:color="auto" w:fill="FFFFFF"/>
            <w:noWrap/>
            <w:tcMar>
              <w:left w:w="108" w:type="dxa"/>
              <w:right w:w="108" w:type="dxa"/>
            </w:tcMar>
            <w:vAlign w:val="center"/>
          </w:tcPr>
          <w:p w14:paraId="18B8288C">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15.5</w:t>
            </w:r>
          </w:p>
        </w:tc>
        <w:tc>
          <w:tcPr>
            <w:tcW w:w="411" w:type="pct"/>
            <w:tcBorders>
              <w:top w:val="single" w:color="auto" w:sz="8" w:space="0"/>
              <w:left w:val="single" w:color="auto" w:sz="8" w:space="0"/>
              <w:bottom w:val="single" w:color="auto" w:sz="8" w:space="0"/>
              <w:right w:val="nil"/>
            </w:tcBorders>
            <w:shd w:val="clear" w:color="auto" w:fill="FFFFFF"/>
            <w:noWrap/>
            <w:tcMar>
              <w:left w:w="108" w:type="dxa"/>
              <w:right w:w="108" w:type="dxa"/>
            </w:tcMar>
            <w:vAlign w:val="center"/>
          </w:tcPr>
          <w:p w14:paraId="6E0D78E3">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15.5</w:t>
            </w:r>
          </w:p>
        </w:tc>
        <w:tc>
          <w:tcPr>
            <w:tcW w:w="523" w:type="pct"/>
            <w:gridSpan w:val="2"/>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14:paraId="5B437A32">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22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15.5</w:t>
            </w:r>
          </w:p>
        </w:tc>
        <w:tc>
          <w:tcPr>
            <w:tcW w:w="864" w:type="pct"/>
            <w:tcBorders>
              <w:top w:val="single" w:color="auto" w:sz="8" w:space="0"/>
              <w:left w:val="nil"/>
              <w:bottom w:val="single" w:color="auto" w:sz="8" w:space="0"/>
              <w:right w:val="nil"/>
            </w:tcBorders>
            <w:shd w:val="clear" w:color="auto" w:fill="FFFFFF"/>
            <w:noWrap/>
            <w:tcMar>
              <w:left w:w="108" w:type="dxa"/>
              <w:right w:w="108" w:type="dxa"/>
            </w:tcMar>
            <w:vAlign w:val="center"/>
          </w:tcPr>
          <w:p w14:paraId="5A1B952E">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0</w:t>
            </w:r>
          </w:p>
        </w:tc>
        <w:tc>
          <w:tcPr>
            <w:tcW w:w="349" w:type="pct"/>
            <w:gridSpan w:val="3"/>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14:paraId="33322BE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0</w:t>
            </w:r>
          </w:p>
        </w:tc>
        <w:tc>
          <w:tcPr>
            <w:tcW w:w="342" w:type="pct"/>
            <w:gridSpan w:val="2"/>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14:paraId="11B86E23">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0</w:t>
            </w:r>
          </w:p>
        </w:tc>
        <w:tc>
          <w:tcPr>
            <w:tcW w:w="373"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14:paraId="609982D0">
            <w:pPr>
              <w:pStyle w:val="7"/>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right"/>
              <w:rPr>
                <w:rFonts w:hint="default" w:ascii="Times New Roman" w:hAnsi="Times New Roman" w:eastAsia="等线" w:cs="Times New Roman"/>
                <w:sz w:val="13"/>
                <w:szCs w:val="13"/>
              </w:rPr>
            </w:pPr>
            <w:r>
              <w:rPr>
                <w:rFonts w:hint="default" w:ascii="Times New Roman" w:hAnsi="Times New Roman" w:eastAsia="宋体" w:cs="Times New Roman"/>
                <w:i w:val="0"/>
                <w:iCs w:val="0"/>
                <w:caps w:val="0"/>
                <w:color w:val="333333"/>
                <w:spacing w:val="0"/>
                <w:sz w:val="16"/>
                <w:szCs w:val="16"/>
                <w:bdr w:val="none" w:color="auto" w:sz="0" w:space="0"/>
              </w:rPr>
              <w:t>0</w:t>
            </w:r>
          </w:p>
        </w:tc>
      </w:tr>
    </w:tbl>
    <w:p w14:paraId="5CE29716">
      <w:pPr>
        <w:keepNext w:val="0"/>
        <w:keepLines w:val="0"/>
        <w:pageBreakBefore w:val="0"/>
        <w:widowControl w:val="0"/>
        <w:kinsoku/>
        <w:wordWrap/>
        <w:overflowPunct/>
        <w:topLinePunct w:val="0"/>
        <w:autoSpaceDE/>
        <w:autoSpaceDN/>
        <w:bidi w:val="0"/>
        <w:adjustRightInd w:val="0"/>
        <w:snapToGrid w:val="0"/>
        <w:spacing w:after="0" w:line="20" w:lineRule="exact"/>
        <w:ind w:firstLine="632" w:firstLineChars="200"/>
        <w:jc w:val="both"/>
        <w:textAlignment w:val="auto"/>
        <w:rPr>
          <w:rFonts w:hint="default" w:ascii="Times New Roman" w:hAnsi="Times New Roman" w:eastAsia="仿宋_GB2312" w:cs="Times New Roman"/>
          <w:sz w:val="32"/>
          <w:szCs w:val="32"/>
          <w:lang w:val="en-US" w:eastAsia="zh-CN"/>
          <w14:ligatures w14:val="none"/>
        </w:rPr>
      </w:pPr>
    </w:p>
    <w:sectPr>
      <w:footerReference r:id="rId3" w:type="default"/>
      <w:pgSz w:w="11906" w:h="16838"/>
      <w:pgMar w:top="2098" w:right="1531" w:bottom="1984" w:left="1531" w:header="851" w:footer="1587" w:gutter="0"/>
      <w:pgNumType w:fmt="numberInDash"/>
      <w:cols w:space="0" w:num="1"/>
      <w:rtlGutter w:val="0"/>
      <w:docGrid w:type="linesAndChars" w:linePitch="55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AC2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B76C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AB76C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DcxZDYwZjgxZWU4NTIxYzQ0YmQ2ZjU0ZDhmMTkifQ=="/>
  </w:docVars>
  <w:rsids>
    <w:rsidRoot w:val="6B40724F"/>
    <w:rsid w:val="003A1912"/>
    <w:rsid w:val="005176C0"/>
    <w:rsid w:val="00732078"/>
    <w:rsid w:val="01B75A76"/>
    <w:rsid w:val="02353E59"/>
    <w:rsid w:val="02873A6B"/>
    <w:rsid w:val="02936A01"/>
    <w:rsid w:val="03887BE8"/>
    <w:rsid w:val="04212517"/>
    <w:rsid w:val="04310280"/>
    <w:rsid w:val="04660C3D"/>
    <w:rsid w:val="048F18DC"/>
    <w:rsid w:val="058663AA"/>
    <w:rsid w:val="05C83F3D"/>
    <w:rsid w:val="06041480"/>
    <w:rsid w:val="06DF2215"/>
    <w:rsid w:val="075229E7"/>
    <w:rsid w:val="084F5179"/>
    <w:rsid w:val="086D6DAB"/>
    <w:rsid w:val="08EE1D26"/>
    <w:rsid w:val="0963712E"/>
    <w:rsid w:val="0A116B8A"/>
    <w:rsid w:val="0A282430"/>
    <w:rsid w:val="0A7113D6"/>
    <w:rsid w:val="0A84735B"/>
    <w:rsid w:val="0A886422"/>
    <w:rsid w:val="0B717CFB"/>
    <w:rsid w:val="0C9E047D"/>
    <w:rsid w:val="0D305194"/>
    <w:rsid w:val="0DC53EBC"/>
    <w:rsid w:val="0DFC36AD"/>
    <w:rsid w:val="0E2F4C84"/>
    <w:rsid w:val="0E2F5830"/>
    <w:rsid w:val="0E4C695B"/>
    <w:rsid w:val="0E8518F4"/>
    <w:rsid w:val="0FCB1019"/>
    <w:rsid w:val="10533619"/>
    <w:rsid w:val="10C81F6C"/>
    <w:rsid w:val="11803AAD"/>
    <w:rsid w:val="118246A4"/>
    <w:rsid w:val="123E4294"/>
    <w:rsid w:val="12EB352C"/>
    <w:rsid w:val="135B70C7"/>
    <w:rsid w:val="14551D69"/>
    <w:rsid w:val="147C72F5"/>
    <w:rsid w:val="14EB1DDB"/>
    <w:rsid w:val="154D3727"/>
    <w:rsid w:val="15D40386"/>
    <w:rsid w:val="161672D6"/>
    <w:rsid w:val="163BD8B6"/>
    <w:rsid w:val="164E4C81"/>
    <w:rsid w:val="166B3CC4"/>
    <w:rsid w:val="16D0666A"/>
    <w:rsid w:val="16E9404B"/>
    <w:rsid w:val="16EA2C3C"/>
    <w:rsid w:val="17501FD7"/>
    <w:rsid w:val="185B500A"/>
    <w:rsid w:val="18993DA4"/>
    <w:rsid w:val="195C14A3"/>
    <w:rsid w:val="19EF229C"/>
    <w:rsid w:val="1AD51DB2"/>
    <w:rsid w:val="1AEE0504"/>
    <w:rsid w:val="1B572F6A"/>
    <w:rsid w:val="1BDFD37F"/>
    <w:rsid w:val="1BF7418E"/>
    <w:rsid w:val="1C3F3FCE"/>
    <w:rsid w:val="1CCB6059"/>
    <w:rsid w:val="1CF2608F"/>
    <w:rsid w:val="1D1502E7"/>
    <w:rsid w:val="1D2E13A9"/>
    <w:rsid w:val="1D4B3033"/>
    <w:rsid w:val="1D7A45EE"/>
    <w:rsid w:val="1DF1457F"/>
    <w:rsid w:val="1E041EDF"/>
    <w:rsid w:val="1F1BD37A"/>
    <w:rsid w:val="1F252EBA"/>
    <w:rsid w:val="1F4C3966"/>
    <w:rsid w:val="1F8D6350"/>
    <w:rsid w:val="1F991166"/>
    <w:rsid w:val="1FBF278C"/>
    <w:rsid w:val="200911DD"/>
    <w:rsid w:val="20277BF5"/>
    <w:rsid w:val="20C32007"/>
    <w:rsid w:val="20EE6F63"/>
    <w:rsid w:val="21290155"/>
    <w:rsid w:val="217A6DBB"/>
    <w:rsid w:val="218F439E"/>
    <w:rsid w:val="21CA1C53"/>
    <w:rsid w:val="2231668F"/>
    <w:rsid w:val="235C0A1E"/>
    <w:rsid w:val="23E67DC1"/>
    <w:rsid w:val="246C2AC9"/>
    <w:rsid w:val="25205A7B"/>
    <w:rsid w:val="25BE04C4"/>
    <w:rsid w:val="26097673"/>
    <w:rsid w:val="27182BE3"/>
    <w:rsid w:val="27712818"/>
    <w:rsid w:val="280E42B1"/>
    <w:rsid w:val="28893FC1"/>
    <w:rsid w:val="290556B4"/>
    <w:rsid w:val="29092DB2"/>
    <w:rsid w:val="291C72AD"/>
    <w:rsid w:val="29890093"/>
    <w:rsid w:val="2A1060BE"/>
    <w:rsid w:val="2A22250D"/>
    <w:rsid w:val="2B502629"/>
    <w:rsid w:val="2B522706"/>
    <w:rsid w:val="2BA016C4"/>
    <w:rsid w:val="2C5F3D95"/>
    <w:rsid w:val="2D1265F1"/>
    <w:rsid w:val="2D7C3BEA"/>
    <w:rsid w:val="2D9F1BFF"/>
    <w:rsid w:val="2E9E142E"/>
    <w:rsid w:val="2FB5DEF8"/>
    <w:rsid w:val="2FDE0A0C"/>
    <w:rsid w:val="2FE859A0"/>
    <w:rsid w:val="300115A8"/>
    <w:rsid w:val="30196061"/>
    <w:rsid w:val="3032632A"/>
    <w:rsid w:val="30731155"/>
    <w:rsid w:val="30E107B4"/>
    <w:rsid w:val="32655415"/>
    <w:rsid w:val="328A327E"/>
    <w:rsid w:val="33485D6A"/>
    <w:rsid w:val="33FC1E99"/>
    <w:rsid w:val="342D3033"/>
    <w:rsid w:val="34B57CD2"/>
    <w:rsid w:val="34D04DC8"/>
    <w:rsid w:val="350835E1"/>
    <w:rsid w:val="352D221A"/>
    <w:rsid w:val="352E5F92"/>
    <w:rsid w:val="356B2107"/>
    <w:rsid w:val="35B63FDF"/>
    <w:rsid w:val="35FC5BDB"/>
    <w:rsid w:val="360C7B55"/>
    <w:rsid w:val="36B224AA"/>
    <w:rsid w:val="376F3581"/>
    <w:rsid w:val="37AC0BCE"/>
    <w:rsid w:val="37EB1F18"/>
    <w:rsid w:val="38A92684"/>
    <w:rsid w:val="39BA7DF4"/>
    <w:rsid w:val="39EC462B"/>
    <w:rsid w:val="3A865F28"/>
    <w:rsid w:val="3B20012B"/>
    <w:rsid w:val="3BC36AA2"/>
    <w:rsid w:val="3BFE44C5"/>
    <w:rsid w:val="3C5A081B"/>
    <w:rsid w:val="3D202664"/>
    <w:rsid w:val="3D7F55DD"/>
    <w:rsid w:val="3DFF1679"/>
    <w:rsid w:val="3E174CFF"/>
    <w:rsid w:val="3E313140"/>
    <w:rsid w:val="3EC55271"/>
    <w:rsid w:val="3EE27B30"/>
    <w:rsid w:val="3FB11C9A"/>
    <w:rsid w:val="402E6E46"/>
    <w:rsid w:val="405A5E8D"/>
    <w:rsid w:val="40754A09"/>
    <w:rsid w:val="40C906E3"/>
    <w:rsid w:val="41197171"/>
    <w:rsid w:val="414331EB"/>
    <w:rsid w:val="41C13F87"/>
    <w:rsid w:val="41F06AA9"/>
    <w:rsid w:val="429E5FEC"/>
    <w:rsid w:val="43D85A47"/>
    <w:rsid w:val="44112D07"/>
    <w:rsid w:val="44536AE7"/>
    <w:rsid w:val="46536A54"/>
    <w:rsid w:val="46A82DEF"/>
    <w:rsid w:val="475E0492"/>
    <w:rsid w:val="47DFBD17"/>
    <w:rsid w:val="48435459"/>
    <w:rsid w:val="48543B8F"/>
    <w:rsid w:val="485567E2"/>
    <w:rsid w:val="4AA559F3"/>
    <w:rsid w:val="4B1F31A0"/>
    <w:rsid w:val="4B3C24D2"/>
    <w:rsid w:val="4B6777AB"/>
    <w:rsid w:val="4BB048B8"/>
    <w:rsid w:val="4BDD23A5"/>
    <w:rsid w:val="4C2A02B9"/>
    <w:rsid w:val="4CEA47C9"/>
    <w:rsid w:val="4D1E03CF"/>
    <w:rsid w:val="4DC130D8"/>
    <w:rsid w:val="4EFF62AA"/>
    <w:rsid w:val="4F0666F6"/>
    <w:rsid w:val="4F7C07FB"/>
    <w:rsid w:val="4FDE78EB"/>
    <w:rsid w:val="4FE77648"/>
    <w:rsid w:val="506B7C43"/>
    <w:rsid w:val="509A51CE"/>
    <w:rsid w:val="51383FC9"/>
    <w:rsid w:val="51D51818"/>
    <w:rsid w:val="51DD43C4"/>
    <w:rsid w:val="52271947"/>
    <w:rsid w:val="526266EE"/>
    <w:rsid w:val="526D37FE"/>
    <w:rsid w:val="531211EB"/>
    <w:rsid w:val="53123DCC"/>
    <w:rsid w:val="536A107B"/>
    <w:rsid w:val="53971561"/>
    <w:rsid w:val="54334D28"/>
    <w:rsid w:val="548E28AE"/>
    <w:rsid w:val="54B576DE"/>
    <w:rsid w:val="54FA1A64"/>
    <w:rsid w:val="55652EB2"/>
    <w:rsid w:val="55761329"/>
    <w:rsid w:val="55BA3A04"/>
    <w:rsid w:val="55C46E2E"/>
    <w:rsid w:val="564B3E56"/>
    <w:rsid w:val="571E77BD"/>
    <w:rsid w:val="577F39F7"/>
    <w:rsid w:val="57AA2DFF"/>
    <w:rsid w:val="57F40CD0"/>
    <w:rsid w:val="58492617"/>
    <w:rsid w:val="586C172A"/>
    <w:rsid w:val="58B02697"/>
    <w:rsid w:val="59126EAD"/>
    <w:rsid w:val="593B4656"/>
    <w:rsid w:val="59995821"/>
    <w:rsid w:val="5A557C1F"/>
    <w:rsid w:val="5A6C6716"/>
    <w:rsid w:val="5BA04C44"/>
    <w:rsid w:val="5BDE751B"/>
    <w:rsid w:val="5CB564CD"/>
    <w:rsid w:val="5CF9132B"/>
    <w:rsid w:val="5D75FD0A"/>
    <w:rsid w:val="5D83481E"/>
    <w:rsid w:val="5D8B5480"/>
    <w:rsid w:val="5DEF5A0F"/>
    <w:rsid w:val="5EB9227F"/>
    <w:rsid w:val="5F076D88"/>
    <w:rsid w:val="5F7AAECC"/>
    <w:rsid w:val="5FB7A3F3"/>
    <w:rsid w:val="5FD2383A"/>
    <w:rsid w:val="5FF54B97"/>
    <w:rsid w:val="60597AF2"/>
    <w:rsid w:val="6094289E"/>
    <w:rsid w:val="613C71BD"/>
    <w:rsid w:val="614907C7"/>
    <w:rsid w:val="619F774C"/>
    <w:rsid w:val="61D54F1C"/>
    <w:rsid w:val="621719D8"/>
    <w:rsid w:val="622639C9"/>
    <w:rsid w:val="633B042D"/>
    <w:rsid w:val="63500CFE"/>
    <w:rsid w:val="63D80CF3"/>
    <w:rsid w:val="64BB664B"/>
    <w:rsid w:val="64C06DCA"/>
    <w:rsid w:val="64FF6867"/>
    <w:rsid w:val="6545060B"/>
    <w:rsid w:val="658217D9"/>
    <w:rsid w:val="66D86074"/>
    <w:rsid w:val="66FF6CBF"/>
    <w:rsid w:val="67165294"/>
    <w:rsid w:val="67655F33"/>
    <w:rsid w:val="680B58AB"/>
    <w:rsid w:val="68A24540"/>
    <w:rsid w:val="68AA7102"/>
    <w:rsid w:val="68F1591B"/>
    <w:rsid w:val="690A6E97"/>
    <w:rsid w:val="69B8522E"/>
    <w:rsid w:val="69C75A92"/>
    <w:rsid w:val="69FD90EE"/>
    <w:rsid w:val="6AAF0A00"/>
    <w:rsid w:val="6B40724F"/>
    <w:rsid w:val="6BBB33D4"/>
    <w:rsid w:val="6BBFD7B2"/>
    <w:rsid w:val="6BCB6B4F"/>
    <w:rsid w:val="6BD41AD7"/>
    <w:rsid w:val="6BE37E48"/>
    <w:rsid w:val="6CFD6104"/>
    <w:rsid w:val="6DE15A53"/>
    <w:rsid w:val="6E110104"/>
    <w:rsid w:val="6E3F08CD"/>
    <w:rsid w:val="6E6540D9"/>
    <w:rsid w:val="6F255735"/>
    <w:rsid w:val="6FF375E1"/>
    <w:rsid w:val="6FF50CA5"/>
    <w:rsid w:val="710C7555"/>
    <w:rsid w:val="713A1351"/>
    <w:rsid w:val="71456464"/>
    <w:rsid w:val="71AE4CC2"/>
    <w:rsid w:val="71B1044F"/>
    <w:rsid w:val="71C8684B"/>
    <w:rsid w:val="71CB35CB"/>
    <w:rsid w:val="71CBAA19"/>
    <w:rsid w:val="71EA67C2"/>
    <w:rsid w:val="71F15DA2"/>
    <w:rsid w:val="72373B38"/>
    <w:rsid w:val="72A042BA"/>
    <w:rsid w:val="72A15E02"/>
    <w:rsid w:val="72FDC8CC"/>
    <w:rsid w:val="733A1B77"/>
    <w:rsid w:val="73DA184B"/>
    <w:rsid w:val="73F640D1"/>
    <w:rsid w:val="73FF220B"/>
    <w:rsid w:val="74A17AC5"/>
    <w:rsid w:val="757D16FB"/>
    <w:rsid w:val="757FE066"/>
    <w:rsid w:val="758807CB"/>
    <w:rsid w:val="75B54CE0"/>
    <w:rsid w:val="75B7571E"/>
    <w:rsid w:val="76B276EB"/>
    <w:rsid w:val="76E7394B"/>
    <w:rsid w:val="770A5210"/>
    <w:rsid w:val="77CE623E"/>
    <w:rsid w:val="77F7FF1C"/>
    <w:rsid w:val="784071C7"/>
    <w:rsid w:val="78486CF0"/>
    <w:rsid w:val="78D55788"/>
    <w:rsid w:val="792D468A"/>
    <w:rsid w:val="793022A4"/>
    <w:rsid w:val="79F5128C"/>
    <w:rsid w:val="7A3525A4"/>
    <w:rsid w:val="7A890F22"/>
    <w:rsid w:val="7A990BD7"/>
    <w:rsid w:val="7A9B4AFD"/>
    <w:rsid w:val="7B1E74DC"/>
    <w:rsid w:val="7BF02C06"/>
    <w:rsid w:val="7BFB7CB5"/>
    <w:rsid w:val="7BFDE3BB"/>
    <w:rsid w:val="7C02295A"/>
    <w:rsid w:val="7C0F3448"/>
    <w:rsid w:val="7CEF35A8"/>
    <w:rsid w:val="7D3426D0"/>
    <w:rsid w:val="7D466F58"/>
    <w:rsid w:val="7DCF74D3"/>
    <w:rsid w:val="7E2A2B28"/>
    <w:rsid w:val="7EB9D1CB"/>
    <w:rsid w:val="7EC3139E"/>
    <w:rsid w:val="7ED06D3F"/>
    <w:rsid w:val="7EFFE127"/>
    <w:rsid w:val="7F17BCCF"/>
    <w:rsid w:val="7FDC11EF"/>
    <w:rsid w:val="7FE3A962"/>
    <w:rsid w:val="7FFF1A22"/>
    <w:rsid w:val="7FFFE054"/>
    <w:rsid w:val="8CE725EA"/>
    <w:rsid w:val="8FCC1061"/>
    <w:rsid w:val="9B72DF57"/>
    <w:rsid w:val="AEFE6EC7"/>
    <w:rsid w:val="B36FF9BF"/>
    <w:rsid w:val="BE4FA360"/>
    <w:rsid w:val="BFFB12B1"/>
    <w:rsid w:val="C57EE135"/>
    <w:rsid w:val="C7EFD917"/>
    <w:rsid w:val="D6F14075"/>
    <w:rsid w:val="D76F0E94"/>
    <w:rsid w:val="DB7B0138"/>
    <w:rsid w:val="DD3E4381"/>
    <w:rsid w:val="E39E090E"/>
    <w:rsid w:val="EBD74F64"/>
    <w:rsid w:val="EDEEE110"/>
    <w:rsid w:val="EDFD7829"/>
    <w:rsid w:val="EF5E3485"/>
    <w:rsid w:val="F77F6BCE"/>
    <w:rsid w:val="F78D1368"/>
    <w:rsid w:val="F7DBF641"/>
    <w:rsid w:val="F7F39D69"/>
    <w:rsid w:val="FB85C68B"/>
    <w:rsid w:val="FB9FDDD4"/>
    <w:rsid w:val="FBAFE986"/>
    <w:rsid w:val="FDD77D46"/>
    <w:rsid w:val="FEDF22C9"/>
    <w:rsid w:val="FEFD7958"/>
    <w:rsid w:val="FEFF6C8D"/>
    <w:rsid w:val="FF5FE3A3"/>
    <w:rsid w:val="FF674CDB"/>
    <w:rsid w:val="FFDF189F"/>
    <w:rsid w:val="FFDF4623"/>
    <w:rsid w:val="FFE677FD"/>
    <w:rsid w:val="FFEF8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
      <w:kern w:val="2"/>
      <w:sz w:val="32"/>
      <w:szCs w:val="32"/>
      <w:lang w:val="en-US" w:eastAsia="zh-CN"/>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Cambria"/>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napToGrid w:val="0"/>
      <w:spacing w:line="579" w:lineRule="exact"/>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664</Words>
  <Characters>701</Characters>
  <Lines>0</Lines>
  <Paragraphs>0</Paragraphs>
  <TotalTime>3</TotalTime>
  <ScaleCrop>false</ScaleCrop>
  <LinksUpToDate>false</LinksUpToDate>
  <CharactersWithSpaces>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2023-08-26T17:38:00Z</dcterms:created>
  <dc:creator>Administrator</dc:creator>
  <cp:lastModifiedBy>swj</cp:lastModifiedBy>
  <cp:lastPrinted>2024-08-17T00:09:00Z</cp:lastPrinted>
  <dcterms:modified xsi:type="dcterms:W3CDTF">2025-09-18T07:05:34Z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9B5E8A13B93D443E81A7EC5E82FCB0E6_13</vt:lpwstr>
  </property>
  <property fmtid="{D5CDD505-2E9C-101B-9397-08002B2CF9AE}" pid="4" name="KSOTemplateDocerSaveRecord">
    <vt:lpwstr>eyJoZGlkIjoiMzlhODcxZDYwZjgxZWU4NTIxYzQ0YmQ2ZjU0ZDhmMTkiLCJ1c2VySWQiOiIyNzgwODQzOTIifQ==</vt:lpwstr>
  </property>
</Properties>
</file>