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D6A21">
      <w:pPr>
        <w:pStyle w:val="28"/>
        <w:keepNext w:val="0"/>
        <w:keepLines w:val="0"/>
        <w:pageBreakBefore w:val="0"/>
        <w:widowControl/>
        <w:kinsoku/>
        <w:wordWrap w:val="0"/>
        <w:overflowPunct/>
        <w:topLinePunct/>
        <w:autoSpaceDE/>
        <w:autoSpaceDN/>
        <w:bidi w:val="0"/>
        <w:adjustRightInd/>
        <w:snapToGrid/>
        <w:spacing w:before="0" w:beforeAutospacing="0" w:after="0" w:afterAutospacing="0" w:line="360" w:lineRule="auto"/>
        <w:jc w:val="center"/>
        <w:textAlignment w:val="auto"/>
        <w:outlineLvl w:val="0"/>
        <w:rPr>
          <w:rFonts w:ascii="黑体" w:hAnsi="黑体" w:eastAsia="黑体" w:cs="Times New Roman"/>
          <w:snapToGrid w:val="0"/>
          <w:sz w:val="30"/>
          <w:szCs w:val="30"/>
        </w:rPr>
      </w:pPr>
      <w:bookmarkStart w:id="0" w:name="_Toc959"/>
      <w:r>
        <w:rPr>
          <w:rFonts w:hint="eastAsia" w:ascii="黑体" w:hAnsi="黑体" w:eastAsia="黑体" w:cs="黑体"/>
          <w:snapToGrid w:val="0"/>
          <w:sz w:val="30"/>
          <w:szCs w:val="30"/>
        </w:rPr>
        <w:t>一、建设项目基本情况</w:t>
      </w:r>
      <w:bookmarkEnd w:id="0"/>
    </w:p>
    <w:tbl>
      <w:tblPr>
        <w:tblStyle w:val="30"/>
        <w:tblW w:w="8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84"/>
        <w:gridCol w:w="1875"/>
        <w:gridCol w:w="1766"/>
        <w:gridCol w:w="3502"/>
      </w:tblGrid>
      <w:tr w14:paraId="3A9BB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Borders>
              <w:top w:val="single" w:color="auto" w:sz="8" w:space="0"/>
            </w:tcBorders>
            <w:tcMar>
              <w:top w:w="16" w:type="dxa"/>
              <w:left w:w="16" w:type="dxa"/>
              <w:right w:w="16" w:type="dxa"/>
            </w:tcMar>
            <w:vAlign w:val="center"/>
          </w:tcPr>
          <w:p w14:paraId="420B7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建设项目名称</w:t>
            </w:r>
          </w:p>
        </w:tc>
        <w:tc>
          <w:tcPr>
            <w:tcW w:w="6916" w:type="dxa"/>
            <w:gridSpan w:val="3"/>
            <w:tcBorders>
              <w:top w:val="single" w:color="auto" w:sz="8" w:space="0"/>
            </w:tcBorders>
            <w:vAlign w:val="center"/>
          </w:tcPr>
          <w:p w14:paraId="474251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Times New Roman"/>
                <w:b w:val="0"/>
                <w:bCs/>
                <w:kern w:val="2"/>
                <w:sz w:val="24"/>
                <w:szCs w:val="28"/>
                <w:lang w:val="en-US" w:eastAsia="zh-CN" w:bidi="ar-SA"/>
              </w:rPr>
              <w:t>高硼硅新材料产业园项目</w:t>
            </w:r>
          </w:p>
        </w:tc>
      </w:tr>
      <w:tr w14:paraId="4E4890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1882B0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项目代码</w:t>
            </w:r>
          </w:p>
        </w:tc>
        <w:tc>
          <w:tcPr>
            <w:tcW w:w="6916" w:type="dxa"/>
            <w:gridSpan w:val="3"/>
            <w:vAlign w:val="center"/>
          </w:tcPr>
          <w:p w14:paraId="712ED2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宋体"/>
                <w:sz w:val="24"/>
                <w:szCs w:val="24"/>
                <w:lang w:val="en-US" w:eastAsia="zh-CN"/>
              </w:rPr>
            </w:pPr>
            <w:r>
              <w:rPr>
                <w:rFonts w:hint="default" w:eastAsia="宋体"/>
                <w:sz w:val="24"/>
                <w:szCs w:val="24"/>
                <w:lang w:val="en-US" w:eastAsia="zh-CN"/>
              </w:rPr>
              <w:t>2502-340604-04-05-418170</w:t>
            </w:r>
          </w:p>
        </w:tc>
      </w:tr>
      <w:tr w14:paraId="0F324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014FE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建设单位联系人</w:t>
            </w:r>
          </w:p>
        </w:tc>
        <w:tc>
          <w:tcPr>
            <w:tcW w:w="1815" w:type="dxa"/>
            <w:vAlign w:val="center"/>
          </w:tcPr>
          <w:p w14:paraId="5AE33C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lang w:val="en-US" w:eastAsia="zh-CN"/>
              </w:rPr>
            </w:pPr>
            <w:r>
              <w:rPr>
                <w:rFonts w:hint="eastAsia"/>
                <w:sz w:val="24"/>
                <w:szCs w:val="24"/>
                <w:lang w:val="en-US" w:eastAsia="zh-CN"/>
              </w:rPr>
              <w:t>*</w:t>
            </w:r>
          </w:p>
        </w:tc>
        <w:tc>
          <w:tcPr>
            <w:tcW w:w="1710" w:type="dxa"/>
            <w:vAlign w:val="center"/>
          </w:tcPr>
          <w:p w14:paraId="05130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rPr>
            </w:pPr>
            <w:r>
              <w:rPr>
                <w:rFonts w:hint="eastAsia"/>
                <w:sz w:val="24"/>
                <w:szCs w:val="24"/>
                <w:lang w:val="en-US" w:eastAsia="zh-CN"/>
              </w:rPr>
              <w:t>联系方式</w:t>
            </w:r>
          </w:p>
        </w:tc>
        <w:tc>
          <w:tcPr>
            <w:tcW w:w="3391" w:type="dxa"/>
            <w:vAlign w:val="center"/>
          </w:tcPr>
          <w:p w14:paraId="2D147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eastAsia="宋体"/>
                <w:color w:val="0000FF"/>
                <w:sz w:val="24"/>
                <w:szCs w:val="24"/>
                <w:lang w:val="en-US" w:eastAsia="zh-CN"/>
              </w:rPr>
            </w:pPr>
            <w:r>
              <w:rPr>
                <w:rFonts w:hint="eastAsia"/>
                <w:color w:val="auto"/>
                <w:sz w:val="24"/>
                <w:szCs w:val="24"/>
                <w:lang w:val="en-US" w:eastAsia="zh-CN"/>
              </w:rPr>
              <w:t>*</w:t>
            </w:r>
          </w:p>
        </w:tc>
      </w:tr>
      <w:tr w14:paraId="2265F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61C54C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建设地点</w:t>
            </w:r>
          </w:p>
        </w:tc>
        <w:tc>
          <w:tcPr>
            <w:tcW w:w="6916" w:type="dxa"/>
            <w:gridSpan w:val="3"/>
            <w:vAlign w:val="center"/>
          </w:tcPr>
          <w:p w14:paraId="7A817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宋体"/>
                <w:sz w:val="24"/>
                <w:szCs w:val="24"/>
                <w:lang w:val="en-US" w:eastAsia="zh-CN"/>
              </w:rPr>
            </w:pPr>
            <w:r>
              <w:rPr>
                <w:rFonts w:hint="default" w:eastAsia="宋体"/>
                <w:sz w:val="24"/>
                <w:szCs w:val="24"/>
                <w:lang w:val="en-US" w:eastAsia="zh-CN"/>
              </w:rPr>
              <w:t>淮北市烈山区经济开发区青龙山产业园</w:t>
            </w:r>
          </w:p>
        </w:tc>
      </w:tr>
      <w:tr w14:paraId="6EE4B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69D62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地理坐标</w:t>
            </w:r>
          </w:p>
        </w:tc>
        <w:tc>
          <w:tcPr>
            <w:tcW w:w="6916" w:type="dxa"/>
            <w:gridSpan w:val="3"/>
            <w:vAlign w:val="center"/>
          </w:tcPr>
          <w:p w14:paraId="586CC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eastAsia="宋体"/>
                <w:sz w:val="24"/>
                <w:szCs w:val="24"/>
                <w:lang w:eastAsia="zh-CN"/>
              </w:rPr>
            </w:pPr>
            <w:r>
              <w:rPr>
                <w:rFonts w:hint="eastAsia" w:cs="宋体"/>
                <w:sz w:val="24"/>
                <w:szCs w:val="24"/>
                <w:shd w:val="clear"/>
                <w:lang w:val="en-US" w:eastAsia="zh-CN"/>
              </w:rPr>
              <w:t>*</w:t>
            </w:r>
          </w:p>
        </w:tc>
      </w:tr>
      <w:tr w14:paraId="1E6A81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71217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国民经济</w:t>
            </w:r>
          </w:p>
          <w:p w14:paraId="368E8E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行业类别</w:t>
            </w:r>
          </w:p>
        </w:tc>
        <w:tc>
          <w:tcPr>
            <w:tcW w:w="1815" w:type="dxa"/>
            <w:vAlign w:val="center"/>
          </w:tcPr>
          <w:p w14:paraId="23DFC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0000FF"/>
                <w:sz w:val="24"/>
                <w:szCs w:val="24"/>
              </w:rPr>
            </w:pPr>
            <w:r>
              <w:rPr>
                <w:rFonts w:hint="default"/>
                <w:color w:val="auto"/>
                <w:sz w:val="24"/>
                <w:szCs w:val="24"/>
              </w:rPr>
              <w:t>C3</w:t>
            </w:r>
            <w:r>
              <w:rPr>
                <w:rFonts w:hint="eastAsia"/>
                <w:color w:val="auto"/>
                <w:sz w:val="24"/>
                <w:szCs w:val="24"/>
                <w:lang w:val="en-US" w:eastAsia="zh-CN"/>
              </w:rPr>
              <w:t>042特种玻璃制造、C3051技术玻璃制品制造、C3053玻璃仪器制造、C3054日用玻璃制品制造</w:t>
            </w:r>
          </w:p>
        </w:tc>
        <w:tc>
          <w:tcPr>
            <w:tcW w:w="1710" w:type="dxa"/>
            <w:vAlign w:val="center"/>
          </w:tcPr>
          <w:p w14:paraId="77DB3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lang w:val="en-US" w:eastAsia="zh-CN"/>
              </w:rPr>
            </w:pPr>
            <w:bookmarkStart w:id="1" w:name="_Hlk49843745"/>
            <w:r>
              <w:rPr>
                <w:rFonts w:hint="eastAsia"/>
                <w:color w:val="auto"/>
                <w:sz w:val="24"/>
                <w:szCs w:val="24"/>
                <w:lang w:val="en-US" w:eastAsia="zh-CN"/>
              </w:rPr>
              <w:t>建设项目</w:t>
            </w:r>
          </w:p>
          <w:p w14:paraId="0B0186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lang w:val="en-US" w:eastAsia="zh-CN"/>
              </w:rPr>
            </w:pPr>
            <w:r>
              <w:rPr>
                <w:rFonts w:hint="eastAsia"/>
                <w:color w:val="auto"/>
                <w:sz w:val="24"/>
                <w:szCs w:val="24"/>
                <w:lang w:val="en-US" w:eastAsia="zh-CN"/>
              </w:rPr>
              <w:t>行业类别</w:t>
            </w:r>
            <w:bookmarkEnd w:id="1"/>
          </w:p>
        </w:tc>
        <w:tc>
          <w:tcPr>
            <w:tcW w:w="3391" w:type="dxa"/>
            <w:vAlign w:val="center"/>
          </w:tcPr>
          <w:p w14:paraId="6C2A2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eastAsia="宋体"/>
                <w:color w:val="auto"/>
                <w:sz w:val="24"/>
                <w:szCs w:val="24"/>
                <w:lang w:val="en-US" w:eastAsia="zh-CN"/>
              </w:rPr>
            </w:pPr>
            <w:r>
              <w:rPr>
                <w:rFonts w:hint="eastAsia"/>
                <w:sz w:val="24"/>
                <w:lang w:val="en-US" w:eastAsia="zh-CN"/>
              </w:rPr>
              <w:t>二十七、非金属矿物制品业30</w:t>
            </w:r>
            <w:r>
              <w:rPr>
                <w:rFonts w:hint="default"/>
                <w:sz w:val="24"/>
              </w:rPr>
              <w:t>中</w:t>
            </w:r>
            <w:r>
              <w:rPr>
                <w:rFonts w:hint="eastAsia"/>
                <w:sz w:val="24"/>
                <w:lang w:eastAsia="zh-CN"/>
              </w:rPr>
              <w:t>“</w:t>
            </w:r>
            <w:r>
              <w:rPr>
                <w:rFonts w:hint="eastAsia"/>
                <w:sz w:val="24"/>
                <w:lang w:val="en-US" w:eastAsia="zh-CN"/>
              </w:rPr>
              <w:t>57玻璃制造 304</w:t>
            </w:r>
            <w:r>
              <w:rPr>
                <w:rFonts w:hint="eastAsia"/>
                <w:sz w:val="24"/>
                <w:lang w:eastAsia="zh-CN"/>
              </w:rPr>
              <w:t>中“</w:t>
            </w:r>
            <w:r>
              <w:rPr>
                <w:rFonts w:hint="eastAsia"/>
                <w:sz w:val="24"/>
                <w:lang w:val="en-US" w:eastAsia="zh-CN"/>
              </w:rPr>
              <w:t>特种玻璃制造</w:t>
            </w:r>
            <w:r>
              <w:rPr>
                <w:rFonts w:hint="eastAsia"/>
                <w:sz w:val="24"/>
                <w:lang w:eastAsia="zh-CN"/>
              </w:rPr>
              <w:t>”；</w:t>
            </w:r>
            <w:r>
              <w:rPr>
                <w:rFonts w:hint="eastAsia"/>
                <w:sz w:val="24"/>
                <w:lang w:val="en-US" w:eastAsia="zh-CN"/>
              </w:rPr>
              <w:t>玻璃制品制造 305</w:t>
            </w:r>
            <w:r>
              <w:rPr>
                <w:rFonts w:hint="eastAsia"/>
                <w:sz w:val="24"/>
                <w:lang w:eastAsia="zh-CN"/>
              </w:rPr>
              <w:t>中“</w:t>
            </w:r>
            <w:r>
              <w:rPr>
                <w:rFonts w:hint="eastAsia"/>
                <w:sz w:val="24"/>
                <w:lang w:val="en-US" w:eastAsia="zh-CN"/>
              </w:rPr>
              <w:t>玻璃制品制造</w:t>
            </w:r>
            <w:r>
              <w:rPr>
                <w:rFonts w:hint="eastAsia"/>
                <w:sz w:val="24"/>
                <w:lang w:eastAsia="zh-CN"/>
              </w:rPr>
              <w:t>”</w:t>
            </w:r>
          </w:p>
        </w:tc>
      </w:tr>
      <w:tr w14:paraId="26C498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71D90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建设性质</w:t>
            </w:r>
          </w:p>
        </w:tc>
        <w:tc>
          <w:tcPr>
            <w:tcW w:w="1815" w:type="dxa"/>
            <w:vAlign w:val="center"/>
          </w:tcPr>
          <w:p w14:paraId="402AA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eastAsia"/>
                <w:sz w:val="24"/>
                <w:szCs w:val="24"/>
                <w:lang w:eastAsia="zh-CN"/>
              </w:rPr>
              <w:t>☑</w:t>
            </w:r>
            <w:r>
              <w:rPr>
                <w:rFonts w:hint="eastAsia" w:cs="宋体"/>
                <w:sz w:val="24"/>
                <w:szCs w:val="24"/>
              </w:rPr>
              <w:t>新建（迁建）</w:t>
            </w:r>
          </w:p>
          <w:p w14:paraId="40D46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default"/>
                <w:sz w:val="24"/>
                <w:szCs w:val="24"/>
              </w:rPr>
              <w:t>□</w:t>
            </w:r>
            <w:r>
              <w:rPr>
                <w:rFonts w:hint="eastAsia" w:cs="宋体"/>
                <w:sz w:val="24"/>
                <w:szCs w:val="24"/>
              </w:rPr>
              <w:t>改建</w:t>
            </w:r>
          </w:p>
          <w:p w14:paraId="3C8F5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default"/>
                <w:sz w:val="24"/>
                <w:szCs w:val="24"/>
              </w:rPr>
              <w:t>□</w:t>
            </w:r>
            <w:r>
              <w:rPr>
                <w:rFonts w:hint="eastAsia" w:cs="宋体"/>
                <w:sz w:val="24"/>
                <w:szCs w:val="24"/>
              </w:rPr>
              <w:t>扩建</w:t>
            </w:r>
          </w:p>
          <w:p w14:paraId="177463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default"/>
                <w:sz w:val="24"/>
                <w:szCs w:val="24"/>
              </w:rPr>
              <w:t>□</w:t>
            </w:r>
            <w:r>
              <w:rPr>
                <w:rFonts w:hint="eastAsia" w:cs="宋体"/>
                <w:sz w:val="24"/>
                <w:szCs w:val="24"/>
              </w:rPr>
              <w:t>技术改造</w:t>
            </w:r>
          </w:p>
        </w:tc>
        <w:tc>
          <w:tcPr>
            <w:tcW w:w="1710" w:type="dxa"/>
            <w:vAlign w:val="center"/>
          </w:tcPr>
          <w:p w14:paraId="66C4C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建设项目</w:t>
            </w:r>
          </w:p>
          <w:p w14:paraId="584CB8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申报情形</w:t>
            </w:r>
          </w:p>
        </w:tc>
        <w:tc>
          <w:tcPr>
            <w:tcW w:w="3391" w:type="dxa"/>
            <w:vAlign w:val="center"/>
          </w:tcPr>
          <w:p w14:paraId="1B8EA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eastAsia" w:ascii="MS Mincho" w:hAnsi="MS Mincho" w:eastAsia="MS Mincho" w:cs="MS Mincho"/>
                <w:sz w:val="24"/>
                <w:szCs w:val="24"/>
              </w:rPr>
              <w:t>☑</w:t>
            </w:r>
            <w:r>
              <w:rPr>
                <w:rFonts w:hint="eastAsia" w:cs="宋体"/>
                <w:sz w:val="24"/>
                <w:szCs w:val="24"/>
              </w:rPr>
              <w:t>首次申报项目</w:t>
            </w:r>
          </w:p>
          <w:p w14:paraId="56658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default"/>
                <w:sz w:val="24"/>
                <w:szCs w:val="24"/>
              </w:rPr>
              <w:t>□</w:t>
            </w:r>
            <w:r>
              <w:rPr>
                <w:rFonts w:hint="eastAsia" w:cs="宋体"/>
                <w:sz w:val="24"/>
                <w:szCs w:val="24"/>
              </w:rPr>
              <w:t>不予批准后再次申报项目</w:t>
            </w:r>
          </w:p>
          <w:p w14:paraId="14D88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default"/>
                <w:sz w:val="24"/>
                <w:szCs w:val="24"/>
              </w:rPr>
              <w:t>□</w:t>
            </w:r>
            <w:r>
              <w:rPr>
                <w:rFonts w:hint="eastAsia" w:cs="宋体"/>
                <w:sz w:val="24"/>
                <w:szCs w:val="24"/>
              </w:rPr>
              <w:t>超五年重新审核项目</w:t>
            </w:r>
          </w:p>
          <w:p w14:paraId="4E878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sz w:val="24"/>
                <w:szCs w:val="24"/>
              </w:rPr>
            </w:pPr>
            <w:r>
              <w:rPr>
                <w:rFonts w:hint="default"/>
                <w:sz w:val="24"/>
                <w:szCs w:val="24"/>
              </w:rPr>
              <w:t>□</w:t>
            </w:r>
            <w:r>
              <w:rPr>
                <w:rFonts w:hint="eastAsia" w:cs="宋体"/>
                <w:sz w:val="24"/>
                <w:szCs w:val="24"/>
              </w:rPr>
              <w:t>重大变动重新报批项目</w:t>
            </w:r>
          </w:p>
        </w:tc>
      </w:tr>
      <w:tr w14:paraId="1D158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62F0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sz w:val="24"/>
                <w:szCs w:val="24"/>
              </w:rPr>
            </w:pPr>
            <w:r>
              <w:rPr>
                <w:rFonts w:hint="eastAsia" w:cs="宋体"/>
                <w:sz w:val="24"/>
                <w:szCs w:val="24"/>
              </w:rPr>
              <w:t>项目审批（核准</w:t>
            </w:r>
            <w:r>
              <w:rPr>
                <w:rFonts w:hint="default"/>
                <w:sz w:val="24"/>
                <w:szCs w:val="24"/>
              </w:rPr>
              <w:t>/</w:t>
            </w:r>
            <w:r>
              <w:rPr>
                <w:rFonts w:hint="eastAsia" w:cs="宋体"/>
                <w:sz w:val="24"/>
                <w:szCs w:val="24"/>
              </w:rPr>
              <w:t>备案）部门</w:t>
            </w:r>
          </w:p>
        </w:tc>
        <w:tc>
          <w:tcPr>
            <w:tcW w:w="1815" w:type="dxa"/>
            <w:vAlign w:val="center"/>
          </w:tcPr>
          <w:p w14:paraId="68D38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olor w:val="auto"/>
                <w:sz w:val="24"/>
                <w:szCs w:val="24"/>
                <w:lang w:val="en-US" w:eastAsia="zh-CN"/>
              </w:rPr>
              <w:t>安徽淮北烈山经开区管委会</w:t>
            </w:r>
          </w:p>
        </w:tc>
        <w:tc>
          <w:tcPr>
            <w:tcW w:w="1710" w:type="dxa"/>
            <w:vAlign w:val="center"/>
          </w:tcPr>
          <w:p w14:paraId="2CA5CE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s="宋体"/>
                <w:color w:val="auto"/>
                <w:sz w:val="24"/>
                <w:szCs w:val="24"/>
              </w:rPr>
              <w:t>项目审批（核准</w:t>
            </w:r>
            <w:r>
              <w:rPr>
                <w:rFonts w:hint="default"/>
                <w:color w:val="auto"/>
                <w:sz w:val="24"/>
                <w:szCs w:val="24"/>
              </w:rPr>
              <w:t>/</w:t>
            </w:r>
          </w:p>
          <w:p w14:paraId="2B6CF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s="宋体"/>
                <w:color w:val="auto"/>
                <w:sz w:val="24"/>
                <w:szCs w:val="24"/>
              </w:rPr>
              <w:t>备案）文号</w:t>
            </w:r>
          </w:p>
        </w:tc>
        <w:tc>
          <w:tcPr>
            <w:tcW w:w="3391" w:type="dxa"/>
            <w:vAlign w:val="center"/>
          </w:tcPr>
          <w:p w14:paraId="10D213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eastAsia="宋体"/>
                <w:color w:val="auto"/>
                <w:sz w:val="24"/>
                <w:szCs w:val="24"/>
                <w:lang w:eastAsia="zh-CN"/>
              </w:rPr>
            </w:pPr>
            <w:r>
              <w:rPr>
                <w:rFonts w:hint="eastAsia" w:cs="宋体"/>
                <w:color w:val="auto"/>
                <w:sz w:val="24"/>
                <w:szCs w:val="24"/>
                <w:lang w:val="en-US" w:eastAsia="zh-CN"/>
              </w:rPr>
              <w:t>/</w:t>
            </w:r>
          </w:p>
        </w:tc>
      </w:tr>
      <w:tr w14:paraId="1770E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630" w:type="dxa"/>
            <w:tcMar>
              <w:top w:w="16" w:type="dxa"/>
              <w:left w:w="16" w:type="dxa"/>
              <w:right w:w="16" w:type="dxa"/>
            </w:tcMar>
            <w:vAlign w:val="center"/>
          </w:tcPr>
          <w:p w14:paraId="313451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s="宋体"/>
                <w:color w:val="auto"/>
                <w:sz w:val="24"/>
                <w:szCs w:val="24"/>
              </w:rPr>
              <w:t>总投资（万元）</w:t>
            </w:r>
          </w:p>
        </w:tc>
        <w:tc>
          <w:tcPr>
            <w:tcW w:w="1815" w:type="dxa"/>
            <w:vAlign w:val="center"/>
          </w:tcPr>
          <w:p w14:paraId="13E0E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宋体"/>
                <w:color w:val="auto"/>
                <w:sz w:val="24"/>
                <w:szCs w:val="24"/>
                <w:lang w:val="en-US" w:eastAsia="zh-CN"/>
              </w:rPr>
            </w:pPr>
            <w:r>
              <w:rPr>
                <w:rFonts w:hint="eastAsia"/>
                <w:color w:val="auto"/>
                <w:sz w:val="24"/>
                <w:szCs w:val="24"/>
                <w:lang w:val="en-US" w:eastAsia="zh-CN"/>
              </w:rPr>
              <w:t>100500</w:t>
            </w:r>
          </w:p>
        </w:tc>
        <w:tc>
          <w:tcPr>
            <w:tcW w:w="1710" w:type="dxa"/>
            <w:tcMar>
              <w:top w:w="16" w:type="dxa"/>
              <w:left w:w="16" w:type="dxa"/>
              <w:right w:w="16" w:type="dxa"/>
            </w:tcMar>
            <w:vAlign w:val="center"/>
          </w:tcPr>
          <w:p w14:paraId="0EAAF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s="宋体"/>
                <w:color w:val="auto"/>
                <w:sz w:val="24"/>
                <w:szCs w:val="24"/>
              </w:rPr>
              <w:t>环保投资（万元）</w:t>
            </w:r>
          </w:p>
        </w:tc>
        <w:tc>
          <w:tcPr>
            <w:tcW w:w="3391" w:type="dxa"/>
            <w:vAlign w:val="center"/>
          </w:tcPr>
          <w:p w14:paraId="2EA27D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宋体"/>
                <w:color w:val="auto"/>
                <w:sz w:val="24"/>
                <w:szCs w:val="24"/>
                <w:lang w:val="en-US" w:eastAsia="zh-CN"/>
              </w:rPr>
            </w:pPr>
            <w:r>
              <w:rPr>
                <w:rFonts w:hint="eastAsia"/>
                <w:color w:val="auto"/>
                <w:sz w:val="24"/>
                <w:szCs w:val="24"/>
                <w:lang w:val="en-US" w:eastAsia="zh-CN"/>
              </w:rPr>
              <w:t>650</w:t>
            </w:r>
          </w:p>
        </w:tc>
      </w:tr>
      <w:tr w14:paraId="679FD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156A9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s="宋体"/>
                <w:color w:val="auto"/>
                <w:sz w:val="24"/>
                <w:szCs w:val="24"/>
              </w:rPr>
              <w:t>环保投资占比（</w:t>
            </w:r>
            <w:r>
              <w:rPr>
                <w:rFonts w:hint="default"/>
                <w:color w:val="auto"/>
                <w:sz w:val="24"/>
                <w:szCs w:val="24"/>
              </w:rPr>
              <w:t>%</w:t>
            </w:r>
            <w:r>
              <w:rPr>
                <w:rFonts w:hint="eastAsia" w:cs="宋体"/>
                <w:color w:val="auto"/>
                <w:sz w:val="24"/>
                <w:szCs w:val="24"/>
              </w:rPr>
              <w:t>）</w:t>
            </w:r>
          </w:p>
        </w:tc>
        <w:tc>
          <w:tcPr>
            <w:tcW w:w="1815" w:type="dxa"/>
            <w:vAlign w:val="center"/>
          </w:tcPr>
          <w:p w14:paraId="027AD6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olor w:val="auto"/>
                <w:sz w:val="24"/>
                <w:szCs w:val="24"/>
                <w:lang w:val="en-US" w:eastAsia="zh-CN"/>
              </w:rPr>
              <w:t>0.65</w:t>
            </w:r>
          </w:p>
        </w:tc>
        <w:tc>
          <w:tcPr>
            <w:tcW w:w="1710" w:type="dxa"/>
            <w:tcMar>
              <w:top w:w="16" w:type="dxa"/>
              <w:left w:w="16" w:type="dxa"/>
              <w:right w:w="16" w:type="dxa"/>
            </w:tcMar>
            <w:vAlign w:val="center"/>
          </w:tcPr>
          <w:p w14:paraId="79A970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sz w:val="24"/>
                <w:szCs w:val="24"/>
              </w:rPr>
            </w:pPr>
            <w:r>
              <w:rPr>
                <w:rFonts w:hint="eastAsia" w:cs="宋体"/>
                <w:color w:val="auto"/>
                <w:sz w:val="24"/>
                <w:szCs w:val="24"/>
              </w:rPr>
              <w:t>施工工期（月）</w:t>
            </w:r>
          </w:p>
        </w:tc>
        <w:tc>
          <w:tcPr>
            <w:tcW w:w="3391" w:type="dxa"/>
            <w:vAlign w:val="center"/>
          </w:tcPr>
          <w:p w14:paraId="65224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宋体"/>
                <w:color w:val="auto"/>
                <w:sz w:val="24"/>
                <w:szCs w:val="24"/>
                <w:lang w:val="en-US" w:eastAsia="zh-CN"/>
              </w:rPr>
            </w:pPr>
            <w:r>
              <w:rPr>
                <w:rFonts w:hint="eastAsia"/>
                <w:color w:val="auto"/>
                <w:sz w:val="24"/>
                <w:szCs w:val="24"/>
                <w:lang w:val="en-US" w:eastAsia="zh-CN"/>
              </w:rPr>
              <w:t>6</w:t>
            </w:r>
          </w:p>
        </w:tc>
      </w:tr>
      <w:tr w14:paraId="2F8876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733B7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z w:val="24"/>
                <w:szCs w:val="24"/>
              </w:rPr>
              <w:t>是否开工建设</w:t>
            </w:r>
          </w:p>
        </w:tc>
        <w:tc>
          <w:tcPr>
            <w:tcW w:w="1815" w:type="dxa"/>
            <w:vAlign w:val="center"/>
          </w:tcPr>
          <w:p w14:paraId="22A56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sz w:val="24"/>
                <w:szCs w:val="24"/>
              </w:rPr>
            </w:pPr>
            <w:r>
              <w:rPr>
                <w:rFonts w:hint="eastAsia" w:ascii="MS Mincho" w:hAnsi="MS Mincho" w:eastAsia="MS Mincho" w:cs="MS Mincho"/>
                <w:sz w:val="24"/>
                <w:szCs w:val="24"/>
              </w:rPr>
              <w:t>☑</w:t>
            </w:r>
            <w:r>
              <w:rPr>
                <w:rFonts w:hint="eastAsia" w:cs="宋体"/>
                <w:sz w:val="24"/>
                <w:szCs w:val="24"/>
              </w:rPr>
              <w:t>否</w:t>
            </w:r>
          </w:p>
          <w:p w14:paraId="1DF84D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sz w:val="24"/>
                <w:szCs w:val="24"/>
              </w:rPr>
            </w:pPr>
            <w:r>
              <w:rPr>
                <w:rFonts w:hint="default"/>
                <w:sz w:val="24"/>
                <w:szCs w:val="24"/>
              </w:rPr>
              <w:t>□</w:t>
            </w:r>
            <w:r>
              <w:rPr>
                <w:rFonts w:hint="eastAsia" w:cs="宋体"/>
                <w:sz w:val="24"/>
                <w:szCs w:val="24"/>
              </w:rPr>
              <w:t>是：</w:t>
            </w:r>
          </w:p>
        </w:tc>
        <w:tc>
          <w:tcPr>
            <w:tcW w:w="1710" w:type="dxa"/>
            <w:tcMar>
              <w:top w:w="16" w:type="dxa"/>
              <w:left w:w="16" w:type="dxa"/>
              <w:right w:w="16" w:type="dxa"/>
            </w:tcMar>
            <w:vAlign w:val="center"/>
          </w:tcPr>
          <w:p w14:paraId="5EAE6A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sz w:val="24"/>
                <w:szCs w:val="24"/>
              </w:rPr>
            </w:pPr>
            <w:r>
              <w:rPr>
                <w:rFonts w:hint="eastAsia" w:cs="宋体"/>
                <w:spacing w:val="-6"/>
                <w:sz w:val="24"/>
                <w:szCs w:val="24"/>
              </w:rPr>
              <w:t>用地面积（</w:t>
            </w:r>
            <w:r>
              <w:rPr>
                <w:rFonts w:hint="default"/>
                <w:spacing w:val="-6"/>
                <w:sz w:val="24"/>
                <w:szCs w:val="24"/>
              </w:rPr>
              <w:t>m</w:t>
            </w:r>
            <w:r>
              <w:rPr>
                <w:rFonts w:hint="default"/>
                <w:spacing w:val="-6"/>
                <w:sz w:val="24"/>
                <w:szCs w:val="24"/>
                <w:vertAlign w:val="superscript"/>
              </w:rPr>
              <w:t>2</w:t>
            </w:r>
            <w:r>
              <w:rPr>
                <w:rFonts w:hint="eastAsia" w:cs="宋体"/>
                <w:spacing w:val="-6"/>
                <w:sz w:val="24"/>
                <w:szCs w:val="24"/>
              </w:rPr>
              <w:t>）</w:t>
            </w:r>
          </w:p>
        </w:tc>
        <w:tc>
          <w:tcPr>
            <w:tcW w:w="3391" w:type="dxa"/>
            <w:vAlign w:val="center"/>
          </w:tcPr>
          <w:p w14:paraId="2093FB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eastAsia="宋体"/>
                <w:sz w:val="24"/>
                <w:szCs w:val="24"/>
                <w:lang w:val="en-US" w:eastAsia="zh-CN"/>
              </w:rPr>
            </w:pPr>
            <w:r>
              <w:rPr>
                <w:rFonts w:hint="eastAsia"/>
                <w:sz w:val="24"/>
                <w:szCs w:val="24"/>
                <w:lang w:val="en-US" w:eastAsia="zh-CN"/>
              </w:rPr>
              <w:t>69297.73</w:t>
            </w:r>
          </w:p>
        </w:tc>
      </w:tr>
      <w:tr w14:paraId="7B28A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63B3678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jc w:val="center"/>
              <w:textAlignment w:val="auto"/>
              <w:rPr>
                <w:rFonts w:hint="eastAsia" w:cs="宋体"/>
                <w:sz w:val="24"/>
                <w:szCs w:val="24"/>
              </w:rPr>
            </w:pPr>
            <w:bookmarkStart w:id="2" w:name="_Toc27680"/>
            <w:r>
              <w:rPr>
                <w:rFonts w:hint="eastAsia" w:cs="宋体"/>
                <w:kern w:val="0"/>
                <w:sz w:val="24"/>
                <w:szCs w:val="24"/>
              </w:rPr>
              <w:t>专项评价设置情况</w:t>
            </w:r>
          </w:p>
        </w:tc>
        <w:tc>
          <w:tcPr>
            <w:tcW w:w="6916" w:type="dxa"/>
            <w:gridSpan w:val="3"/>
            <w:vAlign w:val="center"/>
          </w:tcPr>
          <w:p w14:paraId="1FA314AB">
            <w:pPr>
              <w:keepNext w:val="0"/>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kern w:val="0"/>
                <w:sz w:val="24"/>
                <w:szCs w:val="24"/>
                <w:lang w:val="en-US" w:eastAsia="zh-CN"/>
              </w:rPr>
            </w:pPr>
            <w:r>
              <w:rPr>
                <w:rFonts w:hint="eastAsia"/>
                <w:color w:val="auto"/>
                <w:kern w:val="0"/>
                <w:sz w:val="24"/>
                <w:szCs w:val="24"/>
                <w:lang w:val="en-US" w:eastAsia="zh-CN"/>
              </w:rPr>
              <w:t>根据《建设项目环境影响报告表编制技术指南（污染影响类）（试行）》，本项目无需设置专项评价，判定依据见下表。</w:t>
            </w:r>
          </w:p>
          <w:p w14:paraId="3D5CE3D3">
            <w:pPr>
              <w:keepNext w:val="0"/>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b/>
                <w:bCs/>
                <w:color w:val="auto"/>
                <w:kern w:val="0"/>
                <w:sz w:val="24"/>
                <w:szCs w:val="24"/>
                <w:lang w:val="en-US" w:eastAsia="zh-CN"/>
              </w:rPr>
            </w:pPr>
            <w:r>
              <w:rPr>
                <w:rFonts w:hint="eastAsia"/>
                <w:b/>
                <w:bCs/>
                <w:color w:val="auto"/>
                <w:kern w:val="0"/>
                <w:sz w:val="24"/>
                <w:szCs w:val="24"/>
                <w:lang w:val="en-US" w:eastAsia="zh-CN"/>
              </w:rPr>
              <w:t>表1-1  项目专项评价设置情况</w:t>
            </w:r>
          </w:p>
          <w:tbl>
            <w:tblPr>
              <w:tblStyle w:val="31"/>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638"/>
              <w:gridCol w:w="2163"/>
              <w:gridCol w:w="1083"/>
            </w:tblGrid>
            <w:tr w14:paraId="56E5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pct"/>
                  <w:noWrap w:val="0"/>
                  <w:vAlign w:val="center"/>
                </w:tcPr>
                <w:p w14:paraId="0469B55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专项评价</w:t>
                  </w:r>
                </w:p>
                <w:p w14:paraId="15AA458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的类别</w:t>
                  </w:r>
                </w:p>
              </w:tc>
              <w:tc>
                <w:tcPr>
                  <w:tcW w:w="1871" w:type="pct"/>
                  <w:noWrap w:val="0"/>
                  <w:vAlign w:val="center"/>
                </w:tcPr>
                <w:p w14:paraId="00481A6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设置原则</w:t>
                  </w:r>
                </w:p>
              </w:tc>
              <w:tc>
                <w:tcPr>
                  <w:tcW w:w="1534" w:type="pct"/>
                  <w:noWrap w:val="0"/>
                  <w:vAlign w:val="center"/>
                </w:tcPr>
                <w:p w14:paraId="18FD8A4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本项目情况</w:t>
                  </w:r>
                </w:p>
              </w:tc>
              <w:tc>
                <w:tcPr>
                  <w:tcW w:w="768" w:type="pct"/>
                  <w:noWrap w:val="0"/>
                  <w:vAlign w:val="center"/>
                </w:tcPr>
                <w:p w14:paraId="20BA8F5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是否设置</w:t>
                  </w:r>
                </w:p>
                <w:p w14:paraId="64CF879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专项评价</w:t>
                  </w:r>
                </w:p>
              </w:tc>
            </w:tr>
            <w:tr w14:paraId="075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pct"/>
                  <w:noWrap w:val="0"/>
                  <w:vAlign w:val="center"/>
                </w:tcPr>
                <w:p w14:paraId="2671052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大气</w:t>
                  </w:r>
                </w:p>
                <w:p w14:paraId="3F070A3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p>
              </w:tc>
              <w:tc>
                <w:tcPr>
                  <w:tcW w:w="1871" w:type="pct"/>
                  <w:noWrap w:val="0"/>
                  <w:vAlign w:val="center"/>
                </w:tcPr>
                <w:p w14:paraId="4BB72BC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排放废气含有毒有害污染物、二噁英、苯并[a]芘、氰化物、氯气且厂界外500米范围内有环境空气保护目标的建设项目</w:t>
                  </w:r>
                </w:p>
              </w:tc>
              <w:tc>
                <w:tcPr>
                  <w:tcW w:w="1534" w:type="pct"/>
                  <w:noWrap w:val="0"/>
                  <w:vAlign w:val="center"/>
                </w:tcPr>
                <w:p w14:paraId="0E46D7E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本项目厂界外500米范围内有环境空气保护目标，但废气不含有毒有害污染物、二噁英、苯并[a]芘、氰化物、氯气等</w:t>
                  </w:r>
                </w:p>
              </w:tc>
              <w:tc>
                <w:tcPr>
                  <w:tcW w:w="768" w:type="pct"/>
                  <w:noWrap w:val="0"/>
                  <w:vAlign w:val="center"/>
                </w:tcPr>
                <w:p w14:paraId="5383A5B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14:paraId="3DE6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pct"/>
                  <w:noWrap w:val="0"/>
                  <w:vAlign w:val="center"/>
                </w:tcPr>
                <w:p w14:paraId="585C38B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地表水</w:t>
                  </w:r>
                </w:p>
              </w:tc>
              <w:tc>
                <w:tcPr>
                  <w:tcW w:w="1871" w:type="pct"/>
                  <w:noWrap w:val="0"/>
                  <w:vAlign w:val="center"/>
                </w:tcPr>
                <w:p w14:paraId="63DCAF1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新增工业废水直排建设项目（槽罐车外送污水处理厂的除外）；新增废水直排的污水集中处理厂</w:t>
                  </w:r>
                </w:p>
              </w:tc>
              <w:tc>
                <w:tcPr>
                  <w:tcW w:w="1534" w:type="pct"/>
                  <w:noWrap w:val="0"/>
                  <w:vAlign w:val="center"/>
                </w:tcPr>
                <w:p w14:paraId="70084EB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不涉及</w:t>
                  </w:r>
                </w:p>
              </w:tc>
              <w:tc>
                <w:tcPr>
                  <w:tcW w:w="768" w:type="pct"/>
                  <w:noWrap w:val="0"/>
                  <w:vAlign w:val="center"/>
                </w:tcPr>
                <w:p w14:paraId="55DE086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14:paraId="6B71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pct"/>
                  <w:noWrap w:val="0"/>
                  <w:vAlign w:val="center"/>
                </w:tcPr>
                <w:p w14:paraId="67CB325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环境风险</w:t>
                  </w:r>
                </w:p>
              </w:tc>
              <w:tc>
                <w:tcPr>
                  <w:tcW w:w="1871" w:type="pct"/>
                  <w:noWrap w:val="0"/>
                  <w:vAlign w:val="center"/>
                </w:tcPr>
                <w:p w14:paraId="1B04B86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有毒有害和易燃易爆危险物质存储量超过临界量的建设项目</w:t>
                  </w:r>
                </w:p>
              </w:tc>
              <w:tc>
                <w:tcPr>
                  <w:tcW w:w="1534" w:type="pct"/>
                  <w:noWrap w:val="0"/>
                  <w:vAlign w:val="center"/>
                </w:tcPr>
                <w:p w14:paraId="59AD8A5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Q＜1</w:t>
                  </w:r>
                </w:p>
              </w:tc>
              <w:tc>
                <w:tcPr>
                  <w:tcW w:w="768" w:type="pct"/>
                  <w:noWrap w:val="0"/>
                  <w:vAlign w:val="center"/>
                </w:tcPr>
                <w:p w14:paraId="55F3B43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14:paraId="3CF3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pct"/>
                  <w:noWrap w:val="0"/>
                  <w:vAlign w:val="center"/>
                </w:tcPr>
                <w:p w14:paraId="1449FCE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生态</w:t>
                  </w:r>
                </w:p>
              </w:tc>
              <w:tc>
                <w:tcPr>
                  <w:tcW w:w="1871" w:type="pct"/>
                  <w:noWrap w:val="0"/>
                  <w:vAlign w:val="center"/>
                </w:tcPr>
                <w:p w14:paraId="237B00F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取水口下游500米范围内有重要水生生物的自然产卵场、索饵场、越冬场和洄游通道的新增河道取水的污染类建设项目</w:t>
                  </w:r>
                </w:p>
              </w:tc>
              <w:tc>
                <w:tcPr>
                  <w:tcW w:w="1534" w:type="pct"/>
                  <w:noWrap w:val="0"/>
                  <w:vAlign w:val="center"/>
                </w:tcPr>
                <w:p w14:paraId="1A75D38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不涉及</w:t>
                  </w:r>
                </w:p>
              </w:tc>
              <w:tc>
                <w:tcPr>
                  <w:tcW w:w="768" w:type="pct"/>
                  <w:noWrap w:val="0"/>
                  <w:vAlign w:val="center"/>
                </w:tcPr>
                <w:p w14:paraId="12E1E2D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14:paraId="76E8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5" w:type="pct"/>
                  <w:noWrap w:val="0"/>
                  <w:vAlign w:val="center"/>
                </w:tcPr>
                <w:p w14:paraId="4A6BD36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海洋</w:t>
                  </w:r>
                </w:p>
              </w:tc>
              <w:tc>
                <w:tcPr>
                  <w:tcW w:w="1871" w:type="pct"/>
                  <w:noWrap w:val="0"/>
                  <w:vAlign w:val="center"/>
                </w:tcPr>
                <w:p w14:paraId="42A99D4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直接向海排放污染物的海洋工程建设项目</w:t>
                  </w:r>
                </w:p>
              </w:tc>
              <w:tc>
                <w:tcPr>
                  <w:tcW w:w="1534" w:type="pct"/>
                  <w:noWrap w:val="0"/>
                  <w:vAlign w:val="center"/>
                </w:tcPr>
                <w:p w14:paraId="7ABCC7E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不涉及</w:t>
                  </w:r>
                </w:p>
              </w:tc>
              <w:tc>
                <w:tcPr>
                  <w:tcW w:w="768" w:type="pct"/>
                  <w:noWrap w:val="0"/>
                  <w:vAlign w:val="center"/>
                </w:tcPr>
                <w:p w14:paraId="28B0165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20" w:lineRule="exact"/>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bl>
          <w:p w14:paraId="3002C92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leftChars="0" w:right="0" w:rightChars="0"/>
              <w:jc w:val="center"/>
              <w:textAlignment w:val="auto"/>
              <w:rPr>
                <w:rFonts w:hint="eastAsia"/>
                <w:sz w:val="24"/>
                <w:szCs w:val="24"/>
                <w:lang w:val="en-US" w:eastAsia="zh-CN"/>
              </w:rPr>
            </w:pPr>
          </w:p>
        </w:tc>
      </w:tr>
      <w:tr w14:paraId="2C1E1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0792B39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jc w:val="center"/>
              <w:textAlignment w:val="auto"/>
              <w:rPr>
                <w:rFonts w:hint="eastAsia" w:cs="宋体"/>
                <w:sz w:val="24"/>
                <w:szCs w:val="24"/>
              </w:rPr>
            </w:pPr>
            <w:r>
              <w:rPr>
                <w:rFonts w:hint="eastAsia" w:cs="宋体"/>
                <w:sz w:val="24"/>
                <w:szCs w:val="24"/>
              </w:rPr>
              <w:t>规划情况</w:t>
            </w:r>
          </w:p>
        </w:tc>
        <w:tc>
          <w:tcPr>
            <w:tcW w:w="6916" w:type="dxa"/>
            <w:gridSpan w:val="3"/>
            <w:vAlign w:val="center"/>
          </w:tcPr>
          <w:p w14:paraId="7F729C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sz w:val="24"/>
                <w:szCs w:val="24"/>
                <w:lang w:val="en-US" w:eastAsia="zh-CN"/>
              </w:rPr>
            </w:pPr>
            <w:r>
              <w:rPr>
                <w:rFonts w:hint="eastAsia" w:ascii="Times New Roman" w:hAnsi="Times New Roman" w:cs="Times New Roman"/>
                <w:b w:val="0"/>
                <w:bCs/>
                <w:sz w:val="24"/>
                <w:szCs w:val="24"/>
                <w:lang w:val="en-US" w:eastAsia="zh-CN"/>
              </w:rPr>
              <w:t>规划名称：《安徽淮北烈山经济开发区产业发展规划（2020-2030年）》</w:t>
            </w:r>
          </w:p>
        </w:tc>
      </w:tr>
      <w:tr w14:paraId="273C0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48740022">
            <w:pPr>
              <w:keepNext w:val="0"/>
              <w:keepLines w:val="0"/>
              <w:suppressLineNumbers w:val="0"/>
              <w:autoSpaceDE w:val="0"/>
              <w:autoSpaceDN w:val="0"/>
              <w:spacing w:before="0" w:beforeAutospacing="0" w:after="0" w:afterAutospacing="0" w:line="240" w:lineRule="auto"/>
              <w:ind w:left="0" w:right="0"/>
              <w:jc w:val="center"/>
              <w:rPr>
                <w:rFonts w:hint="default" w:eastAsia="宋体" w:cs="宋体"/>
                <w:kern w:val="0"/>
                <w:sz w:val="24"/>
                <w:szCs w:val="24"/>
              </w:rPr>
            </w:pPr>
            <w:r>
              <w:rPr>
                <w:rFonts w:hint="eastAsia" w:eastAsia="宋体" w:cs="宋体"/>
                <w:kern w:val="0"/>
                <w:sz w:val="24"/>
                <w:szCs w:val="24"/>
              </w:rPr>
              <w:t>环境影响</w:t>
            </w:r>
          </w:p>
          <w:p w14:paraId="199CB4AB">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jc w:val="center"/>
              <w:textAlignment w:val="auto"/>
              <w:rPr>
                <w:rFonts w:hint="eastAsia" w:cs="宋体"/>
                <w:sz w:val="24"/>
                <w:szCs w:val="24"/>
              </w:rPr>
            </w:pPr>
            <w:r>
              <w:rPr>
                <w:rFonts w:hint="eastAsia" w:eastAsia="宋体" w:cs="宋体"/>
                <w:kern w:val="0"/>
                <w:sz w:val="24"/>
                <w:szCs w:val="24"/>
              </w:rPr>
              <w:t>评价情况</w:t>
            </w:r>
          </w:p>
        </w:tc>
        <w:tc>
          <w:tcPr>
            <w:tcW w:w="6916" w:type="dxa"/>
            <w:gridSpan w:val="3"/>
            <w:vAlign w:val="center"/>
          </w:tcPr>
          <w:p w14:paraId="46DDB98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规划环评文件：《</w:t>
            </w:r>
            <w:r>
              <w:rPr>
                <w:rFonts w:hint="eastAsia" w:ascii="Times New Roman" w:hAnsi="Times New Roman" w:eastAsia="宋体" w:cs="Times New Roman"/>
                <w:b w:val="0"/>
                <w:bCs/>
                <w:kern w:val="0"/>
                <w:sz w:val="24"/>
                <w:szCs w:val="24"/>
                <w:lang w:val="en-US" w:eastAsia="zh-CN"/>
              </w:rPr>
              <w:t>安徽淮北烈山经济开发区产业发展规划（2020-2030年）</w:t>
            </w:r>
            <w:r>
              <w:rPr>
                <w:rFonts w:hint="default" w:ascii="Times New Roman" w:hAnsi="Times New Roman" w:eastAsia="宋体" w:cs="Times New Roman"/>
                <w:b w:val="0"/>
                <w:bCs/>
                <w:kern w:val="0"/>
                <w:sz w:val="24"/>
                <w:szCs w:val="24"/>
                <w:lang w:val="en-US" w:eastAsia="zh-CN"/>
              </w:rPr>
              <w:t>环境影响报告书》</w:t>
            </w:r>
          </w:p>
          <w:p w14:paraId="6335582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b w:val="0"/>
                <w:bCs/>
                <w:kern w:val="0"/>
                <w:sz w:val="24"/>
                <w:szCs w:val="24"/>
                <w:lang w:val="en-US" w:eastAsia="zh-CN"/>
              </w:rPr>
            </w:pPr>
            <w:r>
              <w:rPr>
                <w:rFonts w:hint="default" w:ascii="Times New Roman" w:hAnsi="Times New Roman" w:eastAsia="宋体" w:cs="Times New Roman"/>
                <w:b w:val="0"/>
                <w:bCs/>
                <w:kern w:val="0"/>
                <w:sz w:val="24"/>
                <w:szCs w:val="24"/>
                <w:lang w:val="en-US" w:eastAsia="zh-CN"/>
              </w:rPr>
              <w:t>审查机关：安徽省</w:t>
            </w:r>
            <w:r>
              <w:rPr>
                <w:rFonts w:hint="eastAsia" w:ascii="Times New Roman" w:hAnsi="Times New Roman" w:eastAsia="宋体" w:cs="Times New Roman"/>
                <w:b w:val="0"/>
                <w:bCs/>
                <w:kern w:val="0"/>
                <w:sz w:val="24"/>
                <w:szCs w:val="24"/>
                <w:lang w:val="en-US" w:eastAsia="zh-CN"/>
              </w:rPr>
              <w:t>生态环境</w:t>
            </w:r>
            <w:r>
              <w:rPr>
                <w:rFonts w:hint="default" w:ascii="Times New Roman" w:hAnsi="Times New Roman" w:eastAsia="宋体" w:cs="Times New Roman"/>
                <w:b w:val="0"/>
                <w:bCs/>
                <w:kern w:val="0"/>
                <w:sz w:val="24"/>
                <w:szCs w:val="24"/>
                <w:lang w:val="en-US" w:eastAsia="zh-CN"/>
              </w:rPr>
              <w:t>厅</w:t>
            </w:r>
          </w:p>
          <w:p w14:paraId="2E743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auto"/>
              <w:rPr>
                <w:rFonts w:hint="eastAsia" w:ascii="Times New Roman" w:hAnsi="Times New Roman" w:cs="Times New Roman"/>
                <w:b w:val="0"/>
                <w:bCs/>
                <w:sz w:val="24"/>
                <w:szCs w:val="24"/>
                <w:lang w:val="en-US" w:eastAsia="zh-CN"/>
              </w:rPr>
            </w:pPr>
            <w:r>
              <w:rPr>
                <w:rFonts w:hint="default" w:ascii="Times New Roman" w:hAnsi="Times New Roman" w:eastAsia="宋体" w:cs="Times New Roman"/>
                <w:b w:val="0"/>
                <w:bCs/>
                <w:kern w:val="0"/>
                <w:sz w:val="24"/>
                <w:szCs w:val="24"/>
                <w:lang w:val="en-US" w:eastAsia="zh-CN"/>
              </w:rPr>
              <w:t>审查文件名称</w:t>
            </w:r>
            <w:r>
              <w:rPr>
                <w:rFonts w:hint="eastAsia" w:ascii="Times New Roman" w:hAnsi="Times New Roman" w:eastAsia="宋体" w:cs="Times New Roman"/>
                <w:b w:val="0"/>
                <w:bCs/>
                <w:kern w:val="0"/>
                <w:sz w:val="24"/>
                <w:szCs w:val="24"/>
                <w:lang w:val="en-US" w:eastAsia="zh-CN"/>
              </w:rPr>
              <w:t>：</w:t>
            </w:r>
            <w:r>
              <w:rPr>
                <w:rFonts w:hint="default" w:ascii="Times New Roman" w:hAnsi="Times New Roman" w:eastAsia="宋体" w:cs="Times New Roman"/>
                <w:b w:val="0"/>
                <w:bCs/>
                <w:kern w:val="0"/>
                <w:sz w:val="24"/>
                <w:szCs w:val="24"/>
                <w:lang w:val="en-US" w:eastAsia="zh-CN"/>
              </w:rPr>
              <w:t>《</w:t>
            </w:r>
            <w:r>
              <w:rPr>
                <w:rFonts w:hint="eastAsia" w:ascii="Times New Roman" w:hAnsi="Times New Roman" w:eastAsia="宋体" w:cs="Times New Roman"/>
                <w:b w:val="0"/>
                <w:bCs/>
                <w:kern w:val="0"/>
                <w:sz w:val="24"/>
                <w:szCs w:val="24"/>
                <w:lang w:val="en-US" w:eastAsia="zh-CN"/>
              </w:rPr>
              <w:t>安徽淮北烈山经济开发区产业发展规划（2020-2030年）环境影响报告书审查意见</w:t>
            </w:r>
            <w:r>
              <w:rPr>
                <w:rFonts w:hint="default" w:ascii="Times New Roman" w:hAnsi="Times New Roman" w:eastAsia="宋体" w:cs="Times New Roman"/>
                <w:b w:val="0"/>
                <w:bCs/>
                <w:kern w:val="0"/>
                <w:sz w:val="24"/>
                <w:szCs w:val="24"/>
                <w:lang w:val="en-US" w:eastAsia="zh-CN"/>
              </w:rPr>
              <w:t>》</w:t>
            </w:r>
            <w:r>
              <w:rPr>
                <w:rFonts w:hint="eastAsia" w:ascii="Times New Roman" w:hAnsi="Times New Roman" w:eastAsia="宋体" w:cs="Times New Roman"/>
                <w:b w:val="0"/>
                <w:bCs/>
                <w:kern w:val="0"/>
                <w:sz w:val="24"/>
                <w:szCs w:val="24"/>
                <w:lang w:val="en-US" w:eastAsia="zh-CN"/>
              </w:rPr>
              <w:t>（</w:t>
            </w:r>
            <w:r>
              <w:rPr>
                <w:rFonts w:hint="default" w:ascii="Times New Roman" w:hAnsi="Times New Roman" w:eastAsia="宋体" w:cs="Times New Roman"/>
                <w:b w:val="0"/>
                <w:bCs/>
                <w:kern w:val="0"/>
                <w:sz w:val="24"/>
                <w:szCs w:val="24"/>
                <w:lang w:val="en-US" w:eastAsia="zh-CN"/>
              </w:rPr>
              <w:t>皖环函〔</w:t>
            </w:r>
            <w:r>
              <w:rPr>
                <w:rFonts w:hint="eastAsia" w:ascii="Times New Roman" w:hAnsi="Times New Roman" w:eastAsia="宋体" w:cs="Times New Roman"/>
                <w:b w:val="0"/>
                <w:bCs/>
                <w:kern w:val="0"/>
                <w:sz w:val="24"/>
                <w:szCs w:val="24"/>
                <w:lang w:val="en-US" w:eastAsia="zh-CN"/>
              </w:rPr>
              <w:t>2021</w:t>
            </w:r>
            <w:r>
              <w:rPr>
                <w:rFonts w:hint="default" w:ascii="Times New Roman" w:hAnsi="Times New Roman" w:eastAsia="宋体" w:cs="Times New Roman"/>
                <w:b w:val="0"/>
                <w:bCs/>
                <w:kern w:val="0"/>
                <w:sz w:val="24"/>
                <w:szCs w:val="24"/>
                <w:lang w:val="en-US" w:eastAsia="zh-CN"/>
              </w:rPr>
              <w:t>〕5</w:t>
            </w:r>
            <w:r>
              <w:rPr>
                <w:rFonts w:hint="eastAsia" w:ascii="Times New Roman" w:hAnsi="Times New Roman" w:eastAsia="宋体" w:cs="Times New Roman"/>
                <w:b w:val="0"/>
                <w:bCs/>
                <w:kern w:val="0"/>
                <w:sz w:val="24"/>
                <w:szCs w:val="24"/>
                <w:lang w:val="en-US" w:eastAsia="zh-CN"/>
              </w:rPr>
              <w:t>21</w:t>
            </w:r>
            <w:r>
              <w:rPr>
                <w:rFonts w:hint="default" w:ascii="Times New Roman" w:hAnsi="Times New Roman" w:eastAsia="宋体" w:cs="Times New Roman"/>
                <w:b w:val="0"/>
                <w:bCs/>
                <w:kern w:val="0"/>
                <w:sz w:val="24"/>
                <w:szCs w:val="24"/>
                <w:lang w:val="en-US" w:eastAsia="zh-CN"/>
              </w:rPr>
              <w:t>号</w:t>
            </w:r>
            <w:r>
              <w:rPr>
                <w:rFonts w:hint="eastAsia" w:ascii="Times New Roman" w:hAnsi="Times New Roman" w:eastAsia="宋体" w:cs="Times New Roman"/>
                <w:b w:val="0"/>
                <w:bCs/>
                <w:kern w:val="0"/>
                <w:sz w:val="24"/>
                <w:szCs w:val="24"/>
                <w:lang w:val="en-US" w:eastAsia="zh-CN"/>
              </w:rPr>
              <w:t>）</w:t>
            </w:r>
          </w:p>
        </w:tc>
      </w:tr>
      <w:tr w14:paraId="0E3BD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30" w:type="dxa"/>
            <w:tcMar>
              <w:top w:w="16" w:type="dxa"/>
              <w:left w:w="16" w:type="dxa"/>
              <w:right w:w="16" w:type="dxa"/>
            </w:tcMar>
            <w:vAlign w:val="center"/>
          </w:tcPr>
          <w:p w14:paraId="5FC3561E">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jc w:val="center"/>
              <w:textAlignment w:val="auto"/>
              <w:rPr>
                <w:rFonts w:hint="eastAsia" w:eastAsia="宋体" w:cs="宋体"/>
                <w:kern w:val="0"/>
                <w:sz w:val="24"/>
                <w:szCs w:val="24"/>
              </w:rPr>
            </w:pPr>
            <w:r>
              <w:rPr>
                <w:rFonts w:hint="eastAsia" w:cs="宋体"/>
                <w:color w:val="auto"/>
                <w:kern w:val="0"/>
                <w:sz w:val="24"/>
                <w:szCs w:val="24"/>
              </w:rPr>
              <w:t>规划及规划环境影响评价符合性分</w:t>
            </w:r>
            <w:r>
              <w:rPr>
                <w:rFonts w:hint="eastAsia" w:cs="宋体"/>
                <w:kern w:val="0"/>
                <w:sz w:val="24"/>
                <w:szCs w:val="24"/>
              </w:rPr>
              <w:t>析</w:t>
            </w:r>
          </w:p>
        </w:tc>
        <w:tc>
          <w:tcPr>
            <w:tcW w:w="6916" w:type="dxa"/>
            <w:gridSpan w:val="3"/>
            <w:vAlign w:val="center"/>
          </w:tcPr>
          <w:p w14:paraId="5630C21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cs="宋体"/>
                <w:b/>
                <w:bCs/>
                <w:color w:val="auto"/>
                <w:sz w:val="24"/>
                <w:szCs w:val="24"/>
              </w:rPr>
            </w:pPr>
            <w:r>
              <w:rPr>
                <w:rFonts w:hint="eastAsia" w:cs="宋体"/>
                <w:b/>
                <w:bCs/>
                <w:color w:val="auto"/>
                <w:sz w:val="24"/>
                <w:szCs w:val="24"/>
                <w:lang w:eastAsia="zh-CN"/>
              </w:rPr>
              <w:t>（</w:t>
            </w:r>
            <w:r>
              <w:rPr>
                <w:rFonts w:hint="eastAsia" w:cs="宋体"/>
                <w:b/>
                <w:bCs/>
                <w:color w:val="auto"/>
                <w:sz w:val="24"/>
                <w:szCs w:val="24"/>
                <w:lang w:val="en-US" w:eastAsia="zh-CN"/>
              </w:rPr>
              <w:t>1</w:t>
            </w:r>
            <w:r>
              <w:rPr>
                <w:rFonts w:hint="eastAsia" w:cs="宋体"/>
                <w:b/>
                <w:bCs/>
                <w:color w:val="auto"/>
                <w:sz w:val="24"/>
                <w:szCs w:val="24"/>
                <w:lang w:eastAsia="zh-CN"/>
              </w:rPr>
              <w:t>）</w:t>
            </w:r>
            <w:r>
              <w:rPr>
                <w:rFonts w:hint="eastAsia" w:cs="宋体"/>
                <w:b/>
                <w:bCs/>
                <w:color w:val="auto"/>
                <w:sz w:val="24"/>
                <w:szCs w:val="24"/>
              </w:rPr>
              <w:t>与《安徽淮北烈山经济开发区产业发展规划（2020-2030年）》相符性分析</w:t>
            </w:r>
          </w:p>
          <w:p w14:paraId="55AD188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kern w:val="0"/>
                <w:sz w:val="24"/>
                <w:szCs w:val="24"/>
                <w:lang w:val="en-US" w:eastAsia="zh-CN"/>
              </w:rPr>
            </w:pPr>
            <w:r>
              <w:rPr>
                <w:rFonts w:hint="eastAsia" w:ascii="Times New Roman" w:hAnsi="Times New Roman" w:eastAsia="宋体" w:cs="Times New Roman"/>
                <w:sz w:val="24"/>
                <w:szCs w:val="24"/>
                <w:lang w:val="en-US" w:eastAsia="zh-CN"/>
              </w:rPr>
              <w:t>烈山经济开发区始建于2000年（刘庄工业园占地约0.5平方公里），2010年5月经省政府批准筹建省级经济开发区，规划面积11平方公里，设</w:t>
            </w:r>
            <w:r>
              <w:rPr>
                <w:rFonts w:hint="eastAsia" w:ascii="Times New Roman" w:hAnsi="Times New Roman" w:eastAsia="宋体" w:cs="Times New Roman"/>
                <w:b w:val="0"/>
                <w:bCs w:val="0"/>
                <w:sz w:val="24"/>
                <w:szCs w:val="24"/>
                <w:lang w:val="en-US" w:eastAsia="zh-CN"/>
              </w:rPr>
              <w:t>有青龙山产业园、新蔡工业园、宝迪工业园3个园区，主导产业为肉食品加工、机械制造和高新技术产业。2018年8月正式批准为省级开发区，2020年7月，经安徽省自然资源厅审核（皖自然资用函〔2020〕7号），最终范围核定面积为7.68km</w:t>
            </w:r>
            <w:r>
              <w:rPr>
                <w:rFonts w:hint="eastAsia" w:ascii="Times New Roman" w:hAnsi="Times New Roman" w:eastAsia="宋体" w:cs="Times New Roman"/>
                <w:b w:val="0"/>
                <w:bCs w:val="0"/>
                <w:sz w:val="24"/>
                <w:szCs w:val="24"/>
                <w:vertAlign w:val="superscript"/>
                <w:lang w:val="en-US" w:eastAsia="zh-CN"/>
              </w:rPr>
              <w:t>2</w:t>
            </w:r>
            <w:r>
              <w:rPr>
                <w:rFonts w:hint="eastAsia" w:ascii="Times New Roman" w:hAnsi="Times New Roman" w:eastAsia="宋体" w:cs="Times New Roman"/>
                <w:b w:val="0"/>
                <w:bCs w:val="0"/>
                <w:sz w:val="24"/>
                <w:szCs w:val="24"/>
                <w:lang w:val="en-US" w:eastAsia="zh-CN"/>
              </w:rPr>
              <w:t>，包含新蔡工业园、青龙山产业园。2014年3月，市政府专题会议明确从市</w:t>
            </w:r>
          </w:p>
        </w:tc>
      </w:tr>
    </w:tbl>
    <w:p w14:paraId="1D3CC23E">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cs="黑体"/>
          <w:snapToGrid w:val="0"/>
          <w:sz w:val="30"/>
          <w:szCs w:val="30"/>
        </w:rPr>
        <w:sectPr>
          <w:footerReference r:id="rId3" w:type="default"/>
          <w:pgSz w:w="11906" w:h="16838"/>
          <w:pgMar w:top="1440" w:right="1800" w:bottom="1440" w:left="1417" w:header="851" w:footer="992" w:gutter="0"/>
          <w:pgNumType w:fmt="decimal" w:start="1"/>
          <w:cols w:space="425" w:num="1"/>
          <w:docGrid w:type="lines" w:linePitch="312" w:charSpace="0"/>
        </w:sectPr>
      </w:pPr>
    </w:p>
    <w:tbl>
      <w:tblPr>
        <w:tblStyle w:val="30"/>
        <w:tblW w:w="88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428"/>
      </w:tblGrid>
      <w:tr w14:paraId="6DEC50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6" w:type="dxa"/>
            <w:vAlign w:val="center"/>
          </w:tcPr>
          <w:p w14:paraId="4221F311">
            <w:pPr>
              <w:keepNext w:val="0"/>
              <w:keepLines w:val="0"/>
              <w:suppressLineNumbers w:val="0"/>
              <w:autoSpaceDE w:val="0"/>
              <w:autoSpaceDN w:val="0"/>
              <w:spacing w:before="0" w:beforeAutospacing="0" w:after="0" w:afterAutospacing="0" w:line="240" w:lineRule="auto"/>
              <w:ind w:left="0" w:right="0"/>
              <w:jc w:val="center"/>
              <w:rPr>
                <w:rFonts w:hint="default"/>
                <w:kern w:val="0"/>
                <w:sz w:val="24"/>
                <w:szCs w:val="24"/>
              </w:rPr>
            </w:pPr>
            <w:r>
              <w:rPr>
                <w:rFonts w:hint="eastAsia" w:cs="宋体"/>
                <w:color w:val="auto"/>
                <w:kern w:val="0"/>
                <w:sz w:val="24"/>
                <w:szCs w:val="24"/>
              </w:rPr>
              <w:t>规划及规划环境影响评价符合性分</w:t>
            </w:r>
            <w:r>
              <w:rPr>
                <w:rFonts w:hint="eastAsia" w:cs="宋体"/>
                <w:kern w:val="0"/>
                <w:sz w:val="24"/>
                <w:szCs w:val="24"/>
              </w:rPr>
              <w:t>析</w:t>
            </w:r>
          </w:p>
        </w:tc>
        <w:tc>
          <w:tcPr>
            <w:tcW w:w="8428" w:type="dxa"/>
            <w:vAlign w:val="center"/>
          </w:tcPr>
          <w:p w14:paraId="1BDA55D2">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val="0"/>
                <w:bCs w:val="0"/>
                <w:sz w:val="24"/>
                <w:szCs w:val="24"/>
                <w:lang w:val="en-US" w:eastAsia="zh-CN"/>
              </w:rPr>
              <w:t>高新区划出5平方公里园中园（南区），由烈山区负责建设管理。2021年9月，省政府正式批复烈山经济开发区主导产业变更为电子信息、装备制造、新能源三大产业，烈山经济开发区结合特色同时发展绿色建材产业板块。围绕主导产业，进一步加快推进电子信息、新能源产业向青龙山产业园、新蔡工业园集聚，</w:t>
            </w:r>
            <w:r>
              <w:rPr>
                <w:rFonts w:hint="eastAsia" w:ascii="Times New Roman" w:hAnsi="Times New Roman" w:eastAsia="宋体" w:cs="Times New Roman"/>
                <w:sz w:val="24"/>
                <w:szCs w:val="24"/>
                <w:lang w:val="en-US" w:eastAsia="zh-CN"/>
              </w:rPr>
              <w:t>装备制造、新材料向南区集聚</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根据《安徽淮北烈山经济开发区产业发展规划（2020-2030年）》可知，</w:t>
            </w:r>
            <w:r>
              <w:rPr>
                <w:rFonts w:hint="eastAsia" w:cs="Times New Roman"/>
                <w:sz w:val="24"/>
                <w:szCs w:val="24"/>
                <w:lang w:val="en-US" w:eastAsia="zh-CN"/>
              </w:rPr>
              <w:t>烈</w:t>
            </w:r>
            <w:r>
              <w:rPr>
                <w:rFonts w:hint="eastAsia" w:ascii="Times New Roman" w:hAnsi="Times New Roman" w:eastAsia="宋体" w:cs="Times New Roman"/>
                <w:sz w:val="24"/>
                <w:szCs w:val="24"/>
                <w:lang w:val="en-US" w:eastAsia="zh-CN"/>
              </w:rPr>
              <w:t>山经济开发区</w:t>
            </w:r>
            <w:r>
              <w:rPr>
                <w:rFonts w:hint="eastAsia" w:cs="Times New Roman"/>
                <w:b w:val="0"/>
                <w:bCs w:val="0"/>
                <w:sz w:val="24"/>
                <w:szCs w:val="24"/>
                <w:lang w:val="en-US" w:eastAsia="zh-CN"/>
              </w:rPr>
              <w:t>包含</w:t>
            </w:r>
            <w:r>
              <w:rPr>
                <w:rFonts w:hint="eastAsia" w:ascii="Times New Roman" w:hAnsi="Times New Roman" w:eastAsia="宋体" w:cs="Times New Roman"/>
                <w:b w:val="0"/>
                <w:bCs w:val="0"/>
                <w:sz w:val="24"/>
                <w:szCs w:val="24"/>
                <w:lang w:val="en-US" w:eastAsia="zh-CN"/>
              </w:rPr>
              <w:t>青龙山产业园</w:t>
            </w:r>
            <w:r>
              <w:rPr>
                <w:rFonts w:hint="eastAsia" w:cs="Times New Roman"/>
                <w:b w:val="0"/>
                <w:bCs w:val="0"/>
                <w:sz w:val="24"/>
                <w:szCs w:val="24"/>
                <w:lang w:val="en-US" w:eastAsia="zh-CN"/>
              </w:rPr>
              <w:t>，开发区</w:t>
            </w:r>
            <w:r>
              <w:rPr>
                <w:rFonts w:hint="eastAsia" w:ascii="Times New Roman" w:hAnsi="Times New Roman" w:eastAsia="宋体" w:cs="Times New Roman"/>
                <w:b w:val="0"/>
                <w:bCs w:val="0"/>
                <w:sz w:val="24"/>
                <w:szCs w:val="24"/>
                <w:lang w:val="en-US" w:eastAsia="zh-CN"/>
              </w:rPr>
              <w:t>主导产业为电子信息、装备制造、新能源。</w:t>
            </w:r>
            <w:r>
              <w:rPr>
                <w:rFonts w:hint="eastAsia" w:cs="Times New Roman"/>
                <w:b w:val="0"/>
                <w:bCs w:val="0"/>
                <w:sz w:val="24"/>
                <w:szCs w:val="24"/>
                <w:lang w:val="en-US" w:eastAsia="zh-CN"/>
              </w:rPr>
              <w:t>围绕主导产业，</w:t>
            </w:r>
            <w:r>
              <w:rPr>
                <w:rFonts w:hint="eastAsia" w:ascii="Times New Roman" w:hAnsi="Times New Roman" w:eastAsia="宋体" w:cs="Times New Roman"/>
                <w:b w:val="0"/>
                <w:bCs w:val="0"/>
                <w:sz w:val="24"/>
                <w:szCs w:val="24"/>
                <w:lang w:val="en-US" w:eastAsia="zh-CN"/>
              </w:rPr>
              <w:t>推进电子信息、新能源产业向青龙山产业园集聚</w:t>
            </w:r>
            <w:r>
              <w:rPr>
                <w:rFonts w:hint="eastAsia" w:cs="Times New Roman"/>
                <w:b w:val="0"/>
                <w:bCs w:val="0"/>
                <w:sz w:val="24"/>
                <w:szCs w:val="24"/>
                <w:lang w:val="en-US" w:eastAsia="zh-CN"/>
              </w:rPr>
              <w:t>。园区内</w:t>
            </w:r>
            <w:r>
              <w:rPr>
                <w:rFonts w:hint="eastAsia" w:ascii="Times New Roman" w:hAnsi="Times New Roman" w:eastAsia="宋体" w:cs="Times New Roman"/>
                <w:b w:val="0"/>
                <w:bCs w:val="0"/>
                <w:sz w:val="24"/>
                <w:szCs w:val="24"/>
                <w:lang w:val="en-US" w:eastAsia="zh-CN"/>
              </w:rPr>
              <w:t>禁止新建化学制浆造纸企业和印染、制革、化工、电镀、酿造等污染严重</w:t>
            </w:r>
            <w:r>
              <w:rPr>
                <w:rFonts w:hint="eastAsia" w:ascii="Times New Roman" w:hAnsi="Times New Roman" w:eastAsia="宋体" w:cs="Times New Roman"/>
                <w:sz w:val="24"/>
                <w:szCs w:val="24"/>
                <w:lang w:val="en-US" w:eastAsia="zh-CN"/>
              </w:rPr>
              <w:t>的小型企业，严格限制新建印染、制革、化工、电镀、酿造等大中型项目或者其他污染严重的项目。</w:t>
            </w:r>
          </w:p>
          <w:p w14:paraId="714B784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对照《建设项目环境影响评价分类管理名录》（2021版），本项目</w:t>
            </w:r>
            <w:r>
              <w:rPr>
                <w:rFonts w:hint="eastAsia" w:cs="Times New Roman"/>
                <w:sz w:val="24"/>
                <w:szCs w:val="24"/>
                <w:lang w:val="en-US" w:eastAsia="zh-CN"/>
              </w:rPr>
              <w:t>生产高硼硅玻璃，</w:t>
            </w:r>
            <w:r>
              <w:rPr>
                <w:rFonts w:hint="eastAsia" w:ascii="Times New Roman" w:hAnsi="Times New Roman" w:eastAsia="宋体" w:cs="Times New Roman"/>
                <w:sz w:val="24"/>
                <w:szCs w:val="24"/>
                <w:lang w:val="en-US" w:eastAsia="zh-CN"/>
              </w:rPr>
              <w:t>属于二十七、非金属矿物制品业30中“57玻璃制造 30</w:t>
            </w:r>
            <w:r>
              <w:rPr>
                <w:rFonts w:hint="eastAsia" w:cs="Times New Roman"/>
                <w:sz w:val="24"/>
                <w:szCs w:val="24"/>
                <w:lang w:val="en-US" w:eastAsia="zh-CN"/>
              </w:rPr>
              <w:t>4</w:t>
            </w:r>
            <w:r>
              <w:rPr>
                <w:rFonts w:hint="eastAsia" w:ascii="Times New Roman" w:hAnsi="Times New Roman" w:eastAsia="宋体" w:cs="Times New Roman"/>
                <w:sz w:val="24"/>
                <w:szCs w:val="24"/>
                <w:lang w:val="en-US" w:eastAsia="zh-CN"/>
              </w:rPr>
              <w:t>特种玻璃制造”</w:t>
            </w:r>
            <w:r>
              <w:rPr>
                <w:rFonts w:hint="eastAsia" w:cs="Times New Roman"/>
                <w:sz w:val="24"/>
                <w:szCs w:val="24"/>
                <w:lang w:val="en-US" w:eastAsia="zh-CN"/>
              </w:rPr>
              <w:t>、305玻璃制品制造，高硼硅玻璃可应用于光伏发电领域等，属于新能源产业，</w:t>
            </w:r>
            <w:r>
              <w:rPr>
                <w:rFonts w:hint="eastAsia" w:ascii="Times New Roman" w:hAnsi="Times New Roman" w:eastAsia="宋体" w:cs="Times New Roman"/>
                <w:sz w:val="24"/>
                <w:szCs w:val="24"/>
                <w:lang w:val="en-US" w:eastAsia="zh-CN"/>
              </w:rPr>
              <w:t>不属于安徽淮北烈山经济开发区禁止新建的企业，也不属于严格限制项目。项目已于2025年2月27日经安徽淮北烈山经开区管委会备案（项目代码：2502-340604-04-05-418170），并与安徽淮北烈山经开区管委会签署了投资协议书，可视为</w:t>
            </w:r>
            <w:r>
              <w:rPr>
                <w:rFonts w:hint="eastAsia" w:ascii="Times New Roman" w:hAnsi="Times New Roman" w:cs="Times New Roman"/>
                <w:sz w:val="24"/>
                <w:szCs w:val="24"/>
                <w:lang w:val="en-US" w:eastAsia="zh-CN"/>
              </w:rPr>
              <w:t>允许入园项目</w:t>
            </w:r>
            <w:r>
              <w:rPr>
                <w:rFonts w:hint="eastAsia" w:cs="Times New Roman"/>
                <w:sz w:val="24"/>
                <w:szCs w:val="24"/>
                <w:lang w:val="en-US" w:eastAsia="zh-CN"/>
              </w:rPr>
              <w:t>。</w:t>
            </w:r>
            <w:r>
              <w:rPr>
                <w:rFonts w:hint="eastAsia" w:ascii="Times New Roman" w:hAnsi="Times New Roman" w:cs="Times New Roman"/>
                <w:sz w:val="24"/>
                <w:szCs w:val="24"/>
                <w:lang w:val="en-US" w:eastAsia="zh-CN"/>
              </w:rPr>
              <w:t>因此，本项目与安徽淮北烈山经济开发区产业发展规划（2020-2030年）相符。</w:t>
            </w:r>
          </w:p>
          <w:p w14:paraId="75E5018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cs="宋体"/>
                <w:b/>
                <w:bCs/>
                <w:color w:val="auto"/>
                <w:sz w:val="24"/>
                <w:szCs w:val="24"/>
                <w:lang w:eastAsia="zh-CN"/>
              </w:rPr>
            </w:pPr>
            <w:r>
              <w:rPr>
                <w:rFonts w:hint="eastAsia" w:ascii="Times New Roman" w:hAnsi="Times New Roman" w:cs="宋体"/>
                <w:b/>
                <w:bCs/>
                <w:color w:val="auto"/>
                <w:sz w:val="24"/>
                <w:szCs w:val="24"/>
                <w:lang w:eastAsia="zh-CN"/>
              </w:rPr>
              <w:t>（</w:t>
            </w:r>
            <w:r>
              <w:rPr>
                <w:rFonts w:hint="eastAsia" w:ascii="Times New Roman" w:hAnsi="Times New Roman" w:cs="宋体"/>
                <w:b/>
                <w:bCs/>
                <w:color w:val="auto"/>
                <w:sz w:val="24"/>
                <w:szCs w:val="24"/>
                <w:lang w:val="en-US" w:eastAsia="zh-CN"/>
              </w:rPr>
              <w:t>2</w:t>
            </w:r>
            <w:r>
              <w:rPr>
                <w:rFonts w:hint="eastAsia" w:ascii="Times New Roman" w:hAnsi="Times New Roman" w:cs="宋体"/>
                <w:b/>
                <w:bCs/>
                <w:color w:val="auto"/>
                <w:sz w:val="24"/>
                <w:szCs w:val="24"/>
                <w:lang w:eastAsia="zh-CN"/>
              </w:rPr>
              <w:t>）与</w:t>
            </w:r>
            <w:bookmarkStart w:id="3" w:name="_Toc27564"/>
            <w:bookmarkStart w:id="4" w:name="_Toc26463"/>
            <w:r>
              <w:rPr>
                <w:rFonts w:hint="eastAsia" w:ascii="Times New Roman" w:hAnsi="Times New Roman" w:cs="宋体"/>
                <w:b/>
                <w:bCs/>
                <w:color w:val="auto"/>
                <w:sz w:val="24"/>
                <w:szCs w:val="24"/>
                <w:lang w:eastAsia="zh-CN"/>
              </w:rPr>
              <w:t>《安徽淮北烈山经济开发区产业发展规划（2020-2030年）</w:t>
            </w:r>
            <w:bookmarkEnd w:id="3"/>
            <w:bookmarkEnd w:id="4"/>
            <w:r>
              <w:rPr>
                <w:rFonts w:hint="eastAsia" w:ascii="Times New Roman" w:hAnsi="Times New Roman" w:cs="宋体"/>
                <w:b/>
                <w:bCs/>
                <w:color w:val="auto"/>
                <w:sz w:val="24"/>
                <w:szCs w:val="24"/>
                <w:lang w:eastAsia="zh-CN"/>
              </w:rPr>
              <w:t>环境影响报告书》及其审查意见</w:t>
            </w:r>
            <w:r>
              <w:rPr>
                <w:rFonts w:hint="default" w:ascii="Times New Roman" w:hAnsi="Times New Roman" w:cs="宋体"/>
                <w:b/>
                <w:bCs/>
                <w:color w:val="auto"/>
                <w:sz w:val="24"/>
                <w:szCs w:val="24"/>
                <w:lang w:eastAsia="zh-CN"/>
              </w:rPr>
              <w:t>相符性分析</w:t>
            </w:r>
          </w:p>
          <w:p w14:paraId="232023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bCs/>
                <w:sz w:val="24"/>
                <w:szCs w:val="24"/>
              </w:rPr>
            </w:pPr>
            <w:r>
              <w:rPr>
                <w:rFonts w:hint="eastAsia" w:cs="宋体"/>
                <w:sz w:val="24"/>
                <w:szCs w:val="24"/>
                <w:lang w:bidi="ar"/>
              </w:rPr>
              <w:t>2021年7月2日，安徽省生态环境厅以“皖环函〔2021〕521号”审查通过《安徽淮北烈山经济开发区产业发展规划（2020-2030年）环境影响报告书审查意见》的函，对照《安徽淮北烈山经济开发区产业发展规划（2020-2030年）环境影响报告书审查意见的函》及其审查意见的要求，本项目与之相符性如下所示：</w:t>
            </w:r>
          </w:p>
          <w:p w14:paraId="226DA91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b/>
                <w:sz w:val="24"/>
                <w:szCs w:val="24"/>
              </w:rPr>
            </w:pPr>
            <w:r>
              <w:rPr>
                <w:rFonts w:hint="eastAsia"/>
                <w:b/>
                <w:sz w:val="24"/>
                <w:szCs w:val="24"/>
              </w:rPr>
              <w:t>表1-</w:t>
            </w:r>
            <w:r>
              <w:rPr>
                <w:rFonts w:hint="eastAsia"/>
                <w:b/>
                <w:sz w:val="24"/>
                <w:szCs w:val="24"/>
                <w:lang w:val="en-US" w:eastAsia="zh-CN"/>
              </w:rPr>
              <w:t>2</w:t>
            </w:r>
            <w:r>
              <w:rPr>
                <w:rFonts w:hint="eastAsia"/>
                <w:b/>
                <w:sz w:val="24"/>
                <w:szCs w:val="24"/>
              </w:rPr>
              <w:t xml:space="preserve"> </w:t>
            </w:r>
            <w:r>
              <w:rPr>
                <w:rFonts w:hint="eastAsia"/>
                <w:b/>
                <w:sz w:val="24"/>
                <w:szCs w:val="24"/>
                <w:lang w:val="en-US" w:eastAsia="zh-CN"/>
              </w:rPr>
              <w:t xml:space="preserve"> </w:t>
            </w:r>
            <w:r>
              <w:rPr>
                <w:rFonts w:hint="eastAsia"/>
                <w:b/>
                <w:sz w:val="24"/>
                <w:szCs w:val="24"/>
              </w:rPr>
              <w:t>与《安徽淮北烈山经济开发区产业发展规划（2020-2030年）环境影响报告书审查意见》相符性一览表</w:t>
            </w:r>
          </w:p>
          <w:tbl>
            <w:tblPr>
              <w:tblStyle w:val="30"/>
              <w:tblW w:w="499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27"/>
              <w:gridCol w:w="3165"/>
              <w:gridCol w:w="3851"/>
              <w:gridCol w:w="537"/>
            </w:tblGrid>
            <w:tr w14:paraId="03F7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7" w:type="dxa"/>
                  <w:noWrap w:val="0"/>
                  <w:vAlign w:val="center"/>
                </w:tcPr>
                <w:p w14:paraId="5F57999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00000"/>
                      <w:sz w:val="21"/>
                      <w:szCs w:val="21"/>
                      <w:lang w:bidi="ar"/>
                    </w:rPr>
                  </w:pPr>
                  <w:r>
                    <w:rPr>
                      <w:rFonts w:hint="default"/>
                      <w:b/>
                      <w:bCs/>
                      <w:color w:val="000000"/>
                      <w:sz w:val="21"/>
                      <w:szCs w:val="21"/>
                      <w:lang w:bidi="ar"/>
                    </w:rPr>
                    <w:t>序号</w:t>
                  </w:r>
                </w:p>
              </w:tc>
              <w:tc>
                <w:tcPr>
                  <w:tcW w:w="3166" w:type="dxa"/>
                  <w:noWrap w:val="0"/>
                  <w:vAlign w:val="center"/>
                </w:tcPr>
                <w:p w14:paraId="598E8A3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00000"/>
                      <w:sz w:val="21"/>
                      <w:szCs w:val="21"/>
                      <w:lang w:bidi="ar"/>
                    </w:rPr>
                  </w:pPr>
                  <w:r>
                    <w:rPr>
                      <w:rFonts w:hint="default"/>
                      <w:b/>
                      <w:bCs/>
                      <w:color w:val="000000"/>
                      <w:sz w:val="21"/>
                      <w:szCs w:val="21"/>
                      <w:lang w:bidi="ar"/>
                    </w:rPr>
                    <w:t>审查意见要求</w:t>
                  </w:r>
                </w:p>
              </w:tc>
              <w:tc>
                <w:tcPr>
                  <w:tcW w:w="3852" w:type="dxa"/>
                  <w:noWrap w:val="0"/>
                  <w:vAlign w:val="center"/>
                </w:tcPr>
                <w:p w14:paraId="03DE1BA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00000"/>
                      <w:sz w:val="21"/>
                      <w:szCs w:val="21"/>
                      <w:lang w:bidi="ar"/>
                    </w:rPr>
                  </w:pPr>
                  <w:r>
                    <w:rPr>
                      <w:rFonts w:hint="default"/>
                      <w:b/>
                      <w:bCs/>
                      <w:color w:val="000000"/>
                      <w:sz w:val="21"/>
                      <w:szCs w:val="21"/>
                      <w:lang w:bidi="ar"/>
                    </w:rPr>
                    <w:t>本项目情况</w:t>
                  </w:r>
                </w:p>
              </w:tc>
              <w:tc>
                <w:tcPr>
                  <w:tcW w:w="537" w:type="dxa"/>
                  <w:noWrap w:val="0"/>
                  <w:vAlign w:val="center"/>
                </w:tcPr>
                <w:p w14:paraId="2255BC8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00000"/>
                      <w:sz w:val="21"/>
                      <w:szCs w:val="21"/>
                      <w:lang w:bidi="ar"/>
                    </w:rPr>
                  </w:pPr>
                  <w:r>
                    <w:rPr>
                      <w:rFonts w:hint="default"/>
                      <w:b/>
                      <w:bCs/>
                      <w:color w:val="000000"/>
                      <w:sz w:val="21"/>
                      <w:szCs w:val="21"/>
                      <w:lang w:bidi="ar"/>
                    </w:rPr>
                    <w:t>相符性</w:t>
                  </w:r>
                </w:p>
              </w:tc>
            </w:tr>
            <w:tr w14:paraId="74DAC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7" w:type="dxa"/>
                  <w:noWrap w:val="0"/>
                  <w:vAlign w:val="center"/>
                </w:tcPr>
                <w:p w14:paraId="4F5793F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olor w:val="000000"/>
                      <w:sz w:val="21"/>
                      <w:szCs w:val="21"/>
                      <w:lang w:bidi="ar"/>
                    </w:rPr>
                  </w:pPr>
                  <w:r>
                    <w:rPr>
                      <w:rFonts w:hint="eastAsia"/>
                      <w:color w:val="000000"/>
                      <w:sz w:val="21"/>
                      <w:szCs w:val="21"/>
                      <w:lang w:bidi="ar"/>
                    </w:rPr>
                    <w:t>1</w:t>
                  </w:r>
                </w:p>
              </w:tc>
              <w:tc>
                <w:tcPr>
                  <w:tcW w:w="3166" w:type="dxa"/>
                  <w:noWrap w:val="0"/>
                  <w:vAlign w:val="center"/>
                </w:tcPr>
                <w:p w14:paraId="18A2076C">
                  <w:pPr>
                    <w:keepNext w:val="0"/>
                    <w:keepLines w:val="0"/>
                    <w:suppressLineNumbers w:val="0"/>
                    <w:adjustRightInd w:val="0"/>
                    <w:snapToGrid w:val="0"/>
                    <w:spacing w:before="120" w:beforeLines="50" w:beforeAutospacing="0" w:after="0" w:afterAutospacing="0" w:line="240" w:lineRule="auto"/>
                    <w:ind w:left="0" w:right="0" w:firstLine="0" w:firstLineChars="0"/>
                    <w:jc w:val="left"/>
                    <w:rPr>
                      <w:rFonts w:hint="default"/>
                      <w:color w:val="000000"/>
                      <w:sz w:val="21"/>
                      <w:szCs w:val="21"/>
                      <w:lang w:bidi="ar"/>
                    </w:rPr>
                  </w:pPr>
                  <w:r>
                    <w:rPr>
                      <w:rFonts w:hint="default"/>
                      <w:color w:val="000000"/>
                      <w:sz w:val="21"/>
                      <w:szCs w:val="21"/>
                      <w:lang w:bidi="ar"/>
                    </w:rPr>
                    <w:t>产业定位</w:t>
                  </w:r>
                  <w:r>
                    <w:rPr>
                      <w:rFonts w:hint="eastAsia"/>
                      <w:color w:val="000000"/>
                      <w:sz w:val="21"/>
                      <w:szCs w:val="21"/>
                      <w:lang w:bidi="ar"/>
                    </w:rPr>
                    <w:t>：</w:t>
                  </w:r>
                  <w:r>
                    <w:rPr>
                      <w:rFonts w:hint="default"/>
                      <w:color w:val="000000"/>
                      <w:sz w:val="21"/>
                      <w:szCs w:val="21"/>
                      <w:lang w:bidi="ar"/>
                    </w:rPr>
                    <w:t>规划主导产业为电子信息、装备制造、新能源。禁止新建化学制浆造纸企业和印染、制革、化工、电镀、酿造等污染严重的小型企业，严格限制新建印染、制革、化工、电镀、酿造等大中型项目或者其他污染严重的项目</w:t>
                  </w:r>
                </w:p>
              </w:tc>
              <w:tc>
                <w:tcPr>
                  <w:tcW w:w="3852" w:type="dxa"/>
                  <w:noWrap w:val="0"/>
                  <w:vAlign w:val="center"/>
                </w:tcPr>
                <w:p w14:paraId="44258AB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000000"/>
                      <w:sz w:val="21"/>
                      <w:szCs w:val="21"/>
                      <w:lang w:bidi="ar"/>
                    </w:rPr>
                  </w:pPr>
                  <w:r>
                    <w:rPr>
                      <w:rFonts w:hint="default"/>
                      <w:color w:val="000000"/>
                      <w:sz w:val="21"/>
                      <w:szCs w:val="21"/>
                      <w:lang w:bidi="ar"/>
                    </w:rPr>
                    <w:t>对照《建设项目环境影响评价分类管理名录》</w:t>
                  </w:r>
                  <w:r>
                    <w:rPr>
                      <w:rFonts w:hint="default"/>
                      <w:color w:val="000000"/>
                      <w:sz w:val="21"/>
                      <w:szCs w:val="21"/>
                      <w:lang w:eastAsia="zh-CN" w:bidi="ar"/>
                    </w:rPr>
                    <w:t>（</w:t>
                  </w:r>
                  <w:r>
                    <w:rPr>
                      <w:rFonts w:hint="default"/>
                      <w:color w:val="000000"/>
                      <w:sz w:val="21"/>
                      <w:szCs w:val="21"/>
                      <w:lang w:val="en-US" w:eastAsia="zh-CN" w:bidi="ar"/>
                    </w:rPr>
                    <w:t>2021版</w:t>
                  </w:r>
                  <w:r>
                    <w:rPr>
                      <w:rFonts w:hint="default"/>
                      <w:color w:val="000000"/>
                      <w:sz w:val="21"/>
                      <w:szCs w:val="21"/>
                      <w:lang w:eastAsia="zh-CN" w:bidi="ar"/>
                    </w:rPr>
                    <w:t>）</w:t>
                  </w:r>
                  <w:r>
                    <w:rPr>
                      <w:rFonts w:hint="default"/>
                      <w:color w:val="000000"/>
                      <w:sz w:val="21"/>
                      <w:szCs w:val="21"/>
                      <w:lang w:bidi="ar"/>
                    </w:rPr>
                    <w:t>，</w:t>
                  </w:r>
                  <w:r>
                    <w:rPr>
                      <w:rFonts w:hint="default"/>
                      <w:color w:val="000000"/>
                      <w:sz w:val="21"/>
                      <w:szCs w:val="21"/>
                      <w:lang w:val="en-US" w:eastAsia="zh-CN" w:bidi="ar"/>
                    </w:rPr>
                    <w:t>本项目属于二十七、非金属矿物制品业30中“57玻璃制造30</w:t>
                  </w:r>
                  <w:r>
                    <w:rPr>
                      <w:rFonts w:hint="eastAsia"/>
                      <w:color w:val="000000"/>
                      <w:sz w:val="21"/>
                      <w:szCs w:val="21"/>
                      <w:lang w:val="en-US" w:eastAsia="zh-CN" w:bidi="ar"/>
                    </w:rPr>
                    <w:t>42</w:t>
                  </w:r>
                  <w:r>
                    <w:rPr>
                      <w:rFonts w:hint="default"/>
                      <w:color w:val="000000"/>
                      <w:sz w:val="21"/>
                      <w:szCs w:val="21"/>
                      <w:lang w:val="en-US" w:eastAsia="zh-CN" w:bidi="ar"/>
                    </w:rPr>
                    <w:t>特种玻璃制造</w:t>
                  </w:r>
                  <w:r>
                    <w:rPr>
                      <w:rFonts w:hint="eastAsia"/>
                      <w:color w:val="000000"/>
                      <w:sz w:val="21"/>
                      <w:szCs w:val="21"/>
                      <w:lang w:val="en-US" w:eastAsia="zh-CN" w:bidi="ar"/>
                    </w:rPr>
                    <w:t>、305玻璃制品制造</w:t>
                  </w:r>
                  <w:r>
                    <w:rPr>
                      <w:rFonts w:hint="default"/>
                      <w:color w:val="000000"/>
                      <w:sz w:val="21"/>
                      <w:szCs w:val="21"/>
                      <w:lang w:val="en-US" w:eastAsia="zh-CN" w:bidi="ar"/>
                    </w:rPr>
                    <w:t>”，不属于安徽淮北烈山经济开发区禁止新建的企业，也不属于严格限制项目。项目已于2025年2月27日经安徽淮北烈山经开区管委会备案（项目代码</w:t>
                  </w:r>
                  <w:r>
                    <w:rPr>
                      <w:rFonts w:hint="eastAsia"/>
                      <w:color w:val="000000"/>
                      <w:sz w:val="21"/>
                      <w:szCs w:val="21"/>
                      <w:lang w:val="en-US" w:eastAsia="zh-CN" w:bidi="ar"/>
                    </w:rPr>
                    <w:t>：</w:t>
                  </w:r>
                  <w:r>
                    <w:rPr>
                      <w:rFonts w:hint="default"/>
                      <w:color w:val="000000"/>
                      <w:sz w:val="21"/>
                      <w:szCs w:val="21"/>
                      <w:lang w:val="en-US" w:eastAsia="zh-CN" w:bidi="ar"/>
                    </w:rPr>
                    <w:t>2502-340604-04-05-418170），并与安徽淮北烈山经开区管委会签署了投资协议书，可视为允许入园项目</w:t>
                  </w:r>
                  <w:r>
                    <w:rPr>
                      <w:rFonts w:hint="eastAsia"/>
                      <w:color w:val="000000"/>
                      <w:sz w:val="21"/>
                      <w:szCs w:val="21"/>
                      <w:lang w:val="en-US" w:eastAsia="zh-CN" w:bidi="ar"/>
                    </w:rPr>
                    <w:t>，根据《产业结构调整指导目录（2024年本）》，本项目属于国家产业政策中鼓励类-十二建材-高硼硅玻璃产业类别</w:t>
                  </w:r>
                </w:p>
              </w:tc>
              <w:tc>
                <w:tcPr>
                  <w:tcW w:w="537" w:type="dxa"/>
                  <w:noWrap w:val="0"/>
                  <w:vAlign w:val="center"/>
                </w:tcPr>
                <w:p w14:paraId="5468B7D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olor w:val="000000"/>
                      <w:sz w:val="21"/>
                      <w:szCs w:val="21"/>
                      <w:lang w:bidi="ar"/>
                    </w:rPr>
                  </w:pPr>
                  <w:r>
                    <w:rPr>
                      <w:rFonts w:hint="eastAsia"/>
                      <w:color w:val="000000"/>
                      <w:sz w:val="21"/>
                      <w:szCs w:val="21"/>
                      <w:lang w:bidi="ar"/>
                    </w:rPr>
                    <w:t>符合</w:t>
                  </w:r>
                </w:p>
              </w:tc>
            </w:tr>
            <w:tr w14:paraId="3BD42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7" w:type="dxa"/>
                  <w:noWrap w:val="0"/>
                  <w:vAlign w:val="center"/>
                </w:tcPr>
                <w:p w14:paraId="1DDCCD7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olor w:val="000000"/>
                      <w:sz w:val="21"/>
                      <w:szCs w:val="21"/>
                      <w:lang w:bidi="ar"/>
                    </w:rPr>
                  </w:pPr>
                  <w:r>
                    <w:rPr>
                      <w:rFonts w:hint="eastAsia"/>
                      <w:color w:val="000000"/>
                      <w:sz w:val="21"/>
                      <w:szCs w:val="21"/>
                      <w:lang w:bidi="ar"/>
                    </w:rPr>
                    <w:t>2</w:t>
                  </w:r>
                </w:p>
              </w:tc>
              <w:tc>
                <w:tcPr>
                  <w:tcW w:w="3166" w:type="dxa"/>
                  <w:noWrap w:val="0"/>
                  <w:vAlign w:val="center"/>
                </w:tcPr>
                <w:p w14:paraId="16E0F6E2">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color w:val="000000"/>
                      <w:sz w:val="21"/>
                      <w:szCs w:val="21"/>
                      <w:lang w:bidi="ar"/>
                    </w:rPr>
                  </w:pPr>
                  <w:r>
                    <w:rPr>
                      <w:rFonts w:hint="default"/>
                      <w:color w:val="000000"/>
                      <w:sz w:val="21"/>
                      <w:szCs w:val="21"/>
                      <w:lang w:bidi="ar"/>
                    </w:rPr>
                    <w:t>严守环境质量底线，落实区域环境质量管控措施。应加快制定区域大气达标计划，严格执行主要污染物总量控制制度，在区域大气环境质量稳定达标前，严格限制主要大气污染物排放量大的项目入园，重点关注涉VOCs排放企业</w:t>
                  </w:r>
                </w:p>
              </w:tc>
              <w:tc>
                <w:tcPr>
                  <w:tcW w:w="3852" w:type="dxa"/>
                  <w:noWrap w:val="0"/>
                  <w:vAlign w:val="center"/>
                </w:tcPr>
                <w:p w14:paraId="0FC03DE6">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eastAsia="宋体"/>
                      <w:color w:val="000000"/>
                      <w:sz w:val="21"/>
                      <w:szCs w:val="21"/>
                      <w:lang w:val="en-US" w:eastAsia="zh-CN" w:bidi="ar"/>
                    </w:rPr>
                  </w:pPr>
                  <w:r>
                    <w:rPr>
                      <w:rFonts w:hint="eastAsia"/>
                      <w:color w:val="000000"/>
                      <w:sz w:val="21"/>
                      <w:szCs w:val="21"/>
                      <w:lang w:bidi="ar"/>
                    </w:rPr>
                    <w:t>本项目废气</w:t>
                  </w:r>
                  <w:r>
                    <w:rPr>
                      <w:rFonts w:hint="eastAsia"/>
                      <w:color w:val="000000"/>
                      <w:sz w:val="21"/>
                      <w:szCs w:val="21"/>
                      <w:lang w:val="en-US" w:eastAsia="zh-CN" w:bidi="ar"/>
                    </w:rPr>
                    <w:t>污染物主要为颗粒物，颗粒物经布袋除尘器处理后</w:t>
                  </w:r>
                  <w:r>
                    <w:rPr>
                      <w:rFonts w:hint="eastAsia"/>
                      <w:color w:val="000000"/>
                      <w:sz w:val="21"/>
                      <w:szCs w:val="21"/>
                      <w:lang w:bidi="ar"/>
                    </w:rPr>
                    <w:t>可以满足相应的标准。</w:t>
                  </w:r>
                </w:p>
              </w:tc>
              <w:tc>
                <w:tcPr>
                  <w:tcW w:w="537" w:type="dxa"/>
                  <w:noWrap w:val="0"/>
                  <w:vAlign w:val="center"/>
                </w:tcPr>
                <w:p w14:paraId="04CFB01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sz w:val="21"/>
                      <w:szCs w:val="21"/>
                      <w:lang w:bidi="ar"/>
                    </w:rPr>
                  </w:pPr>
                  <w:r>
                    <w:rPr>
                      <w:rFonts w:hint="default"/>
                      <w:color w:val="000000"/>
                      <w:sz w:val="21"/>
                      <w:szCs w:val="21"/>
                      <w:lang w:bidi="ar"/>
                    </w:rPr>
                    <w:t>符合</w:t>
                  </w:r>
                </w:p>
              </w:tc>
            </w:tr>
            <w:tr w14:paraId="7DA18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7" w:type="dxa"/>
                  <w:noWrap w:val="0"/>
                  <w:vAlign w:val="center"/>
                </w:tcPr>
                <w:p w14:paraId="313856D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olor w:val="000000"/>
                      <w:sz w:val="21"/>
                      <w:szCs w:val="21"/>
                      <w:lang w:bidi="ar"/>
                    </w:rPr>
                  </w:pPr>
                  <w:r>
                    <w:rPr>
                      <w:rFonts w:hint="eastAsia"/>
                      <w:color w:val="000000"/>
                      <w:sz w:val="21"/>
                      <w:szCs w:val="21"/>
                      <w:lang w:bidi="ar"/>
                    </w:rPr>
                    <w:t>3</w:t>
                  </w:r>
                </w:p>
              </w:tc>
              <w:tc>
                <w:tcPr>
                  <w:tcW w:w="3166" w:type="dxa"/>
                  <w:noWrap w:val="0"/>
                  <w:vAlign w:val="center"/>
                </w:tcPr>
                <w:p w14:paraId="0B1FA57E">
                  <w:pPr>
                    <w:keepNext w:val="0"/>
                    <w:keepLines w:val="0"/>
                    <w:suppressLineNumbers w:val="0"/>
                    <w:adjustRightInd w:val="0"/>
                    <w:snapToGrid w:val="0"/>
                    <w:spacing w:before="120" w:beforeLines="50" w:beforeAutospacing="0" w:after="0" w:afterAutospacing="0" w:line="240" w:lineRule="auto"/>
                    <w:ind w:left="0" w:right="0" w:firstLine="0" w:firstLineChars="0"/>
                    <w:jc w:val="left"/>
                    <w:rPr>
                      <w:rFonts w:hint="default"/>
                      <w:color w:val="000000"/>
                      <w:sz w:val="21"/>
                      <w:szCs w:val="21"/>
                      <w:lang w:bidi="ar"/>
                    </w:rPr>
                  </w:pPr>
                  <w:r>
                    <w:rPr>
                      <w:rFonts w:hint="default"/>
                      <w:color w:val="000000"/>
                      <w:sz w:val="21"/>
                      <w:szCs w:val="21"/>
                      <w:lang w:bidi="ar"/>
                    </w:rPr>
                    <w:t>现有不符合开发区发展定位、国土空间规划布局和生态环境保护要求的企业，应逐步升级改造、搬迁至合规园区或淘汰，按要求对搬迁退出地块开展场地污染调查</w:t>
                  </w:r>
                  <w:r>
                    <w:rPr>
                      <w:rFonts w:hint="eastAsia"/>
                      <w:color w:val="000000"/>
                      <w:sz w:val="21"/>
                      <w:szCs w:val="21"/>
                      <w:lang w:bidi="ar"/>
                    </w:rPr>
                    <w:t>，</w:t>
                  </w:r>
                  <w:r>
                    <w:rPr>
                      <w:rFonts w:hint="default"/>
                      <w:color w:val="000000"/>
                      <w:sz w:val="21"/>
                      <w:szCs w:val="21"/>
                      <w:lang w:bidi="ar"/>
                    </w:rPr>
                    <w:t>确保产业发展与区域生态环境保护、人居环境质量保障相协调</w:t>
                  </w:r>
                </w:p>
              </w:tc>
              <w:tc>
                <w:tcPr>
                  <w:tcW w:w="3852" w:type="dxa"/>
                  <w:noWrap w:val="0"/>
                  <w:vAlign w:val="center"/>
                </w:tcPr>
                <w:p w14:paraId="77B5E8E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000000"/>
                      <w:szCs w:val="21"/>
                      <w:lang w:bidi="ar"/>
                    </w:rPr>
                  </w:pPr>
                  <w:r>
                    <w:rPr>
                      <w:rFonts w:hint="default"/>
                      <w:color w:val="000000"/>
                      <w:sz w:val="21"/>
                      <w:szCs w:val="21"/>
                      <w:lang w:bidi="ar"/>
                    </w:rPr>
                    <w:t>对照《建设项目环境影响评价分类管理名录》</w:t>
                  </w:r>
                  <w:r>
                    <w:rPr>
                      <w:rFonts w:hint="default"/>
                      <w:color w:val="000000"/>
                      <w:sz w:val="21"/>
                      <w:szCs w:val="21"/>
                      <w:lang w:eastAsia="zh-CN" w:bidi="ar"/>
                    </w:rPr>
                    <w:t>（</w:t>
                  </w:r>
                  <w:r>
                    <w:rPr>
                      <w:rFonts w:hint="default"/>
                      <w:color w:val="000000"/>
                      <w:sz w:val="21"/>
                      <w:szCs w:val="21"/>
                      <w:lang w:val="en-US" w:eastAsia="zh-CN" w:bidi="ar"/>
                    </w:rPr>
                    <w:t>2021版</w:t>
                  </w:r>
                  <w:r>
                    <w:rPr>
                      <w:rFonts w:hint="default"/>
                      <w:color w:val="000000"/>
                      <w:sz w:val="21"/>
                      <w:szCs w:val="21"/>
                      <w:lang w:eastAsia="zh-CN" w:bidi="ar"/>
                    </w:rPr>
                    <w:t>）</w:t>
                  </w:r>
                  <w:r>
                    <w:rPr>
                      <w:rFonts w:hint="default"/>
                      <w:color w:val="000000"/>
                      <w:sz w:val="21"/>
                      <w:szCs w:val="21"/>
                      <w:lang w:bidi="ar"/>
                    </w:rPr>
                    <w:t>，</w:t>
                  </w:r>
                  <w:r>
                    <w:rPr>
                      <w:rFonts w:hint="default"/>
                      <w:color w:val="000000"/>
                      <w:sz w:val="21"/>
                      <w:szCs w:val="21"/>
                      <w:lang w:val="en-US" w:eastAsia="zh-CN" w:bidi="ar"/>
                    </w:rPr>
                    <w:t>本项目属于二十七、非金属矿物制品业30中“57玻璃制造30</w:t>
                  </w:r>
                  <w:r>
                    <w:rPr>
                      <w:rFonts w:hint="eastAsia"/>
                      <w:color w:val="000000"/>
                      <w:sz w:val="21"/>
                      <w:szCs w:val="21"/>
                      <w:lang w:val="en-US" w:eastAsia="zh-CN" w:bidi="ar"/>
                    </w:rPr>
                    <w:t>42</w:t>
                  </w:r>
                  <w:r>
                    <w:rPr>
                      <w:rFonts w:hint="default"/>
                      <w:color w:val="000000"/>
                      <w:sz w:val="21"/>
                      <w:szCs w:val="21"/>
                      <w:lang w:val="en-US" w:eastAsia="zh-CN" w:bidi="ar"/>
                    </w:rPr>
                    <w:t>特种玻璃制造</w:t>
                  </w:r>
                  <w:r>
                    <w:rPr>
                      <w:rFonts w:hint="eastAsia"/>
                      <w:color w:val="000000"/>
                      <w:sz w:val="21"/>
                      <w:szCs w:val="21"/>
                      <w:lang w:val="en-US" w:eastAsia="zh-CN" w:bidi="ar"/>
                    </w:rPr>
                    <w:t>、305玻璃制品制造</w:t>
                  </w:r>
                  <w:r>
                    <w:rPr>
                      <w:rFonts w:hint="default"/>
                      <w:color w:val="000000"/>
                      <w:sz w:val="21"/>
                      <w:szCs w:val="21"/>
                      <w:lang w:val="en-US" w:eastAsia="zh-CN" w:bidi="ar"/>
                    </w:rPr>
                    <w:t>”，不属于安徽淮北烈山经济开发区禁止新建的企业，也不属于严格限制项目。项目已于2025年2月27日经安徽淮北烈山经开区管委会备案（项目代码</w:t>
                  </w:r>
                  <w:r>
                    <w:rPr>
                      <w:rFonts w:hint="eastAsia"/>
                      <w:color w:val="000000"/>
                      <w:sz w:val="21"/>
                      <w:szCs w:val="21"/>
                      <w:lang w:val="en-US" w:eastAsia="zh-CN" w:bidi="ar"/>
                    </w:rPr>
                    <w:t>：</w:t>
                  </w:r>
                  <w:r>
                    <w:rPr>
                      <w:rFonts w:hint="default"/>
                      <w:color w:val="000000"/>
                      <w:sz w:val="21"/>
                      <w:szCs w:val="21"/>
                      <w:lang w:val="en-US" w:eastAsia="zh-CN" w:bidi="ar"/>
                    </w:rPr>
                    <w:t>2502-340604-04-05-418170），并与安徽淮北烈山经开区管委会签署了投资协议书，可视为允许入园项目</w:t>
                  </w:r>
                  <w:r>
                    <w:rPr>
                      <w:rFonts w:hint="eastAsia"/>
                      <w:color w:val="000000"/>
                      <w:sz w:val="21"/>
                      <w:szCs w:val="21"/>
                      <w:lang w:val="en-US" w:eastAsia="zh-CN" w:bidi="ar"/>
                    </w:rPr>
                    <w:t>，根据《产业结构调整指导目录（2024年本）》，本项目属于国家产业政策中鼓励类-十二建材-高硼硅玻璃产业类别</w:t>
                  </w:r>
                </w:p>
              </w:tc>
              <w:tc>
                <w:tcPr>
                  <w:tcW w:w="537" w:type="dxa"/>
                  <w:noWrap w:val="0"/>
                  <w:vAlign w:val="center"/>
                </w:tcPr>
                <w:p w14:paraId="6D3BE0F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sz w:val="21"/>
                      <w:szCs w:val="21"/>
                      <w:lang w:bidi="ar"/>
                    </w:rPr>
                  </w:pPr>
                  <w:r>
                    <w:rPr>
                      <w:rFonts w:hint="default"/>
                      <w:color w:val="000000"/>
                      <w:sz w:val="21"/>
                      <w:szCs w:val="21"/>
                      <w:lang w:bidi="ar"/>
                    </w:rPr>
                    <w:t>符合</w:t>
                  </w:r>
                </w:p>
              </w:tc>
            </w:tr>
            <w:tr w14:paraId="214C5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7" w:type="dxa"/>
                  <w:noWrap w:val="0"/>
                  <w:vAlign w:val="center"/>
                </w:tcPr>
                <w:p w14:paraId="2B83ADB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olor w:val="000000"/>
                      <w:sz w:val="21"/>
                      <w:szCs w:val="21"/>
                      <w:lang w:bidi="ar"/>
                    </w:rPr>
                  </w:pPr>
                  <w:r>
                    <w:rPr>
                      <w:rFonts w:hint="eastAsia"/>
                      <w:color w:val="000000"/>
                      <w:sz w:val="21"/>
                      <w:szCs w:val="21"/>
                      <w:lang w:bidi="ar"/>
                    </w:rPr>
                    <w:t>4</w:t>
                  </w:r>
                </w:p>
              </w:tc>
              <w:tc>
                <w:tcPr>
                  <w:tcW w:w="3166" w:type="dxa"/>
                  <w:noWrap w:val="0"/>
                  <w:vAlign w:val="center"/>
                </w:tcPr>
                <w:p w14:paraId="05A4DCDD">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color w:val="000000"/>
                      <w:sz w:val="21"/>
                      <w:szCs w:val="21"/>
                      <w:lang w:bidi="ar"/>
                    </w:rPr>
                  </w:pPr>
                  <w:r>
                    <w:rPr>
                      <w:rFonts w:hint="default"/>
                      <w:color w:val="000000"/>
                      <w:sz w:val="21"/>
                      <w:szCs w:val="21"/>
                      <w:lang w:bidi="ar"/>
                    </w:rPr>
                    <w:t>结合区域供水、排水和供气</w:t>
                  </w:r>
                  <w:r>
                    <w:rPr>
                      <w:rFonts w:hint="eastAsia"/>
                      <w:color w:val="000000"/>
                      <w:sz w:val="21"/>
                      <w:szCs w:val="21"/>
                      <w:lang w:bidi="ar"/>
                    </w:rPr>
                    <w:t>（</w:t>
                  </w:r>
                  <w:r>
                    <w:rPr>
                      <w:rFonts w:hint="default"/>
                      <w:color w:val="000000"/>
                      <w:sz w:val="21"/>
                      <w:szCs w:val="21"/>
                      <w:lang w:bidi="ar"/>
                    </w:rPr>
                    <w:t>供热</w:t>
                  </w:r>
                  <w:r>
                    <w:rPr>
                      <w:rFonts w:hint="eastAsia"/>
                      <w:color w:val="000000"/>
                      <w:sz w:val="21"/>
                      <w:szCs w:val="21"/>
                      <w:lang w:bidi="ar"/>
                    </w:rPr>
                    <w:t>）</w:t>
                  </w:r>
                  <w:r>
                    <w:rPr>
                      <w:rFonts w:hint="default"/>
                      <w:color w:val="000000"/>
                      <w:sz w:val="21"/>
                      <w:szCs w:val="21"/>
                      <w:lang w:bidi="ar"/>
                    </w:rPr>
                    <w:t>等规划，合理确定开发规模、强度和时序，在依托的污水处理厂未达到相应处理能力之前，严格限制污水排放量大的项目建设</w:t>
                  </w:r>
                  <w:r>
                    <w:rPr>
                      <w:rFonts w:hint="eastAsia"/>
                      <w:color w:val="000000"/>
                      <w:sz w:val="21"/>
                      <w:szCs w:val="21"/>
                      <w:lang w:bidi="ar"/>
                    </w:rPr>
                    <w:t>，</w:t>
                  </w:r>
                  <w:r>
                    <w:rPr>
                      <w:rFonts w:hint="default"/>
                      <w:color w:val="000000"/>
                      <w:sz w:val="21"/>
                      <w:szCs w:val="21"/>
                      <w:lang w:bidi="ar"/>
                    </w:rPr>
                    <w:t>并按计划关闭公共供水管网覆盖范围内地下水自备井，严格落实地下水开采相关管控要求</w:t>
                  </w:r>
                </w:p>
              </w:tc>
              <w:tc>
                <w:tcPr>
                  <w:tcW w:w="3852" w:type="dxa"/>
                  <w:noWrap w:val="0"/>
                  <w:vAlign w:val="center"/>
                </w:tcPr>
                <w:p w14:paraId="138C85B1">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eastAsia="宋体"/>
                      <w:color w:val="000000"/>
                      <w:sz w:val="21"/>
                      <w:szCs w:val="21"/>
                      <w:lang w:val="en-US" w:eastAsia="zh-CN" w:bidi="ar"/>
                    </w:rPr>
                  </w:pPr>
                  <w:r>
                    <w:rPr>
                      <w:rFonts w:hint="eastAsia"/>
                      <w:color w:val="auto"/>
                      <w:sz w:val="21"/>
                      <w:szCs w:val="21"/>
                      <w:lang w:bidi="ar"/>
                    </w:rPr>
                    <w:t>本项目供水由园区供水管网供给，不涉及地下水自备井；</w:t>
                  </w:r>
                  <w:r>
                    <w:rPr>
                      <w:rFonts w:hint="eastAsia"/>
                      <w:color w:val="auto"/>
                      <w:sz w:val="21"/>
                      <w:szCs w:val="21"/>
                      <w:lang w:val="en-US" w:eastAsia="zh-CN" w:bidi="ar"/>
                    </w:rPr>
                    <w:t>场内雨污分流、雨水排入雨水管网，经化粪池预处理生活污水与定期排放的循环冷却定期排污水，汇同纯水制备浓水接管进入淮北蓝海水处理有限公司进一步处理，处理达标后部分作为平山电厂冷却循环水，剩余部分排入萧濉新河</w:t>
                  </w:r>
                  <w:r>
                    <w:rPr>
                      <w:rFonts w:hint="eastAsia"/>
                      <w:color w:val="auto"/>
                      <w:sz w:val="21"/>
                      <w:szCs w:val="21"/>
                      <w:lang w:bidi="ar"/>
                    </w:rPr>
                    <w:t>。本项目</w:t>
                  </w:r>
                  <w:r>
                    <w:rPr>
                      <w:rFonts w:hint="eastAsia"/>
                      <w:color w:val="auto"/>
                      <w:sz w:val="21"/>
                      <w:szCs w:val="21"/>
                      <w:lang w:val="en-US" w:eastAsia="zh-CN" w:bidi="ar"/>
                    </w:rPr>
                    <w:t>废水产生量较少</w:t>
                  </w:r>
                  <w:r>
                    <w:rPr>
                      <w:rFonts w:hint="eastAsia"/>
                      <w:color w:val="auto"/>
                      <w:sz w:val="21"/>
                      <w:szCs w:val="21"/>
                      <w:lang w:bidi="ar"/>
                    </w:rPr>
                    <w:t>，淮北蓝海水处</w:t>
                  </w:r>
                  <w:r>
                    <w:rPr>
                      <w:rFonts w:hint="eastAsia"/>
                      <w:color w:val="000000"/>
                      <w:sz w:val="21"/>
                      <w:szCs w:val="21"/>
                      <w:lang w:bidi="ar"/>
                    </w:rPr>
                    <w:t>理有限公司完全有能力接收本项目废水，在水量上不会对污水处理厂造成冲击。可确保本项目接管处理的废水得到有效处理</w:t>
                  </w:r>
                </w:p>
              </w:tc>
              <w:tc>
                <w:tcPr>
                  <w:tcW w:w="537" w:type="dxa"/>
                  <w:noWrap w:val="0"/>
                  <w:vAlign w:val="center"/>
                </w:tcPr>
                <w:p w14:paraId="7485459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sz w:val="21"/>
                      <w:szCs w:val="21"/>
                      <w:lang w:bidi="ar"/>
                    </w:rPr>
                  </w:pPr>
                  <w:r>
                    <w:rPr>
                      <w:rFonts w:hint="default"/>
                      <w:color w:val="000000"/>
                      <w:sz w:val="21"/>
                      <w:szCs w:val="21"/>
                      <w:lang w:bidi="ar"/>
                    </w:rPr>
                    <w:t>符合</w:t>
                  </w:r>
                </w:p>
              </w:tc>
            </w:tr>
            <w:tr w14:paraId="55A6C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7" w:type="dxa"/>
                  <w:noWrap w:val="0"/>
                  <w:vAlign w:val="center"/>
                </w:tcPr>
                <w:p w14:paraId="0C6E16E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olor w:val="000000"/>
                      <w:sz w:val="21"/>
                      <w:szCs w:val="21"/>
                      <w:lang w:bidi="ar"/>
                    </w:rPr>
                  </w:pPr>
                  <w:r>
                    <w:rPr>
                      <w:rFonts w:hint="eastAsia"/>
                      <w:color w:val="000000"/>
                      <w:sz w:val="21"/>
                      <w:szCs w:val="21"/>
                      <w:lang w:bidi="ar"/>
                    </w:rPr>
                    <w:t>5</w:t>
                  </w:r>
                </w:p>
              </w:tc>
              <w:tc>
                <w:tcPr>
                  <w:tcW w:w="3166" w:type="dxa"/>
                  <w:noWrap w:val="0"/>
                  <w:vAlign w:val="center"/>
                </w:tcPr>
                <w:p w14:paraId="3DA1AF6D">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color w:val="000000"/>
                      <w:sz w:val="21"/>
                      <w:szCs w:val="21"/>
                      <w:lang w:bidi="ar"/>
                    </w:rPr>
                  </w:pPr>
                  <w:r>
                    <w:rPr>
                      <w:rFonts w:hint="default"/>
                      <w:color w:val="000000"/>
                      <w:sz w:val="21"/>
                      <w:szCs w:val="21"/>
                      <w:lang w:bidi="ar"/>
                    </w:rPr>
                    <w:t>根据国家和区域发展战略，结合区域生态环境质量现状、省市</w:t>
                  </w:r>
                  <w:r>
                    <w:rPr>
                      <w:rFonts w:hint="eastAsia"/>
                      <w:color w:val="000000"/>
                      <w:sz w:val="21"/>
                      <w:szCs w:val="21"/>
                      <w:lang w:bidi="ar"/>
                    </w:rPr>
                    <w:t>“</w:t>
                  </w:r>
                  <w:r>
                    <w:rPr>
                      <w:rFonts w:hint="default"/>
                      <w:color w:val="000000"/>
                      <w:sz w:val="21"/>
                      <w:szCs w:val="21"/>
                      <w:lang w:bidi="ar"/>
                    </w:rPr>
                    <w:t>三线一单</w:t>
                  </w:r>
                  <w:r>
                    <w:rPr>
                      <w:rFonts w:hint="eastAsia"/>
                      <w:color w:val="000000"/>
                      <w:sz w:val="21"/>
                      <w:szCs w:val="21"/>
                      <w:lang w:bidi="ar"/>
                    </w:rPr>
                    <w:t>”</w:t>
                  </w:r>
                  <w:r>
                    <w:rPr>
                      <w:rFonts w:hint="default"/>
                      <w:color w:val="000000"/>
                      <w:sz w:val="21"/>
                      <w:szCs w:val="21"/>
                      <w:lang w:bidi="ar"/>
                    </w:rPr>
                    <w:t>成果，严格落实《报告书》生态环境准入要求，禁止与规划主导产业不相关的</w:t>
                  </w:r>
                  <w:r>
                    <w:rPr>
                      <w:rFonts w:hint="eastAsia"/>
                      <w:color w:val="000000"/>
                      <w:sz w:val="21"/>
                      <w:szCs w:val="21"/>
                      <w:lang w:bidi="ar"/>
                    </w:rPr>
                    <w:t>“两高”</w:t>
                  </w:r>
                  <w:r>
                    <w:rPr>
                      <w:rFonts w:hint="default"/>
                      <w:color w:val="000000"/>
                      <w:sz w:val="21"/>
                      <w:szCs w:val="21"/>
                      <w:lang w:bidi="ar"/>
                    </w:rPr>
                    <w:t>项目入区，引进项目的生产工艺、设备、自动化水平，以及单位产品能耗、污染物排放等均需达到国内同行业先进水平</w:t>
                  </w:r>
                </w:p>
              </w:tc>
              <w:tc>
                <w:tcPr>
                  <w:tcW w:w="3852" w:type="dxa"/>
                  <w:noWrap w:val="0"/>
                  <w:vAlign w:val="center"/>
                </w:tcPr>
                <w:p w14:paraId="755E8C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eastAsia="宋体"/>
                      <w:color w:val="000000"/>
                      <w:sz w:val="21"/>
                      <w:szCs w:val="21"/>
                      <w:lang w:eastAsia="zh-CN" w:bidi="ar"/>
                    </w:rPr>
                  </w:pPr>
                  <w:r>
                    <w:rPr>
                      <w:rFonts w:hint="default"/>
                      <w:color w:val="000000"/>
                      <w:sz w:val="21"/>
                      <w:szCs w:val="21"/>
                      <w:lang w:bidi="ar"/>
                    </w:rPr>
                    <w:t>对照《建设项目环境影响评价分类管理名录》</w:t>
                  </w:r>
                  <w:r>
                    <w:rPr>
                      <w:rFonts w:hint="default"/>
                      <w:color w:val="000000"/>
                      <w:sz w:val="21"/>
                      <w:szCs w:val="21"/>
                      <w:lang w:eastAsia="zh-CN" w:bidi="ar"/>
                    </w:rPr>
                    <w:t>（</w:t>
                  </w:r>
                  <w:r>
                    <w:rPr>
                      <w:rFonts w:hint="default"/>
                      <w:color w:val="000000"/>
                      <w:sz w:val="21"/>
                      <w:szCs w:val="21"/>
                      <w:lang w:val="en-US" w:eastAsia="zh-CN" w:bidi="ar"/>
                    </w:rPr>
                    <w:t>2021版</w:t>
                  </w:r>
                  <w:r>
                    <w:rPr>
                      <w:rFonts w:hint="default"/>
                      <w:color w:val="000000"/>
                      <w:sz w:val="21"/>
                      <w:szCs w:val="21"/>
                      <w:lang w:eastAsia="zh-CN" w:bidi="ar"/>
                    </w:rPr>
                    <w:t>）</w:t>
                  </w:r>
                  <w:r>
                    <w:rPr>
                      <w:rFonts w:hint="default"/>
                      <w:color w:val="000000"/>
                      <w:sz w:val="21"/>
                      <w:szCs w:val="21"/>
                      <w:lang w:bidi="ar"/>
                    </w:rPr>
                    <w:t>，</w:t>
                  </w:r>
                  <w:r>
                    <w:rPr>
                      <w:rFonts w:hint="default"/>
                      <w:color w:val="000000"/>
                      <w:sz w:val="21"/>
                      <w:szCs w:val="21"/>
                      <w:lang w:val="en-US" w:eastAsia="zh-CN" w:bidi="ar"/>
                    </w:rPr>
                    <w:t>本项目属于二十七、非金属矿物制品业30中“57玻璃制造30</w:t>
                  </w:r>
                  <w:r>
                    <w:rPr>
                      <w:rFonts w:hint="eastAsia"/>
                      <w:color w:val="000000"/>
                      <w:sz w:val="21"/>
                      <w:szCs w:val="21"/>
                      <w:lang w:val="en-US" w:eastAsia="zh-CN" w:bidi="ar"/>
                    </w:rPr>
                    <w:t>42</w:t>
                  </w:r>
                  <w:r>
                    <w:rPr>
                      <w:rFonts w:hint="default"/>
                      <w:color w:val="000000"/>
                      <w:sz w:val="21"/>
                      <w:szCs w:val="21"/>
                      <w:lang w:val="en-US" w:eastAsia="zh-CN" w:bidi="ar"/>
                    </w:rPr>
                    <w:t>特种玻璃制造</w:t>
                  </w:r>
                  <w:r>
                    <w:rPr>
                      <w:rFonts w:hint="eastAsia"/>
                      <w:color w:val="000000"/>
                      <w:sz w:val="21"/>
                      <w:szCs w:val="21"/>
                      <w:lang w:val="en-US" w:eastAsia="zh-CN" w:bidi="ar"/>
                    </w:rPr>
                    <w:t>、305玻璃制品制造</w:t>
                  </w:r>
                  <w:r>
                    <w:rPr>
                      <w:rFonts w:hint="default"/>
                      <w:color w:val="000000"/>
                      <w:sz w:val="21"/>
                      <w:szCs w:val="21"/>
                      <w:lang w:val="en-US" w:eastAsia="zh-CN" w:bidi="ar"/>
                    </w:rPr>
                    <w:t>”，不属于安徽淮北烈山经济开发区禁止新建的企业，也不属于严格限制项目。项目已于2025年2月27日经安徽淮北烈山经开区管委会备案（项目代码</w:t>
                  </w:r>
                  <w:r>
                    <w:rPr>
                      <w:rFonts w:hint="eastAsia"/>
                      <w:color w:val="000000"/>
                      <w:sz w:val="21"/>
                      <w:szCs w:val="21"/>
                      <w:lang w:val="en-US" w:eastAsia="zh-CN" w:bidi="ar"/>
                    </w:rPr>
                    <w:t>：</w:t>
                  </w:r>
                  <w:r>
                    <w:rPr>
                      <w:rFonts w:hint="default"/>
                      <w:color w:val="000000"/>
                      <w:sz w:val="21"/>
                      <w:szCs w:val="21"/>
                      <w:lang w:val="en-US" w:eastAsia="zh-CN" w:bidi="ar"/>
                    </w:rPr>
                    <w:t>2502-340604-04-05-418170），并与安徽淮北烈山经开区管委会签署了投资协议书，可视为允许入园项目</w:t>
                  </w:r>
                  <w:r>
                    <w:rPr>
                      <w:rFonts w:hint="eastAsia"/>
                      <w:color w:val="000000"/>
                      <w:sz w:val="21"/>
                      <w:szCs w:val="21"/>
                      <w:lang w:val="en-US" w:eastAsia="zh-CN" w:bidi="ar"/>
                    </w:rPr>
                    <w:t>。</w:t>
                  </w:r>
                  <w:r>
                    <w:rPr>
                      <w:rFonts w:hint="default"/>
                      <w:color w:val="000000"/>
                      <w:sz w:val="21"/>
                      <w:szCs w:val="21"/>
                      <w:lang w:bidi="ar"/>
                    </w:rPr>
                    <w:t>属于《产业结构调整指导目录》中</w:t>
                  </w:r>
                  <w:r>
                    <w:rPr>
                      <w:rFonts w:hint="eastAsia"/>
                      <w:color w:val="000000"/>
                      <w:sz w:val="21"/>
                      <w:szCs w:val="21"/>
                      <w:lang w:val="en-US" w:eastAsia="zh-CN" w:bidi="ar"/>
                    </w:rPr>
                    <w:t>鼓励类</w:t>
                  </w:r>
                  <w:r>
                    <w:rPr>
                      <w:rFonts w:hint="default"/>
                      <w:color w:val="000000"/>
                      <w:sz w:val="21"/>
                      <w:szCs w:val="21"/>
                      <w:lang w:bidi="ar"/>
                    </w:rPr>
                    <w:t>行业，</w:t>
                  </w:r>
                  <w:r>
                    <w:rPr>
                      <w:rFonts w:hint="default"/>
                      <w:color w:val="000000"/>
                      <w:sz w:val="21"/>
                      <w:szCs w:val="21"/>
                      <w:lang w:val="en-US" w:eastAsia="zh-CN" w:bidi="ar"/>
                    </w:rPr>
                    <w:t>属于</w:t>
                  </w:r>
                  <w:r>
                    <w:rPr>
                      <w:rFonts w:hint="eastAsia"/>
                      <w:color w:val="000000"/>
                      <w:sz w:val="21"/>
                      <w:szCs w:val="21"/>
                      <w:lang w:val="en-US" w:eastAsia="zh-CN" w:bidi="ar"/>
                    </w:rPr>
                    <w:t>招商引资</w:t>
                  </w:r>
                  <w:r>
                    <w:rPr>
                      <w:rFonts w:hint="default"/>
                      <w:color w:val="000000"/>
                      <w:sz w:val="21"/>
                      <w:szCs w:val="21"/>
                      <w:lang w:val="en-US" w:eastAsia="zh-CN" w:bidi="ar"/>
                    </w:rPr>
                    <w:t>项目</w:t>
                  </w:r>
                  <w:r>
                    <w:rPr>
                      <w:rFonts w:hint="eastAsia"/>
                      <w:color w:val="000000"/>
                      <w:sz w:val="21"/>
                      <w:szCs w:val="21"/>
                      <w:lang w:bidi="ar"/>
                    </w:rPr>
                    <w:t>。采用先进的设备及生产工艺</w:t>
                  </w:r>
                  <w:r>
                    <w:rPr>
                      <w:rFonts w:hint="eastAsia"/>
                      <w:color w:val="000000"/>
                      <w:sz w:val="21"/>
                      <w:szCs w:val="21"/>
                      <w:lang w:eastAsia="zh-CN" w:bidi="ar"/>
                    </w:rPr>
                    <w:t>，</w:t>
                  </w:r>
                  <w:r>
                    <w:rPr>
                      <w:rFonts w:hint="eastAsia"/>
                      <w:color w:val="000000"/>
                      <w:sz w:val="21"/>
                      <w:szCs w:val="21"/>
                      <w:lang w:val="en-US" w:eastAsia="zh-CN" w:bidi="ar"/>
                    </w:rPr>
                    <w:t>根据《产业结构调整指导目录（2024年本）》，本项目属于国家产业政策中鼓励类-十二建材-高硼硅玻璃产业类别</w:t>
                  </w:r>
                </w:p>
              </w:tc>
              <w:tc>
                <w:tcPr>
                  <w:tcW w:w="537" w:type="dxa"/>
                  <w:noWrap w:val="0"/>
                  <w:vAlign w:val="center"/>
                </w:tcPr>
                <w:p w14:paraId="312069C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sz w:val="21"/>
                      <w:szCs w:val="21"/>
                      <w:lang w:bidi="ar"/>
                    </w:rPr>
                  </w:pPr>
                  <w:r>
                    <w:rPr>
                      <w:rFonts w:hint="default"/>
                      <w:color w:val="000000"/>
                      <w:sz w:val="21"/>
                      <w:szCs w:val="21"/>
                      <w:lang w:bidi="ar"/>
                    </w:rPr>
                    <w:t>符合</w:t>
                  </w:r>
                </w:p>
              </w:tc>
            </w:tr>
            <w:tr w14:paraId="62C2E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7" w:type="dxa"/>
                  <w:noWrap w:val="0"/>
                  <w:vAlign w:val="center"/>
                </w:tcPr>
                <w:p w14:paraId="7EE934A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sz w:val="21"/>
                      <w:szCs w:val="21"/>
                      <w:lang w:bidi="ar"/>
                    </w:rPr>
                  </w:pPr>
                  <w:r>
                    <w:rPr>
                      <w:rFonts w:hint="eastAsia"/>
                      <w:color w:val="000000"/>
                      <w:sz w:val="21"/>
                      <w:szCs w:val="21"/>
                      <w:lang w:bidi="ar"/>
                    </w:rPr>
                    <w:t>6</w:t>
                  </w:r>
                </w:p>
              </w:tc>
              <w:tc>
                <w:tcPr>
                  <w:tcW w:w="3166" w:type="dxa"/>
                  <w:noWrap w:val="0"/>
                  <w:vAlign w:val="center"/>
                </w:tcPr>
                <w:p w14:paraId="46FADB9E">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color w:val="000000"/>
                      <w:sz w:val="21"/>
                      <w:szCs w:val="21"/>
                      <w:lang w:bidi="ar"/>
                    </w:rPr>
                  </w:pPr>
                  <w:r>
                    <w:rPr>
                      <w:rFonts w:hint="default"/>
                      <w:color w:val="000000"/>
                      <w:sz w:val="21"/>
                      <w:szCs w:val="21"/>
                      <w:lang w:bidi="ar"/>
                    </w:rPr>
                    <w:t>完善环境监测体系，强化环境风险防控。健全区域风险防范体系，强化开发区环境监测与预警能力建设、环境风险应急与防范措施、突发环境事件响应与管理等，加强开发区内重大环境风险源的管控，定期开展环境应急演练。加强日常环境监管，落实区域环境管理要求。强化开发区环境管理队伍建设,严格落实环境影响评价和排污许可制度，督促现有入园企业及时完成竣工环境保护设施验收。适时开展规划环境影响跟踪评价</w:t>
                  </w:r>
                </w:p>
              </w:tc>
              <w:tc>
                <w:tcPr>
                  <w:tcW w:w="3852" w:type="dxa"/>
                  <w:noWrap w:val="0"/>
                  <w:vAlign w:val="center"/>
                </w:tcPr>
                <w:p w14:paraId="001B7036">
                  <w:pPr>
                    <w:keepNext w:val="0"/>
                    <w:keepLines w:val="0"/>
                    <w:suppressLineNumbers w:val="0"/>
                    <w:adjustRightInd w:val="0"/>
                    <w:snapToGrid w:val="0"/>
                    <w:spacing w:before="0" w:beforeAutospacing="0" w:after="0" w:afterAutospacing="0" w:line="240" w:lineRule="auto"/>
                    <w:ind w:left="0" w:right="0" w:firstLine="0" w:firstLineChars="0"/>
                    <w:jc w:val="left"/>
                    <w:rPr>
                      <w:rFonts w:hint="default"/>
                      <w:color w:val="000000"/>
                      <w:sz w:val="21"/>
                      <w:szCs w:val="21"/>
                      <w:lang w:bidi="ar"/>
                    </w:rPr>
                  </w:pPr>
                  <w:r>
                    <w:rPr>
                      <w:rFonts w:hint="default"/>
                      <w:color w:val="000000"/>
                      <w:sz w:val="21"/>
                      <w:szCs w:val="21"/>
                      <w:lang w:bidi="ar"/>
                    </w:rPr>
                    <w:t>企业承诺认真履行有关环境保护法律法规，</w:t>
                  </w:r>
                  <w:r>
                    <w:rPr>
                      <w:rFonts w:hint="eastAsia"/>
                      <w:color w:val="000000"/>
                      <w:sz w:val="21"/>
                      <w:szCs w:val="21"/>
                      <w:lang w:bidi="ar"/>
                    </w:rPr>
                    <w:t>制定</w:t>
                  </w:r>
                  <w:r>
                    <w:rPr>
                      <w:rFonts w:hint="default"/>
                      <w:color w:val="000000"/>
                      <w:sz w:val="21"/>
                      <w:szCs w:val="21"/>
                      <w:lang w:bidi="ar"/>
                    </w:rPr>
                    <w:t>环境风险应急</w:t>
                  </w:r>
                  <w:r>
                    <w:rPr>
                      <w:rFonts w:hint="eastAsia"/>
                      <w:color w:val="000000"/>
                      <w:sz w:val="21"/>
                      <w:szCs w:val="21"/>
                      <w:lang w:bidi="ar"/>
                    </w:rPr>
                    <w:t>预案，</w:t>
                  </w:r>
                  <w:r>
                    <w:rPr>
                      <w:rFonts w:hint="default"/>
                      <w:color w:val="000000"/>
                      <w:sz w:val="21"/>
                      <w:szCs w:val="21"/>
                      <w:lang w:bidi="ar"/>
                    </w:rPr>
                    <w:t>定期开展环境应急演练</w:t>
                  </w:r>
                  <w:r>
                    <w:rPr>
                      <w:rFonts w:hint="eastAsia"/>
                      <w:color w:val="000000"/>
                      <w:sz w:val="21"/>
                      <w:szCs w:val="21"/>
                      <w:lang w:bidi="ar"/>
                    </w:rPr>
                    <w:t>；待项目建成后根据</w:t>
                  </w:r>
                  <w:r>
                    <w:rPr>
                      <w:rFonts w:hint="default"/>
                      <w:color w:val="000000"/>
                      <w:sz w:val="21"/>
                      <w:szCs w:val="21"/>
                      <w:lang w:bidi="ar"/>
                    </w:rPr>
                    <w:t>环境影响评价和排污许可制度，</w:t>
                  </w:r>
                  <w:r>
                    <w:rPr>
                      <w:rFonts w:hint="eastAsia"/>
                      <w:color w:val="000000"/>
                      <w:sz w:val="21"/>
                      <w:szCs w:val="21"/>
                      <w:lang w:bidi="ar"/>
                    </w:rPr>
                    <w:t>按时对污染物排放进行检测。</w:t>
                  </w:r>
                  <w:r>
                    <w:rPr>
                      <w:rFonts w:hint="default"/>
                      <w:color w:val="000000"/>
                      <w:sz w:val="21"/>
                      <w:szCs w:val="21"/>
                      <w:lang w:bidi="ar"/>
                    </w:rPr>
                    <w:t>企业承诺认真履行有关环境保护法律法规，严格落实环境影响评价和排污许可制度，</w:t>
                  </w:r>
                  <w:r>
                    <w:rPr>
                      <w:rFonts w:hint="eastAsia"/>
                      <w:color w:val="000000"/>
                      <w:sz w:val="21"/>
                      <w:szCs w:val="21"/>
                      <w:lang w:bidi="ar"/>
                    </w:rPr>
                    <w:t>待项目建成试运行后</w:t>
                  </w:r>
                  <w:r>
                    <w:rPr>
                      <w:rFonts w:hint="default"/>
                      <w:color w:val="000000"/>
                      <w:sz w:val="21"/>
                      <w:szCs w:val="21"/>
                      <w:lang w:bidi="ar"/>
                    </w:rPr>
                    <w:t>及时完成竣工环境保护设施验收</w:t>
                  </w:r>
                </w:p>
              </w:tc>
              <w:tc>
                <w:tcPr>
                  <w:tcW w:w="537" w:type="dxa"/>
                  <w:noWrap w:val="0"/>
                  <w:vAlign w:val="center"/>
                </w:tcPr>
                <w:p w14:paraId="00F181F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00000"/>
                      <w:sz w:val="21"/>
                      <w:szCs w:val="21"/>
                      <w:lang w:bidi="ar"/>
                    </w:rPr>
                  </w:pPr>
                  <w:r>
                    <w:rPr>
                      <w:rFonts w:hint="default"/>
                      <w:color w:val="000000"/>
                      <w:sz w:val="21"/>
                      <w:szCs w:val="21"/>
                      <w:lang w:bidi="ar"/>
                    </w:rPr>
                    <w:t>符合</w:t>
                  </w:r>
                </w:p>
              </w:tc>
            </w:tr>
          </w:tbl>
          <w:p w14:paraId="493AA3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eastAsia="宋体"/>
                <w:kern w:val="0"/>
                <w:sz w:val="24"/>
                <w:szCs w:val="24"/>
                <w:lang w:eastAsia="zh-CN"/>
              </w:rPr>
            </w:pPr>
          </w:p>
        </w:tc>
      </w:tr>
      <w:tr w14:paraId="71FC8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tcBorders>
              <w:bottom w:val="single" w:color="auto" w:sz="8" w:space="0"/>
            </w:tcBorders>
            <w:vAlign w:val="center"/>
          </w:tcPr>
          <w:p w14:paraId="760AF5F2">
            <w:pPr>
              <w:keepNext w:val="0"/>
              <w:keepLines w:val="0"/>
              <w:suppressLineNumbers w:val="0"/>
              <w:autoSpaceDE w:val="0"/>
              <w:autoSpaceDN w:val="0"/>
              <w:spacing w:before="0" w:beforeAutospacing="0" w:after="0" w:afterAutospacing="0" w:line="240" w:lineRule="auto"/>
              <w:ind w:left="0" w:right="0"/>
              <w:jc w:val="center"/>
              <w:rPr>
                <w:rFonts w:hint="default"/>
                <w:kern w:val="0"/>
                <w:sz w:val="24"/>
                <w:szCs w:val="24"/>
              </w:rPr>
            </w:pPr>
            <w:r>
              <w:rPr>
                <w:rFonts w:hint="eastAsia" w:cs="宋体"/>
                <w:kern w:val="0"/>
                <w:sz w:val="24"/>
                <w:szCs w:val="24"/>
              </w:rPr>
              <w:t>其他符合性分析</w:t>
            </w:r>
          </w:p>
        </w:tc>
        <w:tc>
          <w:tcPr>
            <w:tcW w:w="8428" w:type="dxa"/>
            <w:tcBorders>
              <w:bottom w:val="single" w:color="auto" w:sz="8" w:space="0"/>
            </w:tcBorders>
            <w:vAlign w:val="center"/>
          </w:tcPr>
          <w:p w14:paraId="3FC4DEF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jc w:val="left"/>
              <w:textAlignment w:val="auto"/>
              <w:rPr>
                <w:rFonts w:hint="default" w:ascii="Times New Roman" w:hAnsi="Times New Roman" w:cs="Times New Roman"/>
                <w:b/>
                <w:bCs/>
                <w:kern w:val="0"/>
                <w:sz w:val="24"/>
                <w:szCs w:val="24"/>
                <w:lang w:val="en-US" w:eastAsia="zh-CN"/>
              </w:rPr>
            </w:pPr>
            <w:r>
              <w:rPr>
                <w:rFonts w:hint="default" w:ascii="Times New Roman" w:hAnsi="Times New Roman" w:cs="Times New Roman"/>
                <w:kern w:val="0"/>
                <w:sz w:val="24"/>
                <w:szCs w:val="24"/>
                <w:lang w:val="en-US" w:eastAsia="zh-CN"/>
              </w:rPr>
              <w:t>1</w:t>
            </w:r>
            <w:r>
              <w:rPr>
                <w:rFonts w:hint="default" w:ascii="Times New Roman" w:hAnsi="Times New Roman" w:cs="Times New Roman"/>
                <w:b/>
                <w:bCs/>
                <w:kern w:val="0"/>
                <w:sz w:val="24"/>
                <w:szCs w:val="24"/>
                <w:lang w:val="en-US" w:eastAsia="zh-CN"/>
              </w:rPr>
              <w:t>、选址相符性分析</w:t>
            </w:r>
          </w:p>
          <w:p w14:paraId="1ED1A66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eastAsia"/>
                <w:sz w:val="24"/>
                <w:szCs w:val="24"/>
                <w:lang w:val="en-US" w:eastAsia="zh-CN"/>
              </w:rPr>
            </w:pPr>
            <w:r>
              <w:rPr>
                <w:rFonts w:hint="eastAsia"/>
                <w:sz w:val="24"/>
                <w:szCs w:val="24"/>
                <w:lang w:val="en-US" w:eastAsia="zh-CN"/>
              </w:rPr>
              <w:t>（1）用地符合性</w:t>
            </w:r>
          </w:p>
          <w:p w14:paraId="437D501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color w:val="0000FF"/>
                <w:sz w:val="24"/>
                <w:szCs w:val="24"/>
                <w:lang w:val="en-US" w:eastAsia="zh-CN"/>
              </w:rPr>
            </w:pPr>
            <w:r>
              <w:rPr>
                <w:rFonts w:hint="eastAsia" w:ascii="Times New Roman" w:hAnsi="Times New Roman" w:eastAsia="宋体" w:cs="Times New Roman"/>
                <w:sz w:val="24"/>
                <w:szCs w:val="24"/>
                <w:lang w:val="en-US" w:eastAsia="zh-CN"/>
              </w:rPr>
              <w:t>本项目位于淮北市烈山区经济开发区青龙山电子信息产业园，</w:t>
            </w:r>
            <w:r>
              <w:rPr>
                <w:rFonts w:hint="eastAsia" w:cs="Times New Roman"/>
                <w:sz w:val="24"/>
                <w:szCs w:val="24"/>
                <w:lang w:val="en-US" w:eastAsia="zh-CN"/>
              </w:rPr>
              <w:t>对照</w:t>
            </w:r>
            <w:r>
              <w:rPr>
                <w:rFonts w:hint="eastAsia" w:ascii="Times New Roman" w:hAnsi="Times New Roman" w:eastAsia="宋体" w:cs="Times New Roman"/>
                <w:sz w:val="24"/>
                <w:szCs w:val="24"/>
                <w:lang w:val="en-US" w:eastAsia="zh-CN"/>
              </w:rPr>
              <w:t>《安</w:t>
            </w:r>
            <w:r>
              <w:rPr>
                <w:rFonts w:hint="default" w:ascii="Times New Roman" w:hAnsi="Times New Roman" w:eastAsia="宋体" w:cs="Times New Roman"/>
                <w:sz w:val="24"/>
                <w:szCs w:val="24"/>
                <w:lang w:val="en-US" w:eastAsia="zh-CN"/>
              </w:rPr>
              <w:t>徽淮北烈山经济开发区产业发展规划</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2020-2030年</w:t>
            </w:r>
            <w:r>
              <w:rPr>
                <w:rFonts w:hint="eastAsia" w:ascii="Times New Roman" w:hAnsi="Times New Roman" w:eastAsia="宋体" w:cs="Times New Roman"/>
                <w:sz w:val="24"/>
                <w:szCs w:val="24"/>
                <w:lang w:val="en-US" w:eastAsia="zh-CN"/>
              </w:rPr>
              <w:t>）》中土地利用</w:t>
            </w:r>
            <w:r>
              <w:rPr>
                <w:rFonts w:hint="default" w:ascii="Times New Roman" w:hAnsi="Times New Roman" w:eastAsia="宋体" w:cs="Times New Roman"/>
                <w:sz w:val="24"/>
                <w:szCs w:val="24"/>
                <w:lang w:val="en-US" w:eastAsia="zh-CN"/>
              </w:rPr>
              <w:t>规划图</w:t>
            </w:r>
            <w:r>
              <w:rPr>
                <w:rFonts w:hint="eastAsia" w:ascii="Times New Roman" w:hAnsi="Times New Roman" w:eastAsia="宋体" w:cs="Times New Roman"/>
                <w:sz w:val="24"/>
                <w:szCs w:val="24"/>
                <w:lang w:val="en-US" w:eastAsia="zh-CN"/>
              </w:rPr>
              <w:t>，本项目用地为工业用地，</w:t>
            </w:r>
            <w:r>
              <w:rPr>
                <w:rFonts w:hint="eastAsia" w:cs="Times New Roman"/>
                <w:sz w:val="24"/>
                <w:szCs w:val="24"/>
                <w:lang w:val="en-US" w:eastAsia="zh-CN"/>
              </w:rPr>
              <w:t>根据</w:t>
            </w:r>
            <w:r>
              <w:rPr>
                <w:rFonts w:hint="eastAsia" w:ascii="Times New Roman" w:hAnsi="Times New Roman" w:eastAsia="宋体" w:cs="Times New Roman"/>
                <w:sz w:val="24"/>
                <w:szCs w:val="24"/>
                <w:lang w:val="en-US" w:eastAsia="zh-CN"/>
              </w:rPr>
              <w:t>《自然资源要素支撑产业高质量发展指导目录（2024年本）》（自然资发〔2024〕273号）</w:t>
            </w:r>
            <w:r>
              <w:rPr>
                <w:rFonts w:hint="eastAsia" w:cs="Times New Roman"/>
                <w:sz w:val="24"/>
                <w:szCs w:val="24"/>
                <w:lang w:val="en-US" w:eastAsia="zh-CN"/>
              </w:rPr>
              <w:t>，本项目不属于限制和禁止用地之列。本项目</w:t>
            </w:r>
            <w:r>
              <w:rPr>
                <w:rFonts w:hint="eastAsia" w:ascii="Times New Roman" w:hAnsi="Times New Roman" w:eastAsia="宋体" w:cs="Times New Roman"/>
                <w:sz w:val="24"/>
                <w:szCs w:val="24"/>
                <w:lang w:val="en-US" w:eastAsia="zh-CN"/>
              </w:rPr>
              <w:t>符合</w:t>
            </w:r>
            <w:r>
              <w:rPr>
                <w:rFonts w:hint="default" w:ascii="Times New Roman" w:hAnsi="Times New Roman" w:eastAsia="宋体" w:cs="Times New Roman"/>
                <w:sz w:val="24"/>
                <w:szCs w:val="24"/>
                <w:lang w:val="en-US" w:eastAsia="zh-CN"/>
              </w:rPr>
              <w:t>烈山经济开发区</w:t>
            </w:r>
            <w:r>
              <w:rPr>
                <w:rFonts w:hint="eastAsia" w:ascii="Times New Roman" w:hAnsi="Times New Roman" w:eastAsia="宋体" w:cs="Times New Roman"/>
                <w:sz w:val="24"/>
                <w:szCs w:val="24"/>
                <w:lang w:val="en-US" w:eastAsia="zh-CN"/>
              </w:rPr>
              <w:t>的土地利用总体规划。</w:t>
            </w:r>
          </w:p>
          <w:p w14:paraId="2602D49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sz w:val="24"/>
                <w:szCs w:val="24"/>
                <w:lang w:val="en-US" w:eastAsia="zh-CN"/>
              </w:rPr>
            </w:pPr>
            <w:r>
              <w:rPr>
                <w:rFonts w:hint="eastAsia"/>
                <w:sz w:val="24"/>
                <w:szCs w:val="24"/>
                <w:lang w:val="en-US" w:eastAsia="zh-CN"/>
              </w:rPr>
              <w:t>（2）环境相容</w:t>
            </w:r>
          </w:p>
          <w:p w14:paraId="658F1A4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cs="宋体"/>
                <w:sz w:val="24"/>
                <w:szCs w:val="24"/>
              </w:rPr>
            </w:pPr>
            <w:r>
              <w:rPr>
                <w:rFonts w:hint="eastAsia" w:cs="宋体"/>
                <w:sz w:val="24"/>
                <w:szCs w:val="24"/>
              </w:rPr>
              <w:t>本项目位于</w:t>
            </w:r>
            <w:r>
              <w:rPr>
                <w:rFonts w:hint="default" w:eastAsia="宋体"/>
                <w:sz w:val="24"/>
                <w:szCs w:val="24"/>
                <w:lang w:val="en-US" w:eastAsia="zh-CN"/>
              </w:rPr>
              <w:t>淮北市烈山区经济开发区青龙山电子信息产业园</w:t>
            </w:r>
            <w:r>
              <w:rPr>
                <w:rFonts w:hint="eastAsia"/>
                <w:sz w:val="24"/>
                <w:szCs w:val="24"/>
                <w:lang w:val="en-US" w:eastAsia="zh-CN"/>
              </w:rPr>
              <w:t>，</w:t>
            </w:r>
            <w:r>
              <w:rPr>
                <w:rFonts w:hint="eastAsia" w:cs="宋体"/>
                <w:sz w:val="24"/>
                <w:szCs w:val="24"/>
              </w:rPr>
              <w:t>本项目各项污染物在各项处理措施建设实施后，能够达标排放，</w:t>
            </w:r>
            <w:r>
              <w:rPr>
                <w:rFonts w:hint="eastAsia" w:cs="宋体"/>
                <w:sz w:val="24"/>
                <w:szCs w:val="24"/>
                <w:lang w:val="en-US" w:eastAsia="zh-CN"/>
              </w:rPr>
              <w:t>青龙山电子信息产业园</w:t>
            </w:r>
            <w:r>
              <w:rPr>
                <w:rFonts w:hint="eastAsia" w:ascii="Times New Roman" w:hAnsi="Times New Roman" w:cs="宋体"/>
                <w:sz w:val="24"/>
                <w:szCs w:val="24"/>
                <w:lang w:val="en-US" w:eastAsia="zh-CN"/>
              </w:rPr>
              <w:t>分布的厂房主要有</w:t>
            </w:r>
            <w:r>
              <w:rPr>
                <w:rFonts w:hint="eastAsia" w:cs="宋体"/>
                <w:sz w:val="24"/>
                <w:szCs w:val="24"/>
                <w:lang w:val="en-US" w:eastAsia="zh-CN"/>
              </w:rPr>
              <w:t>体育用品制造</w:t>
            </w:r>
            <w:r>
              <w:rPr>
                <w:rFonts w:hint="eastAsia" w:ascii="Times New Roman" w:hAnsi="Times New Roman" w:cs="宋体"/>
                <w:sz w:val="24"/>
                <w:szCs w:val="24"/>
                <w:lang w:val="en-US" w:eastAsia="zh-CN"/>
              </w:rPr>
              <w:t>、</w:t>
            </w:r>
            <w:r>
              <w:rPr>
                <w:rFonts w:hint="eastAsia" w:cs="宋体"/>
                <w:sz w:val="24"/>
                <w:szCs w:val="24"/>
                <w:lang w:val="en-US" w:eastAsia="zh-CN"/>
              </w:rPr>
              <w:t>塑料制品制造、电子设备制造等</w:t>
            </w:r>
            <w:r>
              <w:rPr>
                <w:rFonts w:hint="eastAsia" w:ascii="Times New Roman" w:hAnsi="Times New Roman" w:cs="宋体"/>
                <w:sz w:val="24"/>
                <w:szCs w:val="24"/>
                <w:lang w:val="en-US" w:eastAsia="zh-CN"/>
              </w:rPr>
              <w:t>，均属于制造业</w:t>
            </w:r>
            <w:r>
              <w:rPr>
                <w:rFonts w:hint="eastAsia" w:ascii="Times New Roman" w:hAnsi="Times New Roman" w:cs="宋体"/>
                <w:sz w:val="24"/>
                <w:szCs w:val="24"/>
              </w:rPr>
              <w:t>。因此，</w:t>
            </w:r>
            <w:r>
              <w:rPr>
                <w:rFonts w:hint="eastAsia" w:cs="宋体"/>
                <w:sz w:val="24"/>
                <w:szCs w:val="24"/>
                <w:lang w:val="en-US" w:eastAsia="zh-CN"/>
              </w:rPr>
              <w:t>项目与周边</w:t>
            </w:r>
            <w:r>
              <w:rPr>
                <w:rFonts w:hint="eastAsia" w:ascii="Times New Roman" w:hAnsi="Times New Roman" w:cs="宋体"/>
                <w:sz w:val="24"/>
                <w:szCs w:val="24"/>
              </w:rPr>
              <w:t>环境相容。</w:t>
            </w:r>
          </w:p>
          <w:p w14:paraId="3D4B281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（3）环境承载能力</w:t>
            </w:r>
          </w:p>
          <w:p w14:paraId="60DF202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周边500米范围内环境敏感对象为烈山经济开发区管委会，无其他自然保护区、风景旅游点和文物古迹等需要特殊保护的环境敏感对象。项目所在地交通方便，水电供应可靠。本项目在做好废气治理和废水处理措施的前提下，对环境质量的影响较小，建成后不会造成当地环境质量下降。因此，项目在环境承载能力内。</w:t>
            </w:r>
          </w:p>
          <w:p w14:paraId="676E58D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sz w:val="24"/>
                <w:szCs w:val="24"/>
                <w:lang w:val="en-US" w:eastAsia="zh-CN"/>
              </w:rPr>
              <w:t>（4）</w:t>
            </w:r>
            <w:r>
              <w:rPr>
                <w:rFonts w:hint="default" w:ascii="Times New Roman" w:hAnsi="Times New Roman" w:eastAsia="宋体" w:cs="Times New Roman"/>
                <w:color w:val="auto"/>
                <w:kern w:val="0"/>
                <w:sz w:val="24"/>
                <w:szCs w:val="24"/>
              </w:rPr>
              <w:t>环境功能区划相符性分析</w:t>
            </w:r>
          </w:p>
          <w:p w14:paraId="4715067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 1 \* GB3 \* MERGEFORMAT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①</w:t>
            </w:r>
            <w:r>
              <w:rPr>
                <w:rFonts w:hint="default" w:ascii="Times New Roman" w:hAnsi="Times New Roman" w:cs="Times New Roman"/>
                <w:color w:val="auto"/>
                <w:sz w:val="24"/>
                <w:szCs w:val="24"/>
                <w:lang w:val="en-US" w:eastAsia="zh-CN"/>
              </w:rPr>
              <w:fldChar w:fldCharType="end"/>
            </w:r>
            <w:r>
              <w:rPr>
                <w:rFonts w:hint="default" w:ascii="Times New Roman" w:hAnsi="Times New Roman" w:eastAsia="宋体" w:cs="Times New Roman"/>
                <w:color w:val="auto"/>
                <w:sz w:val="24"/>
                <w:szCs w:val="24"/>
              </w:rPr>
              <w:t>根据《20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年淮北市环境质量公告》中淮北市环境保护监测站20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年1月1日~20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年12月31日的监测数据进行评价</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w:t>
            </w:r>
            <w:r>
              <w:rPr>
                <w:rFonts w:hint="eastAsia" w:cs="Times New Roman"/>
                <w:color w:val="auto"/>
                <w:sz w:val="24"/>
                <w:szCs w:val="24"/>
                <w:lang w:val="en-US" w:eastAsia="zh-CN"/>
              </w:rPr>
              <w:t>24</w:t>
            </w:r>
            <w:r>
              <w:rPr>
                <w:rFonts w:hint="default" w:ascii="Times New Roman" w:hAnsi="Times New Roman" w:eastAsia="宋体" w:cs="Times New Roman"/>
                <w:color w:val="auto"/>
                <w:sz w:val="24"/>
                <w:szCs w:val="24"/>
              </w:rPr>
              <w:t>年淮北市</w:t>
            </w:r>
            <w:r>
              <w:rPr>
                <w:rFonts w:hint="eastAsia" w:ascii="Times New Roman" w:hAnsi="Times New Roman" w:eastAsia="宋体" w:cs="Times New Roman"/>
                <w:color w:val="auto"/>
                <w:sz w:val="24"/>
                <w:szCs w:val="24"/>
                <w:lang w:val="en-US" w:eastAsia="zh-CN"/>
              </w:rPr>
              <w:t>除</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rPr>
              <w:t>2.5</w:t>
            </w:r>
            <w:r>
              <w:rPr>
                <w:rFonts w:hint="default" w:ascii="Times New Roman" w:hAnsi="Times New Roman" w:eastAsia="宋体" w:cs="Times New Roman"/>
                <w:color w:val="auto"/>
                <w:sz w:val="24"/>
                <w:szCs w:val="24"/>
              </w:rPr>
              <w:t>及O</w:t>
            </w:r>
            <w:r>
              <w:rPr>
                <w:rFonts w:hint="default" w:ascii="Times New Roman" w:hAnsi="Times New Roman" w:eastAsia="宋体" w:cs="Times New Roman"/>
                <w:color w:val="auto"/>
                <w:sz w:val="24"/>
                <w:szCs w:val="24"/>
                <w:vertAlign w:val="subscript"/>
              </w:rPr>
              <w:t>3</w:t>
            </w:r>
            <w:r>
              <w:rPr>
                <w:rFonts w:hint="default" w:ascii="Times New Roman" w:hAnsi="Times New Roman" w:eastAsia="宋体" w:cs="Times New Roman"/>
                <w:color w:val="auto"/>
                <w:sz w:val="24"/>
                <w:szCs w:val="24"/>
              </w:rPr>
              <w:t>的评价指标不能满足《环境空气质量标准》（GB3095-2012）</w:t>
            </w:r>
            <w:r>
              <w:rPr>
                <w:rFonts w:hint="default" w:ascii="Times New Roman" w:hAnsi="Times New Roman" w:eastAsia="宋体" w:cs="Times New Roman"/>
                <w:color w:val="auto"/>
                <w:sz w:val="24"/>
                <w:szCs w:val="24"/>
                <w:lang w:val="en-US" w:eastAsia="zh-CN"/>
              </w:rPr>
              <w:t>及其修改单</w:t>
            </w:r>
            <w:r>
              <w:rPr>
                <w:rFonts w:hint="default" w:ascii="Times New Roman" w:hAnsi="Times New Roman" w:eastAsia="宋体" w:cs="Times New Roman"/>
                <w:color w:val="auto"/>
                <w:sz w:val="24"/>
                <w:szCs w:val="24"/>
              </w:rPr>
              <w:t>二级标准限值要求，</w:t>
            </w:r>
            <w:r>
              <w:rPr>
                <w:rFonts w:hint="eastAsia" w:ascii="Times New Roman" w:hAnsi="Times New Roman" w:eastAsia="宋体" w:cs="Times New Roman"/>
                <w:color w:val="auto"/>
                <w:sz w:val="24"/>
                <w:szCs w:val="24"/>
                <w:lang w:val="en-US" w:eastAsia="zh-CN"/>
              </w:rPr>
              <w:t>其他均能满足</w:t>
            </w:r>
            <w:r>
              <w:rPr>
                <w:rFonts w:hint="default" w:ascii="Times New Roman" w:hAnsi="Times New Roman" w:eastAsia="宋体" w:cs="Times New Roman"/>
                <w:color w:val="auto"/>
                <w:sz w:val="24"/>
                <w:szCs w:val="24"/>
              </w:rPr>
              <w:t>。</w:t>
            </w:r>
          </w:p>
          <w:p w14:paraId="301EFC8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kern w:val="0"/>
                <w:sz w:val="24"/>
                <w:szCs w:val="24"/>
                <w:lang w:eastAsia="zh-CN"/>
              </w:rPr>
            </w:pP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 2 \* GB3 \* MERGEFORMAT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kern w:val="0"/>
                <w:sz w:val="24"/>
                <w:szCs w:val="24"/>
                <w:lang w:val="en-US" w:eastAsia="zh-CN"/>
              </w:rPr>
              <w:t>项目所在区域为声环境功能区</w:t>
            </w:r>
            <w:r>
              <w:rPr>
                <w:rFonts w:hint="eastAsia" w:ascii="Times New Roman" w:hAnsi="Times New Roman" w:cs="Times New Roman"/>
                <w:kern w:val="0"/>
                <w:sz w:val="24"/>
                <w:szCs w:val="24"/>
                <w:lang w:val="en-US" w:eastAsia="zh-CN"/>
              </w:rPr>
              <w:t>3</w:t>
            </w:r>
            <w:r>
              <w:rPr>
                <w:rFonts w:hint="default" w:ascii="Times New Roman" w:hAnsi="Times New Roman" w:cs="Times New Roman"/>
                <w:kern w:val="0"/>
                <w:sz w:val="24"/>
                <w:szCs w:val="24"/>
              </w:rPr>
              <w:t>类区</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rPr>
              <w:t>根据《20</w:t>
            </w: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4</w:t>
            </w:r>
            <w:r>
              <w:rPr>
                <w:rFonts w:hint="default" w:ascii="Times New Roman" w:hAnsi="Times New Roman" w:cs="Times New Roman"/>
                <w:kern w:val="0"/>
                <w:sz w:val="24"/>
                <w:szCs w:val="24"/>
              </w:rPr>
              <w:t>年淮北市环境质量公告》</w:t>
            </w:r>
            <w:r>
              <w:rPr>
                <w:rFonts w:hint="default" w:ascii="Times New Roman" w:hAnsi="Times New Roman" w:cs="Times New Roman"/>
                <w:kern w:val="0"/>
                <w:sz w:val="24"/>
                <w:szCs w:val="24"/>
                <w:lang w:eastAsia="zh-CN"/>
              </w:rPr>
              <w:t>，</w:t>
            </w:r>
            <w:r>
              <w:rPr>
                <w:rFonts w:hint="eastAsia" w:ascii="Times New Roman" w:hAnsi="Times New Roman" w:eastAsia="宋体" w:cs="Times New Roman"/>
                <w:color w:val="auto"/>
                <w:sz w:val="24"/>
                <w:szCs w:val="24"/>
                <w:lang w:val="en-US" w:eastAsia="zh-CN"/>
              </w:rPr>
              <w:t>3类区昼间、夜间达标率均为100%</w:t>
            </w:r>
            <w:r>
              <w:rPr>
                <w:rFonts w:hint="default" w:ascii="Times New Roman" w:hAnsi="Times New Roman" w:cs="Times New Roman"/>
                <w:kern w:val="0"/>
                <w:sz w:val="24"/>
                <w:szCs w:val="24"/>
                <w:lang w:eastAsia="zh-CN"/>
              </w:rPr>
              <w:t>。</w:t>
            </w:r>
          </w:p>
          <w:p w14:paraId="62CF187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 3 \* GB3 \* MERGEFORMAT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rPr>
              <w:t>③</w:t>
            </w:r>
            <w:r>
              <w:rPr>
                <w:rFonts w:hint="default" w:ascii="Times New Roman" w:hAnsi="Times New Roman" w:cs="Times New Roman"/>
                <w:color w:val="auto"/>
                <w:sz w:val="24"/>
                <w:szCs w:val="24"/>
                <w:lang w:val="en-US" w:eastAsia="zh-CN"/>
              </w:rPr>
              <w:fldChar w:fldCharType="end"/>
            </w:r>
            <w:r>
              <w:rPr>
                <w:rFonts w:hint="default" w:ascii="Times New Roman" w:hAnsi="Times New Roman" w:cs="Times New Roman"/>
                <w:color w:val="auto"/>
                <w:sz w:val="24"/>
                <w:szCs w:val="24"/>
                <w:lang w:val="en-US" w:eastAsia="zh-CN"/>
              </w:rPr>
              <w:t>项目所在区域地表水雷河执行《地表水环境质量标准》（GB3838-2002）中Ⅳ类水质标准、萧濉新河执行《地表水环境质量标准》（GB3838-2002）中Ⅲ类水质标准。</w:t>
            </w:r>
          </w:p>
          <w:p w14:paraId="11AA60C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eastAsia="zh-CN"/>
              </w:rPr>
            </w:pPr>
            <w:r>
              <w:rPr>
                <w:rFonts w:hint="default" w:ascii="Times New Roman" w:hAnsi="Times New Roman" w:eastAsia="宋体" w:cs="Times New Roman"/>
                <w:color w:val="auto"/>
                <w:sz w:val="24"/>
                <w:szCs w:val="24"/>
                <w:lang w:val="en-US" w:eastAsia="zh-CN"/>
              </w:rPr>
              <w:t>④</w:t>
            </w:r>
            <w:r>
              <w:rPr>
                <w:rFonts w:hint="default" w:ascii="Times New Roman" w:hAnsi="Times New Roman" w:eastAsia="宋体" w:cs="Times New Roman"/>
                <w:color w:val="auto"/>
                <w:sz w:val="24"/>
                <w:szCs w:val="24"/>
              </w:rPr>
              <w:t>根据《20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年淮北市环境质量公告》</w:t>
            </w:r>
            <w:r>
              <w:rPr>
                <w:rFonts w:hint="eastAsia" w:ascii="Times New Roman" w:hAnsi="Times New Roman" w:eastAsia="宋体" w:cs="Times New Roman"/>
                <w:color w:val="auto"/>
                <w:sz w:val="24"/>
                <w:szCs w:val="24"/>
                <w:lang w:eastAsia="zh-CN"/>
              </w:rPr>
              <w:t>，</w:t>
            </w:r>
            <w:r>
              <w:rPr>
                <w:rFonts w:hint="eastAsia" w:cs="宋体"/>
                <w:color w:val="auto"/>
                <w:sz w:val="24"/>
                <w:szCs w:val="24"/>
                <w:lang w:eastAsia="zh-CN"/>
              </w:rPr>
              <w:t>202</w:t>
            </w:r>
            <w:r>
              <w:rPr>
                <w:rFonts w:hint="eastAsia" w:cs="宋体"/>
                <w:color w:val="auto"/>
                <w:sz w:val="24"/>
                <w:szCs w:val="24"/>
                <w:lang w:val="en-US" w:eastAsia="zh-CN"/>
              </w:rPr>
              <w:t>4</w:t>
            </w:r>
            <w:r>
              <w:rPr>
                <w:rFonts w:hint="eastAsia" w:cs="宋体"/>
                <w:color w:val="auto"/>
                <w:sz w:val="24"/>
                <w:szCs w:val="24"/>
                <w:lang w:eastAsia="zh-CN"/>
              </w:rPr>
              <w:t>年淮北市城市集中饮用水源地（地下水）监测指标均达到《地下水质量标准》GB/T14848-2017中</w:t>
            </w:r>
            <w:r>
              <w:rPr>
                <w:rFonts w:hint="default" w:ascii="Times New Roman" w:hAnsi="Times New Roman" w:cs="Times New Roman"/>
                <w:color w:val="auto"/>
                <w:sz w:val="24"/>
                <w:szCs w:val="24"/>
                <w:lang w:eastAsia="zh-CN"/>
              </w:rPr>
              <w:t>Ⅲ</w:t>
            </w:r>
            <w:r>
              <w:rPr>
                <w:rFonts w:hint="eastAsia" w:cs="宋体"/>
                <w:color w:val="auto"/>
                <w:sz w:val="24"/>
                <w:szCs w:val="24"/>
                <w:lang w:eastAsia="zh-CN"/>
              </w:rPr>
              <w:t>类标准</w:t>
            </w:r>
            <w:r>
              <w:rPr>
                <w:rFonts w:hint="eastAsia" w:ascii="Times New Roman" w:hAnsi="Times New Roman" w:cs="Times New Roman"/>
                <w:color w:val="auto"/>
                <w:sz w:val="24"/>
                <w:szCs w:val="24"/>
                <w:lang w:val="en-US" w:eastAsia="zh-CN"/>
              </w:rPr>
              <w:t>。</w:t>
            </w:r>
            <w:r>
              <w:rPr>
                <w:rFonts w:hint="eastAsia"/>
                <w:color w:val="auto"/>
                <w:sz w:val="24"/>
                <w:szCs w:val="24"/>
                <w:lang w:val="en-US" w:eastAsia="zh-CN"/>
              </w:rPr>
              <w:t>因此，</w:t>
            </w:r>
            <w:r>
              <w:rPr>
                <w:rFonts w:hint="eastAsia" w:cs="Times New Roman"/>
                <w:color w:val="auto"/>
                <w:sz w:val="24"/>
                <w:szCs w:val="24"/>
                <w:lang w:val="en-US" w:eastAsia="zh-CN"/>
              </w:rPr>
              <w:t>项目所在区域</w:t>
            </w:r>
            <w:r>
              <w:rPr>
                <w:rFonts w:hint="eastAsia"/>
                <w:color w:val="auto"/>
                <w:kern w:val="0"/>
                <w:sz w:val="24"/>
                <w:szCs w:val="24"/>
              </w:rPr>
              <w:t>地下水</w:t>
            </w:r>
            <w:r>
              <w:rPr>
                <w:rFonts w:hint="eastAsia"/>
                <w:color w:val="auto"/>
                <w:kern w:val="0"/>
                <w:sz w:val="24"/>
                <w:szCs w:val="24"/>
                <w:lang w:val="en-US" w:eastAsia="zh-CN"/>
              </w:rPr>
              <w:t>环境</w:t>
            </w:r>
            <w:r>
              <w:rPr>
                <w:rFonts w:hint="eastAsia"/>
                <w:color w:val="auto"/>
                <w:kern w:val="0"/>
                <w:sz w:val="24"/>
                <w:szCs w:val="24"/>
              </w:rPr>
              <w:t>各项指标均能满足《地下水质量标准》（GB/T14848-2017）</w:t>
            </w:r>
            <w:r>
              <w:rPr>
                <w:rFonts w:hint="default" w:ascii="Times New Roman" w:hAnsi="Times New Roman" w:cs="Times New Roman"/>
                <w:color w:val="auto"/>
                <w:kern w:val="0"/>
                <w:sz w:val="24"/>
                <w:szCs w:val="24"/>
              </w:rPr>
              <w:t>Ⅲ</w:t>
            </w:r>
            <w:r>
              <w:rPr>
                <w:rFonts w:hint="eastAsia"/>
                <w:color w:val="auto"/>
                <w:kern w:val="0"/>
                <w:sz w:val="24"/>
                <w:szCs w:val="24"/>
              </w:rPr>
              <w:t>类标准要求</w:t>
            </w:r>
            <w:r>
              <w:rPr>
                <w:rFonts w:hint="eastAsia"/>
                <w:color w:val="auto"/>
                <w:kern w:val="0"/>
                <w:sz w:val="24"/>
                <w:szCs w:val="24"/>
                <w:lang w:eastAsia="zh-CN"/>
              </w:rPr>
              <w:t>。</w:t>
            </w:r>
          </w:p>
          <w:p w14:paraId="7B39779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rPr>
              <w:t>综上所述，</w:t>
            </w:r>
            <w:r>
              <w:rPr>
                <w:rFonts w:hint="default" w:ascii="Times New Roman" w:hAnsi="Times New Roman" w:eastAsia="宋体" w:cs="Times New Roman"/>
                <w:b w:val="0"/>
                <w:bCs/>
                <w:color w:val="auto"/>
                <w:sz w:val="24"/>
                <w:szCs w:val="24"/>
                <w:lang w:val="en-US" w:eastAsia="zh-CN"/>
              </w:rPr>
              <w:t>本项目的选址符合《安徽淮北烈山经济开发区产业发展规划（2020-2030年）》，符合区域环境功能区划，与周边环境相容，在环境承载能力内，项目选址合理。</w:t>
            </w:r>
          </w:p>
          <w:p w14:paraId="280722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left"/>
              <w:textAlignment w:val="auto"/>
              <w:rPr>
                <w:rFonts w:hint="default"/>
                <w:b/>
                <w:bCs/>
                <w:sz w:val="24"/>
                <w:szCs w:val="24"/>
              </w:rPr>
            </w:pPr>
            <w:r>
              <w:rPr>
                <w:rFonts w:hint="eastAsia"/>
                <w:b/>
                <w:bCs/>
                <w:sz w:val="24"/>
                <w:szCs w:val="24"/>
                <w:lang w:val="en-US" w:eastAsia="zh-CN"/>
              </w:rPr>
              <w:t>2</w:t>
            </w:r>
            <w:r>
              <w:rPr>
                <w:rFonts w:hint="eastAsia" w:cs="宋体"/>
                <w:b/>
                <w:bCs/>
                <w:sz w:val="24"/>
                <w:szCs w:val="24"/>
              </w:rPr>
              <w:t>、与</w:t>
            </w:r>
            <w:r>
              <w:rPr>
                <w:rFonts w:hint="eastAsia"/>
                <w:b/>
                <w:bCs/>
                <w:sz w:val="24"/>
                <w:szCs w:val="24"/>
                <w:lang w:eastAsia="zh-CN"/>
              </w:rPr>
              <w:t>“</w:t>
            </w:r>
            <w:r>
              <w:rPr>
                <w:rFonts w:hint="eastAsia" w:cs="宋体"/>
                <w:b/>
                <w:bCs/>
                <w:sz w:val="24"/>
                <w:szCs w:val="24"/>
              </w:rPr>
              <w:t>三线一单</w:t>
            </w:r>
            <w:r>
              <w:rPr>
                <w:rFonts w:hint="eastAsia"/>
                <w:b/>
                <w:bCs/>
                <w:sz w:val="24"/>
                <w:szCs w:val="24"/>
                <w:lang w:eastAsia="zh-CN"/>
              </w:rPr>
              <w:t>”</w:t>
            </w:r>
            <w:r>
              <w:rPr>
                <w:rFonts w:hint="eastAsia" w:cs="宋体"/>
                <w:b/>
                <w:bCs/>
                <w:sz w:val="24"/>
                <w:szCs w:val="24"/>
              </w:rPr>
              <w:t>对照分析</w:t>
            </w:r>
          </w:p>
          <w:p w14:paraId="4CE1C68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（1）生态保护红线</w:t>
            </w:r>
          </w:p>
          <w:p w14:paraId="2B1CE85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ascii="Times New Roman" w:hAnsi="Times New Roman" w:cs="Times New Roman"/>
                <w:color w:val="auto"/>
                <w:sz w:val="24"/>
                <w:szCs w:val="24"/>
              </w:rPr>
              <w:t>本项目位于</w:t>
            </w:r>
            <w:r>
              <w:rPr>
                <w:rFonts w:hint="default" w:ascii="Times New Roman" w:hAnsi="Times New Roman" w:cs="Times New Roman"/>
                <w:color w:val="auto"/>
                <w:sz w:val="24"/>
                <w:szCs w:val="24"/>
                <w:lang w:val="en-US" w:eastAsia="zh-CN"/>
              </w:rPr>
              <w:t>淮北市烈山区经济开发区青龙山电子信息产业园</w:t>
            </w:r>
            <w:r>
              <w:rPr>
                <w:rFonts w:hint="default" w:ascii="Times New Roman" w:hAnsi="Times New Roman" w:cs="Times New Roman"/>
                <w:color w:val="auto"/>
                <w:sz w:val="24"/>
                <w:szCs w:val="24"/>
              </w:rPr>
              <w:t>，</w:t>
            </w:r>
            <w:r>
              <w:rPr>
                <w:rFonts w:hint="default" w:ascii="Times New Roman" w:hAnsi="Times New Roman" w:eastAsia="宋体" w:cs="Times New Roman"/>
                <w:color w:val="auto"/>
                <w:sz w:val="24"/>
                <w:szCs w:val="24"/>
                <w:lang w:val="en-US" w:eastAsia="zh-CN"/>
              </w:rPr>
              <w:t>根据安徽省</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三线一单</w:t>
            </w:r>
            <w:r>
              <w:rPr>
                <w:rFonts w:hint="eastAsia" w:ascii="Times New Roman" w:hAnsi="Times New Roman"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公众服务平台，生态环境分区管控单元编码为</w:t>
            </w:r>
            <w:r>
              <w:rPr>
                <w:rFonts w:hint="default" w:ascii="Times New Roman" w:hAnsi="Times New Roman" w:cs="Times New Roman"/>
                <w:color w:val="auto"/>
                <w:sz w:val="24"/>
                <w:szCs w:val="24"/>
                <w:lang w:val="en-US" w:eastAsia="zh-CN"/>
              </w:rPr>
              <w:t>：ZH34062120224</w:t>
            </w:r>
            <w:r>
              <w:rPr>
                <w:rFonts w:hint="default" w:ascii="Times New Roman" w:hAnsi="Times New Roman" w:eastAsia="宋体" w:cs="Times New Roman"/>
                <w:color w:val="auto"/>
                <w:sz w:val="24"/>
                <w:szCs w:val="24"/>
                <w:lang w:val="en-US" w:eastAsia="zh-CN"/>
              </w:rPr>
              <w:t>，属于</w:t>
            </w:r>
            <w:r>
              <w:rPr>
                <w:rFonts w:hint="default" w:ascii="Times New Roman" w:hAnsi="Times New Roman" w:cs="Times New Roman"/>
                <w:color w:val="auto"/>
                <w:sz w:val="24"/>
                <w:szCs w:val="24"/>
                <w:lang w:val="en-US" w:eastAsia="zh-CN"/>
              </w:rPr>
              <w:t>水</w:t>
            </w:r>
            <w:r>
              <w:rPr>
                <w:rFonts w:hint="default" w:ascii="Times New Roman" w:hAnsi="Times New Roman" w:eastAsia="宋体" w:cs="Times New Roman"/>
                <w:color w:val="auto"/>
                <w:sz w:val="24"/>
                <w:szCs w:val="24"/>
                <w:lang w:val="en-US" w:eastAsia="zh-CN"/>
              </w:rPr>
              <w:t>重点管控单元，项目建设符合其空间布局约束、污染物排放管控、资源开发效率等要求。具体</w:t>
            </w:r>
            <w:r>
              <w:rPr>
                <w:rFonts w:hint="default" w:ascii="Times New Roman" w:hAnsi="Times New Roman" w:cs="Times New Roman"/>
                <w:color w:val="auto"/>
                <w:sz w:val="24"/>
                <w:szCs w:val="24"/>
                <w:lang w:val="en-US" w:eastAsia="zh-CN"/>
              </w:rPr>
              <w:t>见附图（生态环境分区管控图）</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color w:val="auto"/>
                <w:kern w:val="0"/>
                <w:sz w:val="24"/>
                <w:szCs w:val="24"/>
              </w:rPr>
              <w:t>综上，项目选址符合生态保护红线要求</w:t>
            </w:r>
            <w:r>
              <w:rPr>
                <w:rFonts w:hint="default" w:ascii="Times New Roman" w:hAnsi="Times New Roman" w:cs="Times New Roman"/>
                <w:color w:val="auto"/>
                <w:kern w:val="0"/>
                <w:sz w:val="24"/>
                <w:szCs w:val="24"/>
                <w:lang w:eastAsia="zh-CN"/>
              </w:rPr>
              <w:t>。</w:t>
            </w:r>
          </w:p>
          <w:p w14:paraId="24BDA5E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sz w:val="24"/>
                <w:szCs w:val="24"/>
              </w:rPr>
            </w:pPr>
            <w:r>
              <w:rPr>
                <w:rFonts w:hint="eastAsia" w:cs="宋体"/>
                <w:sz w:val="24"/>
                <w:szCs w:val="24"/>
              </w:rPr>
              <w:t>（</w:t>
            </w:r>
            <w:r>
              <w:rPr>
                <w:rFonts w:hint="default"/>
                <w:sz w:val="24"/>
                <w:szCs w:val="24"/>
              </w:rPr>
              <w:t>2</w:t>
            </w:r>
            <w:r>
              <w:rPr>
                <w:rFonts w:hint="eastAsia" w:cs="宋体"/>
                <w:sz w:val="24"/>
                <w:szCs w:val="24"/>
              </w:rPr>
              <w:t>）环境质量底线及分区管控</w:t>
            </w:r>
          </w:p>
          <w:p w14:paraId="7C64FEF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rPr>
              <w:fldChar w:fldCharType="begin"/>
            </w:r>
            <w:r>
              <w:rPr>
                <w:rFonts w:hint="default" w:ascii="Times New Roman" w:hAnsi="Times New Roman" w:cs="Times New Roman"/>
                <w:kern w:val="0"/>
                <w:sz w:val="24"/>
                <w:szCs w:val="24"/>
              </w:rPr>
              <w:instrText xml:space="preserve"> = 1 \* GB3 \* MERGEFORMAT </w:instrText>
            </w:r>
            <w:r>
              <w:rPr>
                <w:rFonts w:hint="default" w:ascii="Times New Roman" w:hAnsi="Times New Roman" w:cs="Times New Roman"/>
                <w:kern w:val="0"/>
                <w:sz w:val="24"/>
                <w:szCs w:val="24"/>
              </w:rPr>
              <w:fldChar w:fldCharType="separate"/>
            </w:r>
            <w:r>
              <w:rPr>
                <w:rFonts w:hint="default" w:ascii="Times New Roman" w:hAnsi="Times New Roman" w:cs="Times New Roman"/>
                <w:kern w:val="0"/>
                <w:sz w:val="24"/>
                <w:szCs w:val="24"/>
              </w:rPr>
              <w:t>①</w:t>
            </w:r>
            <w:r>
              <w:rPr>
                <w:rFonts w:hint="default" w:ascii="Times New Roman" w:hAnsi="Times New Roman" w:cs="Times New Roman"/>
                <w:kern w:val="0"/>
                <w:sz w:val="24"/>
                <w:szCs w:val="24"/>
              </w:rPr>
              <w:fldChar w:fldCharType="end"/>
            </w:r>
            <w:r>
              <w:rPr>
                <w:rFonts w:hint="default" w:ascii="Times New Roman" w:hAnsi="Times New Roman" w:cs="Times New Roman"/>
                <w:kern w:val="0"/>
                <w:sz w:val="24"/>
                <w:szCs w:val="24"/>
              </w:rPr>
              <w:t>根据《20</w:t>
            </w: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4</w:t>
            </w:r>
            <w:r>
              <w:rPr>
                <w:rFonts w:hint="default" w:ascii="Times New Roman" w:hAnsi="Times New Roman" w:cs="Times New Roman"/>
                <w:kern w:val="0"/>
                <w:sz w:val="24"/>
                <w:szCs w:val="24"/>
              </w:rPr>
              <w:t>年淮北市环境质量公告》中淮北市环境保护监测站20</w:t>
            </w: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4</w:t>
            </w:r>
            <w:r>
              <w:rPr>
                <w:rFonts w:hint="default" w:ascii="Times New Roman" w:hAnsi="Times New Roman" w:cs="Times New Roman"/>
                <w:kern w:val="0"/>
                <w:sz w:val="24"/>
                <w:szCs w:val="24"/>
              </w:rPr>
              <w:t>年1月1日~20</w:t>
            </w: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4</w:t>
            </w:r>
            <w:r>
              <w:rPr>
                <w:rFonts w:hint="default" w:ascii="Times New Roman" w:hAnsi="Times New Roman" w:cs="Times New Roman"/>
                <w:kern w:val="0"/>
                <w:sz w:val="24"/>
                <w:szCs w:val="24"/>
              </w:rPr>
              <w:t>年12月31日的监测数据进行评价</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rPr>
              <w:t>20</w:t>
            </w: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4</w:t>
            </w:r>
            <w:r>
              <w:rPr>
                <w:rFonts w:hint="default" w:ascii="Times New Roman" w:hAnsi="Times New Roman" w:cs="Times New Roman"/>
                <w:kern w:val="0"/>
                <w:sz w:val="24"/>
                <w:szCs w:val="24"/>
              </w:rPr>
              <w:t>年淮北市</w:t>
            </w:r>
            <w:r>
              <w:rPr>
                <w:rFonts w:hint="default" w:ascii="Times New Roman" w:hAnsi="Times New Roman" w:cs="Times New Roman"/>
                <w:kern w:val="0"/>
                <w:sz w:val="24"/>
                <w:szCs w:val="24"/>
                <w:lang w:val="en-US" w:eastAsia="zh-CN"/>
              </w:rPr>
              <w:t>除</w:t>
            </w:r>
            <w:r>
              <w:rPr>
                <w:rFonts w:hint="default" w:ascii="Times New Roman" w:hAnsi="Times New Roman" w:cs="Times New Roman"/>
                <w:kern w:val="0"/>
                <w:sz w:val="24"/>
                <w:szCs w:val="24"/>
              </w:rPr>
              <w:t>PM</w:t>
            </w:r>
            <w:r>
              <w:rPr>
                <w:rFonts w:hint="default" w:ascii="Times New Roman" w:hAnsi="Times New Roman" w:cs="Times New Roman"/>
                <w:kern w:val="0"/>
                <w:sz w:val="24"/>
                <w:szCs w:val="24"/>
                <w:vertAlign w:val="subscript"/>
              </w:rPr>
              <w:t>2.5</w:t>
            </w:r>
            <w:r>
              <w:rPr>
                <w:rFonts w:hint="default" w:ascii="Times New Roman" w:hAnsi="Times New Roman" w:cs="Times New Roman"/>
                <w:kern w:val="0"/>
                <w:sz w:val="24"/>
                <w:szCs w:val="24"/>
              </w:rPr>
              <w:t>及O</w:t>
            </w:r>
            <w:r>
              <w:rPr>
                <w:rFonts w:hint="default" w:ascii="Times New Roman" w:hAnsi="Times New Roman" w:cs="Times New Roman"/>
                <w:kern w:val="0"/>
                <w:sz w:val="24"/>
                <w:szCs w:val="24"/>
                <w:vertAlign w:val="subscript"/>
              </w:rPr>
              <w:t>3</w:t>
            </w:r>
            <w:r>
              <w:rPr>
                <w:rFonts w:hint="default" w:ascii="Times New Roman" w:hAnsi="Times New Roman" w:cs="Times New Roman"/>
                <w:kern w:val="0"/>
                <w:sz w:val="24"/>
                <w:szCs w:val="24"/>
              </w:rPr>
              <w:t>的评价指标不能满足《环境空气质量标准》（GB3095-2012）</w:t>
            </w:r>
            <w:r>
              <w:rPr>
                <w:rFonts w:hint="default" w:ascii="Times New Roman" w:hAnsi="Times New Roman" w:cs="Times New Roman"/>
                <w:kern w:val="0"/>
                <w:sz w:val="24"/>
                <w:szCs w:val="24"/>
                <w:lang w:val="en-US" w:eastAsia="zh-CN"/>
              </w:rPr>
              <w:t>及其修改单</w:t>
            </w:r>
            <w:r>
              <w:rPr>
                <w:rFonts w:hint="default" w:ascii="Times New Roman" w:hAnsi="Times New Roman" w:cs="Times New Roman"/>
                <w:kern w:val="0"/>
                <w:sz w:val="24"/>
                <w:szCs w:val="24"/>
              </w:rPr>
              <w:t>二级标准限值要求，</w:t>
            </w:r>
            <w:r>
              <w:rPr>
                <w:rFonts w:hint="default" w:ascii="Times New Roman" w:hAnsi="Times New Roman" w:cs="Times New Roman"/>
                <w:kern w:val="0"/>
                <w:sz w:val="24"/>
                <w:szCs w:val="24"/>
                <w:lang w:val="en-US" w:eastAsia="zh-CN"/>
              </w:rPr>
              <w:t>其他均能满足</w:t>
            </w:r>
            <w:r>
              <w:rPr>
                <w:rFonts w:hint="default" w:ascii="Times New Roman" w:hAnsi="Times New Roman" w:cs="Times New Roman"/>
                <w:kern w:val="0"/>
                <w:sz w:val="24"/>
                <w:szCs w:val="24"/>
              </w:rPr>
              <w:t>。</w:t>
            </w:r>
            <w:r>
              <w:rPr>
                <w:rFonts w:hint="default" w:ascii="Times New Roman" w:hAnsi="Times New Roman" w:cs="Times New Roman"/>
                <w:kern w:val="0"/>
                <w:sz w:val="24"/>
                <w:szCs w:val="24"/>
                <w:lang w:val="en-US" w:eastAsia="zh-CN"/>
              </w:rPr>
              <w:t>本项目生产线粉尘采取布袋除尘器处理后通过15m排气筒排放，排放浓度低于安徽省地方标准《玻璃工业大气污染物排放标准》（DB34 4295-2022）中的相关标准。</w:t>
            </w:r>
          </w:p>
          <w:p w14:paraId="59818FC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fldChar w:fldCharType="begin"/>
            </w:r>
            <w:r>
              <w:rPr>
                <w:rFonts w:hint="default" w:ascii="Times New Roman" w:hAnsi="Times New Roman" w:cs="Times New Roman"/>
                <w:kern w:val="0"/>
                <w:sz w:val="24"/>
                <w:szCs w:val="24"/>
                <w:lang w:val="en-US" w:eastAsia="zh-CN"/>
              </w:rPr>
              <w:instrText xml:space="preserve"> = 2 \* GB3 \* MERGEFORMAT </w:instrText>
            </w:r>
            <w:r>
              <w:rPr>
                <w:rFonts w:hint="default" w:ascii="Times New Roman" w:hAnsi="Times New Roman" w:cs="Times New Roman"/>
                <w:kern w:val="0"/>
                <w:sz w:val="24"/>
                <w:szCs w:val="24"/>
                <w:lang w:val="en-US" w:eastAsia="zh-CN"/>
              </w:rPr>
              <w:fldChar w:fldCharType="separate"/>
            </w:r>
            <w:r>
              <w:rPr>
                <w:rFonts w:hint="default" w:ascii="Times New Roman" w:hAnsi="Times New Roman" w:cs="Times New Roman"/>
                <w:kern w:val="0"/>
                <w:sz w:val="24"/>
                <w:szCs w:val="24"/>
                <w:lang w:val="en-US" w:eastAsia="zh-CN"/>
              </w:rPr>
              <w:t>②</w:t>
            </w:r>
            <w:r>
              <w:rPr>
                <w:rFonts w:hint="default" w:ascii="Times New Roman" w:hAnsi="Times New Roman" w:cs="Times New Roman"/>
                <w:kern w:val="0"/>
                <w:sz w:val="24"/>
                <w:szCs w:val="24"/>
                <w:lang w:val="en-US" w:eastAsia="zh-CN"/>
              </w:rPr>
              <w:fldChar w:fldCharType="end"/>
            </w:r>
            <w:r>
              <w:rPr>
                <w:rFonts w:hint="default" w:ascii="Times New Roman" w:hAnsi="Times New Roman" w:cs="Times New Roman"/>
                <w:kern w:val="0"/>
                <w:sz w:val="24"/>
                <w:szCs w:val="24"/>
                <w:lang w:val="en-US" w:eastAsia="zh-CN"/>
              </w:rPr>
              <w:t>项目所在区域为声环境功能区</w:t>
            </w:r>
            <w:r>
              <w:rPr>
                <w:rFonts w:hint="eastAsia" w:ascii="Times New Roman" w:hAnsi="Times New Roman" w:cs="Times New Roman"/>
                <w:kern w:val="0"/>
                <w:sz w:val="24"/>
                <w:szCs w:val="24"/>
                <w:lang w:val="en-US" w:eastAsia="zh-CN"/>
              </w:rPr>
              <w:t>3</w:t>
            </w:r>
            <w:r>
              <w:rPr>
                <w:rFonts w:hint="default" w:ascii="Times New Roman" w:hAnsi="Times New Roman" w:cs="Times New Roman"/>
                <w:kern w:val="0"/>
                <w:sz w:val="24"/>
                <w:szCs w:val="24"/>
              </w:rPr>
              <w:t>类区</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rPr>
              <w:t>根据《20</w:t>
            </w:r>
            <w:r>
              <w:rPr>
                <w:rFonts w:hint="default" w:ascii="Times New Roman" w:hAnsi="Times New Roman" w:cs="Times New Roman"/>
                <w:kern w:val="0"/>
                <w:sz w:val="24"/>
                <w:szCs w:val="24"/>
                <w:lang w:val="en-US" w:eastAsia="zh-CN"/>
              </w:rPr>
              <w:t>2</w:t>
            </w:r>
            <w:r>
              <w:rPr>
                <w:rFonts w:hint="eastAsia" w:cs="Times New Roman"/>
                <w:kern w:val="0"/>
                <w:sz w:val="24"/>
                <w:szCs w:val="24"/>
                <w:lang w:val="en-US" w:eastAsia="zh-CN"/>
              </w:rPr>
              <w:t>4</w:t>
            </w:r>
            <w:r>
              <w:rPr>
                <w:rFonts w:hint="default" w:ascii="Times New Roman" w:hAnsi="Times New Roman" w:cs="Times New Roman"/>
                <w:kern w:val="0"/>
                <w:sz w:val="24"/>
                <w:szCs w:val="24"/>
              </w:rPr>
              <w:t>年淮北市环境质量公告》</w:t>
            </w:r>
            <w:r>
              <w:rPr>
                <w:rFonts w:hint="default" w:ascii="Times New Roman" w:hAnsi="Times New Roman" w:cs="Times New Roman"/>
                <w:kern w:val="0"/>
                <w:sz w:val="24"/>
                <w:szCs w:val="24"/>
                <w:lang w:eastAsia="zh-CN"/>
              </w:rPr>
              <w:t>，</w:t>
            </w:r>
            <w:r>
              <w:rPr>
                <w:rFonts w:hint="eastAsia" w:ascii="Times New Roman" w:hAnsi="Times New Roman" w:eastAsia="宋体" w:cs="Times New Roman"/>
                <w:color w:val="auto"/>
                <w:sz w:val="24"/>
                <w:szCs w:val="24"/>
                <w:lang w:val="en-US" w:eastAsia="zh-CN"/>
              </w:rPr>
              <w:t>3类区昼间、夜间达标率均为100%</w:t>
            </w:r>
            <w:r>
              <w:rPr>
                <w:rFonts w:hint="default" w:ascii="Times New Roman" w:hAnsi="Times New Roman" w:cs="Times New Roman"/>
                <w:kern w:val="0"/>
                <w:sz w:val="24"/>
                <w:szCs w:val="24"/>
                <w:lang w:eastAsia="zh-CN"/>
              </w:rPr>
              <w:t>。</w:t>
            </w:r>
          </w:p>
          <w:p w14:paraId="1B7A0FD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fldChar w:fldCharType="begin"/>
            </w:r>
            <w:r>
              <w:rPr>
                <w:rFonts w:hint="default" w:ascii="Times New Roman" w:hAnsi="Times New Roman" w:cs="Times New Roman"/>
                <w:kern w:val="0"/>
                <w:sz w:val="24"/>
                <w:szCs w:val="24"/>
                <w:lang w:val="en-US" w:eastAsia="zh-CN"/>
              </w:rPr>
              <w:instrText xml:space="preserve"> = 3 \* GB3 \* MERGEFORMAT </w:instrText>
            </w:r>
            <w:r>
              <w:rPr>
                <w:rFonts w:hint="default" w:ascii="Times New Roman" w:hAnsi="Times New Roman" w:cs="Times New Roman"/>
                <w:kern w:val="0"/>
                <w:sz w:val="24"/>
                <w:szCs w:val="24"/>
                <w:lang w:val="en-US" w:eastAsia="zh-CN"/>
              </w:rPr>
              <w:fldChar w:fldCharType="separate"/>
            </w:r>
            <w:r>
              <w:rPr>
                <w:rFonts w:hint="default" w:ascii="Times New Roman" w:hAnsi="Times New Roman" w:cs="Times New Roman"/>
                <w:kern w:val="0"/>
                <w:sz w:val="24"/>
                <w:szCs w:val="24"/>
                <w:lang w:val="en-US" w:eastAsia="zh-CN"/>
              </w:rPr>
              <w:t>③</w:t>
            </w:r>
            <w:r>
              <w:rPr>
                <w:rFonts w:hint="default" w:ascii="Times New Roman" w:hAnsi="Times New Roman" w:cs="Times New Roman"/>
                <w:kern w:val="0"/>
                <w:sz w:val="24"/>
                <w:szCs w:val="24"/>
                <w:lang w:val="en-US" w:eastAsia="zh-CN"/>
              </w:rPr>
              <w:fldChar w:fldCharType="end"/>
            </w:r>
            <w:r>
              <w:rPr>
                <w:rFonts w:hint="default" w:ascii="Times New Roman" w:hAnsi="Times New Roman" w:cs="Times New Roman"/>
                <w:kern w:val="0"/>
                <w:sz w:val="24"/>
                <w:szCs w:val="24"/>
                <w:lang w:val="en-US" w:eastAsia="zh-CN"/>
              </w:rPr>
              <w:t>雷河执行《地表水环境质量标准》（GB3838-2002）中Ⅳ类水质标准、萧濉新河执行《地表水环境质量标准》（GB3838-2002）中Ⅲ类水质标准。</w:t>
            </w:r>
          </w:p>
          <w:p w14:paraId="3C6D35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④根据《20</w:t>
            </w:r>
            <w:r>
              <w:rPr>
                <w:rFonts w:hint="eastAsia" w:cs="Times New Roman"/>
                <w:kern w:val="0"/>
                <w:sz w:val="24"/>
                <w:szCs w:val="24"/>
                <w:lang w:val="en-US" w:eastAsia="zh-CN"/>
              </w:rPr>
              <w:t>24</w:t>
            </w:r>
            <w:r>
              <w:rPr>
                <w:rFonts w:hint="default" w:ascii="Times New Roman" w:hAnsi="Times New Roman" w:cs="Times New Roman"/>
                <w:kern w:val="0"/>
                <w:sz w:val="24"/>
                <w:szCs w:val="24"/>
                <w:lang w:val="en-US" w:eastAsia="zh-CN"/>
              </w:rPr>
              <w:t>年淮北市环境质量公告》，</w:t>
            </w:r>
            <w:r>
              <w:rPr>
                <w:rFonts w:hint="default" w:ascii="Times New Roman" w:hAnsi="Times New Roman" w:cs="Times New Roman"/>
                <w:kern w:val="0"/>
                <w:sz w:val="24"/>
                <w:szCs w:val="24"/>
                <w:lang w:eastAsia="zh-CN"/>
              </w:rPr>
              <w:t>202</w:t>
            </w:r>
            <w:r>
              <w:rPr>
                <w:rFonts w:hint="eastAsia" w:cs="Times New Roman"/>
                <w:kern w:val="0"/>
                <w:sz w:val="24"/>
                <w:szCs w:val="24"/>
                <w:lang w:val="en-US" w:eastAsia="zh-CN"/>
              </w:rPr>
              <w:t>4</w:t>
            </w:r>
            <w:r>
              <w:rPr>
                <w:rFonts w:hint="default" w:ascii="Times New Roman" w:hAnsi="Times New Roman" w:cs="Times New Roman"/>
                <w:kern w:val="0"/>
                <w:sz w:val="24"/>
                <w:szCs w:val="24"/>
                <w:lang w:eastAsia="zh-CN"/>
              </w:rPr>
              <w:t>年淮北市城市集中饮用水源地（地下水）监测指标均达到《地下水质量标准》GB/T14848-2017中Ⅲ类标准</w:t>
            </w:r>
            <w:r>
              <w:rPr>
                <w:rFonts w:hint="default" w:ascii="Times New Roman" w:hAnsi="Times New Roman" w:cs="Times New Roman"/>
                <w:kern w:val="0"/>
                <w:sz w:val="24"/>
                <w:szCs w:val="24"/>
                <w:lang w:val="en-US" w:eastAsia="zh-CN"/>
              </w:rPr>
              <w:t>。因此，项目所在区域</w:t>
            </w:r>
            <w:r>
              <w:rPr>
                <w:rFonts w:hint="default" w:ascii="Times New Roman" w:hAnsi="Times New Roman" w:cs="Times New Roman"/>
                <w:kern w:val="0"/>
                <w:sz w:val="24"/>
                <w:szCs w:val="24"/>
              </w:rPr>
              <w:t>地下水</w:t>
            </w:r>
            <w:r>
              <w:rPr>
                <w:rFonts w:hint="default" w:ascii="Times New Roman" w:hAnsi="Times New Roman" w:cs="Times New Roman"/>
                <w:kern w:val="0"/>
                <w:sz w:val="24"/>
                <w:szCs w:val="24"/>
                <w:lang w:val="en-US" w:eastAsia="zh-CN"/>
              </w:rPr>
              <w:t>环境</w:t>
            </w:r>
            <w:r>
              <w:rPr>
                <w:rFonts w:hint="default" w:ascii="Times New Roman" w:hAnsi="Times New Roman" w:cs="Times New Roman"/>
                <w:kern w:val="0"/>
                <w:sz w:val="24"/>
                <w:szCs w:val="24"/>
              </w:rPr>
              <w:t>各项指标均能满足《地下水质量标准》（GB/T14848-2017）Ⅲ类标准要求</w:t>
            </w:r>
            <w:r>
              <w:rPr>
                <w:rFonts w:hint="default" w:ascii="Times New Roman" w:hAnsi="Times New Roman" w:cs="Times New Roman"/>
                <w:kern w:val="0"/>
                <w:sz w:val="24"/>
                <w:szCs w:val="24"/>
                <w:lang w:eastAsia="zh-CN"/>
              </w:rPr>
              <w:t>。</w:t>
            </w:r>
          </w:p>
          <w:p w14:paraId="52D9855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kern w:val="0"/>
                <w:sz w:val="24"/>
                <w:szCs w:val="24"/>
              </w:rPr>
              <w:t>本项目污染物经各项环保措施处理后，能够达标排放，对周边环境的影响在可接受范围之内，不会改变当地的环境功能</w:t>
            </w:r>
            <w:r>
              <w:rPr>
                <w:rFonts w:hint="default" w:ascii="Times New Roman" w:hAnsi="Times New Roman" w:cs="Times New Roman"/>
                <w:sz w:val="24"/>
                <w:szCs w:val="24"/>
              </w:rPr>
              <w:t>。</w:t>
            </w:r>
          </w:p>
          <w:p w14:paraId="12D3B39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根据安徽省生态环境厅发布的《安徽省</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eastAsia="zh-CN"/>
              </w:rPr>
              <w:t>三线一单</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eastAsia="zh-CN"/>
              </w:rPr>
              <w:t>生态环境分区管控管理办法（暂行）》（皖环发〔2022〕5号）（以下简称《办法》），《办法》要求</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eastAsia="zh-CN"/>
              </w:rPr>
              <w:t>在建设项目环评中，做好与</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eastAsia="zh-CN"/>
              </w:rPr>
              <w:t>三线一单</w:t>
            </w:r>
            <w:r>
              <w:rPr>
                <w:rFonts w:hint="eastAsia"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lang w:val="en-US" w:eastAsia="zh-CN"/>
              </w:rPr>
              <w:t>生态环境分区管控相符性分析，充分论证是否符合生态环境准入清单要求。</w:t>
            </w:r>
          </w:p>
          <w:p w14:paraId="213069D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项目位于淮北市烈山区经济开发区青龙山电子信息产业园，分别对照淮北市环境管控单元图以及大气环境、水环境、地下水环境和土壤环境管控单元图，</w:t>
            </w:r>
            <w:r>
              <w:rPr>
                <w:rFonts w:hint="eastAsia" w:ascii="Times New Roman" w:hAnsi="Times New Roman" w:eastAsia="宋体" w:cs="Times New Roman"/>
                <w:kern w:val="0"/>
                <w:sz w:val="24"/>
                <w:szCs w:val="24"/>
                <w:lang w:val="en-US" w:eastAsia="zh-CN"/>
              </w:rPr>
              <w:t>本项目所在地</w:t>
            </w:r>
            <w:r>
              <w:rPr>
                <w:rFonts w:hint="default" w:ascii="Times New Roman" w:hAnsi="Times New Roman" w:eastAsia="宋体" w:cs="Times New Roman"/>
                <w:kern w:val="0"/>
                <w:sz w:val="24"/>
                <w:szCs w:val="24"/>
                <w:lang w:val="en-US" w:eastAsia="zh-CN"/>
              </w:rPr>
              <w:t>水环境属于</w:t>
            </w:r>
            <w:r>
              <w:rPr>
                <w:rFonts w:hint="eastAsia" w:ascii="Times New Roman" w:hAnsi="Times New Roman" w:eastAsia="宋体" w:cs="Times New Roman"/>
                <w:kern w:val="0"/>
                <w:sz w:val="24"/>
                <w:szCs w:val="24"/>
                <w:lang w:val="en-US" w:eastAsia="zh-CN"/>
              </w:rPr>
              <w:t>工业污染重点</w:t>
            </w:r>
            <w:r>
              <w:rPr>
                <w:rFonts w:hint="default" w:ascii="Times New Roman" w:hAnsi="Times New Roman" w:eastAsia="宋体" w:cs="Times New Roman"/>
                <w:kern w:val="0"/>
                <w:sz w:val="24"/>
                <w:szCs w:val="24"/>
                <w:lang w:val="en-US" w:eastAsia="zh-CN"/>
              </w:rPr>
              <w:t>管控区，大气环境属于</w:t>
            </w:r>
            <w:r>
              <w:rPr>
                <w:rFonts w:hint="eastAsia" w:ascii="Times New Roman" w:hAnsi="Times New Roman" w:eastAsia="宋体" w:cs="Times New Roman"/>
                <w:kern w:val="0"/>
                <w:sz w:val="24"/>
                <w:szCs w:val="24"/>
                <w:lang w:val="en-US" w:eastAsia="zh-CN"/>
              </w:rPr>
              <w:t>高排放重点</w:t>
            </w:r>
            <w:r>
              <w:rPr>
                <w:rFonts w:hint="default" w:ascii="Times New Roman" w:hAnsi="Times New Roman" w:eastAsia="宋体" w:cs="Times New Roman"/>
                <w:kern w:val="0"/>
                <w:sz w:val="24"/>
                <w:szCs w:val="24"/>
                <w:lang w:val="en-US" w:eastAsia="zh-CN"/>
              </w:rPr>
              <w:t>管控区，地下水环境属于</w:t>
            </w:r>
            <w:r>
              <w:rPr>
                <w:rFonts w:hint="eastAsia" w:ascii="Times New Roman" w:hAnsi="Times New Roman" w:eastAsia="宋体" w:cs="Times New Roman"/>
                <w:kern w:val="0"/>
                <w:sz w:val="24"/>
                <w:szCs w:val="24"/>
                <w:lang w:val="en-US" w:eastAsia="zh-CN"/>
              </w:rPr>
              <w:t>重点</w:t>
            </w:r>
            <w:r>
              <w:rPr>
                <w:rFonts w:hint="default" w:ascii="Times New Roman" w:hAnsi="Times New Roman" w:eastAsia="宋体" w:cs="Times New Roman"/>
                <w:kern w:val="0"/>
                <w:sz w:val="24"/>
                <w:szCs w:val="24"/>
                <w:lang w:val="en-US" w:eastAsia="zh-CN"/>
              </w:rPr>
              <w:t>管控区，土壤环境属于一般防控区。</w:t>
            </w:r>
          </w:p>
          <w:p w14:paraId="7F8F1245">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水环境</w:t>
            </w:r>
            <w:r>
              <w:rPr>
                <w:rFonts w:hint="eastAsia" w:ascii="Times New Roman" w:hAnsi="Times New Roman" w:eastAsia="宋体" w:cs="Times New Roman"/>
                <w:kern w:val="0"/>
                <w:sz w:val="24"/>
                <w:szCs w:val="24"/>
                <w:lang w:val="en-US" w:eastAsia="zh-CN"/>
              </w:rPr>
              <w:t>重点管控区：依据《中华人民共和国水污染防治法》《水污染防治行动计划》《安徽省水污染防治工作方案》及各市水污染防治工作方案对重点管控区实施管控；依据《安徽省淮河流域水污染防治条例》对淮河流域实施管控；依据开发区规划、规划环评及审查意见相关要求对开发区实施管控；落实《“十三五”生态环境保护规划》《安徽省“十三五”环境保护规划》《安徽省“十三五”节能减排实施方案》等要求，新建、改建和扩建项目水污染物实施“等量替代”。</w:t>
            </w:r>
          </w:p>
          <w:p w14:paraId="48EF3933">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大气环境</w:t>
            </w:r>
            <w:r>
              <w:rPr>
                <w:rFonts w:hint="eastAsia" w:ascii="Times New Roman" w:hAnsi="Times New Roman" w:eastAsia="宋体" w:cs="Times New Roman"/>
                <w:kern w:val="0"/>
                <w:sz w:val="24"/>
                <w:szCs w:val="24"/>
                <w:lang w:val="en-US" w:eastAsia="zh-CN"/>
              </w:rPr>
              <w:t>高排放重点</w:t>
            </w:r>
            <w:r>
              <w:rPr>
                <w:rFonts w:hint="default" w:ascii="Times New Roman" w:hAnsi="Times New Roman" w:eastAsia="宋体" w:cs="Times New Roman"/>
                <w:kern w:val="0"/>
                <w:sz w:val="24"/>
                <w:szCs w:val="24"/>
                <w:lang w:val="en-US" w:eastAsia="zh-CN"/>
              </w:rPr>
              <w:t>管控区</w:t>
            </w:r>
            <w:r>
              <w:rPr>
                <w:rFonts w:hint="eastAsia" w:ascii="Times New Roman" w:hAnsi="Times New Roman" w:eastAsia="宋体" w:cs="Times New Roman"/>
                <w:kern w:val="0"/>
                <w:sz w:val="24"/>
                <w:szCs w:val="24"/>
                <w:lang w:val="en-US" w:eastAsia="zh-CN"/>
              </w:rPr>
              <w:t>：重点管控区：落实《安徽省大气污染防治条例》《“十三五”生态环境保护规划》《安徽省“十三五”环境保护规划》《打赢蓝天保卫战三年行动计划》《安徽省打赢蓝天保卫战三年行动计划实施方案》《重点行业挥发性有机物综合治理方案》等要求，严格目标实施计划，加强环境监管，促进生态环境质量好转。上年度PM</w:t>
            </w:r>
            <w:r>
              <w:rPr>
                <w:rFonts w:hint="eastAsia" w:ascii="Times New Roman" w:hAnsi="Times New Roman" w:eastAsia="宋体" w:cs="Times New Roman"/>
                <w:kern w:val="0"/>
                <w:sz w:val="24"/>
                <w:szCs w:val="24"/>
                <w:vertAlign w:val="subscript"/>
                <w:lang w:val="en-US" w:eastAsia="zh-CN"/>
              </w:rPr>
              <w:t>2.5</w:t>
            </w:r>
            <w:r>
              <w:rPr>
                <w:rFonts w:hint="eastAsia" w:ascii="Times New Roman" w:hAnsi="Times New Roman" w:eastAsia="宋体" w:cs="Times New Roman"/>
                <w:kern w:val="0"/>
                <w:sz w:val="24"/>
                <w:szCs w:val="24"/>
                <w:lang w:val="en-US" w:eastAsia="zh-CN"/>
              </w:rPr>
              <w:t>不达标城市新建、改建和扩建项目大气污染物实施“倍量替代”，执行特别排放标准的行业实施提标升级改造。</w:t>
            </w:r>
          </w:p>
          <w:p w14:paraId="216360B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地下水属于</w:t>
            </w:r>
            <w:r>
              <w:rPr>
                <w:rFonts w:hint="eastAsia" w:ascii="Times New Roman" w:hAnsi="Times New Roman" w:eastAsia="宋体" w:cs="Times New Roman"/>
                <w:kern w:val="0"/>
                <w:sz w:val="24"/>
                <w:szCs w:val="24"/>
                <w:lang w:val="en-US" w:eastAsia="zh-CN"/>
              </w:rPr>
              <w:t>重点</w:t>
            </w:r>
            <w:r>
              <w:rPr>
                <w:rFonts w:hint="default" w:ascii="Times New Roman" w:hAnsi="Times New Roman" w:eastAsia="宋体" w:cs="Times New Roman"/>
                <w:kern w:val="0"/>
                <w:sz w:val="24"/>
                <w:szCs w:val="24"/>
                <w:lang w:val="en-US" w:eastAsia="zh-CN"/>
              </w:rPr>
              <w:t>管控区</w:t>
            </w:r>
            <w:r>
              <w:rPr>
                <w:rFonts w:hint="eastAsia" w:ascii="Times New Roman" w:hAnsi="Times New Roman" w:eastAsia="宋体" w:cs="Times New Roman"/>
                <w:kern w:val="0"/>
                <w:sz w:val="24"/>
                <w:szCs w:val="24"/>
                <w:lang w:val="en-US" w:eastAsia="zh-CN"/>
              </w:rPr>
              <w:t>：落实《国务院办公厅关于印发实行最严格水资源管理制度考核办法的通知》《“十三五”水资源消耗总量和强度双控行动方案》《安徽省“十三五”水资源消耗总量和强度双控工作方案》等要求。</w:t>
            </w:r>
          </w:p>
          <w:p w14:paraId="6C66A80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left"/>
              <w:textAlignment w:val="auto"/>
              <w:rPr>
                <w:rFonts w:hint="eastAsia"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土壤环境一般防控区</w:t>
            </w:r>
            <w:r>
              <w:rPr>
                <w:rFonts w:hint="eastAsia" w:ascii="Times New Roman" w:hAnsi="Times New Roman" w:eastAsia="宋体" w:cs="Times New Roman"/>
                <w:kern w:val="0"/>
                <w:sz w:val="24"/>
                <w:szCs w:val="24"/>
                <w:lang w:val="en-US" w:eastAsia="zh-CN"/>
              </w:rPr>
              <w:t>：落实《安徽省土地利用总体规划（2006-2020年）调整方案》《关于落实“十三五”单位国内生产总值建设用地使用面积下降目标的指导意见的通知》《国土资源“十三五”规划纲要》《安徽省国土资源“十三五”规划》等要求。</w:t>
            </w:r>
          </w:p>
          <w:p w14:paraId="4B9827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sz w:val="24"/>
                <w:szCs w:val="24"/>
              </w:rPr>
            </w:pPr>
            <w:r>
              <w:rPr>
                <w:rFonts w:hint="eastAsia" w:cs="宋体"/>
                <w:sz w:val="24"/>
                <w:szCs w:val="24"/>
              </w:rPr>
              <w:t>（</w:t>
            </w:r>
            <w:r>
              <w:rPr>
                <w:rFonts w:hint="default"/>
                <w:sz w:val="24"/>
                <w:szCs w:val="24"/>
              </w:rPr>
              <w:t>3</w:t>
            </w:r>
            <w:r>
              <w:rPr>
                <w:rFonts w:hint="eastAsia" w:cs="宋体"/>
                <w:sz w:val="24"/>
                <w:szCs w:val="24"/>
              </w:rPr>
              <w:t>）资源利用上线</w:t>
            </w:r>
            <w:r>
              <w:rPr>
                <w:rFonts w:hint="eastAsia" w:cs="宋体"/>
                <w:sz w:val="24"/>
                <w:szCs w:val="24"/>
                <w:lang w:val="en-US" w:eastAsia="zh-CN"/>
              </w:rPr>
              <w:t>及自然资源开发分区管控</w:t>
            </w:r>
          </w:p>
          <w:p w14:paraId="14A5518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sz w:val="24"/>
                <w:szCs w:val="24"/>
                <w:lang w:eastAsia="zh-CN"/>
              </w:rPr>
            </w:pPr>
            <w:r>
              <w:rPr>
                <w:rFonts w:hint="default" w:ascii="Times New Roman" w:hAnsi="Times New Roman" w:eastAsia="宋体" w:cs="Times New Roman"/>
                <w:kern w:val="0"/>
                <w:sz w:val="24"/>
                <w:szCs w:val="24"/>
                <w:lang w:val="en-US" w:eastAsia="zh-CN"/>
              </w:rPr>
              <w:t>①</w:t>
            </w:r>
            <w:r>
              <w:rPr>
                <w:rFonts w:hint="eastAsia" w:ascii="Times New Roman" w:hAnsi="Times New Roman" w:eastAsia="宋体" w:cs="Times New Roman"/>
                <w:kern w:val="0"/>
                <w:sz w:val="24"/>
                <w:szCs w:val="24"/>
                <w:lang w:val="en-US" w:eastAsia="zh-CN"/>
              </w:rPr>
              <w:t>资源利用上线</w:t>
            </w:r>
          </w:p>
          <w:p w14:paraId="46143F7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cs="宋体"/>
                <w:sz w:val="24"/>
                <w:szCs w:val="24"/>
                <w:lang w:eastAsia="zh-CN"/>
              </w:rPr>
            </w:pPr>
            <w:r>
              <w:rPr>
                <w:rFonts w:hint="eastAsia" w:cs="宋体"/>
                <w:sz w:val="24"/>
                <w:szCs w:val="24"/>
                <w:lang w:eastAsia="zh-CN"/>
              </w:rPr>
              <w:t>本项目建设过程中所利用的资源主要为水资源、电资源，均为</w:t>
            </w:r>
            <w:r>
              <w:rPr>
                <w:rFonts w:hint="eastAsia" w:cs="宋体"/>
                <w:sz w:val="24"/>
                <w:szCs w:val="24"/>
                <w:lang w:val="en-US" w:eastAsia="zh-CN"/>
              </w:rPr>
              <w:t>清</w:t>
            </w:r>
            <w:r>
              <w:rPr>
                <w:rFonts w:hint="eastAsia" w:cs="宋体"/>
                <w:sz w:val="24"/>
                <w:szCs w:val="24"/>
                <w:lang w:eastAsia="zh-CN"/>
              </w:rPr>
              <w:t>洁能源。水资源利用：本项目用水主要</w:t>
            </w:r>
            <w:r>
              <w:rPr>
                <w:rFonts w:hint="eastAsia" w:cs="宋体"/>
                <w:sz w:val="24"/>
                <w:szCs w:val="24"/>
                <w:lang w:val="en-US" w:eastAsia="zh-CN"/>
              </w:rPr>
              <w:t>为</w:t>
            </w:r>
            <w:r>
              <w:rPr>
                <w:rFonts w:hint="eastAsia" w:cs="宋体"/>
                <w:color w:val="auto"/>
                <w:sz w:val="24"/>
                <w:szCs w:val="24"/>
                <w:lang w:eastAsia="zh-CN"/>
              </w:rPr>
              <w:t>职工生活用水、</w:t>
            </w:r>
            <w:r>
              <w:rPr>
                <w:rFonts w:hint="eastAsia" w:cs="宋体"/>
                <w:color w:val="auto"/>
                <w:sz w:val="24"/>
                <w:szCs w:val="24"/>
                <w:lang w:val="en-US" w:eastAsia="zh-CN"/>
              </w:rPr>
              <w:t>冷却用水</w:t>
            </w:r>
            <w:r>
              <w:rPr>
                <w:rFonts w:hint="eastAsia" w:cs="宋体"/>
                <w:color w:val="auto"/>
                <w:sz w:val="24"/>
                <w:szCs w:val="24"/>
                <w:lang w:eastAsia="zh-CN"/>
              </w:rPr>
              <w:t>，</w:t>
            </w:r>
            <w:r>
              <w:rPr>
                <w:rFonts w:hint="eastAsia" w:cs="宋体"/>
                <w:sz w:val="24"/>
                <w:szCs w:val="24"/>
                <w:lang w:eastAsia="zh-CN"/>
              </w:rPr>
              <w:t>由</w:t>
            </w:r>
            <w:r>
              <w:rPr>
                <w:rFonts w:hint="eastAsia" w:cs="宋体"/>
                <w:sz w:val="24"/>
                <w:szCs w:val="24"/>
                <w:lang w:val="en-US" w:eastAsia="zh-CN"/>
              </w:rPr>
              <w:t>园区提供</w:t>
            </w:r>
            <w:r>
              <w:rPr>
                <w:rFonts w:hint="eastAsia" w:cs="宋体"/>
                <w:sz w:val="24"/>
                <w:szCs w:val="24"/>
                <w:lang w:eastAsia="zh-CN"/>
              </w:rPr>
              <w:t>，</w:t>
            </w:r>
            <w:r>
              <w:rPr>
                <w:rFonts w:hint="eastAsia" w:cs="宋体"/>
                <w:sz w:val="24"/>
                <w:szCs w:val="24"/>
                <w:lang w:val="en-US" w:eastAsia="zh-CN"/>
              </w:rPr>
              <w:t>根据下表可知，本项目用水</w:t>
            </w:r>
            <w:r>
              <w:rPr>
                <w:rFonts w:hint="eastAsia" w:cs="宋体"/>
                <w:sz w:val="24"/>
                <w:szCs w:val="24"/>
                <w:lang w:eastAsia="zh-CN"/>
              </w:rPr>
              <w:t>对区域水资源开发和利用基本不产生影响。能源：项目</w:t>
            </w:r>
            <w:r>
              <w:rPr>
                <w:rFonts w:hint="eastAsia" w:cs="宋体"/>
                <w:sz w:val="24"/>
                <w:szCs w:val="24"/>
                <w:lang w:val="en-US" w:eastAsia="zh-CN"/>
              </w:rPr>
              <w:t>电熔窑</w:t>
            </w:r>
            <w:r>
              <w:rPr>
                <w:rFonts w:hint="eastAsia" w:cs="宋体"/>
                <w:sz w:val="24"/>
                <w:szCs w:val="24"/>
                <w:lang w:eastAsia="zh-CN"/>
              </w:rPr>
              <w:t>使用电能，</w:t>
            </w:r>
            <w:r>
              <w:rPr>
                <w:rFonts w:hint="eastAsia" w:cs="宋体"/>
                <w:sz w:val="24"/>
                <w:szCs w:val="24"/>
                <w:lang w:val="en-US" w:eastAsia="zh-CN"/>
              </w:rPr>
              <w:t>成型工序使用天然气，</w:t>
            </w:r>
            <w:r>
              <w:rPr>
                <w:rFonts w:hint="eastAsia" w:cs="宋体"/>
                <w:sz w:val="24"/>
                <w:szCs w:val="24"/>
                <w:lang w:eastAsia="zh-CN"/>
              </w:rPr>
              <w:t>主要来源由</w:t>
            </w:r>
            <w:r>
              <w:rPr>
                <w:rFonts w:hint="eastAsia" w:cs="宋体"/>
                <w:sz w:val="24"/>
                <w:szCs w:val="24"/>
                <w:lang w:val="en-US" w:eastAsia="zh-CN"/>
              </w:rPr>
              <w:t>园区</w:t>
            </w:r>
            <w:r>
              <w:rPr>
                <w:rFonts w:hint="eastAsia" w:cs="宋体"/>
                <w:sz w:val="24"/>
                <w:szCs w:val="24"/>
                <w:lang w:eastAsia="zh-CN"/>
              </w:rPr>
              <w:t>供电，</w:t>
            </w:r>
            <w:r>
              <w:rPr>
                <w:rFonts w:hint="eastAsia" w:cs="宋体"/>
                <w:sz w:val="24"/>
                <w:szCs w:val="24"/>
                <w:lang w:val="en-US" w:eastAsia="zh-CN"/>
              </w:rPr>
              <w:t>园区管网供天然气</w:t>
            </w:r>
            <w:r>
              <w:rPr>
                <w:rFonts w:hint="eastAsia" w:cs="宋体"/>
                <w:sz w:val="24"/>
                <w:szCs w:val="24"/>
                <w:lang w:eastAsia="zh-CN"/>
              </w:rPr>
              <w:t>。土地：项目</w:t>
            </w:r>
            <w:r>
              <w:rPr>
                <w:rFonts w:hint="eastAsia" w:cs="宋体"/>
                <w:sz w:val="24"/>
                <w:szCs w:val="24"/>
                <w:lang w:val="en-US" w:eastAsia="zh-CN"/>
              </w:rPr>
              <w:t>用地为开发区用地</w:t>
            </w:r>
            <w:r>
              <w:rPr>
                <w:rFonts w:hint="eastAsia" w:cs="宋体"/>
                <w:sz w:val="24"/>
                <w:szCs w:val="24"/>
                <w:lang w:eastAsia="zh-CN"/>
              </w:rPr>
              <w:t>，不新增用地。项目的水、电等资源利用不会突破区城的资源利用上线。</w:t>
            </w:r>
          </w:p>
          <w:p w14:paraId="2CD710F9">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②</w:t>
            </w:r>
            <w:r>
              <w:rPr>
                <w:rFonts w:hint="eastAsia" w:ascii="Times New Roman" w:hAnsi="Times New Roman" w:eastAsia="宋体" w:cs="宋体"/>
                <w:sz w:val="24"/>
                <w:szCs w:val="24"/>
                <w:lang w:val="en-US" w:eastAsia="zh-CN"/>
              </w:rPr>
              <w:t>分区管</w:t>
            </w:r>
            <w:r>
              <w:rPr>
                <w:rFonts w:hint="eastAsia" w:ascii="Times New Roman" w:hAnsi="Times New Roman" w:eastAsia="宋体" w:cs="宋体"/>
                <w:sz w:val="24"/>
                <w:szCs w:val="24"/>
                <w:lang w:eastAsia="zh-CN"/>
              </w:rPr>
              <w:t>控</w:t>
            </w:r>
          </w:p>
          <w:p w14:paraId="2DE259A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ascii="Times New Roman" w:hAnsi="Times New Roman" w:eastAsia="宋体" w:cs="宋体"/>
                <w:sz w:val="24"/>
                <w:szCs w:val="24"/>
                <w:lang w:val="en-US" w:eastAsia="zh-CN"/>
              </w:rPr>
            </w:pPr>
            <w:r>
              <w:rPr>
                <w:rFonts w:hint="default" w:ascii="Times New Roman" w:hAnsi="Times New Roman" w:cs="Times New Roman"/>
                <w:kern w:val="0"/>
                <w:sz w:val="24"/>
                <w:szCs w:val="24"/>
                <w:lang w:val="en-US" w:eastAsia="zh-CN"/>
              </w:rPr>
              <w:t>项目位于淮北市烈山区经济开发区青龙山电子信息产业园，</w:t>
            </w:r>
            <w:r>
              <w:rPr>
                <w:rFonts w:hint="eastAsia" w:ascii="Times New Roman" w:hAnsi="Times New Roman" w:eastAsia="宋体" w:cs="宋体"/>
                <w:sz w:val="24"/>
                <w:szCs w:val="24"/>
                <w:lang w:val="en-US" w:eastAsia="zh-CN"/>
              </w:rPr>
              <w:t xml:space="preserve">对照《淮北市“三线一单”文本》，本项目位于高污染燃料禁燃区，属于能源（煤炭）利用上线重点管控区；地下水开采重点管控区；土地资源一般管控区。  </w:t>
            </w:r>
          </w:p>
          <w:p w14:paraId="35942FA6">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w:t>
            </w:r>
            <w:r>
              <w:rPr>
                <w:rFonts w:hint="default" w:ascii="Times New Roman" w:hAnsi="Times New Roman" w:eastAsia="宋体" w:cs="宋体"/>
                <w:sz w:val="24"/>
                <w:szCs w:val="24"/>
                <w:lang w:val="en-US" w:eastAsia="zh-CN"/>
              </w:rPr>
              <w:t>环境管控单元划定及分类管控</w:t>
            </w:r>
          </w:p>
          <w:p w14:paraId="581E5B70">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根据《安徽省人民政府关于加快实施</w:t>
            </w:r>
            <w:r>
              <w:rPr>
                <w:rFonts w:hint="eastAsia" w:ascii="Times New Roman" w:hAnsi="Times New Roman" w:eastAsia="宋体" w:cs="宋体"/>
                <w:sz w:val="24"/>
                <w:szCs w:val="24"/>
                <w:lang w:val="en-US" w:eastAsia="zh-CN"/>
              </w:rPr>
              <w:t xml:space="preserve"> “</w:t>
            </w:r>
            <w:r>
              <w:rPr>
                <w:rFonts w:hint="default" w:ascii="Times New Roman" w:hAnsi="Times New Roman" w:eastAsia="宋体" w:cs="宋体"/>
                <w:sz w:val="24"/>
                <w:szCs w:val="24"/>
                <w:lang w:val="en-US" w:eastAsia="zh-CN"/>
              </w:rPr>
              <w:t>三线一单</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生态环境分区管控的通知》</w:t>
            </w:r>
            <w:r>
              <w:rPr>
                <w:rFonts w:hint="eastAsia" w:ascii="Times New Roman" w:hAnsi="Times New Roman" w:eastAsia="宋体" w:cs="宋体"/>
                <w:sz w:val="24"/>
                <w:szCs w:val="24"/>
                <w:lang w:val="en-US" w:eastAsia="zh-CN"/>
              </w:rPr>
              <w:t>和《淮北市“三线一单”编制文本》</w:t>
            </w:r>
            <w:r>
              <w:rPr>
                <w:rFonts w:hint="default" w:ascii="Times New Roman" w:hAnsi="Times New Roman" w:eastAsia="宋体" w:cs="宋体"/>
                <w:sz w:val="24"/>
                <w:szCs w:val="24"/>
                <w:lang w:val="en-US" w:eastAsia="zh-CN"/>
              </w:rPr>
              <w:t>中相关要求，本项目位于重点管控单元。</w:t>
            </w:r>
          </w:p>
          <w:p w14:paraId="414D845B">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文件要求：重点管控单元包含城镇规划边界、省级及以上开发区等开发强度高、污染物排放强度大的区域，以及环境问题相对集中的区域，主要分布在沿江、沿淮等重点发展区域。该区域突出污染物排放控制和环境风险防控，以守住环境质量底线、积极发展社会经济为导向，强化环境质量改善目标约束。</w:t>
            </w:r>
          </w:p>
          <w:p w14:paraId="2AB10F94">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项目情况：本项目位于淮北市烈山区经济开发区青龙山电子信息产业园，属于重点管控单元，各项污染物均能做到达标排放，环境风险可控。项目区域地下水满足《地下水质量标准》（GB/T14848-2017）Ⅲ类标准。本项目雨污分流；生活污水经化粪池预处理，预处理后的废水汇同冷却废水接管进入淮北蓝海水处理有限公司进一步处理，处理达标后部分作为平山电厂冷却循环水，剩余部分排入萧濉新河</w:t>
            </w:r>
            <w:r>
              <w:rPr>
                <w:rFonts w:hint="eastAsia" w:cs="宋体"/>
                <w:sz w:val="24"/>
                <w:szCs w:val="24"/>
                <w:lang w:val="en-US" w:eastAsia="zh-CN"/>
              </w:rPr>
              <w:t>，</w:t>
            </w:r>
            <w:r>
              <w:rPr>
                <w:rFonts w:hint="default" w:ascii="Times New Roman" w:hAnsi="Times New Roman" w:eastAsia="宋体" w:cs="宋体"/>
                <w:sz w:val="24"/>
                <w:szCs w:val="24"/>
                <w:lang w:val="en-US" w:eastAsia="zh-CN"/>
              </w:rPr>
              <w:t>不会降低现有环境质量。项目所在地大气环境质量中的基本污染物可吸入颗粒物（PM</w:t>
            </w:r>
            <w:r>
              <w:rPr>
                <w:rFonts w:hint="default" w:ascii="Times New Roman" w:hAnsi="Times New Roman" w:eastAsia="宋体" w:cs="宋体"/>
                <w:sz w:val="24"/>
                <w:szCs w:val="24"/>
                <w:vertAlign w:val="subscript"/>
                <w:lang w:val="en-US" w:eastAsia="zh-CN"/>
              </w:rPr>
              <w:t>10</w:t>
            </w:r>
            <w:r>
              <w:rPr>
                <w:rFonts w:hint="default" w:ascii="Times New Roman" w:hAnsi="Times New Roman" w:eastAsia="宋体" w:cs="宋体"/>
                <w:sz w:val="24"/>
                <w:szCs w:val="24"/>
                <w:lang w:val="en-US" w:eastAsia="zh-CN"/>
              </w:rPr>
              <w:t>）、细颗粒物</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PM</w:t>
            </w:r>
            <w:r>
              <w:rPr>
                <w:rFonts w:hint="default" w:ascii="Times New Roman" w:hAnsi="Times New Roman" w:eastAsia="宋体" w:cs="宋体"/>
                <w:sz w:val="24"/>
                <w:szCs w:val="24"/>
                <w:vertAlign w:val="subscript"/>
                <w:lang w:val="en-US" w:eastAsia="zh-CN"/>
              </w:rPr>
              <w:t>2.5</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超标，本项目所在地为大气环境空气质量不达标区。本项目在生产过程中</w:t>
            </w:r>
            <w:r>
              <w:rPr>
                <w:rFonts w:hint="eastAsia" w:ascii="Times New Roman" w:hAnsi="Times New Roman" w:eastAsia="宋体" w:cs="宋体"/>
                <w:sz w:val="24"/>
                <w:szCs w:val="24"/>
                <w:lang w:val="en-US" w:eastAsia="zh-CN"/>
              </w:rPr>
              <w:t>产生颗粒物，经布袋除尘器处理</w:t>
            </w:r>
            <w:r>
              <w:rPr>
                <w:rFonts w:hint="default" w:ascii="Times New Roman" w:hAnsi="Times New Roman" w:eastAsia="宋体" w:cs="宋体"/>
                <w:sz w:val="24"/>
                <w:szCs w:val="24"/>
                <w:lang w:val="en-US" w:eastAsia="zh-CN"/>
              </w:rPr>
              <w:t>，不会降低现有环境质量。</w:t>
            </w:r>
          </w:p>
          <w:p w14:paraId="68D30AD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本项目与《安徽省人民政府关于加快实施</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三线一单</w:t>
            </w:r>
            <w:r>
              <w:rPr>
                <w:rFonts w:hint="eastAsia" w:ascii="Times New Roman" w:hAnsi="Times New Roman" w:eastAsia="宋体" w:cs="宋体"/>
                <w:sz w:val="24"/>
                <w:szCs w:val="24"/>
                <w:lang w:val="en-US" w:eastAsia="zh-CN"/>
              </w:rPr>
              <w:t>”</w:t>
            </w:r>
            <w:r>
              <w:rPr>
                <w:rFonts w:hint="default" w:ascii="Times New Roman" w:hAnsi="Times New Roman" w:eastAsia="宋体" w:cs="宋体"/>
                <w:sz w:val="24"/>
                <w:szCs w:val="24"/>
                <w:lang w:val="en-US" w:eastAsia="zh-CN"/>
              </w:rPr>
              <w:t>生态环境分区管控的通知》是相符的。</w:t>
            </w:r>
          </w:p>
          <w:p w14:paraId="52B0DA02">
            <w:pPr>
              <w:pStyle w:val="1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综上，</w:t>
            </w:r>
            <w:r>
              <w:rPr>
                <w:rFonts w:hint="default" w:ascii="Times New Roman" w:hAnsi="Times New Roman" w:cs="Times New Roman"/>
                <w:sz w:val="24"/>
                <w:szCs w:val="24"/>
              </w:rPr>
              <w:t>项目运营期间水、电等用量，不会超过划定的资源利用上线</w:t>
            </w:r>
            <w:r>
              <w:rPr>
                <w:rFonts w:hint="default" w:ascii="Times New Roman" w:hAnsi="Times New Roman" w:cs="Times New Roman"/>
                <w:sz w:val="24"/>
                <w:szCs w:val="24"/>
                <w:lang w:val="en-US" w:eastAsia="zh-CN"/>
              </w:rPr>
              <w:t>。</w:t>
            </w:r>
          </w:p>
          <w:p w14:paraId="5B60C363">
            <w:pPr>
              <w:pStyle w:val="1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w:t>
            </w:r>
            <w:r>
              <w:rPr>
                <w:rFonts w:hint="eastAsia" w:cs="Times New Roman"/>
                <w:sz w:val="24"/>
                <w:szCs w:val="24"/>
                <w:lang w:val="en-US" w:eastAsia="zh-CN"/>
              </w:rPr>
              <w:t>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生态环境准入清单</w:t>
            </w:r>
          </w:p>
          <w:p w14:paraId="0CE94957">
            <w:pPr>
              <w:pStyle w:val="1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1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①</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《市场准入负面清单（202</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rPr>
              <w:t>年版）》</w:t>
            </w:r>
          </w:p>
          <w:p w14:paraId="63609B5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根据《市场准入负面清单（2025年版）》，本项目不涉及其中负面清单内容。</w:t>
            </w:r>
          </w:p>
          <w:p w14:paraId="092C4B8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部分工业行业淘汰落后生产工艺装备和产品指导目录（2010年本）》，本项目使用的设备不属于其中淘汰落后生产工艺装备。本项目选址用地不属于《自然资源要素支撑产业高质量发展指导目录（2024年本）》（自然资发〔2024〕273号）中规定的限制及禁止项目。</w:t>
            </w:r>
          </w:p>
          <w:p w14:paraId="1F16B8E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根据《产业结构调整指导目录（20</w:t>
            </w:r>
            <w:r>
              <w:rPr>
                <w:rFonts w:hint="eastAsia" w:ascii="Times New Roman" w:hAnsi="Times New Roman" w:cs="Times New Roman"/>
                <w:sz w:val="24"/>
                <w:szCs w:val="24"/>
                <w:lang w:val="en-US" w:eastAsia="zh-CN"/>
              </w:rPr>
              <w:t>24</w:t>
            </w:r>
            <w:r>
              <w:rPr>
                <w:rFonts w:hint="default" w:ascii="Times New Roman" w:hAnsi="Times New Roman" w:cs="Times New Roman"/>
                <w:sz w:val="24"/>
                <w:szCs w:val="24"/>
                <w:lang w:val="en-US" w:eastAsia="zh-CN"/>
              </w:rPr>
              <w:t>年本</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》，本项目属于国家产业政策中</w:t>
            </w:r>
            <w:r>
              <w:rPr>
                <w:rFonts w:hint="eastAsia" w:cs="Times New Roman"/>
                <w:sz w:val="24"/>
                <w:szCs w:val="24"/>
                <w:lang w:val="en-US" w:eastAsia="zh-CN"/>
              </w:rPr>
              <w:t>鼓励类-十二建材-高硼硅玻璃</w:t>
            </w:r>
            <w:r>
              <w:rPr>
                <w:rFonts w:hint="default" w:ascii="Times New Roman" w:hAnsi="Times New Roman" w:cs="Times New Roman"/>
                <w:sz w:val="24"/>
                <w:szCs w:val="24"/>
                <w:lang w:val="en-US" w:eastAsia="zh-CN"/>
              </w:rPr>
              <w:t>产业类别。</w:t>
            </w:r>
          </w:p>
          <w:p w14:paraId="1C7D7E6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对照国家及地方产业政策和《市场准入负面清单（202</w:t>
            </w:r>
            <w:r>
              <w:rPr>
                <w:rFonts w:hint="eastAsia" w:ascii="Times New Roman" w:hAnsi="Times New Roman" w:cs="Times New Roman"/>
                <w:sz w:val="24"/>
                <w:szCs w:val="24"/>
                <w:lang w:val="en-US" w:eastAsia="zh-CN"/>
              </w:rPr>
              <w:t>5</w:t>
            </w:r>
            <w:r>
              <w:rPr>
                <w:rFonts w:hint="default" w:ascii="Times New Roman" w:hAnsi="Times New Roman" w:cs="Times New Roman"/>
                <w:sz w:val="24"/>
                <w:szCs w:val="24"/>
                <w:lang w:val="en-US" w:eastAsia="zh-CN"/>
              </w:rPr>
              <w:t>版）》，本项目不属于</w:t>
            </w:r>
            <w:r>
              <w:rPr>
                <w:rFonts w:hint="eastAsia" w:ascii="Times New Roman" w:hAnsi="Times New Roman" w:cs="Times New Roman"/>
                <w:sz w:val="24"/>
                <w:szCs w:val="24"/>
                <w:lang w:val="en-US" w:eastAsia="zh-CN"/>
              </w:rPr>
              <w:t>其</w:t>
            </w:r>
            <w:r>
              <w:rPr>
                <w:rFonts w:hint="default" w:ascii="Times New Roman" w:hAnsi="Times New Roman" w:cs="Times New Roman"/>
                <w:sz w:val="24"/>
                <w:szCs w:val="24"/>
                <w:lang w:val="en-US" w:eastAsia="zh-CN"/>
              </w:rPr>
              <w:t>中禁止准入类和限制准入类项目。项目已于2025年2月27日经安徽淮北烈山经开区管委会备案（项目代码：2502-340604-04-05-418170），并与安徽淮北烈山经开区管委会签署了投资协议书，可视为允许入园项目，未被列入环境准入负面清单。</w:t>
            </w:r>
          </w:p>
          <w:p w14:paraId="5B9CA38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sz w:val="24"/>
                <w:szCs w:val="24"/>
              </w:rPr>
            </w:pP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 2 \* GB3 \* MERGEFORMAT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②</w:t>
            </w:r>
            <w:r>
              <w:rPr>
                <w:rFonts w:hint="default" w:ascii="Times New Roman" w:hAnsi="Times New Roman" w:cs="Times New Roman"/>
                <w:color w:val="auto"/>
                <w:sz w:val="24"/>
                <w:szCs w:val="24"/>
              </w:rPr>
              <w:fldChar w:fldCharType="end"/>
            </w:r>
            <w:r>
              <w:rPr>
                <w:rFonts w:hint="default" w:ascii="Times New Roman" w:hAnsi="Times New Roman" w:cs="Times New Roman"/>
                <w:color w:val="auto"/>
                <w:sz w:val="24"/>
                <w:szCs w:val="24"/>
              </w:rPr>
              <w:t>《安徽淮北烈山经济开发区产业发展规划（2020-2030年）环境影响报告书》开发区生态环境</w:t>
            </w:r>
            <w:r>
              <w:rPr>
                <w:rFonts w:hint="default" w:ascii="Times New Roman" w:hAnsi="Times New Roman" w:cs="Times New Roman"/>
                <w:color w:val="auto"/>
                <w:sz w:val="24"/>
                <w:szCs w:val="24"/>
                <w:lang w:val="en-US" w:eastAsia="zh-CN"/>
              </w:rPr>
              <w:t>准入清单</w:t>
            </w:r>
          </w:p>
          <w:p w14:paraId="34D17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表1-</w:t>
            </w:r>
            <w:r>
              <w:rPr>
                <w:rFonts w:hint="eastAsia" w:ascii="Times New Roman" w:hAnsi="Times New Roman" w:eastAsia="宋体" w:cs="Times New Roman"/>
                <w:b/>
                <w:sz w:val="24"/>
                <w:szCs w:val="24"/>
                <w:lang w:val="en-US" w:eastAsia="zh-CN"/>
              </w:rPr>
              <w:t>3</w:t>
            </w:r>
            <w:r>
              <w:rPr>
                <w:rFonts w:hint="eastAsia" w:ascii="Times New Roman" w:hAnsi="Times New Roman" w:eastAsia="宋体" w:cs="Times New Roman"/>
                <w:b/>
                <w:sz w:val="24"/>
                <w:szCs w:val="24"/>
              </w:rPr>
              <w:t xml:space="preserve">  开发区生态环境</w:t>
            </w:r>
            <w:r>
              <w:rPr>
                <w:rFonts w:hint="eastAsia" w:ascii="Times New Roman" w:hAnsi="Times New Roman" w:eastAsia="宋体" w:cs="Times New Roman"/>
                <w:b/>
                <w:sz w:val="24"/>
                <w:szCs w:val="24"/>
                <w:lang w:val="en-US" w:eastAsia="zh-CN"/>
              </w:rPr>
              <w:t>准入清单</w:t>
            </w:r>
          </w:p>
          <w:tbl>
            <w:tblPr>
              <w:tblStyle w:val="30"/>
              <w:tblW w:w="8212" w:type="dxa"/>
              <w:jc w:val="center"/>
              <w:tblLayout w:type="fixed"/>
              <w:tblCellMar>
                <w:top w:w="0" w:type="dxa"/>
                <w:left w:w="108" w:type="dxa"/>
                <w:bottom w:w="0" w:type="dxa"/>
                <w:right w:w="108" w:type="dxa"/>
              </w:tblCellMar>
            </w:tblPr>
            <w:tblGrid>
              <w:gridCol w:w="804"/>
              <w:gridCol w:w="1252"/>
              <w:gridCol w:w="1728"/>
              <w:gridCol w:w="4428"/>
            </w:tblGrid>
            <w:tr w14:paraId="3B9E504C">
              <w:tblPrEx>
                <w:tblCellMar>
                  <w:top w:w="0" w:type="dxa"/>
                  <w:left w:w="108" w:type="dxa"/>
                  <w:bottom w:w="0" w:type="dxa"/>
                  <w:right w:w="108" w:type="dxa"/>
                </w:tblCellMar>
              </w:tblPrEx>
              <w:trPr>
                <w:trHeight w:val="397" w:hRule="atLeast"/>
                <w:jc w:val="center"/>
              </w:trPr>
              <w:tc>
                <w:tcPr>
                  <w:tcW w:w="804" w:type="dxa"/>
                  <w:tcBorders>
                    <w:top w:val="single" w:color="000000" w:sz="8" w:space="0"/>
                    <w:left w:val="single" w:color="000000" w:sz="8" w:space="0"/>
                    <w:bottom w:val="single" w:color="000000" w:sz="8" w:space="0"/>
                    <w:right w:val="single" w:color="000000" w:sz="8" w:space="0"/>
                  </w:tcBorders>
                  <w:noWrap w:val="0"/>
                  <w:vAlign w:val="center"/>
                </w:tcPr>
                <w:p w14:paraId="3A4CF82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管控类别</w:t>
                  </w:r>
                </w:p>
              </w:tc>
              <w:tc>
                <w:tcPr>
                  <w:tcW w:w="1252" w:type="dxa"/>
                  <w:tcBorders>
                    <w:top w:val="single" w:color="000000" w:sz="8" w:space="0"/>
                    <w:left w:val="nil"/>
                    <w:bottom w:val="single" w:color="000000" w:sz="8" w:space="0"/>
                    <w:right w:val="single" w:color="000000" w:sz="8" w:space="0"/>
                  </w:tcBorders>
                  <w:noWrap w:val="0"/>
                  <w:vAlign w:val="center"/>
                </w:tcPr>
                <w:p w14:paraId="1729F85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产业类别/工艺</w:t>
                  </w:r>
                </w:p>
              </w:tc>
              <w:tc>
                <w:tcPr>
                  <w:tcW w:w="6156" w:type="dxa"/>
                  <w:gridSpan w:val="2"/>
                  <w:tcBorders>
                    <w:top w:val="single" w:color="000000" w:sz="8" w:space="0"/>
                    <w:left w:val="nil"/>
                    <w:bottom w:val="single" w:color="000000" w:sz="8" w:space="0"/>
                    <w:right w:val="single" w:color="000000" w:sz="8" w:space="0"/>
                  </w:tcBorders>
                  <w:noWrap w:val="0"/>
                  <w:vAlign w:val="center"/>
                </w:tcPr>
                <w:p w14:paraId="2DD30FD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准入要求</w:t>
                  </w:r>
                </w:p>
              </w:tc>
            </w:tr>
            <w:tr w14:paraId="76A82B53">
              <w:tblPrEx>
                <w:tblCellMar>
                  <w:top w:w="0" w:type="dxa"/>
                  <w:left w:w="108" w:type="dxa"/>
                  <w:bottom w:w="0" w:type="dxa"/>
                  <w:right w:w="108" w:type="dxa"/>
                </w:tblCellMar>
              </w:tblPrEx>
              <w:trPr>
                <w:trHeight w:val="397" w:hRule="atLeast"/>
                <w:jc w:val="center"/>
              </w:trPr>
              <w:tc>
                <w:tcPr>
                  <w:tcW w:w="804" w:type="dxa"/>
                  <w:vMerge w:val="restart"/>
                  <w:tcBorders>
                    <w:top w:val="nil"/>
                    <w:left w:val="single" w:color="000000" w:sz="8" w:space="0"/>
                    <w:bottom w:val="single" w:color="000000" w:sz="8" w:space="0"/>
                    <w:right w:val="single" w:color="000000" w:sz="8" w:space="0"/>
                  </w:tcBorders>
                  <w:noWrap w:val="0"/>
                  <w:vAlign w:val="center"/>
                </w:tcPr>
                <w:p w14:paraId="5EB59B9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鼓励类</w:t>
                  </w:r>
                </w:p>
              </w:tc>
              <w:tc>
                <w:tcPr>
                  <w:tcW w:w="1252" w:type="dxa"/>
                  <w:vMerge w:val="restart"/>
                  <w:tcBorders>
                    <w:top w:val="nil"/>
                    <w:left w:val="nil"/>
                    <w:bottom w:val="single" w:color="000000" w:sz="8" w:space="0"/>
                    <w:right w:val="single" w:color="000000" w:sz="8" w:space="0"/>
                  </w:tcBorders>
                  <w:noWrap w:val="0"/>
                  <w:vAlign w:val="center"/>
                </w:tcPr>
                <w:p w14:paraId="476DC02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电子信息</w:t>
                  </w:r>
                </w:p>
              </w:tc>
              <w:tc>
                <w:tcPr>
                  <w:tcW w:w="1728" w:type="dxa"/>
                  <w:tcBorders>
                    <w:top w:val="nil"/>
                    <w:left w:val="nil"/>
                    <w:bottom w:val="single" w:color="000000" w:sz="8" w:space="0"/>
                    <w:right w:val="single" w:color="000000" w:sz="8" w:space="0"/>
                  </w:tcBorders>
                  <w:noWrap w:val="0"/>
                  <w:vAlign w:val="center"/>
                </w:tcPr>
                <w:p w14:paraId="69C09ED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35 专业设备制造业</w:t>
                  </w:r>
                </w:p>
              </w:tc>
              <w:tc>
                <w:tcPr>
                  <w:tcW w:w="4428" w:type="dxa"/>
                  <w:tcBorders>
                    <w:top w:val="nil"/>
                    <w:left w:val="nil"/>
                    <w:bottom w:val="single" w:color="000000" w:sz="8" w:space="0"/>
                    <w:right w:val="single" w:color="000000" w:sz="8" w:space="0"/>
                  </w:tcBorders>
                  <w:noWrap w:val="0"/>
                  <w:vAlign w:val="center"/>
                </w:tcPr>
                <w:p w14:paraId="2BFE317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356 电子和电工机械专业设备制造</w:t>
                  </w:r>
                </w:p>
              </w:tc>
            </w:tr>
            <w:tr w14:paraId="524AA735">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180AAB3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387592E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restart"/>
                  <w:tcBorders>
                    <w:top w:val="nil"/>
                    <w:left w:val="nil"/>
                    <w:bottom w:val="single" w:color="000000" w:sz="8" w:space="0"/>
                    <w:right w:val="single" w:color="000000" w:sz="8" w:space="0"/>
                  </w:tcBorders>
                  <w:noWrap w:val="0"/>
                  <w:vAlign w:val="center"/>
                </w:tcPr>
                <w:p w14:paraId="11E28A5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39计算机、通信和其他电子设备制造业</w:t>
                  </w:r>
                </w:p>
              </w:tc>
              <w:tc>
                <w:tcPr>
                  <w:tcW w:w="4428" w:type="dxa"/>
                  <w:tcBorders>
                    <w:top w:val="nil"/>
                    <w:left w:val="nil"/>
                    <w:bottom w:val="single" w:color="000000" w:sz="8" w:space="0"/>
                    <w:right w:val="single" w:color="000000" w:sz="8" w:space="0"/>
                  </w:tcBorders>
                  <w:noWrap w:val="0"/>
                  <w:vAlign w:val="center"/>
                </w:tcPr>
                <w:p w14:paraId="28CD524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396智能消费设备制造</w:t>
                  </w:r>
                </w:p>
              </w:tc>
            </w:tr>
            <w:tr w14:paraId="0FF42D8D">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25605AB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1461B81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2FD6292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0C86BD2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397电子器件制造</w:t>
                  </w:r>
                </w:p>
              </w:tc>
            </w:tr>
            <w:tr w14:paraId="32B3DC64">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E91C76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2F815DE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2359C6C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7D3516C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398电子元件及电子专业材料制造</w:t>
                  </w:r>
                </w:p>
              </w:tc>
            </w:tr>
            <w:tr w14:paraId="32C04BF9">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ADD087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restart"/>
                  <w:tcBorders>
                    <w:top w:val="nil"/>
                    <w:left w:val="nil"/>
                    <w:bottom w:val="single" w:color="000000" w:sz="8" w:space="0"/>
                    <w:right w:val="single" w:color="000000" w:sz="8" w:space="0"/>
                  </w:tcBorders>
                  <w:noWrap w:val="0"/>
                  <w:vAlign w:val="center"/>
                </w:tcPr>
                <w:p w14:paraId="604B903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装备制造</w:t>
                  </w:r>
                </w:p>
              </w:tc>
              <w:tc>
                <w:tcPr>
                  <w:tcW w:w="1728" w:type="dxa"/>
                  <w:tcBorders>
                    <w:top w:val="nil"/>
                    <w:left w:val="nil"/>
                    <w:bottom w:val="single" w:color="000000" w:sz="8" w:space="0"/>
                    <w:right w:val="single" w:color="000000" w:sz="8" w:space="0"/>
                  </w:tcBorders>
                  <w:noWrap w:val="0"/>
                  <w:vAlign w:val="center"/>
                </w:tcPr>
                <w:p w14:paraId="51D07F6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33金属制品业</w:t>
                  </w:r>
                </w:p>
              </w:tc>
              <w:tc>
                <w:tcPr>
                  <w:tcW w:w="4428" w:type="dxa"/>
                  <w:tcBorders>
                    <w:top w:val="nil"/>
                    <w:left w:val="nil"/>
                    <w:bottom w:val="single" w:color="000000" w:sz="8" w:space="0"/>
                    <w:right w:val="single" w:color="000000" w:sz="8" w:space="0"/>
                  </w:tcBorders>
                  <w:noWrap w:val="0"/>
                  <w:vAlign w:val="center"/>
                </w:tcPr>
                <w:p w14:paraId="619F5A3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331结构性金属制品制造</w:t>
                  </w:r>
                </w:p>
              </w:tc>
            </w:tr>
            <w:tr w14:paraId="3C526637">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7D3E4F3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3095579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restart"/>
                  <w:tcBorders>
                    <w:top w:val="nil"/>
                    <w:left w:val="nil"/>
                    <w:bottom w:val="single" w:color="000000" w:sz="8" w:space="0"/>
                    <w:right w:val="single" w:color="000000" w:sz="8" w:space="0"/>
                  </w:tcBorders>
                  <w:noWrap w:val="0"/>
                  <w:vAlign w:val="center"/>
                </w:tcPr>
                <w:p w14:paraId="7A59C5C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34通用设备制造</w:t>
                  </w:r>
                </w:p>
              </w:tc>
              <w:tc>
                <w:tcPr>
                  <w:tcW w:w="4428" w:type="dxa"/>
                  <w:tcBorders>
                    <w:top w:val="nil"/>
                    <w:left w:val="nil"/>
                    <w:bottom w:val="single" w:color="000000" w:sz="8" w:space="0"/>
                    <w:right w:val="single" w:color="000000" w:sz="8" w:space="0"/>
                  </w:tcBorders>
                  <w:noWrap w:val="0"/>
                  <w:vAlign w:val="center"/>
                </w:tcPr>
                <w:p w14:paraId="38D17EE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342金属加工机械制造</w:t>
                  </w:r>
                </w:p>
              </w:tc>
            </w:tr>
            <w:tr w14:paraId="0A18819D">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332E10B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3069B1B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44D346D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56FF976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345轴承、齿轮和传动部件制造</w:t>
                  </w:r>
                </w:p>
              </w:tc>
            </w:tr>
            <w:tr w14:paraId="7EA2C340">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9B74FA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1D04E83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4F280DC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3FD5CE6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348通用零部件制造</w:t>
                  </w:r>
                </w:p>
              </w:tc>
            </w:tr>
            <w:tr w14:paraId="4041D557">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2DDE93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6A3BAD9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48E1126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3031241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349其他通用设备制造业</w:t>
                  </w:r>
                </w:p>
              </w:tc>
            </w:tr>
            <w:tr w14:paraId="2396788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1CCCED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673C736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restart"/>
                  <w:tcBorders>
                    <w:top w:val="nil"/>
                    <w:left w:val="nil"/>
                    <w:bottom w:val="single" w:color="000000" w:sz="8" w:space="0"/>
                    <w:right w:val="single" w:color="000000" w:sz="8" w:space="0"/>
                  </w:tcBorders>
                  <w:noWrap w:val="0"/>
                  <w:vAlign w:val="center"/>
                </w:tcPr>
                <w:p w14:paraId="3015163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35专用设备制造业</w:t>
                  </w:r>
                </w:p>
              </w:tc>
              <w:tc>
                <w:tcPr>
                  <w:tcW w:w="4428" w:type="dxa"/>
                  <w:tcBorders>
                    <w:top w:val="nil"/>
                    <w:left w:val="nil"/>
                    <w:bottom w:val="single" w:color="000000" w:sz="8" w:space="0"/>
                    <w:right w:val="single" w:color="000000" w:sz="8" w:space="0"/>
                  </w:tcBorders>
                  <w:noWrap w:val="0"/>
                  <w:vAlign w:val="center"/>
                </w:tcPr>
                <w:p w14:paraId="74AC6DA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351采矿、冶金、建筑专用设备制造</w:t>
                  </w:r>
                </w:p>
              </w:tc>
            </w:tr>
            <w:tr w14:paraId="38B7FE46">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2B4EF9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71A651E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04F3A61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7F4E5A4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358医疗仪器设备及器械制造</w:t>
                  </w:r>
                </w:p>
              </w:tc>
            </w:tr>
            <w:tr w14:paraId="34BD1E35">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2C7DEC7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45A1D7D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restart"/>
                  <w:tcBorders>
                    <w:top w:val="nil"/>
                    <w:left w:val="nil"/>
                    <w:bottom w:val="single" w:color="000000" w:sz="8" w:space="0"/>
                    <w:right w:val="single" w:color="000000" w:sz="8" w:space="0"/>
                  </w:tcBorders>
                  <w:noWrap w:val="0"/>
                  <w:vAlign w:val="center"/>
                </w:tcPr>
                <w:p w14:paraId="047A274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38汽车制造业</w:t>
                  </w:r>
                </w:p>
              </w:tc>
              <w:tc>
                <w:tcPr>
                  <w:tcW w:w="4428" w:type="dxa"/>
                  <w:tcBorders>
                    <w:top w:val="nil"/>
                    <w:left w:val="nil"/>
                    <w:bottom w:val="single" w:color="000000" w:sz="8" w:space="0"/>
                    <w:right w:val="single" w:color="000000" w:sz="8" w:space="0"/>
                  </w:tcBorders>
                  <w:noWrap w:val="0"/>
                  <w:vAlign w:val="center"/>
                </w:tcPr>
                <w:p w14:paraId="686BF51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381电机制造（38电气机械和器材制造业）</w:t>
                  </w:r>
                </w:p>
              </w:tc>
            </w:tr>
            <w:tr w14:paraId="1E93B6D6">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0AC243D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09E06DD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3EAD403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26596CD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382输配电及控制设备制造（38电气机械和器材制造业）</w:t>
                  </w:r>
                </w:p>
              </w:tc>
            </w:tr>
            <w:tr w14:paraId="0DAF7FB8">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1464AF5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5B53AE6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vMerge w:val="continue"/>
                  <w:tcBorders>
                    <w:top w:val="nil"/>
                    <w:left w:val="nil"/>
                    <w:bottom w:val="single" w:color="000000" w:sz="8" w:space="0"/>
                    <w:right w:val="single" w:color="000000" w:sz="8" w:space="0"/>
                  </w:tcBorders>
                  <w:noWrap w:val="0"/>
                  <w:vAlign w:val="center"/>
                </w:tcPr>
                <w:p w14:paraId="2D47540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0288E26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389其他电气机械和器材制造（38电气机械和器材制造业）</w:t>
                  </w:r>
                </w:p>
              </w:tc>
            </w:tr>
            <w:tr w14:paraId="60A9B1F7">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AC8B78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restart"/>
                  <w:tcBorders>
                    <w:top w:val="nil"/>
                    <w:left w:val="nil"/>
                    <w:bottom w:val="single" w:color="000000" w:sz="8" w:space="0"/>
                    <w:right w:val="single" w:color="000000" w:sz="8" w:space="0"/>
                  </w:tcBorders>
                  <w:noWrap w:val="0"/>
                  <w:vAlign w:val="center"/>
                </w:tcPr>
                <w:p w14:paraId="5032490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新能源</w:t>
                  </w:r>
                </w:p>
              </w:tc>
              <w:tc>
                <w:tcPr>
                  <w:tcW w:w="1728" w:type="dxa"/>
                  <w:tcBorders>
                    <w:top w:val="nil"/>
                    <w:left w:val="nil"/>
                    <w:bottom w:val="single" w:color="000000" w:sz="8" w:space="0"/>
                    <w:right w:val="single" w:color="000000" w:sz="8" w:space="0"/>
                  </w:tcBorders>
                  <w:noWrap w:val="0"/>
                  <w:vAlign w:val="center"/>
                </w:tcPr>
                <w:p w14:paraId="1534DFA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25石油、煤炭及其他燃料加工业</w:t>
                  </w:r>
                </w:p>
              </w:tc>
              <w:tc>
                <w:tcPr>
                  <w:tcW w:w="4428" w:type="dxa"/>
                  <w:tcBorders>
                    <w:top w:val="nil"/>
                    <w:left w:val="nil"/>
                    <w:bottom w:val="single" w:color="000000" w:sz="8" w:space="0"/>
                    <w:right w:val="single" w:color="000000" w:sz="8" w:space="0"/>
                  </w:tcBorders>
                  <w:noWrap w:val="0"/>
                  <w:vAlign w:val="center"/>
                </w:tcPr>
                <w:p w14:paraId="3C8BDED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254生物质燃料加工</w:t>
                  </w:r>
                </w:p>
              </w:tc>
            </w:tr>
            <w:tr w14:paraId="54D32443">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26D298B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401D4CB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tcBorders>
                    <w:top w:val="nil"/>
                    <w:left w:val="nil"/>
                    <w:bottom w:val="single" w:color="000000" w:sz="8" w:space="0"/>
                    <w:right w:val="single" w:color="000000" w:sz="8" w:space="0"/>
                  </w:tcBorders>
                  <w:noWrap w:val="0"/>
                  <w:vAlign w:val="center"/>
                </w:tcPr>
                <w:p w14:paraId="1BEC3A5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38电气机械和器材制造业</w:t>
                  </w:r>
                </w:p>
              </w:tc>
              <w:tc>
                <w:tcPr>
                  <w:tcW w:w="4428" w:type="dxa"/>
                  <w:tcBorders>
                    <w:top w:val="nil"/>
                    <w:left w:val="nil"/>
                    <w:bottom w:val="single" w:color="000000" w:sz="8" w:space="0"/>
                    <w:right w:val="single" w:color="000000" w:sz="8" w:space="0"/>
                  </w:tcBorders>
                  <w:noWrap w:val="0"/>
                  <w:vAlign w:val="center"/>
                </w:tcPr>
                <w:p w14:paraId="253F3BA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384电池制造（3843铅蓄电池制造除外）</w:t>
                  </w:r>
                </w:p>
              </w:tc>
            </w:tr>
            <w:tr w14:paraId="748A22E8">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7DD151C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nil"/>
                    <w:left w:val="nil"/>
                    <w:bottom w:val="single" w:color="000000" w:sz="8" w:space="0"/>
                    <w:right w:val="single" w:color="000000" w:sz="8" w:space="0"/>
                  </w:tcBorders>
                  <w:noWrap w:val="0"/>
                  <w:vAlign w:val="center"/>
                </w:tcPr>
                <w:p w14:paraId="5B47D83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728" w:type="dxa"/>
                  <w:tcBorders>
                    <w:top w:val="nil"/>
                    <w:left w:val="nil"/>
                    <w:bottom w:val="single" w:color="000000" w:sz="8" w:space="0"/>
                    <w:right w:val="single" w:color="000000" w:sz="8" w:space="0"/>
                  </w:tcBorders>
                  <w:noWrap w:val="0"/>
                  <w:vAlign w:val="center"/>
                </w:tcPr>
                <w:p w14:paraId="5A02F29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44电力、热力生产和供应业</w:t>
                  </w:r>
                </w:p>
              </w:tc>
              <w:tc>
                <w:tcPr>
                  <w:tcW w:w="4428" w:type="dxa"/>
                  <w:tcBorders>
                    <w:top w:val="nil"/>
                    <w:left w:val="nil"/>
                    <w:bottom w:val="single" w:color="000000" w:sz="8" w:space="0"/>
                    <w:right w:val="single" w:color="000000" w:sz="8" w:space="0"/>
                  </w:tcBorders>
                  <w:noWrap w:val="0"/>
                  <w:vAlign w:val="center"/>
                </w:tcPr>
                <w:p w14:paraId="3C63BD9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D441电力生产</w:t>
                  </w:r>
                </w:p>
              </w:tc>
            </w:tr>
            <w:tr w14:paraId="762A9DAB">
              <w:tblPrEx>
                <w:tblCellMar>
                  <w:top w:w="0" w:type="dxa"/>
                  <w:left w:w="108" w:type="dxa"/>
                  <w:bottom w:w="0" w:type="dxa"/>
                  <w:right w:w="108" w:type="dxa"/>
                </w:tblCellMar>
              </w:tblPrEx>
              <w:trPr>
                <w:trHeight w:val="397" w:hRule="atLeast"/>
                <w:jc w:val="center"/>
              </w:trPr>
              <w:tc>
                <w:tcPr>
                  <w:tcW w:w="804" w:type="dxa"/>
                  <w:vMerge w:val="restart"/>
                  <w:tcBorders>
                    <w:top w:val="nil"/>
                    <w:left w:val="single" w:color="000000" w:sz="8" w:space="0"/>
                    <w:bottom w:val="single" w:color="000000" w:sz="8" w:space="0"/>
                    <w:right w:val="single" w:color="000000" w:sz="8" w:space="0"/>
                  </w:tcBorders>
                  <w:noWrap w:val="0"/>
                  <w:vAlign w:val="center"/>
                </w:tcPr>
                <w:p w14:paraId="733B470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禁止类</w:t>
                  </w:r>
                </w:p>
              </w:tc>
              <w:tc>
                <w:tcPr>
                  <w:tcW w:w="2980" w:type="dxa"/>
                  <w:gridSpan w:val="2"/>
                  <w:vMerge w:val="restart"/>
                  <w:tcBorders>
                    <w:top w:val="nil"/>
                    <w:left w:val="nil"/>
                    <w:bottom w:val="single" w:color="000000" w:sz="8" w:space="0"/>
                    <w:right w:val="single" w:color="000000" w:sz="8" w:space="0"/>
                  </w:tcBorders>
                  <w:noWrap w:val="0"/>
                  <w:vAlign w:val="center"/>
                </w:tcPr>
                <w:p w14:paraId="327453C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31黑色金属冶炼和压延加工业</w:t>
                  </w:r>
                </w:p>
              </w:tc>
              <w:tc>
                <w:tcPr>
                  <w:tcW w:w="4428" w:type="dxa"/>
                  <w:tcBorders>
                    <w:top w:val="nil"/>
                    <w:left w:val="nil"/>
                    <w:bottom w:val="single" w:color="000000" w:sz="8" w:space="0"/>
                    <w:right w:val="single" w:color="000000" w:sz="8" w:space="0"/>
                  </w:tcBorders>
                  <w:noWrap w:val="0"/>
                  <w:vAlign w:val="center"/>
                </w:tcPr>
                <w:p w14:paraId="3DFC502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311炼铁</w:t>
                  </w:r>
                </w:p>
              </w:tc>
            </w:tr>
            <w:tr w14:paraId="0B874F30">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E415B1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2980" w:type="dxa"/>
                  <w:gridSpan w:val="2"/>
                  <w:vMerge w:val="continue"/>
                  <w:tcBorders>
                    <w:top w:val="nil"/>
                    <w:left w:val="nil"/>
                    <w:bottom w:val="single" w:color="000000" w:sz="8" w:space="0"/>
                    <w:right w:val="single" w:color="000000" w:sz="8" w:space="0"/>
                  </w:tcBorders>
                  <w:noWrap w:val="0"/>
                  <w:vAlign w:val="center"/>
                </w:tcPr>
                <w:p w14:paraId="1D6C063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4428" w:type="dxa"/>
                  <w:tcBorders>
                    <w:top w:val="nil"/>
                    <w:left w:val="nil"/>
                    <w:bottom w:val="single" w:color="000000" w:sz="8" w:space="0"/>
                    <w:right w:val="single" w:color="000000" w:sz="8" w:space="0"/>
                  </w:tcBorders>
                  <w:noWrap w:val="0"/>
                  <w:vAlign w:val="center"/>
                </w:tcPr>
                <w:p w14:paraId="629839E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312炼钢</w:t>
                  </w:r>
                </w:p>
              </w:tc>
            </w:tr>
            <w:tr w14:paraId="396021E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34D03C1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restart"/>
                  <w:tcBorders>
                    <w:top w:val="single" w:color="auto" w:sz="4" w:space="0"/>
                    <w:left w:val="single" w:color="auto" w:sz="4" w:space="0"/>
                    <w:right w:val="single" w:color="auto" w:sz="4" w:space="0"/>
                  </w:tcBorders>
                  <w:noWrap w:val="0"/>
                  <w:vAlign w:val="center"/>
                </w:tcPr>
                <w:p w14:paraId="7B1E084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32有色金属冶炼和压延加工业</w:t>
                  </w:r>
                </w:p>
              </w:tc>
              <w:tc>
                <w:tcPr>
                  <w:tcW w:w="6156" w:type="dxa"/>
                  <w:gridSpan w:val="2"/>
                  <w:tcBorders>
                    <w:top w:val="nil"/>
                    <w:left w:val="single" w:color="auto" w:sz="4" w:space="0"/>
                    <w:bottom w:val="single" w:color="000000" w:sz="8" w:space="0"/>
                    <w:right w:val="single" w:color="000000" w:sz="8" w:space="0"/>
                  </w:tcBorders>
                  <w:noWrap w:val="0"/>
                  <w:vAlign w:val="center"/>
                </w:tcPr>
                <w:p w14:paraId="10C1ABF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314铁合金冶炼</w:t>
                  </w:r>
                </w:p>
              </w:tc>
            </w:tr>
            <w:tr w14:paraId="616E9E22">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4FF0D69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left w:val="single" w:color="auto" w:sz="4" w:space="0"/>
                    <w:right w:val="single" w:color="auto" w:sz="4" w:space="0"/>
                  </w:tcBorders>
                  <w:noWrap w:val="0"/>
                  <w:vAlign w:val="center"/>
                </w:tcPr>
                <w:p w14:paraId="1D6CC9F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single" w:color="auto" w:sz="4" w:space="0"/>
                    <w:bottom w:val="single" w:color="000000" w:sz="8" w:space="0"/>
                    <w:right w:val="single" w:color="000000" w:sz="8" w:space="0"/>
                  </w:tcBorders>
                  <w:noWrap w:val="0"/>
                  <w:vAlign w:val="center"/>
                </w:tcPr>
                <w:p w14:paraId="7AE141F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321常用有色金属冶炼</w:t>
                  </w:r>
                </w:p>
              </w:tc>
            </w:tr>
            <w:tr w14:paraId="1F4E6E9B">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3013504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left w:val="single" w:color="auto" w:sz="4" w:space="0"/>
                    <w:right w:val="single" w:color="auto" w:sz="4" w:space="0"/>
                  </w:tcBorders>
                  <w:noWrap w:val="0"/>
                  <w:vAlign w:val="center"/>
                </w:tcPr>
                <w:p w14:paraId="06B134E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single" w:color="auto" w:sz="4" w:space="0"/>
                    <w:bottom w:val="single" w:color="000000" w:sz="8" w:space="0"/>
                    <w:right w:val="single" w:color="000000" w:sz="8" w:space="0"/>
                  </w:tcBorders>
                  <w:noWrap w:val="0"/>
                  <w:vAlign w:val="center"/>
                </w:tcPr>
                <w:p w14:paraId="6B84B76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322贵金属冶炼</w:t>
                  </w:r>
                </w:p>
              </w:tc>
            </w:tr>
            <w:tr w14:paraId="084BD6D2">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0BC17A8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left w:val="single" w:color="auto" w:sz="4" w:space="0"/>
                    <w:right w:val="single" w:color="auto" w:sz="4" w:space="0"/>
                  </w:tcBorders>
                  <w:noWrap w:val="0"/>
                  <w:vAlign w:val="center"/>
                </w:tcPr>
                <w:p w14:paraId="1B871E6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single" w:color="auto" w:sz="4" w:space="0"/>
                    <w:bottom w:val="single" w:color="000000" w:sz="8" w:space="0"/>
                    <w:right w:val="single" w:color="000000" w:sz="8" w:space="0"/>
                  </w:tcBorders>
                  <w:noWrap w:val="0"/>
                  <w:vAlign w:val="center"/>
                </w:tcPr>
                <w:p w14:paraId="7A9E306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323稀有稀土金属冶炼</w:t>
                  </w:r>
                </w:p>
              </w:tc>
            </w:tr>
            <w:tr w14:paraId="5DAA2F8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20D20E3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left w:val="single" w:color="auto" w:sz="4" w:space="0"/>
                    <w:bottom w:val="single" w:color="auto" w:sz="4" w:space="0"/>
                    <w:right w:val="single" w:color="auto" w:sz="4" w:space="0"/>
                  </w:tcBorders>
                  <w:noWrap w:val="0"/>
                  <w:vAlign w:val="center"/>
                </w:tcPr>
                <w:p w14:paraId="57CB2CA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single" w:color="auto" w:sz="4" w:space="0"/>
                    <w:bottom w:val="single" w:color="000000" w:sz="8" w:space="0"/>
                    <w:right w:val="single" w:color="000000" w:sz="8" w:space="0"/>
                  </w:tcBorders>
                  <w:noWrap w:val="0"/>
                  <w:vAlign w:val="center"/>
                </w:tcPr>
                <w:p w14:paraId="7336E92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324有色金属合金制造</w:t>
                  </w:r>
                </w:p>
              </w:tc>
            </w:tr>
            <w:tr w14:paraId="421E40EA">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5D58362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restart"/>
                  <w:tcBorders>
                    <w:top w:val="single" w:color="auto" w:sz="4" w:space="0"/>
                    <w:left w:val="single" w:color="auto" w:sz="4" w:space="0"/>
                    <w:bottom w:val="single" w:color="auto" w:sz="4" w:space="0"/>
                    <w:right w:val="single" w:color="auto" w:sz="4" w:space="0"/>
                  </w:tcBorders>
                  <w:noWrap w:val="0"/>
                  <w:vAlign w:val="center"/>
                </w:tcPr>
                <w:p w14:paraId="104B7BD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25石油、煤炭及其他燃料加工业</w:t>
                  </w:r>
                </w:p>
              </w:tc>
              <w:tc>
                <w:tcPr>
                  <w:tcW w:w="6156" w:type="dxa"/>
                  <w:gridSpan w:val="2"/>
                  <w:tcBorders>
                    <w:top w:val="nil"/>
                    <w:left w:val="single" w:color="auto" w:sz="4" w:space="0"/>
                    <w:bottom w:val="single" w:color="000000" w:sz="8" w:space="0"/>
                    <w:right w:val="single" w:color="000000" w:sz="8" w:space="0"/>
                  </w:tcBorders>
                  <w:noWrap w:val="0"/>
                  <w:vAlign w:val="center"/>
                </w:tcPr>
                <w:p w14:paraId="66674F1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251精炼石油产品制造</w:t>
                  </w:r>
                </w:p>
              </w:tc>
            </w:tr>
            <w:tr w14:paraId="18595E6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378FD34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07EE5AE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single" w:color="auto" w:sz="4" w:space="0"/>
                    <w:bottom w:val="single" w:color="000000" w:sz="8" w:space="0"/>
                    <w:right w:val="single" w:color="000000" w:sz="8" w:space="0"/>
                  </w:tcBorders>
                  <w:noWrap w:val="0"/>
                  <w:vAlign w:val="center"/>
                </w:tcPr>
                <w:p w14:paraId="795F3EA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252煤炭加工</w:t>
                  </w:r>
                </w:p>
              </w:tc>
            </w:tr>
            <w:tr w14:paraId="02DE036D">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auto" w:sz="4" w:space="0"/>
                  </w:tcBorders>
                  <w:noWrap w:val="0"/>
                  <w:vAlign w:val="center"/>
                </w:tcPr>
                <w:p w14:paraId="61A427F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single" w:color="auto" w:sz="4" w:space="0"/>
                    <w:bottom w:val="single" w:color="auto" w:sz="4" w:space="0"/>
                    <w:right w:val="single" w:color="auto" w:sz="4" w:space="0"/>
                  </w:tcBorders>
                  <w:noWrap w:val="0"/>
                  <w:vAlign w:val="center"/>
                </w:tcPr>
                <w:p w14:paraId="32683F3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single" w:color="auto" w:sz="4" w:space="0"/>
                    <w:bottom w:val="single" w:color="000000" w:sz="8" w:space="0"/>
                    <w:right w:val="single" w:color="000000" w:sz="8" w:space="0"/>
                  </w:tcBorders>
                  <w:noWrap w:val="0"/>
                  <w:vAlign w:val="center"/>
                </w:tcPr>
                <w:p w14:paraId="42C25DB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253核燃料加工</w:t>
                  </w:r>
                </w:p>
              </w:tc>
            </w:tr>
            <w:tr w14:paraId="3B6AD64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06D8474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restart"/>
                  <w:tcBorders>
                    <w:top w:val="single" w:color="auto" w:sz="4" w:space="0"/>
                    <w:left w:val="nil"/>
                    <w:bottom w:val="single" w:color="auto" w:sz="4" w:space="0"/>
                    <w:right w:val="single" w:color="000000" w:sz="8" w:space="0"/>
                  </w:tcBorders>
                  <w:noWrap w:val="0"/>
                  <w:vAlign w:val="center"/>
                </w:tcPr>
                <w:p w14:paraId="38AFE2E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26化学原料和化学制品制造业</w:t>
                  </w:r>
                </w:p>
              </w:tc>
              <w:tc>
                <w:tcPr>
                  <w:tcW w:w="6156" w:type="dxa"/>
                  <w:gridSpan w:val="2"/>
                  <w:tcBorders>
                    <w:top w:val="nil"/>
                    <w:left w:val="nil"/>
                    <w:bottom w:val="single" w:color="000000" w:sz="8" w:space="0"/>
                    <w:right w:val="single" w:color="000000" w:sz="8" w:space="0"/>
                  </w:tcBorders>
                  <w:noWrap w:val="0"/>
                  <w:vAlign w:val="center"/>
                </w:tcPr>
                <w:p w14:paraId="6657B75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2611无机酸制造</w:t>
                  </w:r>
                </w:p>
              </w:tc>
            </w:tr>
            <w:tr w14:paraId="26513FD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3C67B14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4BDE70E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5C4970C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2612无机碱制造</w:t>
                  </w:r>
                </w:p>
              </w:tc>
            </w:tr>
            <w:tr w14:paraId="74D744F0">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782C404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4B11C7B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7EF7D07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2613无机盐制造</w:t>
                  </w:r>
                </w:p>
              </w:tc>
            </w:tr>
            <w:tr w14:paraId="5EB4BC20">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2CFD58E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64F0448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08D75DB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2619其他基础化学原料制造</w:t>
                  </w:r>
                </w:p>
              </w:tc>
            </w:tr>
            <w:tr w14:paraId="5E834CC8">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7154065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5921A89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7D21118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2621氮肥制造</w:t>
                  </w:r>
                </w:p>
              </w:tc>
            </w:tr>
            <w:tr w14:paraId="61B87490">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33A7772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7A5D385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23C7A01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2622磷肥制造</w:t>
                  </w:r>
                </w:p>
              </w:tc>
            </w:tr>
            <w:tr w14:paraId="7B3E14B3">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CF96DE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6814BF5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2A48C35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2623钾肥制造</w:t>
                  </w:r>
                </w:p>
              </w:tc>
            </w:tr>
            <w:tr w14:paraId="7DF9AD44">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30EFE1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BE105D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53D1C28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2624复混肥料制造</w:t>
                  </w:r>
                </w:p>
              </w:tc>
            </w:tr>
            <w:tr w14:paraId="631177BD">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E6082C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3A16344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774BD07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2625有机肥料及微生物肥料制造</w:t>
                  </w:r>
                </w:p>
              </w:tc>
            </w:tr>
            <w:tr w14:paraId="415C2C0A">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40E804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2E63BB7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65CCAD1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2629其他肥料制造</w:t>
                  </w:r>
                </w:p>
              </w:tc>
            </w:tr>
            <w:tr w14:paraId="219C9549">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7F85BD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4BB0737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2E8408E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2631化学农药制造</w:t>
                  </w:r>
                </w:p>
              </w:tc>
            </w:tr>
            <w:tr w14:paraId="43A12AC9">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F15288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3B6329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686C3CA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2632生物化学农药及微生物农药制造</w:t>
                  </w:r>
                </w:p>
              </w:tc>
            </w:tr>
            <w:tr w14:paraId="0F39CFF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35F115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5AFE528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45010C4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2641涂料制造</w:t>
                  </w:r>
                </w:p>
              </w:tc>
            </w:tr>
            <w:tr w14:paraId="02A74C8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14C38CA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CE7DA1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17A0E5C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2642油墨及类似产品制造</w:t>
                  </w:r>
                </w:p>
              </w:tc>
            </w:tr>
            <w:tr w14:paraId="16379D0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2333330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B62672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3DD488E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2643工业颜料制造</w:t>
                  </w:r>
                </w:p>
              </w:tc>
            </w:tr>
            <w:tr w14:paraId="14F6C8AC">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969E70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31764CF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18B92CA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2644工艺美术颜料制造</w:t>
                  </w:r>
                </w:p>
              </w:tc>
            </w:tr>
            <w:tr w14:paraId="40F2C136">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CFA601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5F6892B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20E7BC6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2645染料制造</w:t>
                  </w:r>
                </w:p>
              </w:tc>
            </w:tr>
            <w:tr w14:paraId="6D75AF3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0515841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7F003F9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2426601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2646密封用填料及类似品制造</w:t>
                  </w:r>
                </w:p>
              </w:tc>
            </w:tr>
            <w:tr w14:paraId="40A76F5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06ECD1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400E73B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5F9AD60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2651初级形态塑料及合成树脂制造</w:t>
                  </w:r>
                </w:p>
              </w:tc>
            </w:tr>
            <w:tr w14:paraId="6A63CC44">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0A13D61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2E6957C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51D6134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2652合成橡胶制造</w:t>
                  </w:r>
                </w:p>
              </w:tc>
            </w:tr>
            <w:tr w14:paraId="21079F8D">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78AAAE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355E951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6700F5D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2653合成纤维单(聚合)体制造</w:t>
                  </w:r>
                </w:p>
              </w:tc>
            </w:tr>
            <w:tr w14:paraId="0B0A59A6">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296B4E1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29366D1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532F437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2659其他合成材料制造</w:t>
                  </w:r>
                </w:p>
              </w:tc>
            </w:tr>
            <w:tr w14:paraId="308119B9">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0C2DAD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4431411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36CBB8E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2661化学试剂和助剂制造</w:t>
                  </w:r>
                </w:p>
              </w:tc>
            </w:tr>
            <w:tr w14:paraId="543B60C5">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1D5A19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4460736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2673E5B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2662专项化学用品制造</w:t>
                  </w:r>
                </w:p>
              </w:tc>
            </w:tr>
            <w:tr w14:paraId="799B932D">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0AA8825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7E3F1D7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514A414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2663林产化学产品制造</w:t>
                  </w:r>
                </w:p>
              </w:tc>
            </w:tr>
            <w:tr w14:paraId="61C88AD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1582A6C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71A7CC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65AE124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2664文化用信息化学品制造</w:t>
                  </w:r>
                </w:p>
              </w:tc>
            </w:tr>
            <w:tr w14:paraId="1D32559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916E49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89A751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29201C4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2665医学生产用信息化学品制造</w:t>
                  </w:r>
                </w:p>
              </w:tc>
            </w:tr>
            <w:tr w14:paraId="3FA17B02">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3688B0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8EBCE3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5EC27BE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2666环境污染处理专用药剂材料制造</w:t>
                  </w:r>
                </w:p>
              </w:tc>
            </w:tr>
            <w:tr w14:paraId="09718323">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74A042E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6584DDF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10D04BE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2667动物胶制造</w:t>
                  </w:r>
                </w:p>
              </w:tc>
            </w:tr>
            <w:tr w14:paraId="0E915C4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7736E7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A3A2DE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77948B4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2669其他专用化学产品制造</w:t>
                  </w:r>
                </w:p>
              </w:tc>
            </w:tr>
            <w:tr w14:paraId="2855D2EA">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4EFF25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05BA779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7737977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2671炸药及火工产品制造</w:t>
                  </w:r>
                </w:p>
              </w:tc>
            </w:tr>
            <w:tr w14:paraId="581E6482">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160332D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522E926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4AB66D0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2672焰火、鞭炮产品制造</w:t>
                  </w:r>
                </w:p>
              </w:tc>
            </w:tr>
            <w:tr w14:paraId="331E80EC">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7D38BF7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A5EEC3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4619AE6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2684香料、香精制造</w:t>
                  </w:r>
                </w:p>
              </w:tc>
            </w:tr>
            <w:tr w14:paraId="02E9BDD2">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360AAB7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restart"/>
                  <w:tcBorders>
                    <w:top w:val="single" w:color="auto" w:sz="4" w:space="0"/>
                    <w:left w:val="nil"/>
                    <w:bottom w:val="single" w:color="auto" w:sz="4" w:space="0"/>
                    <w:right w:val="single" w:color="000000" w:sz="8" w:space="0"/>
                  </w:tcBorders>
                  <w:noWrap w:val="0"/>
                  <w:vAlign w:val="center"/>
                </w:tcPr>
                <w:p w14:paraId="2D4F6AD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屠宰</w:t>
                  </w:r>
                </w:p>
              </w:tc>
              <w:tc>
                <w:tcPr>
                  <w:tcW w:w="6156" w:type="dxa"/>
                  <w:gridSpan w:val="2"/>
                  <w:tcBorders>
                    <w:top w:val="nil"/>
                    <w:left w:val="nil"/>
                    <w:bottom w:val="single" w:color="000000" w:sz="8" w:space="0"/>
                    <w:right w:val="single" w:color="000000" w:sz="8" w:space="0"/>
                  </w:tcBorders>
                  <w:noWrap w:val="0"/>
                  <w:vAlign w:val="center"/>
                </w:tcPr>
                <w:p w14:paraId="3F193FC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1351牲畜屠宰</w:t>
                  </w:r>
                </w:p>
              </w:tc>
            </w:tr>
            <w:tr w14:paraId="35A21ACC">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35B0D9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vMerge w:val="continue"/>
                  <w:tcBorders>
                    <w:top w:val="single" w:color="auto" w:sz="4" w:space="0"/>
                    <w:left w:val="nil"/>
                    <w:bottom w:val="single" w:color="auto" w:sz="4" w:space="0"/>
                    <w:right w:val="single" w:color="000000" w:sz="8" w:space="0"/>
                  </w:tcBorders>
                  <w:noWrap w:val="0"/>
                  <w:vAlign w:val="center"/>
                </w:tcPr>
                <w:p w14:paraId="18227BF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6156" w:type="dxa"/>
                  <w:gridSpan w:val="2"/>
                  <w:tcBorders>
                    <w:top w:val="nil"/>
                    <w:left w:val="nil"/>
                    <w:bottom w:val="single" w:color="000000" w:sz="8" w:space="0"/>
                    <w:right w:val="single" w:color="000000" w:sz="8" w:space="0"/>
                  </w:tcBorders>
                  <w:noWrap w:val="0"/>
                  <w:vAlign w:val="center"/>
                </w:tcPr>
                <w:p w14:paraId="06192E9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1352禽类屠宰</w:t>
                  </w:r>
                </w:p>
              </w:tc>
            </w:tr>
            <w:tr w14:paraId="082794F8">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77F6FC2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tcBorders>
                    <w:top w:val="single" w:color="auto" w:sz="4" w:space="0"/>
                    <w:left w:val="nil"/>
                    <w:bottom w:val="single" w:color="000000" w:sz="8" w:space="0"/>
                    <w:right w:val="single" w:color="000000" w:sz="8" w:space="0"/>
                  </w:tcBorders>
                  <w:noWrap w:val="0"/>
                  <w:vAlign w:val="center"/>
                </w:tcPr>
                <w:p w14:paraId="7A0E85F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水泥</w:t>
                  </w:r>
                </w:p>
              </w:tc>
              <w:tc>
                <w:tcPr>
                  <w:tcW w:w="6156" w:type="dxa"/>
                  <w:gridSpan w:val="2"/>
                  <w:tcBorders>
                    <w:top w:val="nil"/>
                    <w:left w:val="nil"/>
                    <w:bottom w:val="single" w:color="000000" w:sz="8" w:space="0"/>
                    <w:right w:val="single" w:color="000000" w:sz="8" w:space="0"/>
                  </w:tcBorders>
                  <w:noWrap w:val="0"/>
                  <w:vAlign w:val="center"/>
                </w:tcPr>
                <w:p w14:paraId="6670BA83">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3011水泥制造</w:t>
                  </w:r>
                </w:p>
              </w:tc>
            </w:tr>
            <w:tr w14:paraId="4078ADCB">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067526B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tcBorders>
                    <w:top w:val="nil"/>
                    <w:left w:val="nil"/>
                    <w:bottom w:val="single" w:color="000000" w:sz="8" w:space="0"/>
                    <w:right w:val="single" w:color="000000" w:sz="8" w:space="0"/>
                  </w:tcBorders>
                  <w:noWrap w:val="0"/>
                  <w:vAlign w:val="center"/>
                </w:tcPr>
                <w:p w14:paraId="6AD7EEA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造纸</w:t>
                  </w:r>
                </w:p>
              </w:tc>
              <w:tc>
                <w:tcPr>
                  <w:tcW w:w="6156" w:type="dxa"/>
                  <w:gridSpan w:val="2"/>
                  <w:tcBorders>
                    <w:top w:val="nil"/>
                    <w:left w:val="nil"/>
                    <w:bottom w:val="single" w:color="000000" w:sz="8" w:space="0"/>
                    <w:right w:val="single" w:color="000000" w:sz="8" w:space="0"/>
                  </w:tcBorders>
                  <w:noWrap w:val="0"/>
                  <w:vAlign w:val="center"/>
                </w:tcPr>
                <w:p w14:paraId="22C3E3B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221纸浆制造</w:t>
                  </w:r>
                </w:p>
              </w:tc>
            </w:tr>
            <w:tr w14:paraId="143AB2EA">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EA1F0D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tcBorders>
                    <w:top w:val="nil"/>
                    <w:left w:val="nil"/>
                    <w:bottom w:val="single" w:color="000000" w:sz="8" w:space="0"/>
                    <w:right w:val="single" w:color="000000" w:sz="8" w:space="0"/>
                  </w:tcBorders>
                  <w:noWrap w:val="0"/>
                  <w:vAlign w:val="center"/>
                </w:tcPr>
                <w:p w14:paraId="5B3E94F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铅蓄电池</w:t>
                  </w:r>
                </w:p>
              </w:tc>
              <w:tc>
                <w:tcPr>
                  <w:tcW w:w="6156" w:type="dxa"/>
                  <w:gridSpan w:val="2"/>
                  <w:tcBorders>
                    <w:top w:val="nil"/>
                    <w:left w:val="nil"/>
                    <w:bottom w:val="single" w:color="000000" w:sz="8" w:space="0"/>
                    <w:right w:val="single" w:color="000000" w:sz="8" w:space="0"/>
                  </w:tcBorders>
                  <w:noWrap w:val="0"/>
                  <w:vAlign w:val="center"/>
                </w:tcPr>
                <w:p w14:paraId="7078DCC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3843铅蓄电池制造</w:t>
                  </w:r>
                </w:p>
              </w:tc>
            </w:tr>
            <w:tr w14:paraId="473541A2">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0ADF87A7">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1252" w:type="dxa"/>
                  <w:tcBorders>
                    <w:top w:val="nil"/>
                    <w:left w:val="nil"/>
                    <w:bottom w:val="single" w:color="000000" w:sz="8" w:space="0"/>
                    <w:right w:val="single" w:color="000000" w:sz="8" w:space="0"/>
                  </w:tcBorders>
                  <w:noWrap w:val="0"/>
                  <w:vAlign w:val="center"/>
                </w:tcPr>
                <w:p w14:paraId="79B2921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轮胎制造</w:t>
                  </w:r>
                </w:p>
              </w:tc>
              <w:tc>
                <w:tcPr>
                  <w:tcW w:w="6156" w:type="dxa"/>
                  <w:gridSpan w:val="2"/>
                  <w:tcBorders>
                    <w:top w:val="nil"/>
                    <w:left w:val="nil"/>
                    <w:bottom w:val="single" w:color="000000" w:sz="8" w:space="0"/>
                    <w:right w:val="single" w:color="000000" w:sz="8" w:space="0"/>
                  </w:tcBorders>
                  <w:noWrap w:val="0"/>
                  <w:vAlign w:val="center"/>
                </w:tcPr>
                <w:p w14:paraId="238AAB66">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2911轮胎制造</w:t>
                  </w:r>
                </w:p>
              </w:tc>
            </w:tr>
            <w:tr w14:paraId="5431D341">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C7A2E6A">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7408" w:type="dxa"/>
                  <w:gridSpan w:val="3"/>
                  <w:tcBorders>
                    <w:top w:val="nil"/>
                    <w:left w:val="nil"/>
                    <w:bottom w:val="single" w:color="000000" w:sz="8" w:space="0"/>
                    <w:right w:val="single" w:color="000000" w:sz="8" w:space="0"/>
                  </w:tcBorders>
                  <w:noWrap w:val="0"/>
                  <w:vAlign w:val="center"/>
                </w:tcPr>
                <w:p w14:paraId="09881A1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禁止引入专门从事印染、制革、电镀等生产的项目，禁止引入与主导产业不相符的“两高”类项目。</w:t>
                  </w:r>
                </w:p>
              </w:tc>
            </w:tr>
            <w:tr w14:paraId="3CE165FE">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62A8138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7408" w:type="dxa"/>
                  <w:gridSpan w:val="3"/>
                  <w:tcBorders>
                    <w:top w:val="nil"/>
                    <w:left w:val="nil"/>
                    <w:bottom w:val="single" w:color="000000" w:sz="8" w:space="0"/>
                    <w:right w:val="single" w:color="000000" w:sz="8" w:space="0"/>
                  </w:tcBorders>
                  <w:noWrap w:val="0"/>
                  <w:vAlign w:val="center"/>
                </w:tcPr>
                <w:p w14:paraId="69B92C4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禁止引入列入《产业结构调整指导目录（2019年本，</w:t>
                  </w:r>
                  <w:r>
                    <w:rPr>
                      <w:rFonts w:hint="default" w:ascii="Times New Roman" w:hAnsi="Times New Roman" w:cs="Times New Roman"/>
                      <w:sz w:val="21"/>
                      <w:szCs w:val="21"/>
                    </w:rPr>
                    <w:t>2021年修正</w:t>
                  </w:r>
                  <w:r>
                    <w:rPr>
                      <w:rFonts w:hint="default" w:ascii="Times New Roman" w:hAnsi="Times New Roman" w:cs="Times New Roman"/>
                      <w:sz w:val="21"/>
                      <w:szCs w:val="21"/>
                      <w:lang w:val="en-US" w:eastAsia="zh-CN"/>
                    </w:rPr>
                    <w:t>）》、《外商投资产业指导目录（2017年修订）》、《市场准入负面清单（2022年版）》等相关产业政策中禁止或淘汰类项目、产品、工艺和设备。</w:t>
                  </w:r>
                </w:p>
              </w:tc>
            </w:tr>
            <w:tr w14:paraId="422AF494">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5D07318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7408" w:type="dxa"/>
                  <w:gridSpan w:val="3"/>
                  <w:tcBorders>
                    <w:top w:val="nil"/>
                    <w:left w:val="nil"/>
                    <w:bottom w:val="single" w:color="000000" w:sz="8" w:space="0"/>
                    <w:right w:val="single" w:color="000000" w:sz="8" w:space="0"/>
                  </w:tcBorders>
                  <w:noWrap w:val="0"/>
                  <w:vAlign w:val="center"/>
                </w:tcPr>
                <w:p w14:paraId="456DE82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禁止新建、扩建不符合国家产能置换要求的严重过剩产能行业的项目。</w:t>
                  </w:r>
                </w:p>
              </w:tc>
            </w:tr>
            <w:tr w14:paraId="4C4C0CC6">
              <w:tblPrEx>
                <w:tblCellMar>
                  <w:top w:w="0" w:type="dxa"/>
                  <w:left w:w="108" w:type="dxa"/>
                  <w:bottom w:w="0" w:type="dxa"/>
                  <w:right w:w="108" w:type="dxa"/>
                </w:tblCellMar>
              </w:tblPrEx>
              <w:trPr>
                <w:trHeight w:val="397" w:hRule="atLeast"/>
                <w:jc w:val="center"/>
              </w:trPr>
              <w:tc>
                <w:tcPr>
                  <w:tcW w:w="804" w:type="dxa"/>
                  <w:vMerge w:val="continue"/>
                  <w:tcBorders>
                    <w:top w:val="nil"/>
                    <w:left w:val="single" w:color="000000" w:sz="8" w:space="0"/>
                    <w:bottom w:val="single" w:color="000000" w:sz="8" w:space="0"/>
                    <w:right w:val="single" w:color="000000" w:sz="8" w:space="0"/>
                  </w:tcBorders>
                  <w:noWrap w:val="0"/>
                  <w:vAlign w:val="center"/>
                </w:tcPr>
                <w:p w14:paraId="4DDCCB6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p>
              </w:tc>
              <w:tc>
                <w:tcPr>
                  <w:tcW w:w="7408" w:type="dxa"/>
                  <w:gridSpan w:val="3"/>
                  <w:tcBorders>
                    <w:top w:val="nil"/>
                    <w:left w:val="nil"/>
                    <w:bottom w:val="single" w:color="000000" w:sz="8" w:space="0"/>
                    <w:right w:val="single" w:color="000000" w:sz="8" w:space="0"/>
                  </w:tcBorders>
                  <w:noWrap w:val="0"/>
                  <w:vAlign w:val="center"/>
                </w:tcPr>
                <w:p w14:paraId="370ACAC4">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区内部分紧邻规划居住用地等环境敏感目标的工业用地，严格限制涉及使用危险化学品的企业进入</w:t>
                  </w:r>
                </w:p>
              </w:tc>
            </w:tr>
            <w:tr w14:paraId="2A3106F3">
              <w:tblPrEx>
                <w:tblCellMar>
                  <w:top w:w="0" w:type="dxa"/>
                  <w:left w:w="108" w:type="dxa"/>
                  <w:bottom w:w="0" w:type="dxa"/>
                  <w:right w:w="108" w:type="dxa"/>
                </w:tblCellMar>
              </w:tblPrEx>
              <w:trPr>
                <w:trHeight w:val="397" w:hRule="atLeast"/>
                <w:jc w:val="center"/>
              </w:trPr>
              <w:tc>
                <w:tcPr>
                  <w:tcW w:w="804" w:type="dxa"/>
                  <w:tcBorders>
                    <w:top w:val="nil"/>
                    <w:left w:val="single" w:color="000000" w:sz="8" w:space="0"/>
                    <w:bottom w:val="single" w:color="000000" w:sz="8" w:space="0"/>
                    <w:right w:val="single" w:color="000000" w:sz="8" w:space="0"/>
                  </w:tcBorders>
                  <w:noWrap w:val="0"/>
                  <w:vAlign w:val="center"/>
                </w:tcPr>
                <w:p w14:paraId="5EA9121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限制类</w:t>
                  </w:r>
                </w:p>
              </w:tc>
              <w:tc>
                <w:tcPr>
                  <w:tcW w:w="7408" w:type="dxa"/>
                  <w:gridSpan w:val="3"/>
                  <w:tcBorders>
                    <w:top w:val="nil"/>
                    <w:left w:val="nil"/>
                    <w:bottom w:val="single" w:color="000000" w:sz="8" w:space="0"/>
                    <w:right w:val="single" w:color="000000" w:sz="8" w:space="0"/>
                  </w:tcBorders>
                  <w:noWrap w:val="0"/>
                  <w:vAlign w:val="center"/>
                </w:tcPr>
                <w:p w14:paraId="2FFC6B9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限制发展能源、资源消耗量或排污量较大但效益相对较好的企业，主要为除经开区规划三大主导产业外、非禁止类项目，具体项目引入需经充分环境影响论证。与主导产业相符的“两高”项目需按照国家及安徽省相关政策要求严格控制引入，并经过环境影响充分论证。</w:t>
                  </w:r>
                </w:p>
              </w:tc>
            </w:tr>
          </w:tbl>
          <w:p w14:paraId="402B306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sz w:val="24"/>
                <w:szCs w:val="24"/>
                <w:lang w:val="en-US" w:eastAsia="zh-CN"/>
              </w:rPr>
            </w:pPr>
            <w:r>
              <w:rPr>
                <w:rFonts w:hint="eastAsia"/>
                <w:sz w:val="24"/>
                <w:szCs w:val="24"/>
                <w:lang w:val="en-US" w:eastAsia="zh-CN"/>
              </w:rPr>
              <w:t>根据上表，本项目不在开发区生态环境准入清单内，</w:t>
            </w:r>
            <w:r>
              <w:rPr>
                <w:rFonts w:hint="default"/>
                <w:color w:val="000000"/>
                <w:sz w:val="24"/>
                <w:szCs w:val="24"/>
                <w:lang w:val="en-US" w:eastAsia="zh-CN" w:bidi="ar"/>
              </w:rPr>
              <w:t>不属于《安徽淮北烈山经济开发区产业发展规划（2020-2030年）》所列的淘汰类、限制类、禁止类，属于允许入园项目</w:t>
            </w:r>
            <w:r>
              <w:rPr>
                <w:rFonts w:hint="eastAsia"/>
                <w:sz w:val="24"/>
                <w:szCs w:val="24"/>
                <w:lang w:val="en-US" w:eastAsia="zh-CN"/>
              </w:rPr>
              <w:t>。根据《产业结构调整指导目录（2024年本）》，本项目属于国家产业政策中鼓励类-十二建材-高硼硅玻璃产业类别。</w:t>
            </w:r>
          </w:p>
          <w:p w14:paraId="24AF1CA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olor w:val="auto"/>
                <w:sz w:val="24"/>
                <w:szCs w:val="24"/>
              </w:rPr>
            </w:pPr>
            <w:r>
              <w:rPr>
                <w:rFonts w:hint="eastAsia"/>
                <w:sz w:val="24"/>
                <w:szCs w:val="24"/>
                <w:lang w:val="en-US" w:eastAsia="zh-CN"/>
              </w:rPr>
              <w:t>综上，本项目所在地不涉及开发区生态环境准入清单，</w:t>
            </w:r>
            <w:r>
              <w:rPr>
                <w:rFonts w:hint="eastAsia"/>
                <w:color w:val="auto"/>
                <w:sz w:val="24"/>
                <w:szCs w:val="24"/>
              </w:rPr>
              <w:t>项目建设符合</w:t>
            </w:r>
            <w:r>
              <w:rPr>
                <w:rFonts w:hint="eastAsia"/>
                <w:color w:val="auto"/>
                <w:sz w:val="24"/>
                <w:szCs w:val="24"/>
                <w:lang w:eastAsia="zh-CN"/>
              </w:rPr>
              <w:t>“</w:t>
            </w:r>
            <w:r>
              <w:rPr>
                <w:rFonts w:hint="eastAsia"/>
                <w:color w:val="auto"/>
                <w:sz w:val="24"/>
                <w:szCs w:val="24"/>
              </w:rPr>
              <w:t>三线一单</w:t>
            </w:r>
            <w:r>
              <w:rPr>
                <w:rFonts w:hint="eastAsia"/>
                <w:color w:val="auto"/>
                <w:sz w:val="24"/>
                <w:szCs w:val="24"/>
                <w:lang w:eastAsia="zh-CN"/>
              </w:rPr>
              <w:t>”</w:t>
            </w:r>
            <w:r>
              <w:rPr>
                <w:rFonts w:hint="eastAsia"/>
                <w:color w:val="auto"/>
                <w:sz w:val="24"/>
                <w:szCs w:val="24"/>
              </w:rPr>
              <w:t>要求。</w:t>
            </w:r>
          </w:p>
          <w:p w14:paraId="72BF5C52">
            <w:pPr>
              <w:keepNext w:val="0"/>
              <w:keepLines w:val="0"/>
              <w:pageBreakBefore w:val="0"/>
              <w:suppressLineNumbers w:val="0"/>
              <w:kinsoku/>
              <w:wordWrap/>
              <w:topLinePunct w:val="0"/>
              <w:bidi w:val="0"/>
              <w:adjustRightInd/>
              <w:snapToGrid/>
              <w:spacing w:before="0" w:beforeAutospacing="0" w:after="0" w:afterAutospacing="0" w:line="360" w:lineRule="auto"/>
              <w:ind w:left="0" w:right="0" w:firstLine="0" w:firstLineChars="0"/>
              <w:jc w:val="left"/>
              <w:textAlignment w:val="auto"/>
              <w:rPr>
                <w:rFonts w:hint="default"/>
                <w:b/>
                <w:bCs/>
                <w:sz w:val="24"/>
                <w:szCs w:val="24"/>
              </w:rPr>
            </w:pPr>
            <w:r>
              <w:rPr>
                <w:rFonts w:hint="eastAsia" w:cs="宋体"/>
                <w:b/>
                <w:bCs/>
                <w:sz w:val="24"/>
                <w:szCs w:val="24"/>
                <w:lang w:val="en-US" w:eastAsia="zh-CN"/>
              </w:rPr>
              <w:t>3、</w:t>
            </w:r>
            <w:r>
              <w:rPr>
                <w:rFonts w:hint="eastAsia" w:cs="宋体"/>
                <w:b/>
                <w:bCs/>
                <w:sz w:val="24"/>
                <w:szCs w:val="24"/>
              </w:rPr>
              <w:t>政策符合性分析</w:t>
            </w:r>
          </w:p>
          <w:p w14:paraId="71D0C8D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w:t>
            </w:r>
            <w:r>
              <w:rPr>
                <w:rFonts w:hint="eastAsia" w:cs="Times New Roman"/>
                <w:b/>
                <w:bCs/>
                <w:sz w:val="24"/>
                <w:szCs w:val="24"/>
                <w:lang w:val="en-US" w:eastAsia="zh-CN"/>
              </w:rPr>
              <w:t>1</w:t>
            </w:r>
            <w:r>
              <w:rPr>
                <w:rFonts w:hint="eastAsia" w:ascii="Times New Roman" w:hAnsi="Times New Roman" w:eastAsia="宋体" w:cs="Times New Roman"/>
                <w:b/>
                <w:bCs/>
                <w:sz w:val="24"/>
                <w:szCs w:val="24"/>
              </w:rPr>
              <w:t>）与《关于进一步加强涉大气污染物排放项目环评文件审批的指导意见（试行）》的通知（淮环函〔2022〕227号）符合性分析</w:t>
            </w:r>
          </w:p>
          <w:p w14:paraId="727E38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rPr>
              <w:t>表1-</w:t>
            </w:r>
            <w:r>
              <w:rPr>
                <w:rFonts w:hint="eastAsia" w:ascii="Times New Roman" w:hAnsi="Times New Roman" w:eastAsia="宋体" w:cs="Times New Roman"/>
                <w:b/>
                <w:sz w:val="24"/>
                <w:szCs w:val="24"/>
                <w:lang w:val="en-US" w:eastAsia="zh-CN"/>
              </w:rPr>
              <w:t>4</w:t>
            </w:r>
            <w:r>
              <w:rPr>
                <w:rFonts w:hint="eastAsia" w:ascii="Times New Roman" w:hAnsi="Times New Roman" w:eastAsia="宋体" w:cs="Times New Roman"/>
                <w:b/>
                <w:sz w:val="24"/>
                <w:szCs w:val="24"/>
              </w:rPr>
              <w:t xml:space="preserve">  与淮环函〔2022〕227号文件相符性分析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508"/>
              <w:gridCol w:w="4436"/>
              <w:gridCol w:w="2079"/>
              <w:gridCol w:w="651"/>
            </w:tblGrid>
            <w:tr w14:paraId="4D60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 w:type="dxa"/>
                  <w:vAlign w:val="center"/>
                </w:tcPr>
                <w:p w14:paraId="61CE1021">
                  <w:pPr>
                    <w:pStyle w:val="40"/>
                    <w:keepNext w:val="0"/>
                    <w:keepLines w:val="0"/>
                    <w:suppressLineNumbers w:val="0"/>
                    <w:spacing w:before="0" w:beforeAutospacing="0" w:after="0" w:afterAutospacing="0"/>
                    <w:ind w:left="0" w:right="0"/>
                    <w:rPr>
                      <w:rFonts w:hint="default"/>
                      <w:b/>
                      <w:bCs/>
                      <w:color w:val="auto"/>
                    </w:rPr>
                  </w:pPr>
                  <w:r>
                    <w:rPr>
                      <w:rFonts w:hint="eastAsia"/>
                      <w:b/>
                      <w:bCs/>
                      <w:color w:val="auto"/>
                    </w:rPr>
                    <w:t>序号</w:t>
                  </w:r>
                </w:p>
              </w:tc>
              <w:tc>
                <w:tcPr>
                  <w:tcW w:w="4911" w:type="dxa"/>
                  <w:gridSpan w:val="2"/>
                  <w:vAlign w:val="center"/>
                </w:tcPr>
                <w:p w14:paraId="5A560435">
                  <w:pPr>
                    <w:pStyle w:val="40"/>
                    <w:keepNext w:val="0"/>
                    <w:keepLines w:val="0"/>
                    <w:suppressLineNumbers w:val="0"/>
                    <w:spacing w:before="0" w:beforeAutospacing="0" w:after="0" w:afterAutospacing="0"/>
                    <w:ind w:left="0" w:right="0"/>
                    <w:rPr>
                      <w:rFonts w:hint="default"/>
                      <w:b/>
                      <w:bCs/>
                      <w:color w:val="auto"/>
                    </w:rPr>
                  </w:pPr>
                  <w:r>
                    <w:rPr>
                      <w:rFonts w:hint="eastAsia"/>
                      <w:b/>
                      <w:bCs/>
                      <w:color w:val="auto"/>
                    </w:rPr>
                    <w:t>淮环函〔2022〕227号</w:t>
                  </w:r>
                </w:p>
              </w:tc>
              <w:tc>
                <w:tcPr>
                  <w:tcW w:w="2065" w:type="dxa"/>
                  <w:vAlign w:val="center"/>
                </w:tcPr>
                <w:p w14:paraId="26398779">
                  <w:pPr>
                    <w:pStyle w:val="40"/>
                    <w:keepNext w:val="0"/>
                    <w:keepLines w:val="0"/>
                    <w:suppressLineNumbers w:val="0"/>
                    <w:spacing w:before="0" w:beforeAutospacing="0" w:after="0" w:afterAutospacing="0"/>
                    <w:ind w:left="0" w:right="0"/>
                    <w:rPr>
                      <w:rFonts w:hint="default"/>
                      <w:b/>
                      <w:bCs/>
                      <w:color w:val="auto"/>
                    </w:rPr>
                  </w:pPr>
                  <w:r>
                    <w:rPr>
                      <w:rFonts w:hint="eastAsia"/>
                      <w:b/>
                      <w:bCs/>
                      <w:color w:val="auto"/>
                    </w:rPr>
                    <w:t>本项目情况</w:t>
                  </w:r>
                </w:p>
              </w:tc>
              <w:tc>
                <w:tcPr>
                  <w:tcW w:w="647" w:type="dxa"/>
                  <w:vAlign w:val="center"/>
                </w:tcPr>
                <w:p w14:paraId="6EA2B65B">
                  <w:pPr>
                    <w:pStyle w:val="40"/>
                    <w:keepNext w:val="0"/>
                    <w:keepLines w:val="0"/>
                    <w:suppressLineNumbers w:val="0"/>
                    <w:spacing w:before="0" w:beforeAutospacing="0" w:after="0" w:afterAutospacing="0"/>
                    <w:ind w:left="0" w:right="0"/>
                    <w:rPr>
                      <w:rFonts w:hint="eastAsia" w:eastAsia="宋体"/>
                      <w:b/>
                      <w:bCs/>
                      <w:color w:val="auto"/>
                      <w:lang w:eastAsia="zh-CN"/>
                    </w:rPr>
                  </w:pPr>
                  <w:r>
                    <w:rPr>
                      <w:rFonts w:hint="eastAsia"/>
                      <w:b/>
                      <w:bCs/>
                      <w:color w:val="auto"/>
                      <w:lang w:val="en-US" w:eastAsia="zh-CN"/>
                    </w:rPr>
                    <w:t>结论</w:t>
                  </w:r>
                </w:p>
              </w:tc>
            </w:tr>
            <w:tr w14:paraId="73D6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 w:type="dxa"/>
                  <w:vAlign w:val="center"/>
                </w:tcPr>
                <w:p w14:paraId="3FCD4000">
                  <w:pPr>
                    <w:pStyle w:val="40"/>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1</w:t>
                  </w:r>
                </w:p>
              </w:tc>
              <w:tc>
                <w:tcPr>
                  <w:tcW w:w="505" w:type="dxa"/>
                  <w:vAlign w:val="center"/>
                </w:tcPr>
                <w:p w14:paraId="4A76F3F1">
                  <w:pPr>
                    <w:pStyle w:val="40"/>
                    <w:keepNext w:val="0"/>
                    <w:keepLines w:val="0"/>
                    <w:suppressLineNumbers w:val="0"/>
                    <w:spacing w:before="0" w:beforeAutospacing="0" w:after="0" w:afterAutospacing="0"/>
                    <w:ind w:left="0" w:right="0"/>
                    <w:rPr>
                      <w:rFonts w:hint="default"/>
                      <w:color w:val="auto"/>
                    </w:rPr>
                  </w:pPr>
                  <w:r>
                    <w:rPr>
                      <w:rFonts w:hint="eastAsia"/>
                      <w:color w:val="auto"/>
                    </w:rPr>
                    <w:t>运输方式</w:t>
                  </w:r>
                </w:p>
              </w:tc>
              <w:tc>
                <w:tcPr>
                  <w:tcW w:w="4406" w:type="dxa"/>
                  <w:vAlign w:val="center"/>
                </w:tcPr>
                <w:p w14:paraId="62033975">
                  <w:pPr>
                    <w:pStyle w:val="40"/>
                    <w:keepNext w:val="0"/>
                    <w:keepLines w:val="0"/>
                    <w:suppressLineNumbers w:val="0"/>
                    <w:spacing w:before="0" w:beforeAutospacing="0" w:after="0" w:afterAutospacing="0"/>
                    <w:ind w:left="0" w:right="0"/>
                    <w:jc w:val="left"/>
                    <w:rPr>
                      <w:rFonts w:hint="default"/>
                      <w:color w:val="auto"/>
                    </w:rPr>
                  </w:pPr>
                  <w:r>
                    <w:rPr>
                      <w:rFonts w:hint="eastAsia"/>
                      <w:color w:val="auto"/>
                    </w:rPr>
                    <w:t>大宗物料和产品运输采用清洁运输方式或电动重型载货车辆的比例不低于50%；其他运输部分使用新能源车辆或达到国六排放标准的重型载货车辆的比例不低于80%，其他达到国四排放标准；其他原辅材料公路运输部分使用达到国五及以上排放标准的重型载货车辆（含燃气)或新能源车辆；厂内运输车辆全部达到国五及以上排放标准(含燃气）或使用新能源车辆；厂内非道路移动机械和吸排车等特种运输机械全部达到国三及以上。</w:t>
                  </w:r>
                </w:p>
              </w:tc>
              <w:tc>
                <w:tcPr>
                  <w:tcW w:w="2065" w:type="dxa"/>
                  <w:vAlign w:val="center"/>
                </w:tcPr>
                <w:p w14:paraId="24B2C268">
                  <w:pPr>
                    <w:pStyle w:val="40"/>
                    <w:keepNext w:val="0"/>
                    <w:keepLines w:val="0"/>
                    <w:suppressLineNumbers w:val="0"/>
                    <w:spacing w:before="0" w:beforeAutospacing="0" w:after="0" w:afterAutospacing="0"/>
                    <w:ind w:left="0" w:right="0"/>
                    <w:jc w:val="left"/>
                    <w:rPr>
                      <w:rFonts w:hint="eastAsia" w:eastAsia="宋体"/>
                      <w:color w:val="auto"/>
                      <w:lang w:eastAsia="zh-CN"/>
                    </w:rPr>
                  </w:pPr>
                  <w:r>
                    <w:rPr>
                      <w:rFonts w:hint="eastAsia"/>
                      <w:color w:val="auto"/>
                    </w:rPr>
                    <w:t>环评要求厂内运输车辆全部达到国五及以上排放标准(含燃气）或使用新能源车辆，清洁运输方式车辆比例高于</w:t>
                  </w:r>
                  <w:r>
                    <w:rPr>
                      <w:rFonts w:hint="eastAsia"/>
                      <w:color w:val="auto"/>
                      <w:lang w:val="en-US" w:eastAsia="zh-CN"/>
                    </w:rPr>
                    <w:t>8</w:t>
                  </w:r>
                  <w:r>
                    <w:rPr>
                      <w:rFonts w:hint="eastAsia"/>
                      <w:color w:val="auto"/>
                    </w:rPr>
                    <w:t>0%；厂内非道路移动机械和吸排车等特种运输机械全部达到国三及以上</w:t>
                  </w:r>
                  <w:r>
                    <w:rPr>
                      <w:rFonts w:hint="eastAsia"/>
                      <w:color w:val="auto"/>
                      <w:lang w:eastAsia="zh-CN"/>
                    </w:rPr>
                    <w:t>。</w:t>
                  </w:r>
                </w:p>
              </w:tc>
              <w:tc>
                <w:tcPr>
                  <w:tcW w:w="647" w:type="dxa"/>
                  <w:vAlign w:val="center"/>
                </w:tcPr>
                <w:p w14:paraId="3A37222B">
                  <w:pPr>
                    <w:pStyle w:val="40"/>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3030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 w:type="dxa"/>
                  <w:vMerge w:val="restart"/>
                  <w:vAlign w:val="center"/>
                </w:tcPr>
                <w:p w14:paraId="18BEAB90">
                  <w:pPr>
                    <w:pStyle w:val="40"/>
                    <w:keepNext w:val="0"/>
                    <w:keepLines w:val="0"/>
                    <w:suppressLineNumbers w:val="0"/>
                    <w:spacing w:before="0" w:beforeAutospacing="0" w:after="0" w:afterAutospacing="0"/>
                    <w:ind w:left="0" w:right="0"/>
                    <w:rPr>
                      <w:rFonts w:hint="eastAsia" w:eastAsia="宋体"/>
                      <w:color w:val="auto"/>
                      <w:lang w:eastAsia="zh-CN"/>
                    </w:rPr>
                  </w:pPr>
                  <w:r>
                    <w:rPr>
                      <w:rFonts w:hint="eastAsia"/>
                      <w:color w:val="auto"/>
                      <w:lang w:val="en-US" w:eastAsia="zh-CN"/>
                    </w:rPr>
                    <w:t>2</w:t>
                  </w:r>
                </w:p>
              </w:tc>
              <w:tc>
                <w:tcPr>
                  <w:tcW w:w="505" w:type="dxa"/>
                  <w:vMerge w:val="restart"/>
                  <w:vAlign w:val="center"/>
                </w:tcPr>
                <w:p w14:paraId="62C2E2D1">
                  <w:pPr>
                    <w:pStyle w:val="40"/>
                    <w:keepNext w:val="0"/>
                    <w:keepLines w:val="0"/>
                    <w:suppressLineNumbers w:val="0"/>
                    <w:spacing w:before="0" w:beforeAutospacing="0" w:after="0" w:afterAutospacing="0"/>
                    <w:ind w:left="0" w:right="0"/>
                    <w:rPr>
                      <w:rFonts w:hint="default"/>
                      <w:color w:val="auto"/>
                    </w:rPr>
                  </w:pPr>
                  <w:r>
                    <w:rPr>
                      <w:rFonts w:hint="eastAsia"/>
                      <w:color w:val="auto"/>
                    </w:rPr>
                    <w:t>无组织排放管控</w:t>
                  </w:r>
                </w:p>
              </w:tc>
              <w:tc>
                <w:tcPr>
                  <w:tcW w:w="4406" w:type="dxa"/>
                  <w:vAlign w:val="center"/>
                </w:tcPr>
                <w:p w14:paraId="0E665430">
                  <w:pPr>
                    <w:pStyle w:val="40"/>
                    <w:keepNext w:val="0"/>
                    <w:keepLines w:val="0"/>
                    <w:suppressLineNumbers w:val="0"/>
                    <w:spacing w:before="0" w:beforeAutospacing="0" w:after="0" w:afterAutospacing="0"/>
                    <w:ind w:left="0" w:right="0"/>
                    <w:jc w:val="left"/>
                    <w:rPr>
                      <w:rFonts w:hint="default"/>
                      <w:color w:val="auto"/>
                    </w:rPr>
                  </w:pPr>
                  <w:r>
                    <w:rPr>
                      <w:rFonts w:hint="eastAsia"/>
                      <w:color w:val="auto"/>
                    </w:rPr>
                    <w:t>粉状物料采用料仓、储罐等方式密闭储存，采用密闭皮带、封闭通廊、管状带式输送机或密闭车厢等方式输送；破碎、筛分等设备设置密封罩，并配备除尘设施；物料输送过程中产尘点采取有效抑尘措施；厂区道路硬化。</w:t>
                  </w:r>
                </w:p>
              </w:tc>
              <w:tc>
                <w:tcPr>
                  <w:tcW w:w="2065" w:type="dxa"/>
                  <w:vAlign w:val="center"/>
                </w:tcPr>
                <w:p w14:paraId="60DDFC38">
                  <w:pPr>
                    <w:pStyle w:val="40"/>
                    <w:keepNext w:val="0"/>
                    <w:keepLines w:val="0"/>
                    <w:suppressLineNumbers w:val="0"/>
                    <w:spacing w:before="0" w:beforeAutospacing="0" w:after="0" w:afterAutospacing="0"/>
                    <w:ind w:left="0" w:right="0"/>
                    <w:jc w:val="left"/>
                    <w:rPr>
                      <w:rFonts w:hint="default"/>
                      <w:color w:val="auto"/>
                    </w:rPr>
                  </w:pPr>
                  <w:r>
                    <w:rPr>
                      <w:rFonts w:hint="eastAsia"/>
                      <w:color w:val="auto"/>
                    </w:rPr>
                    <w:t>本项目</w:t>
                  </w:r>
                  <w:r>
                    <w:rPr>
                      <w:rFonts w:hint="eastAsia"/>
                      <w:color w:val="auto"/>
                      <w:lang w:val="en-US" w:eastAsia="zh-CN"/>
                    </w:rPr>
                    <w:t>不涉及</w:t>
                  </w:r>
                  <w:r>
                    <w:rPr>
                      <w:rFonts w:hint="eastAsia"/>
                      <w:color w:val="auto"/>
                    </w:rPr>
                    <w:t>粉状物料</w:t>
                  </w:r>
                  <w:r>
                    <w:rPr>
                      <w:rFonts w:hint="eastAsia"/>
                      <w:color w:val="auto"/>
                      <w:lang w:eastAsia="zh-CN"/>
                    </w:rPr>
                    <w:t>，</w:t>
                  </w:r>
                  <w:r>
                    <w:rPr>
                      <w:rFonts w:hint="eastAsia"/>
                      <w:color w:val="auto"/>
                      <w:lang w:val="en-US" w:eastAsia="zh-CN"/>
                    </w:rPr>
                    <w:t>结晶状、颗粒状物料</w:t>
                  </w:r>
                  <w:r>
                    <w:rPr>
                      <w:rFonts w:hint="eastAsia"/>
                      <w:color w:val="auto"/>
                    </w:rPr>
                    <w:t>采用密闭</w:t>
                  </w:r>
                  <w:r>
                    <w:rPr>
                      <w:rFonts w:hint="eastAsia"/>
                      <w:color w:val="auto"/>
                      <w:lang w:val="en-US" w:eastAsia="zh-CN"/>
                    </w:rPr>
                    <w:t>运输方式</w:t>
                  </w:r>
                  <w:r>
                    <w:rPr>
                      <w:rFonts w:hint="eastAsia"/>
                      <w:color w:val="auto"/>
                    </w:rPr>
                    <w:t>，输送过程全密闭；厂区道路采用水泥路面。</w:t>
                  </w:r>
                </w:p>
              </w:tc>
              <w:tc>
                <w:tcPr>
                  <w:tcW w:w="647" w:type="dxa"/>
                  <w:vMerge w:val="restart"/>
                  <w:vAlign w:val="center"/>
                </w:tcPr>
                <w:p w14:paraId="029DF556">
                  <w:pPr>
                    <w:pStyle w:val="40"/>
                    <w:keepNext w:val="0"/>
                    <w:keepLines w:val="0"/>
                    <w:suppressLineNumbers w:val="0"/>
                    <w:spacing w:before="0" w:beforeAutospacing="0" w:after="0" w:afterAutospacing="0"/>
                    <w:ind w:left="0" w:right="0"/>
                    <w:rPr>
                      <w:rFonts w:hint="default"/>
                      <w:color w:val="auto"/>
                    </w:rPr>
                  </w:pPr>
                  <w:r>
                    <w:rPr>
                      <w:rFonts w:hint="eastAsia"/>
                      <w:color w:val="auto"/>
                    </w:rPr>
                    <w:t>符合</w:t>
                  </w:r>
                </w:p>
              </w:tc>
            </w:tr>
            <w:tr w14:paraId="0766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 w:type="dxa"/>
                  <w:vMerge w:val="continue"/>
                  <w:vAlign w:val="center"/>
                </w:tcPr>
                <w:p w14:paraId="07C0D960">
                  <w:pPr>
                    <w:pStyle w:val="40"/>
                    <w:keepNext w:val="0"/>
                    <w:keepLines w:val="0"/>
                    <w:suppressLineNumbers w:val="0"/>
                    <w:spacing w:before="0" w:beforeAutospacing="0" w:after="0" w:afterAutospacing="0"/>
                    <w:ind w:left="0" w:right="0"/>
                    <w:rPr>
                      <w:rFonts w:hint="default"/>
                      <w:color w:val="auto"/>
                    </w:rPr>
                  </w:pPr>
                </w:p>
              </w:tc>
              <w:tc>
                <w:tcPr>
                  <w:tcW w:w="505" w:type="dxa"/>
                  <w:vMerge w:val="continue"/>
                  <w:vAlign w:val="center"/>
                </w:tcPr>
                <w:p w14:paraId="71599E98">
                  <w:pPr>
                    <w:pStyle w:val="40"/>
                    <w:keepNext w:val="0"/>
                    <w:keepLines w:val="0"/>
                    <w:suppressLineNumbers w:val="0"/>
                    <w:spacing w:before="0" w:beforeAutospacing="0" w:after="0" w:afterAutospacing="0"/>
                    <w:ind w:left="0" w:right="0"/>
                    <w:rPr>
                      <w:rFonts w:hint="default"/>
                      <w:color w:val="auto"/>
                    </w:rPr>
                  </w:pPr>
                </w:p>
              </w:tc>
              <w:tc>
                <w:tcPr>
                  <w:tcW w:w="4406" w:type="dxa"/>
                  <w:vAlign w:val="center"/>
                </w:tcPr>
                <w:p w14:paraId="4E9F8CB5">
                  <w:pPr>
                    <w:pStyle w:val="40"/>
                    <w:keepNext w:val="0"/>
                    <w:keepLines w:val="0"/>
                    <w:suppressLineNumbers w:val="0"/>
                    <w:spacing w:before="0" w:beforeAutospacing="0" w:after="0" w:afterAutospacing="0"/>
                    <w:ind w:left="0" w:right="0"/>
                    <w:jc w:val="left"/>
                    <w:rPr>
                      <w:rFonts w:hint="default"/>
                      <w:color w:val="auto"/>
                    </w:rPr>
                  </w:pPr>
                  <w:r>
                    <w:rPr>
                      <w:rFonts w:hint="eastAsia"/>
                      <w:color w:val="auto"/>
                    </w:rPr>
                    <w:t>车间采取密闭、封闭等措施，无可见烟粉尘外逸；生产工艺（装置）产尘点采用密闭、封闭或设置集气罩等措施；粒状、块状物料采用入棚、入仓等方式储存，堆场建设防风抑尘网，粒状物料采用密闭、封闭等方式输送；物料装卸、储存、输送过程中产尘点采取有效抑尘措施；料棚配备喷雾抑尘设施或物料全部封闭储存，产尘点及车间不得有可见烟（粉）尘外逸出入口配备自动门。</w:t>
                  </w:r>
                </w:p>
              </w:tc>
              <w:tc>
                <w:tcPr>
                  <w:tcW w:w="2065" w:type="dxa"/>
                  <w:vAlign w:val="center"/>
                </w:tcPr>
                <w:p w14:paraId="20DFE7BC">
                  <w:pPr>
                    <w:pStyle w:val="40"/>
                    <w:keepNext w:val="0"/>
                    <w:keepLines w:val="0"/>
                    <w:suppressLineNumbers w:val="0"/>
                    <w:spacing w:before="0" w:beforeAutospacing="0" w:after="0" w:afterAutospacing="0"/>
                    <w:ind w:left="0" w:right="0"/>
                    <w:jc w:val="left"/>
                    <w:rPr>
                      <w:rFonts w:hint="default"/>
                      <w:color w:val="auto"/>
                    </w:rPr>
                  </w:pPr>
                  <w:r>
                    <w:rPr>
                      <w:rFonts w:hint="eastAsia"/>
                      <w:color w:val="auto"/>
                    </w:rPr>
                    <w:t>生产车间封闭，厂区无可见烟粉尘外溢；生产工艺产尘点采取集气设施收，输送过程全密闭，无粉尘逸散。</w:t>
                  </w:r>
                </w:p>
              </w:tc>
              <w:tc>
                <w:tcPr>
                  <w:tcW w:w="647" w:type="dxa"/>
                  <w:vMerge w:val="continue"/>
                  <w:vAlign w:val="center"/>
                </w:tcPr>
                <w:p w14:paraId="37B1D3F5">
                  <w:pPr>
                    <w:pStyle w:val="40"/>
                    <w:keepNext w:val="0"/>
                    <w:keepLines w:val="0"/>
                    <w:suppressLineNumbers w:val="0"/>
                    <w:spacing w:before="0" w:beforeAutospacing="0" w:after="0" w:afterAutospacing="0"/>
                    <w:ind w:left="0" w:right="0"/>
                    <w:rPr>
                      <w:rFonts w:hint="default"/>
                      <w:color w:val="auto"/>
                    </w:rPr>
                  </w:pPr>
                </w:p>
              </w:tc>
            </w:tr>
            <w:tr w14:paraId="77A8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4" w:type="dxa"/>
                  <w:vMerge w:val="continue"/>
                  <w:vAlign w:val="center"/>
                </w:tcPr>
                <w:p w14:paraId="0968DDE1">
                  <w:pPr>
                    <w:pStyle w:val="40"/>
                    <w:keepNext w:val="0"/>
                    <w:keepLines w:val="0"/>
                    <w:suppressLineNumbers w:val="0"/>
                    <w:spacing w:before="0" w:beforeAutospacing="0" w:after="0" w:afterAutospacing="0"/>
                    <w:ind w:left="0" w:right="0"/>
                    <w:rPr>
                      <w:rFonts w:hint="default"/>
                      <w:color w:val="auto"/>
                    </w:rPr>
                  </w:pPr>
                </w:p>
              </w:tc>
              <w:tc>
                <w:tcPr>
                  <w:tcW w:w="505" w:type="dxa"/>
                  <w:vMerge w:val="continue"/>
                  <w:vAlign w:val="center"/>
                </w:tcPr>
                <w:p w14:paraId="3915E2A9">
                  <w:pPr>
                    <w:pStyle w:val="40"/>
                    <w:keepNext w:val="0"/>
                    <w:keepLines w:val="0"/>
                    <w:suppressLineNumbers w:val="0"/>
                    <w:spacing w:before="0" w:beforeAutospacing="0" w:after="0" w:afterAutospacing="0"/>
                    <w:ind w:left="0" w:right="0"/>
                    <w:rPr>
                      <w:rFonts w:hint="default"/>
                      <w:color w:val="auto"/>
                    </w:rPr>
                  </w:pPr>
                </w:p>
              </w:tc>
              <w:tc>
                <w:tcPr>
                  <w:tcW w:w="4406" w:type="dxa"/>
                  <w:vAlign w:val="center"/>
                </w:tcPr>
                <w:p w14:paraId="60B6B823">
                  <w:pPr>
                    <w:pStyle w:val="40"/>
                    <w:keepNext w:val="0"/>
                    <w:keepLines w:val="0"/>
                    <w:suppressLineNumbers w:val="0"/>
                    <w:spacing w:before="0" w:beforeAutospacing="0" w:after="0" w:afterAutospacing="0"/>
                    <w:ind w:left="0" w:right="0"/>
                    <w:jc w:val="left"/>
                    <w:rPr>
                      <w:rFonts w:hint="default"/>
                      <w:color w:val="auto"/>
                    </w:rPr>
                  </w:pPr>
                  <w:r>
                    <w:rPr>
                      <w:rFonts w:hint="eastAsia"/>
                      <w:color w:val="auto"/>
                    </w:rPr>
                    <w:t>料场出入口等易产生颗粒物排放环节，安装高清视频监控设施。视频监控数据保存三个月以上；主要生产设施与污染防治设施分表计电。</w:t>
                  </w:r>
                </w:p>
              </w:tc>
              <w:tc>
                <w:tcPr>
                  <w:tcW w:w="2065" w:type="dxa"/>
                  <w:vAlign w:val="center"/>
                </w:tcPr>
                <w:p w14:paraId="4F82E3E9">
                  <w:pPr>
                    <w:pStyle w:val="40"/>
                    <w:keepNext w:val="0"/>
                    <w:keepLines w:val="0"/>
                    <w:suppressLineNumbers w:val="0"/>
                    <w:spacing w:before="0" w:beforeAutospacing="0" w:after="0" w:afterAutospacing="0"/>
                    <w:ind w:left="0" w:right="0"/>
                    <w:jc w:val="left"/>
                    <w:rPr>
                      <w:rFonts w:hint="default"/>
                      <w:color w:val="auto"/>
                    </w:rPr>
                  </w:pPr>
                  <w:r>
                    <w:rPr>
                      <w:rFonts w:hint="eastAsia"/>
                      <w:color w:val="auto"/>
                    </w:rPr>
                    <w:t>本项目原辅料进出场均采用密闭输送无粉尘逸散。</w:t>
                  </w:r>
                </w:p>
              </w:tc>
              <w:tc>
                <w:tcPr>
                  <w:tcW w:w="647" w:type="dxa"/>
                  <w:vMerge w:val="continue"/>
                  <w:vAlign w:val="center"/>
                </w:tcPr>
                <w:p w14:paraId="4F3BD374">
                  <w:pPr>
                    <w:pStyle w:val="40"/>
                    <w:keepNext w:val="0"/>
                    <w:keepLines w:val="0"/>
                    <w:suppressLineNumbers w:val="0"/>
                    <w:spacing w:before="0" w:beforeAutospacing="0" w:after="0" w:afterAutospacing="0"/>
                    <w:ind w:left="0" w:right="0"/>
                    <w:rPr>
                      <w:rFonts w:hint="default"/>
                      <w:color w:val="auto"/>
                    </w:rPr>
                  </w:pPr>
                </w:p>
              </w:tc>
            </w:tr>
          </w:tbl>
          <w:p w14:paraId="1FA657A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2</w:t>
            </w:r>
            <w:r>
              <w:rPr>
                <w:rFonts w:hint="eastAsia" w:ascii="Times New Roman" w:hAnsi="Times New Roman" w:eastAsia="宋体" w:cs="Times New Roman"/>
                <w:b/>
                <w:bCs/>
                <w:sz w:val="24"/>
                <w:szCs w:val="24"/>
                <w:lang w:val="en-US" w:eastAsia="zh-CN"/>
              </w:rPr>
              <w:t>）与安徽省人民政府办公厅关于印发《皖北六市空气质量提升攻坚行动方案》（皖政办秘〔2023〕58号，2023年12月8日）的通知相符性分析</w:t>
            </w:r>
          </w:p>
          <w:p w14:paraId="7A24A1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rPr>
              <w:t>表1-</w:t>
            </w:r>
            <w:r>
              <w:rPr>
                <w:rFonts w:hint="eastAsia" w:ascii="Times New Roman" w:hAnsi="Times New Roman" w:eastAsia="宋体" w:cs="Times New Roman"/>
                <w:b/>
                <w:sz w:val="24"/>
                <w:szCs w:val="24"/>
                <w:lang w:val="en-US" w:eastAsia="zh-CN"/>
              </w:rPr>
              <w:t>5</w:t>
            </w:r>
            <w:r>
              <w:rPr>
                <w:rFonts w:hint="eastAsia" w:ascii="Times New Roman" w:hAnsi="Times New Roman" w:eastAsia="宋体" w:cs="Times New Roman"/>
                <w:b/>
                <w:sz w:val="24"/>
                <w:szCs w:val="24"/>
              </w:rPr>
              <w:t xml:space="preserve">  与</w:t>
            </w:r>
            <w:r>
              <w:rPr>
                <w:rFonts w:hint="eastAsia" w:ascii="Times New Roman" w:hAnsi="Times New Roman" w:eastAsia="宋体" w:cs="Times New Roman"/>
                <w:b/>
                <w:sz w:val="24"/>
                <w:szCs w:val="24"/>
                <w:lang w:val="en-US" w:eastAsia="zh-CN"/>
              </w:rPr>
              <w:t>皖政办秘〔2023〕58号文件</w:t>
            </w:r>
            <w:r>
              <w:rPr>
                <w:rFonts w:hint="eastAsia" w:ascii="Times New Roman" w:hAnsi="Times New Roman" w:eastAsia="宋体" w:cs="Times New Roman"/>
                <w:b/>
                <w:sz w:val="24"/>
                <w:szCs w:val="24"/>
              </w:rPr>
              <w:t>相符性分析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5291"/>
              <w:gridCol w:w="1652"/>
              <w:gridCol w:w="631"/>
            </w:tblGrid>
            <w:tr w14:paraId="6675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8" w:type="dxa"/>
                  <w:vAlign w:val="center"/>
                </w:tcPr>
                <w:p w14:paraId="199690D4">
                  <w:pPr>
                    <w:pStyle w:val="40"/>
                    <w:keepNext w:val="0"/>
                    <w:keepLines w:val="0"/>
                    <w:suppressLineNumbers w:val="0"/>
                    <w:bidi w:val="0"/>
                    <w:spacing w:before="0" w:beforeAutospacing="0" w:after="0" w:afterAutospacing="0"/>
                    <w:ind w:left="0" w:right="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5291" w:type="dxa"/>
                  <w:vAlign w:val="center"/>
                </w:tcPr>
                <w:p w14:paraId="7522A09F">
                  <w:pPr>
                    <w:pStyle w:val="40"/>
                    <w:keepNext w:val="0"/>
                    <w:keepLines w:val="0"/>
                    <w:suppressLineNumbers w:val="0"/>
                    <w:bidi w:val="0"/>
                    <w:spacing w:before="0" w:beforeAutospacing="0" w:after="0" w:afterAutospacing="0"/>
                    <w:ind w:left="0" w:right="0"/>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皖政办秘〔2023〕58号</w:t>
                  </w:r>
                </w:p>
              </w:tc>
              <w:tc>
                <w:tcPr>
                  <w:tcW w:w="1652" w:type="dxa"/>
                  <w:vAlign w:val="center"/>
                </w:tcPr>
                <w:p w14:paraId="0270A435">
                  <w:pPr>
                    <w:pStyle w:val="40"/>
                    <w:keepNext w:val="0"/>
                    <w:keepLines w:val="0"/>
                    <w:suppressLineNumbers w:val="0"/>
                    <w:bidi w:val="0"/>
                    <w:spacing w:before="0" w:beforeAutospacing="0" w:after="0" w:afterAutospacing="0"/>
                    <w:ind w:left="0" w:right="0"/>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本项目情况</w:t>
                  </w:r>
                </w:p>
              </w:tc>
              <w:tc>
                <w:tcPr>
                  <w:tcW w:w="631" w:type="dxa"/>
                  <w:vAlign w:val="center"/>
                </w:tcPr>
                <w:p w14:paraId="310672E3">
                  <w:pPr>
                    <w:pStyle w:val="40"/>
                    <w:keepNext w:val="0"/>
                    <w:keepLines w:val="0"/>
                    <w:suppressLineNumbers w:val="0"/>
                    <w:bidi w:val="0"/>
                    <w:spacing w:before="0" w:beforeAutospacing="0" w:after="0" w:afterAutospacing="0"/>
                    <w:ind w:left="0" w:right="0"/>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val="en-US" w:eastAsia="zh-CN"/>
                    </w:rPr>
                    <w:t>结论</w:t>
                  </w:r>
                </w:p>
              </w:tc>
            </w:tr>
            <w:tr w14:paraId="4FD5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2" w:type="dxa"/>
                  <w:gridSpan w:val="4"/>
                  <w:vAlign w:val="center"/>
                </w:tcPr>
                <w:p w14:paraId="4B96FB69">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（一）开展产业绿色发展提升行动。</w:t>
                  </w:r>
                </w:p>
              </w:tc>
            </w:tr>
            <w:tr w14:paraId="2DDA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7EF55CB2">
                  <w:pPr>
                    <w:pStyle w:val="40"/>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c>
                <w:tcPr>
                  <w:tcW w:w="5291" w:type="dxa"/>
                  <w:vAlign w:val="center"/>
                </w:tcPr>
                <w:p w14:paraId="7E1BB597">
                  <w:pPr>
                    <w:pStyle w:val="40"/>
                    <w:keepNext w:val="0"/>
                    <w:keepLines w:val="0"/>
                    <w:suppressLineNumbers w:val="0"/>
                    <w:bidi w:val="0"/>
                    <w:spacing w:before="0" w:beforeAutospacing="0" w:after="0" w:afterAutospacing="0"/>
                    <w:ind w:left="0" w:right="0"/>
                    <w:jc w:val="both"/>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坚决遏制“两高”项目盲目发展。对淮南市的火电、煤化工，淮北市的火电、焦化，蚌埠市的化工、玻璃，阜阳市的化工、建材，宿州市的水泥、陶瓷等“两高”项目，实施清单管理、动态监控，严格落实错峰生产和重污染天气应急管理措施，新建“两高”项目按照重污染天气A级绩效指标建设。</w:t>
                  </w:r>
                </w:p>
              </w:tc>
              <w:tc>
                <w:tcPr>
                  <w:tcW w:w="1652" w:type="dxa"/>
                  <w:vAlign w:val="center"/>
                </w:tcPr>
                <w:p w14:paraId="514362F3">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本项目属于C3042特种玻璃制造</w:t>
                  </w:r>
                  <w:r>
                    <w:rPr>
                      <w:rFonts w:hint="eastAsia" w:cs="Times New Roman"/>
                      <w:color w:val="auto"/>
                      <w:sz w:val="21"/>
                      <w:szCs w:val="21"/>
                      <w:lang w:val="en-US" w:eastAsia="zh-CN"/>
                    </w:rPr>
                    <w:t>、305玻璃制品制造</w:t>
                  </w:r>
                  <w:r>
                    <w:rPr>
                      <w:rFonts w:hint="default" w:ascii="Times New Roman" w:hAnsi="Times New Roman" w:cs="Times New Roman"/>
                      <w:color w:val="auto"/>
                      <w:sz w:val="21"/>
                      <w:szCs w:val="21"/>
                      <w:lang w:val="en-US" w:eastAsia="zh-CN"/>
                    </w:rPr>
                    <w:t>，不属于高耗能、高排放项目</w:t>
                  </w:r>
                </w:p>
              </w:tc>
              <w:tc>
                <w:tcPr>
                  <w:tcW w:w="631" w:type="dxa"/>
                  <w:vAlign w:val="center"/>
                </w:tcPr>
                <w:p w14:paraId="6F875D41">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1171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07F7492B">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5291" w:type="dxa"/>
                  <w:vAlign w:val="center"/>
                </w:tcPr>
                <w:p w14:paraId="3EE4D91C">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大力整治“散乱污”企业。全面排查塑料加工、人造板、木材加工、家具制造、合成革、包装印刷、石材加工、煤和矸石破碎加工（含煤球等）、粮食饲料加工、中药材加工、不规范搅拌站、汽车维修（抛光、打磨）、黑色和有色金属熔炼加工、陶瓷烧制、砖瓦窑等涉气“散乱污”企业，实施清单管理，明确时限、责任、措施，依法依规限期退出，推动相关产业转型升级。</w:t>
                  </w:r>
                </w:p>
              </w:tc>
              <w:tc>
                <w:tcPr>
                  <w:tcW w:w="1652" w:type="dxa"/>
                  <w:vAlign w:val="center"/>
                </w:tcPr>
                <w:p w14:paraId="5A37DBB4">
                  <w:pPr>
                    <w:pStyle w:val="40"/>
                    <w:keepNext w:val="0"/>
                    <w:keepLines w:val="0"/>
                    <w:suppressLineNumbers w:val="0"/>
                    <w:bidi w:val="0"/>
                    <w:spacing w:before="0" w:beforeAutospacing="0" w:after="0" w:afterAutospacing="0"/>
                    <w:ind w:left="0" w:right="0"/>
                    <w:jc w:val="left"/>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本项目属于新建项目，项目不属于“散乱污”企业</w:t>
                  </w:r>
                </w:p>
              </w:tc>
              <w:tc>
                <w:tcPr>
                  <w:tcW w:w="631" w:type="dxa"/>
                  <w:vAlign w:val="center"/>
                </w:tcPr>
                <w:p w14:paraId="6FAA9939">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符合</w:t>
                  </w:r>
                </w:p>
              </w:tc>
            </w:tr>
            <w:tr w14:paraId="3524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2" w:type="dxa"/>
                  <w:gridSpan w:val="4"/>
                  <w:vAlign w:val="center"/>
                </w:tcPr>
                <w:p w14:paraId="73658E6C">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lang w:val="en-US" w:eastAsia="zh-CN"/>
                    </w:rPr>
                    <w:t>（二）开展煤炭减量替代提升行动。</w:t>
                  </w:r>
                </w:p>
              </w:tc>
            </w:tr>
            <w:tr w14:paraId="62D4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00409C98">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4</w:t>
                  </w:r>
                </w:p>
              </w:tc>
              <w:tc>
                <w:tcPr>
                  <w:tcW w:w="5291" w:type="dxa"/>
                  <w:vAlign w:val="center"/>
                </w:tcPr>
                <w:p w14:paraId="77713F0B">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4．加快实施现有煤电机组提标改造。大力推动节能降碳改造、灵活性改造、集中供热改造“三改联动”，“十四五”末皖北六市现有29台30万千瓦以上煤电机组全面达到“超净排放”，积极推动将符合国家规定条件的老旧机组转为应急备用。</w:t>
                  </w:r>
                </w:p>
              </w:tc>
              <w:tc>
                <w:tcPr>
                  <w:tcW w:w="1652" w:type="dxa"/>
                  <w:vMerge w:val="restart"/>
                  <w:vAlign w:val="center"/>
                </w:tcPr>
                <w:p w14:paraId="039439CC">
                  <w:pPr>
                    <w:pStyle w:val="40"/>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本项目生产过程</w:t>
                  </w:r>
                  <w:r>
                    <w:rPr>
                      <w:rFonts w:hint="eastAsia" w:cs="Times New Roman"/>
                      <w:color w:val="auto"/>
                      <w:sz w:val="21"/>
                      <w:szCs w:val="21"/>
                      <w:lang w:val="en-US" w:eastAsia="zh-CN"/>
                    </w:rPr>
                    <w:t>熔化工序</w:t>
                  </w:r>
                  <w:r>
                    <w:rPr>
                      <w:rFonts w:hint="default" w:ascii="Times New Roman" w:hAnsi="Times New Roman" w:cs="Times New Roman"/>
                      <w:color w:val="auto"/>
                      <w:sz w:val="21"/>
                      <w:szCs w:val="21"/>
                      <w:lang w:val="en-US" w:eastAsia="zh-CN"/>
                    </w:rPr>
                    <w:t>热源为电</w:t>
                  </w:r>
                  <w:r>
                    <w:rPr>
                      <w:rFonts w:hint="eastAsia" w:cs="Times New Roman"/>
                      <w:color w:val="auto"/>
                      <w:sz w:val="21"/>
                      <w:szCs w:val="21"/>
                      <w:lang w:val="en-US" w:eastAsia="zh-CN"/>
                    </w:rPr>
                    <w:t>，成型工序热源为天然气</w:t>
                  </w:r>
                  <w:r>
                    <w:rPr>
                      <w:rFonts w:hint="default" w:ascii="Times New Roman" w:hAnsi="Times New Roman" w:cs="Times New Roman"/>
                      <w:color w:val="auto"/>
                      <w:sz w:val="21"/>
                      <w:szCs w:val="21"/>
                      <w:lang w:val="en-US" w:eastAsia="zh-CN"/>
                    </w:rPr>
                    <w:t>，不使用煤炭资源</w:t>
                  </w:r>
                </w:p>
              </w:tc>
              <w:tc>
                <w:tcPr>
                  <w:tcW w:w="631" w:type="dxa"/>
                  <w:vMerge w:val="restart"/>
                  <w:vAlign w:val="center"/>
                </w:tcPr>
                <w:p w14:paraId="317AE6BC">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符合</w:t>
                  </w:r>
                </w:p>
              </w:tc>
            </w:tr>
            <w:tr w14:paraId="2453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5B698DC9">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w:t>
                  </w:r>
                </w:p>
              </w:tc>
              <w:tc>
                <w:tcPr>
                  <w:tcW w:w="5291" w:type="dxa"/>
                  <w:vAlign w:val="center"/>
                </w:tcPr>
                <w:p w14:paraId="434513FB">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积极稳妥推进支撑性电源项目建设。六市新建煤电机组执行最严格的节能环保标准，严格落实污染物区域削减替代等政策要求，项目投产前须严格兑现减排承诺，否则不予核发排污许可证，不得投入运行。</w:t>
                  </w:r>
                </w:p>
              </w:tc>
              <w:tc>
                <w:tcPr>
                  <w:tcW w:w="1652" w:type="dxa"/>
                  <w:vMerge w:val="continue"/>
                  <w:vAlign w:val="center"/>
                </w:tcPr>
                <w:p w14:paraId="2CFAE28D">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rPr>
                  </w:pPr>
                </w:p>
              </w:tc>
              <w:tc>
                <w:tcPr>
                  <w:tcW w:w="631" w:type="dxa"/>
                  <w:vMerge w:val="continue"/>
                  <w:vAlign w:val="center"/>
                </w:tcPr>
                <w:p w14:paraId="474F07FF">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rPr>
                  </w:pPr>
                </w:p>
              </w:tc>
            </w:tr>
            <w:tr w14:paraId="3A64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8" w:type="dxa"/>
                  <w:vAlign w:val="center"/>
                </w:tcPr>
                <w:p w14:paraId="042AF374">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w:t>
                  </w:r>
                </w:p>
              </w:tc>
              <w:tc>
                <w:tcPr>
                  <w:tcW w:w="5291" w:type="dxa"/>
                  <w:vAlign w:val="center"/>
                </w:tcPr>
                <w:p w14:paraId="41F75D4B">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大力压减非电行业煤炭消费量。新建、改建、扩建非电用煤项目严格实施煤炭减量替代，确保完成省级下达六市的非电煤炭消费量控制指标。严格禁止新建自备燃煤设施。2025年底前，全面淘汰供热半径15km以内的自备燃煤供热设施和低 效燃煤小热电，积极发展大型热电联产机组半径30km长距离集中供热。</w:t>
                  </w:r>
                </w:p>
              </w:tc>
              <w:tc>
                <w:tcPr>
                  <w:tcW w:w="1652" w:type="dxa"/>
                  <w:vMerge w:val="continue"/>
                  <w:vAlign w:val="center"/>
                </w:tcPr>
                <w:p w14:paraId="347775CB">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rPr>
                  </w:pPr>
                </w:p>
              </w:tc>
              <w:tc>
                <w:tcPr>
                  <w:tcW w:w="631" w:type="dxa"/>
                  <w:vAlign w:val="center"/>
                </w:tcPr>
                <w:p w14:paraId="36F4A3CF">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符合</w:t>
                  </w:r>
                </w:p>
              </w:tc>
            </w:tr>
            <w:tr w14:paraId="58FC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34081A56">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7</w:t>
                  </w:r>
                </w:p>
              </w:tc>
              <w:tc>
                <w:tcPr>
                  <w:tcW w:w="5291" w:type="dxa"/>
                  <w:vAlign w:val="center"/>
                </w:tcPr>
                <w:p w14:paraId="5B2F9ED2">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加大散煤淘汰力度。加大农业生产和农产品加工领域、经营性炉灶等散煤替代力度，实现生产经营性领域散煤基本清零。加强商品煤质量监管，严格控制不符合标准的散煤直接进入流通、使用环节。基本实现居民生活散煤替代。</w:t>
                  </w:r>
                </w:p>
              </w:tc>
              <w:tc>
                <w:tcPr>
                  <w:tcW w:w="1652" w:type="dxa"/>
                  <w:vMerge w:val="continue"/>
                  <w:vAlign w:val="center"/>
                </w:tcPr>
                <w:p w14:paraId="7C0CCB82">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p>
              </w:tc>
              <w:tc>
                <w:tcPr>
                  <w:tcW w:w="631" w:type="dxa"/>
                  <w:vAlign w:val="center"/>
                </w:tcPr>
                <w:p w14:paraId="3D933030">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1F12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2" w:type="dxa"/>
                  <w:gridSpan w:val="4"/>
                  <w:vAlign w:val="center"/>
                </w:tcPr>
                <w:p w14:paraId="5F991D8D">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b/>
                      <w:bCs/>
                      <w:color w:val="auto"/>
                      <w:sz w:val="21"/>
                      <w:szCs w:val="21"/>
                      <w:lang w:val="en-US" w:eastAsia="zh-CN"/>
                    </w:rPr>
                    <w:t>（三）开展交通运输优化提升行动。</w:t>
                  </w:r>
                </w:p>
              </w:tc>
            </w:tr>
            <w:tr w14:paraId="7A85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4357EEF2">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8</w:t>
                  </w:r>
                </w:p>
              </w:tc>
              <w:tc>
                <w:tcPr>
                  <w:tcW w:w="5291" w:type="dxa"/>
                  <w:vAlign w:val="center"/>
                </w:tcPr>
                <w:p w14:paraId="04B223B8">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深入推进营运柴油货车专项整治。以国Ⅲ及以下排放标准的营运柴油货车为重点，通过以奖代补等方式，加快推进六市提前淘汰高污染老旧机动车，到2025年全面实现国Ⅲ柴油货，车限行。</w:t>
                  </w:r>
                </w:p>
              </w:tc>
              <w:tc>
                <w:tcPr>
                  <w:tcW w:w="1652" w:type="dxa"/>
                  <w:vMerge w:val="restart"/>
                  <w:vAlign w:val="center"/>
                </w:tcPr>
                <w:p w14:paraId="75816125">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全部使用清洁运输车辆（电动和氢能），做好密闭措施，安装门禁监控系统</w:t>
                  </w:r>
                </w:p>
              </w:tc>
              <w:tc>
                <w:tcPr>
                  <w:tcW w:w="631" w:type="dxa"/>
                  <w:vAlign w:val="center"/>
                </w:tcPr>
                <w:p w14:paraId="70FEBE8D">
                  <w:pPr>
                    <w:pStyle w:val="40"/>
                    <w:keepNext w:val="0"/>
                    <w:keepLines w:val="0"/>
                    <w:suppressLineNumbers w:val="0"/>
                    <w:bidi w:val="0"/>
                    <w:spacing w:before="0" w:beforeAutospacing="0" w:after="0" w:afterAutospacing="0"/>
                    <w:ind w:left="0" w:right="0"/>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61BE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026F64DC">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p>
              </w:tc>
              <w:tc>
                <w:tcPr>
                  <w:tcW w:w="5291" w:type="dxa"/>
                  <w:vAlign w:val="center"/>
                </w:tcPr>
                <w:p w14:paraId="67D4851D">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积极推动“公转铁”“公转水”。加快重点园区、大型企业和货运枢纽铁路专用线建设。加快推进涡河、沙颍河等航道改造升级，发挥淮河、江淮运河等水运航道作用，提高煤炭、水泥、钢材、粮食等大宗货物水运比例。推广“铁水联运”、多式联运。推行短距离运输采用封闭廊道和新能源运输方式。</w:t>
                  </w:r>
                </w:p>
              </w:tc>
              <w:tc>
                <w:tcPr>
                  <w:tcW w:w="1652" w:type="dxa"/>
                  <w:vMerge w:val="continue"/>
                  <w:vAlign w:val="center"/>
                </w:tcPr>
                <w:p w14:paraId="7CBA7BC4">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p>
              </w:tc>
              <w:tc>
                <w:tcPr>
                  <w:tcW w:w="631" w:type="dxa"/>
                  <w:vAlign w:val="center"/>
                </w:tcPr>
                <w:p w14:paraId="0AD58F44">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6A9C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28" w:type="dxa"/>
                  <w:vAlign w:val="center"/>
                </w:tcPr>
                <w:p w14:paraId="6AF221B6">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10</w:t>
                  </w:r>
                </w:p>
              </w:tc>
              <w:tc>
                <w:tcPr>
                  <w:tcW w:w="5291" w:type="dxa"/>
                  <w:vAlign w:val="center"/>
                </w:tcPr>
                <w:p w14:paraId="5444299F">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加大新能源汽车普及推广力度。开展新能源汽车下乡和“以旧换新”系列活动。以公共领域用车为重点，加快推广新能源汽车应用，新增或更新的公交车、出租车、公务用车、城市物流配送车、轻型环卫车等力争 100%使用新能源汽车。在中心城区推广新能源渣土车，积极推进新能源中重型货车在煤炭、建材等大宗货物运输企业及矿山、货场、码头等场景商业化运营。</w:t>
                  </w:r>
                </w:p>
              </w:tc>
              <w:tc>
                <w:tcPr>
                  <w:tcW w:w="1652" w:type="dxa"/>
                  <w:vMerge w:val="continue"/>
                  <w:vAlign w:val="center"/>
                </w:tcPr>
                <w:p w14:paraId="5FA3B3EE">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p>
              </w:tc>
              <w:tc>
                <w:tcPr>
                  <w:tcW w:w="631" w:type="dxa"/>
                  <w:vAlign w:val="center"/>
                </w:tcPr>
                <w:p w14:paraId="7D097EFB">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3471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2" w:type="dxa"/>
                  <w:gridSpan w:val="4"/>
                  <w:vAlign w:val="center"/>
                </w:tcPr>
                <w:p w14:paraId="585126B5">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bCs/>
                      <w:color w:val="auto"/>
                      <w:kern w:val="2"/>
                      <w:sz w:val="21"/>
                      <w:szCs w:val="21"/>
                      <w:lang w:val="en-US" w:eastAsia="zh-CN" w:bidi="ar-SA"/>
                    </w:rPr>
                    <w:t>（四）开展面源污染减排提升行动</w:t>
                  </w:r>
                </w:p>
              </w:tc>
            </w:tr>
            <w:tr w14:paraId="7500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4FB44721">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11</w:t>
                  </w:r>
                </w:p>
              </w:tc>
              <w:tc>
                <w:tcPr>
                  <w:tcW w:w="5291" w:type="dxa"/>
                  <w:vAlign w:val="center"/>
                </w:tcPr>
                <w:p w14:paraId="73BAD4D4">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深化扬尘污染综合治理。加强扬尘管控的监测巡查， 推进扬尘管控精细化、规范化、长效化。加大建筑施工扬尘管 控力度，全面落实建成区建筑施工工地围挡及喷淋、物料堆放覆盖、土方开挖湿法作业、施工便道硬化、出入车辆清洗、渣土车辆密闭运输“六个百分之百”；严格落实交通、水利等线性工程扬尘控制措施</w:t>
                  </w:r>
                </w:p>
              </w:tc>
              <w:tc>
                <w:tcPr>
                  <w:tcW w:w="1652" w:type="dxa"/>
                  <w:vAlign w:val="center"/>
                </w:tcPr>
                <w:p w14:paraId="24E03C03">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w:t>
                  </w:r>
                  <w:r>
                    <w:rPr>
                      <w:rFonts w:hint="eastAsia" w:ascii="Times New Roman" w:hAnsi="Times New Roman" w:cs="Times New Roman"/>
                      <w:color w:val="auto"/>
                      <w:sz w:val="21"/>
                      <w:szCs w:val="21"/>
                      <w:lang w:val="en-US" w:eastAsia="zh-CN"/>
                    </w:rPr>
                    <w:t>不涉及施工期</w:t>
                  </w:r>
                </w:p>
              </w:tc>
              <w:tc>
                <w:tcPr>
                  <w:tcW w:w="631" w:type="dxa"/>
                  <w:vAlign w:val="center"/>
                </w:tcPr>
                <w:p w14:paraId="11D7878B">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666F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14:paraId="0F5BE31B">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12</w:t>
                  </w:r>
                </w:p>
              </w:tc>
              <w:tc>
                <w:tcPr>
                  <w:tcW w:w="5291" w:type="dxa"/>
                  <w:vAlign w:val="center"/>
                </w:tcPr>
                <w:p w14:paraId="58AB4D35">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强化移动源污染综合治理。全面实施机动车排放检验与维护制度，定期进行排放情况抽测。加快推进企业单位使用以新能源为动力的内部作业车辆和机械，全面推广使用新能源非道路移动机械。2025年底前基本淘汰国Ⅰ及以下排放标准的工程机械。深化非法加油站点整治，加大自备加油站点监管，严厉打击不合格油品。开展油气回收专项排查整治。</w:t>
                  </w:r>
                </w:p>
              </w:tc>
              <w:tc>
                <w:tcPr>
                  <w:tcW w:w="1652" w:type="dxa"/>
                  <w:vAlign w:val="center"/>
                </w:tcPr>
                <w:p w14:paraId="7EA61270">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本项目全部使用清洁运输车辆（电动和氢能）</w:t>
                  </w:r>
                </w:p>
              </w:tc>
              <w:tc>
                <w:tcPr>
                  <w:tcW w:w="631" w:type="dxa"/>
                  <w:vAlign w:val="center"/>
                </w:tcPr>
                <w:p w14:paraId="4CA7249B">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r w14:paraId="6844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tcBorders>
                    <w:bottom w:val="single" w:color="auto" w:sz="4" w:space="0"/>
                  </w:tcBorders>
                  <w:vAlign w:val="center"/>
                </w:tcPr>
                <w:p w14:paraId="5FFFA865">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14</w:t>
                  </w:r>
                </w:p>
              </w:tc>
              <w:tc>
                <w:tcPr>
                  <w:tcW w:w="5291" w:type="dxa"/>
                  <w:tcBorders>
                    <w:bottom w:val="single" w:color="auto" w:sz="4" w:space="0"/>
                  </w:tcBorders>
                  <w:vAlign w:val="center"/>
                </w:tcPr>
                <w:p w14:paraId="2744F494">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开展恶臭异味专项整治。加强对群众反映强烈的恶臭异味扰民问题排查整治，重点整治工业园区及包装印刷、汽车维修、家具制造等小企业排放的废气和异味。强化黑臭水体治理和污水处理设施运行维护，防止污水异味外溢。加强生活垃 圾密闭化收集转运，严防垃圾及渗滤液抛洒滴漏。</w:t>
                  </w:r>
                </w:p>
              </w:tc>
              <w:tc>
                <w:tcPr>
                  <w:tcW w:w="1652" w:type="dxa"/>
                  <w:tcBorders>
                    <w:bottom w:val="single" w:color="auto" w:sz="4" w:space="0"/>
                  </w:tcBorders>
                  <w:vAlign w:val="center"/>
                </w:tcPr>
                <w:p w14:paraId="174FF598">
                  <w:pPr>
                    <w:pStyle w:val="40"/>
                    <w:keepNext w:val="0"/>
                    <w:keepLines w:val="0"/>
                    <w:suppressLineNumbers w:val="0"/>
                    <w:bidi w:val="0"/>
                    <w:spacing w:before="0" w:beforeAutospacing="0" w:after="0" w:afterAutospacing="0"/>
                    <w:ind w:left="0" w:right="0"/>
                    <w:jc w:val="left"/>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生活垃圾垃圾桶收集后，委托环卫部门采用密闭化收集转运，严防垃圾及渗滤液抛洒滴漏</w:t>
                  </w:r>
                </w:p>
              </w:tc>
              <w:tc>
                <w:tcPr>
                  <w:tcW w:w="631" w:type="dxa"/>
                  <w:vAlign w:val="center"/>
                </w:tcPr>
                <w:p w14:paraId="66891CC9">
                  <w:pPr>
                    <w:pStyle w:val="40"/>
                    <w:keepNext w:val="0"/>
                    <w:keepLines w:val="0"/>
                    <w:suppressLineNumbers w:val="0"/>
                    <w:bidi w:val="0"/>
                    <w:spacing w:before="0" w:beforeAutospacing="0" w:after="0" w:afterAutospacing="0"/>
                    <w:ind w:left="0" w:right="0"/>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符合</w:t>
                  </w:r>
                </w:p>
              </w:tc>
            </w:tr>
          </w:tbl>
          <w:p w14:paraId="3BE49D9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3</w:t>
            </w:r>
            <w:r>
              <w:rPr>
                <w:rFonts w:hint="eastAsia" w:ascii="Times New Roman" w:hAnsi="Times New Roman" w:eastAsia="宋体" w:cs="Times New Roman"/>
                <w:b/>
                <w:bCs/>
                <w:sz w:val="24"/>
                <w:szCs w:val="24"/>
                <w:lang w:val="en-US" w:eastAsia="zh-CN"/>
              </w:rPr>
              <w:t>）与安徽省人民政府关于印发《安徽省空气质量持续改善行动方案》的通知</w:t>
            </w:r>
            <w:bookmarkStart w:id="5" w:name="strDocNo"/>
            <w:r>
              <w:rPr>
                <w:rFonts w:hint="eastAsia" w:ascii="Times New Roman" w:hAnsi="Times New Roman" w:eastAsia="宋体" w:cs="Times New Roman"/>
                <w:b/>
                <w:bCs/>
                <w:sz w:val="24"/>
                <w:szCs w:val="24"/>
                <w:lang w:val="en-US" w:eastAsia="zh-CN"/>
              </w:rPr>
              <w:t>（皖政〔2024〕36</w:t>
            </w:r>
            <w:bookmarkEnd w:id="5"/>
            <w:r>
              <w:rPr>
                <w:rFonts w:hint="eastAsia" w:ascii="Times New Roman" w:hAnsi="Times New Roman" w:eastAsia="宋体" w:cs="Times New Roman"/>
                <w:b/>
                <w:bCs/>
                <w:sz w:val="24"/>
                <w:szCs w:val="24"/>
                <w:lang w:val="en-US" w:eastAsia="zh-CN"/>
              </w:rPr>
              <w:t>号）相符性分析</w:t>
            </w:r>
          </w:p>
          <w:p w14:paraId="76062D7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表</w:t>
            </w:r>
            <w:r>
              <w:rPr>
                <w:rFonts w:hint="default" w:ascii="Times New Roman" w:hAnsi="Times New Roman" w:eastAsia="宋体" w:cs="Times New Roman"/>
                <w:b/>
                <w:sz w:val="24"/>
                <w:szCs w:val="24"/>
                <w:lang w:val="en-US" w:eastAsia="zh-CN"/>
              </w:rPr>
              <w:t>1-</w:t>
            </w:r>
            <w:r>
              <w:rPr>
                <w:rFonts w:hint="eastAsia" w:ascii="Times New Roman" w:hAnsi="Times New Roman" w:eastAsia="宋体" w:cs="Times New Roman"/>
                <w:b/>
                <w:sz w:val="24"/>
                <w:szCs w:val="24"/>
                <w:lang w:val="en-US" w:eastAsia="zh-CN"/>
              </w:rPr>
              <w:t>6  与皖政〔2024〕36号文件相符性分析</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4750"/>
              <w:gridCol w:w="2274"/>
              <w:gridCol w:w="620"/>
            </w:tblGrid>
            <w:tr w14:paraId="5D2F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dxa"/>
                  <w:noWrap w:val="0"/>
                  <w:vAlign w:val="center"/>
                </w:tcPr>
                <w:p w14:paraId="405AF4DB">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b/>
                      <w:bCs/>
                      <w:sz w:val="21"/>
                      <w:szCs w:val="21"/>
                      <w:lang w:val="en-US" w:eastAsia="zh-CN"/>
                    </w:rPr>
                  </w:pPr>
                  <w:r>
                    <w:rPr>
                      <w:rFonts w:hint="eastAsia"/>
                      <w:b/>
                      <w:bCs/>
                      <w:sz w:val="21"/>
                      <w:szCs w:val="21"/>
                      <w:lang w:val="en-US" w:eastAsia="zh-CN"/>
                    </w:rPr>
                    <w:t>序号</w:t>
                  </w:r>
                </w:p>
              </w:tc>
              <w:tc>
                <w:tcPr>
                  <w:tcW w:w="4718" w:type="dxa"/>
                  <w:noWrap w:val="0"/>
                  <w:vAlign w:val="center"/>
                </w:tcPr>
                <w:p w14:paraId="1E0B6E6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b/>
                      <w:bCs/>
                      <w:sz w:val="21"/>
                      <w:szCs w:val="21"/>
                      <w:lang w:val="en-US" w:eastAsia="zh-CN"/>
                    </w:rPr>
                  </w:pPr>
                  <w:r>
                    <w:rPr>
                      <w:rFonts w:hint="eastAsia"/>
                      <w:b/>
                      <w:bCs/>
                      <w:sz w:val="21"/>
                      <w:szCs w:val="21"/>
                      <w:lang w:val="en-US" w:eastAsia="zh-CN"/>
                    </w:rPr>
                    <w:t>内容</w:t>
                  </w:r>
                </w:p>
              </w:tc>
              <w:tc>
                <w:tcPr>
                  <w:tcW w:w="2259" w:type="dxa"/>
                  <w:noWrap w:val="0"/>
                  <w:vAlign w:val="center"/>
                </w:tcPr>
                <w:p w14:paraId="2E0F7E0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b/>
                      <w:bCs/>
                      <w:sz w:val="21"/>
                      <w:szCs w:val="21"/>
                      <w:lang w:val="en-US" w:eastAsia="zh-CN"/>
                    </w:rPr>
                  </w:pPr>
                  <w:r>
                    <w:rPr>
                      <w:rFonts w:hint="eastAsia"/>
                      <w:b/>
                      <w:bCs/>
                      <w:sz w:val="21"/>
                      <w:szCs w:val="21"/>
                      <w:lang w:val="en-US" w:eastAsia="zh-CN"/>
                    </w:rPr>
                    <w:t>本项目情况</w:t>
                  </w:r>
                </w:p>
              </w:tc>
              <w:tc>
                <w:tcPr>
                  <w:tcW w:w="616" w:type="dxa"/>
                  <w:noWrap w:val="0"/>
                  <w:vAlign w:val="center"/>
                </w:tcPr>
                <w:p w14:paraId="2703C552">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b/>
                      <w:bCs/>
                      <w:sz w:val="21"/>
                      <w:szCs w:val="21"/>
                      <w:lang w:val="en-US" w:eastAsia="zh-CN"/>
                    </w:rPr>
                  </w:pPr>
                  <w:r>
                    <w:rPr>
                      <w:rFonts w:hint="eastAsia"/>
                      <w:b/>
                      <w:bCs/>
                      <w:sz w:val="21"/>
                      <w:szCs w:val="21"/>
                      <w:lang w:val="en-US" w:eastAsia="zh-CN"/>
                    </w:rPr>
                    <w:t>结论</w:t>
                  </w:r>
                </w:p>
              </w:tc>
            </w:tr>
            <w:tr w14:paraId="4BBF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dxa"/>
                  <w:noWrap w:val="0"/>
                  <w:vAlign w:val="center"/>
                </w:tcPr>
                <w:p w14:paraId="50788D69">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sz w:val="21"/>
                      <w:szCs w:val="21"/>
                      <w:lang w:val="en-US" w:eastAsia="zh-CN"/>
                    </w:rPr>
                    <w:t>1</w:t>
                  </w:r>
                </w:p>
              </w:tc>
              <w:tc>
                <w:tcPr>
                  <w:tcW w:w="4718" w:type="dxa"/>
                  <w:noWrap w:val="0"/>
                  <w:vAlign w:val="center"/>
                </w:tcPr>
                <w:p w14:paraId="063A6B5E">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eastAsia"/>
                      <w:sz w:val="21"/>
                      <w:szCs w:val="21"/>
                      <w:lang w:eastAsia="zh-CN"/>
                    </w:rPr>
                  </w:pPr>
                  <w:r>
                    <w:rPr>
                      <w:rFonts w:hint="eastAsia"/>
                      <w:sz w:val="21"/>
                      <w:szCs w:val="21"/>
                      <w:lang w:eastAsia="zh-CN"/>
                    </w:rPr>
                    <w:t>（十一）推动货物运输清洁化。将清洁运输作为煤矿、钢铁、火电、水泥、有色、焦化、煤化工等行业新改扩建项目审核和监管重点。到2025年，铁路、水路货运量分别比2020年增长10%和12%左右，钢铁、煤炭、焦化、火电、有色等行业清洁运输（含新能源车）比例达到80%，建材（含砂石骨料）清洁运输比例达到60%。</w:t>
                  </w:r>
                </w:p>
              </w:tc>
              <w:tc>
                <w:tcPr>
                  <w:tcW w:w="2259" w:type="dxa"/>
                  <w:vMerge w:val="restart"/>
                  <w:noWrap w:val="0"/>
                  <w:vAlign w:val="center"/>
                </w:tcPr>
                <w:p w14:paraId="33DA64F0">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color w:val="auto"/>
                      <w:sz w:val="21"/>
                      <w:szCs w:val="21"/>
                    </w:rPr>
                    <w:t>环评要求厂内运输车辆全部达到国五及以上排放标准(含燃气）或使用新能源车辆，清洁运输方式车辆比例</w:t>
                  </w:r>
                  <w:r>
                    <w:rPr>
                      <w:rFonts w:hint="eastAsia"/>
                      <w:color w:val="auto"/>
                      <w:sz w:val="21"/>
                      <w:szCs w:val="21"/>
                      <w:lang w:val="en-US" w:eastAsia="zh-CN"/>
                    </w:rPr>
                    <w:t>达到8</w:t>
                  </w:r>
                  <w:r>
                    <w:rPr>
                      <w:rFonts w:hint="eastAsia"/>
                      <w:color w:val="auto"/>
                      <w:sz w:val="21"/>
                      <w:szCs w:val="21"/>
                    </w:rPr>
                    <w:t>0%；厂内非道路移动机械和吸排车等特种运输机械全部达到国三及以上</w:t>
                  </w:r>
                  <w:r>
                    <w:rPr>
                      <w:rFonts w:hint="eastAsia"/>
                      <w:color w:val="auto"/>
                      <w:sz w:val="21"/>
                      <w:szCs w:val="21"/>
                      <w:lang w:eastAsia="zh-CN"/>
                    </w:rPr>
                    <w:t>。</w:t>
                  </w:r>
                </w:p>
              </w:tc>
              <w:tc>
                <w:tcPr>
                  <w:tcW w:w="616" w:type="dxa"/>
                  <w:noWrap w:val="0"/>
                  <w:vAlign w:val="center"/>
                </w:tcPr>
                <w:p w14:paraId="2199939C">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sz w:val="21"/>
                      <w:szCs w:val="21"/>
                      <w:lang w:val="en-US" w:eastAsia="zh-CN"/>
                    </w:rPr>
                    <w:t>符合</w:t>
                  </w:r>
                </w:p>
              </w:tc>
            </w:tr>
            <w:tr w14:paraId="73B6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dxa"/>
                  <w:noWrap w:val="0"/>
                  <w:vAlign w:val="center"/>
                </w:tcPr>
                <w:p w14:paraId="7B652D4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sz w:val="21"/>
                      <w:szCs w:val="21"/>
                      <w:lang w:val="en-US" w:eastAsia="zh-CN"/>
                    </w:rPr>
                    <w:t>2</w:t>
                  </w:r>
                </w:p>
              </w:tc>
              <w:tc>
                <w:tcPr>
                  <w:tcW w:w="4718" w:type="dxa"/>
                  <w:noWrap w:val="0"/>
                  <w:vAlign w:val="center"/>
                </w:tcPr>
                <w:p w14:paraId="0CDA3A58">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eastAsia"/>
                      <w:sz w:val="21"/>
                      <w:szCs w:val="21"/>
                      <w:lang w:eastAsia="zh-CN"/>
                    </w:rPr>
                  </w:pPr>
                  <w:r>
                    <w:rPr>
                      <w:rFonts w:hint="eastAsia"/>
                      <w:sz w:val="21"/>
                      <w:szCs w:val="21"/>
                      <w:lang w:eastAsia="zh-CN"/>
                    </w:rPr>
                    <w:t>（十三）加快非道路移动源综合治理。实施非道路移动机械第四阶段排放标准，落实非道路移动机械排放控制区管控。加快推进铁路货场、物流园区、港口、机场、工矿企业新增或更新的作业车辆和机械新能源化。推动发展新能源和清洁能源船舶，加快港口岸电设施和船舶受电设施建设及改造，提高岸电使用率。</w:t>
                  </w:r>
                </w:p>
              </w:tc>
              <w:tc>
                <w:tcPr>
                  <w:tcW w:w="2259" w:type="dxa"/>
                  <w:vMerge w:val="continue"/>
                  <w:noWrap w:val="0"/>
                  <w:vAlign w:val="center"/>
                </w:tcPr>
                <w:p w14:paraId="054F1391">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eastAsia"/>
                      <w:sz w:val="21"/>
                      <w:szCs w:val="21"/>
                      <w:lang w:eastAsia="zh-CN"/>
                    </w:rPr>
                  </w:pPr>
                </w:p>
              </w:tc>
              <w:tc>
                <w:tcPr>
                  <w:tcW w:w="616" w:type="dxa"/>
                  <w:noWrap w:val="0"/>
                  <w:vAlign w:val="center"/>
                </w:tcPr>
                <w:p w14:paraId="0781B98F">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sz w:val="21"/>
                      <w:szCs w:val="21"/>
                      <w:lang w:val="en-US" w:eastAsia="zh-CN"/>
                    </w:rPr>
                    <w:t>符合</w:t>
                  </w:r>
                </w:p>
              </w:tc>
            </w:tr>
            <w:tr w14:paraId="507F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4" w:type="dxa"/>
                  <w:noWrap w:val="0"/>
                  <w:vAlign w:val="center"/>
                </w:tcPr>
                <w:p w14:paraId="7922779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sz w:val="21"/>
                      <w:szCs w:val="21"/>
                      <w:lang w:val="en-US" w:eastAsia="zh-CN"/>
                    </w:rPr>
                    <w:t>3</w:t>
                  </w:r>
                </w:p>
              </w:tc>
              <w:tc>
                <w:tcPr>
                  <w:tcW w:w="4718" w:type="dxa"/>
                  <w:noWrap w:val="0"/>
                  <w:vAlign w:val="center"/>
                </w:tcPr>
                <w:p w14:paraId="7F8B3675">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Helvetica" w:hAnsi="Helvetica" w:eastAsia="Helvetica" w:cs="Helvetica"/>
                      <w:i w:val="0"/>
                      <w:iCs w:val="0"/>
                      <w:caps w:val="0"/>
                      <w:color w:val="333333"/>
                      <w:spacing w:val="0"/>
                      <w:sz w:val="21"/>
                      <w:szCs w:val="21"/>
                      <w:shd w:val="clear" w:color="auto" w:fill="FFFFFF"/>
                    </w:rPr>
                  </w:pPr>
                  <w:r>
                    <w:rPr>
                      <w:rFonts w:hint="eastAsia"/>
                      <w:sz w:val="21"/>
                      <w:szCs w:val="21"/>
                      <w:lang w:eastAsia="zh-CN"/>
                    </w:rPr>
                    <w:t>（十五）加强建筑工地、道路扬尘污染和矿山综合治理。推动全省1万平方米以上规模建筑工地安装视频监控并接入监管平台，到2025年底，安装接入率达70%以上，合肥等有条件的市力争达到100%。开展道路扬尘污染治理专项行动。推动装配式建筑发展。将防治扬尘污染费用列入安全文明施工措施费等工程造价不可竞争性费用，明确施工单位扬尘污染防治责任。推动建筑业工业化、数字化、绿色化发展，提高城市道路保洁质量和效率。到2025年，装配式建筑占新建建筑面积比例40%以上，城市建成区道路机械化清扫率达90%左右，县城达70%左右。加强城市公共裸地扬尘管控，对在建工地、闲置地块等裸露土地开展排查建档，因地制宜落实抑尘措施。严格落实城市大型煤炭、矿石等干散货码头物料堆放场所主体责任，完善露天堆场防风网、喷淋装置、防尘屏障等抑尘设施建设和物料输送系统封闭改造。推动矿山综合治理，限期整改仍不达标的矿山，由矿山所在地人民政府根据安全生产、水土保持、生态环境等要求依法关闭。</w:t>
                  </w:r>
                </w:p>
              </w:tc>
              <w:tc>
                <w:tcPr>
                  <w:tcW w:w="2259" w:type="dxa"/>
                  <w:noWrap w:val="0"/>
                  <w:vAlign w:val="center"/>
                </w:tcPr>
                <w:p w14:paraId="76A32F8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color w:val="auto"/>
                      <w:sz w:val="21"/>
                      <w:szCs w:val="21"/>
                      <w:lang w:val="en-US" w:eastAsia="zh-CN"/>
                    </w:rPr>
                    <w:t>本项目不涉及施工期。</w:t>
                  </w:r>
                </w:p>
              </w:tc>
              <w:tc>
                <w:tcPr>
                  <w:tcW w:w="616" w:type="dxa"/>
                  <w:noWrap w:val="0"/>
                  <w:vAlign w:val="center"/>
                </w:tcPr>
                <w:p w14:paraId="3A338D9D">
                  <w:pPr>
                    <w:pStyle w:val="2"/>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sz w:val="21"/>
                      <w:szCs w:val="21"/>
                      <w:lang w:val="en-US" w:eastAsia="zh-CN"/>
                    </w:rPr>
                  </w:pPr>
                  <w:r>
                    <w:rPr>
                      <w:rFonts w:hint="eastAsia"/>
                      <w:sz w:val="21"/>
                      <w:szCs w:val="21"/>
                      <w:lang w:val="en-US" w:eastAsia="zh-CN"/>
                    </w:rPr>
                    <w:t>符合</w:t>
                  </w:r>
                </w:p>
              </w:tc>
            </w:tr>
          </w:tbl>
          <w:p w14:paraId="0A04E94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w:t>
            </w:r>
            <w:r>
              <w:rPr>
                <w:rFonts w:hint="eastAsia" w:cs="Times New Roman"/>
                <w:b/>
                <w:bCs/>
                <w:sz w:val="24"/>
                <w:szCs w:val="24"/>
                <w:lang w:val="en-US" w:eastAsia="zh-CN"/>
              </w:rPr>
              <w:t>4</w:t>
            </w:r>
            <w:r>
              <w:rPr>
                <w:rFonts w:hint="eastAsia" w:ascii="Times New Roman" w:hAnsi="Times New Roman" w:eastAsia="宋体" w:cs="Times New Roman"/>
                <w:b/>
                <w:bCs/>
                <w:sz w:val="24"/>
                <w:szCs w:val="24"/>
                <w:lang w:val="en-US" w:eastAsia="zh-CN"/>
              </w:rPr>
              <w:t>）与《淮北市生态环境保护“十四五”规划》的通知（淮环〔2022〕1号）相符性分析</w:t>
            </w:r>
          </w:p>
          <w:p w14:paraId="0769B66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center"/>
              <w:textAlignment w:val="auto"/>
              <w:rPr>
                <w:rFonts w:hint="eastAsia" w:cs="宋体"/>
                <w:b/>
                <w:bCs/>
                <w:color w:val="000000"/>
                <w:sz w:val="24"/>
                <w:szCs w:val="24"/>
                <w:lang w:val="en-US" w:eastAsia="zh-CN"/>
              </w:rPr>
            </w:pPr>
            <w:r>
              <w:rPr>
                <w:rFonts w:hint="eastAsia" w:cs="宋体"/>
                <w:b/>
                <w:bCs/>
                <w:color w:val="000000"/>
                <w:sz w:val="24"/>
                <w:szCs w:val="24"/>
                <w:lang w:val="en-US" w:eastAsia="zh-CN"/>
              </w:rPr>
              <w:t>表1-7  与（淮环〔2022〕1号）文件相符性分析</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005"/>
              <w:gridCol w:w="2894"/>
              <w:gridCol w:w="649"/>
            </w:tblGrid>
            <w:tr w14:paraId="2B2E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7856EA1D">
                  <w:pPr>
                    <w:keepNext w:val="0"/>
                    <w:keepLines w:val="0"/>
                    <w:suppressLineNumbers w:val="0"/>
                    <w:spacing w:before="0" w:beforeAutospacing="0" w:after="0" w:afterAutospacing="0" w:line="240" w:lineRule="auto"/>
                    <w:ind w:left="0" w:right="0" w:firstLine="0" w:firstLineChars="0"/>
                    <w:jc w:val="center"/>
                    <w:rPr>
                      <w:rFonts w:hint="default"/>
                      <w:b/>
                      <w:bCs/>
                      <w:color w:val="auto"/>
                      <w:sz w:val="21"/>
                      <w:szCs w:val="21"/>
                    </w:rPr>
                  </w:pPr>
                  <w:r>
                    <w:rPr>
                      <w:rFonts w:hint="eastAsia"/>
                      <w:b/>
                      <w:bCs/>
                      <w:color w:val="auto"/>
                      <w:sz w:val="21"/>
                      <w:szCs w:val="21"/>
                    </w:rPr>
                    <w:t>序号</w:t>
                  </w:r>
                </w:p>
              </w:tc>
              <w:tc>
                <w:tcPr>
                  <w:tcW w:w="4005" w:type="dxa"/>
                  <w:vAlign w:val="center"/>
                </w:tcPr>
                <w:p w14:paraId="447A149F">
                  <w:pPr>
                    <w:keepNext w:val="0"/>
                    <w:keepLines w:val="0"/>
                    <w:suppressLineNumbers w:val="0"/>
                    <w:spacing w:before="0" w:beforeAutospacing="0" w:after="0" w:afterAutospacing="0" w:line="240" w:lineRule="auto"/>
                    <w:ind w:left="0" w:right="0" w:firstLine="0" w:firstLineChars="0"/>
                    <w:jc w:val="center"/>
                    <w:rPr>
                      <w:rFonts w:hint="default"/>
                      <w:b/>
                      <w:bCs/>
                      <w:color w:val="auto"/>
                      <w:sz w:val="21"/>
                      <w:szCs w:val="21"/>
                    </w:rPr>
                  </w:pPr>
                  <w:r>
                    <w:rPr>
                      <w:rFonts w:hint="eastAsia"/>
                      <w:b/>
                      <w:bCs/>
                      <w:color w:val="auto"/>
                      <w:sz w:val="21"/>
                      <w:szCs w:val="21"/>
                    </w:rPr>
                    <w:t>淮环〔2022〕1号</w:t>
                  </w:r>
                </w:p>
              </w:tc>
              <w:tc>
                <w:tcPr>
                  <w:tcW w:w="2894" w:type="dxa"/>
                  <w:vAlign w:val="center"/>
                </w:tcPr>
                <w:p w14:paraId="601EF89E">
                  <w:pPr>
                    <w:keepNext w:val="0"/>
                    <w:keepLines w:val="0"/>
                    <w:suppressLineNumbers w:val="0"/>
                    <w:spacing w:before="0" w:beforeAutospacing="0" w:after="0" w:afterAutospacing="0" w:line="240" w:lineRule="auto"/>
                    <w:ind w:left="0" w:right="0" w:firstLine="0" w:firstLineChars="0"/>
                    <w:jc w:val="center"/>
                    <w:rPr>
                      <w:rFonts w:hint="default"/>
                      <w:b/>
                      <w:bCs/>
                      <w:color w:val="auto"/>
                      <w:sz w:val="21"/>
                      <w:szCs w:val="21"/>
                    </w:rPr>
                  </w:pPr>
                  <w:r>
                    <w:rPr>
                      <w:rFonts w:hint="eastAsia"/>
                      <w:b/>
                      <w:bCs/>
                      <w:color w:val="auto"/>
                      <w:sz w:val="21"/>
                      <w:szCs w:val="21"/>
                    </w:rPr>
                    <w:t>本项目情况</w:t>
                  </w:r>
                </w:p>
              </w:tc>
              <w:tc>
                <w:tcPr>
                  <w:tcW w:w="649" w:type="dxa"/>
                  <w:vAlign w:val="center"/>
                </w:tcPr>
                <w:p w14:paraId="560CC347">
                  <w:pPr>
                    <w:keepNext w:val="0"/>
                    <w:keepLines w:val="0"/>
                    <w:suppressLineNumbers w:val="0"/>
                    <w:spacing w:before="0" w:beforeAutospacing="0" w:after="0" w:afterAutospacing="0" w:line="240" w:lineRule="auto"/>
                    <w:ind w:left="0" w:right="0" w:firstLine="0" w:firstLineChars="0"/>
                    <w:jc w:val="center"/>
                    <w:rPr>
                      <w:rFonts w:hint="default"/>
                      <w:b/>
                      <w:bCs/>
                      <w:color w:val="auto"/>
                      <w:sz w:val="21"/>
                      <w:szCs w:val="21"/>
                    </w:rPr>
                  </w:pPr>
                  <w:r>
                    <w:rPr>
                      <w:rFonts w:hint="eastAsia" w:cs="宋体"/>
                      <w:b/>
                      <w:bCs/>
                      <w:color w:val="auto"/>
                      <w:sz w:val="21"/>
                      <w:szCs w:val="21"/>
                    </w:rPr>
                    <w:t>结论</w:t>
                  </w:r>
                </w:p>
              </w:tc>
            </w:tr>
            <w:tr w14:paraId="1642A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0" w:type="dxa"/>
                  <w:gridSpan w:val="4"/>
                  <w:vAlign w:val="center"/>
                </w:tcPr>
                <w:p w14:paraId="058B9AF1">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1.深入打好蓝天碧水净土保卫战</w:t>
                  </w:r>
                </w:p>
              </w:tc>
            </w:tr>
            <w:tr w14:paraId="2B9F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48042611">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1</w:t>
                  </w:r>
                </w:p>
              </w:tc>
              <w:tc>
                <w:tcPr>
                  <w:tcW w:w="4005" w:type="dxa"/>
                  <w:vAlign w:val="center"/>
                </w:tcPr>
                <w:p w14:paraId="7FC9ECB8">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协同推进，持续改善环境空气质量。以降低PM</w:t>
                  </w:r>
                  <w:r>
                    <w:rPr>
                      <w:rFonts w:hint="eastAsia"/>
                      <w:color w:val="auto"/>
                      <w:sz w:val="21"/>
                      <w:szCs w:val="21"/>
                      <w:vertAlign w:val="subscript"/>
                    </w:rPr>
                    <w:t>2.5</w:t>
                  </w:r>
                  <w:r>
                    <w:rPr>
                      <w:rFonts w:hint="eastAsia"/>
                      <w:color w:val="auto"/>
                      <w:sz w:val="21"/>
                      <w:szCs w:val="21"/>
                    </w:rPr>
                    <w:t>污染为环境空气质量改善的核心目标，推动O</w:t>
                  </w:r>
                  <w:r>
                    <w:rPr>
                      <w:rFonts w:hint="eastAsia"/>
                      <w:color w:val="auto"/>
                      <w:sz w:val="21"/>
                      <w:szCs w:val="21"/>
                      <w:vertAlign w:val="subscript"/>
                    </w:rPr>
                    <w:t>3</w:t>
                  </w:r>
                  <w:r>
                    <w:rPr>
                      <w:rFonts w:hint="eastAsia"/>
                      <w:color w:val="auto"/>
                      <w:sz w:val="21"/>
                      <w:szCs w:val="21"/>
                    </w:rPr>
                    <w:t>污染的协同控制，以质量改善目标引领大气污染防治布局，采取多种手段推动环境空气质量持续改善</w:t>
                  </w:r>
                </w:p>
              </w:tc>
              <w:tc>
                <w:tcPr>
                  <w:tcW w:w="2894" w:type="dxa"/>
                  <w:vAlign w:val="center"/>
                </w:tcPr>
                <w:p w14:paraId="4F7E2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color w:val="auto"/>
                      <w:sz w:val="21"/>
                      <w:szCs w:val="21"/>
                      <w:lang w:val="en-US" w:eastAsia="zh-CN"/>
                    </w:rPr>
                  </w:pPr>
                  <w:r>
                    <w:rPr>
                      <w:rFonts w:hint="eastAsia"/>
                      <w:color w:val="auto"/>
                      <w:sz w:val="21"/>
                      <w:szCs w:val="21"/>
                      <w:lang w:val="en-US" w:eastAsia="zh-CN"/>
                    </w:rPr>
                    <w:t>生产线粉尘采取布袋除尘器处理达标后通过15m排气筒排放</w:t>
                  </w:r>
                </w:p>
                <w:p w14:paraId="418CD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eastAsia="宋体"/>
                      <w:color w:val="auto"/>
                      <w:sz w:val="21"/>
                      <w:szCs w:val="21"/>
                      <w:lang w:val="en-US" w:eastAsia="zh-CN"/>
                    </w:rPr>
                  </w:pPr>
                </w:p>
              </w:tc>
              <w:tc>
                <w:tcPr>
                  <w:tcW w:w="649" w:type="dxa"/>
                  <w:vAlign w:val="center"/>
                </w:tcPr>
                <w:p w14:paraId="2FE257E3">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符合</w:t>
                  </w:r>
                </w:p>
              </w:tc>
            </w:tr>
            <w:tr w14:paraId="3492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1EE1D968">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2</w:t>
                  </w:r>
                </w:p>
              </w:tc>
              <w:tc>
                <w:tcPr>
                  <w:tcW w:w="4005" w:type="dxa"/>
                  <w:vAlign w:val="center"/>
                </w:tcPr>
                <w:p w14:paraId="700CBC62">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推进移动源污染防治。推进重型柴油车远程排放在线监管，基本消除柴油货车和工程机械冒黑烟现象，基本完成非道路移动机械编码登记和上牌，推广使用新能源和清洁能源非道路移动机械</w:t>
                  </w:r>
                </w:p>
              </w:tc>
              <w:tc>
                <w:tcPr>
                  <w:tcW w:w="2894" w:type="dxa"/>
                  <w:vAlign w:val="center"/>
                </w:tcPr>
                <w:p w14:paraId="1B13DE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olor w:val="auto"/>
                      <w:kern w:val="0"/>
                      <w:sz w:val="21"/>
                      <w:szCs w:val="21"/>
                    </w:rPr>
                  </w:pPr>
                  <w:r>
                    <w:rPr>
                      <w:rFonts w:hint="eastAsia"/>
                      <w:color w:val="auto"/>
                      <w:sz w:val="21"/>
                      <w:szCs w:val="21"/>
                    </w:rPr>
                    <w:t>本项目运输全部使用清洁运输车辆（电动和氢能）。且厂区内使用车辆均符合《非道路移动机械管控要求》</w:t>
                  </w:r>
                </w:p>
              </w:tc>
              <w:tc>
                <w:tcPr>
                  <w:tcW w:w="649" w:type="dxa"/>
                  <w:vAlign w:val="center"/>
                </w:tcPr>
                <w:p w14:paraId="12288C25">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符合</w:t>
                  </w:r>
                </w:p>
              </w:tc>
            </w:tr>
            <w:tr w14:paraId="6F03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5768ECC7">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3</w:t>
                  </w:r>
                </w:p>
              </w:tc>
              <w:tc>
                <w:tcPr>
                  <w:tcW w:w="4005" w:type="dxa"/>
                  <w:vAlign w:val="center"/>
                </w:tcPr>
                <w:p w14:paraId="30D3921D">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强化面源污染治理。加强施工扬尘综合治理，严格落实“六个百分之百”扬尘防控长效机制</w:t>
                  </w:r>
                </w:p>
              </w:tc>
              <w:tc>
                <w:tcPr>
                  <w:tcW w:w="2894" w:type="dxa"/>
                  <w:vAlign w:val="center"/>
                </w:tcPr>
                <w:p w14:paraId="3EECA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s="宋体"/>
                      <w:color w:val="auto"/>
                      <w:sz w:val="21"/>
                      <w:szCs w:val="21"/>
                    </w:rPr>
                  </w:pPr>
                  <w:r>
                    <w:rPr>
                      <w:rFonts w:hint="eastAsia" w:cs="宋体"/>
                      <w:color w:val="auto"/>
                      <w:sz w:val="21"/>
                      <w:szCs w:val="21"/>
                    </w:rPr>
                    <w:t>本项目</w:t>
                  </w:r>
                  <w:r>
                    <w:rPr>
                      <w:rFonts w:hint="eastAsia" w:cs="宋体"/>
                      <w:color w:val="auto"/>
                      <w:sz w:val="21"/>
                      <w:szCs w:val="21"/>
                      <w:lang w:val="en-US" w:eastAsia="zh-CN"/>
                    </w:rPr>
                    <w:t>不涉及</w:t>
                  </w:r>
                  <w:r>
                    <w:rPr>
                      <w:rFonts w:hint="eastAsia" w:cs="宋体"/>
                      <w:color w:val="auto"/>
                      <w:sz w:val="21"/>
                      <w:szCs w:val="21"/>
                    </w:rPr>
                    <w:t>施工期</w:t>
                  </w:r>
                </w:p>
              </w:tc>
              <w:tc>
                <w:tcPr>
                  <w:tcW w:w="649" w:type="dxa"/>
                  <w:vAlign w:val="center"/>
                </w:tcPr>
                <w:p w14:paraId="0EA1F637">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符合</w:t>
                  </w:r>
                </w:p>
              </w:tc>
            </w:tr>
            <w:tr w14:paraId="51BD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0" w:type="dxa"/>
                  <w:gridSpan w:val="4"/>
                  <w:vAlign w:val="center"/>
                </w:tcPr>
                <w:p w14:paraId="1099F959">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2.完善环境风险防控管理体系</w:t>
                  </w:r>
                </w:p>
              </w:tc>
            </w:tr>
            <w:tr w14:paraId="4BDC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114003D1">
                  <w:pPr>
                    <w:pStyle w:val="27"/>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1</w:t>
                  </w:r>
                </w:p>
              </w:tc>
              <w:tc>
                <w:tcPr>
                  <w:tcW w:w="4005" w:type="dxa"/>
                  <w:vAlign w:val="center"/>
                </w:tcPr>
                <w:p w14:paraId="7CCF47E6">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推进风险全过程监管。强化企业环境风险主体责任，督促企业开展环境风险隐患排查并建立档案。抓好重点行业企业和重点区域的环境风险评估工作，实施环境风险分级管理，持续推进企业、园区、行政区域的三级防控体系</w:t>
                  </w:r>
                </w:p>
              </w:tc>
              <w:tc>
                <w:tcPr>
                  <w:tcW w:w="2894" w:type="dxa"/>
                  <w:vAlign w:val="center"/>
                </w:tcPr>
                <w:p w14:paraId="49966D85">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default"/>
                      <w:color w:val="auto"/>
                      <w:sz w:val="21"/>
                      <w:szCs w:val="21"/>
                      <w:lang w:bidi="ar"/>
                    </w:rPr>
                    <w:t>本项目将加强厂区内的环境风险防范措施</w:t>
                  </w:r>
                </w:p>
              </w:tc>
              <w:tc>
                <w:tcPr>
                  <w:tcW w:w="649" w:type="dxa"/>
                  <w:vAlign w:val="center"/>
                </w:tcPr>
                <w:p w14:paraId="79AD41A8">
                  <w:pPr>
                    <w:pStyle w:val="27"/>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符合</w:t>
                  </w:r>
                </w:p>
              </w:tc>
            </w:tr>
            <w:tr w14:paraId="36C7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75909336">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default"/>
                      <w:color w:val="auto"/>
                      <w:sz w:val="21"/>
                      <w:szCs w:val="21"/>
                    </w:rPr>
                    <w:t>2</w:t>
                  </w:r>
                </w:p>
              </w:tc>
              <w:tc>
                <w:tcPr>
                  <w:tcW w:w="4005" w:type="dxa"/>
                  <w:vAlign w:val="center"/>
                </w:tcPr>
                <w:p w14:paraId="279B37DE">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强化应急防范处置能力。加强环境风险信息化管理，完善环境风险源、环境敏感目标、环境应急能力及环境应急预案等数据库，健全应急指挥决策支持系统，提升环境应急信息化水平</w:t>
                  </w:r>
                </w:p>
              </w:tc>
              <w:tc>
                <w:tcPr>
                  <w:tcW w:w="2894" w:type="dxa"/>
                  <w:vAlign w:val="center"/>
                </w:tcPr>
                <w:p w14:paraId="2D248E8C">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default"/>
                      <w:color w:val="auto"/>
                      <w:sz w:val="21"/>
                      <w:szCs w:val="21"/>
                      <w:lang w:bidi="ar"/>
                    </w:rPr>
                    <w:t>本项目完善环境风险源、环境敏感目标、环境应急能力及环境应急预案等数据库，</w:t>
                  </w:r>
                  <w:r>
                    <w:rPr>
                      <w:rFonts w:hint="eastAsia"/>
                      <w:color w:val="auto"/>
                      <w:sz w:val="21"/>
                      <w:szCs w:val="21"/>
                      <w:lang w:bidi="ar"/>
                    </w:rPr>
                    <w:t>且</w:t>
                  </w:r>
                  <w:r>
                    <w:rPr>
                      <w:rFonts w:hint="default"/>
                      <w:color w:val="auto"/>
                      <w:sz w:val="21"/>
                      <w:szCs w:val="21"/>
                      <w:lang w:bidi="ar"/>
                    </w:rPr>
                    <w:t>加强厂区内的环境风险防范措施</w:t>
                  </w:r>
                </w:p>
              </w:tc>
              <w:tc>
                <w:tcPr>
                  <w:tcW w:w="649" w:type="dxa"/>
                  <w:vAlign w:val="center"/>
                </w:tcPr>
                <w:p w14:paraId="531C69F4">
                  <w:pPr>
                    <w:pStyle w:val="27"/>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符合</w:t>
                  </w:r>
                </w:p>
              </w:tc>
            </w:tr>
            <w:tr w14:paraId="29CF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0" w:type="dxa"/>
                  <w:gridSpan w:val="4"/>
                  <w:vAlign w:val="center"/>
                </w:tcPr>
                <w:p w14:paraId="7F49F4CE">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olor w:val="auto"/>
                      <w:sz w:val="21"/>
                      <w:szCs w:val="21"/>
                    </w:rPr>
                    <w:t>3.加强风险源管理和重点行业风险防控</w:t>
                  </w:r>
                </w:p>
              </w:tc>
            </w:tr>
            <w:tr w14:paraId="326C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157AC82C">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1</w:t>
                  </w:r>
                </w:p>
              </w:tc>
              <w:tc>
                <w:tcPr>
                  <w:tcW w:w="4005" w:type="dxa"/>
                  <w:vAlign w:val="center"/>
                </w:tcPr>
                <w:p w14:paraId="06F07023">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加强环境风险源管理。加强环境风险源分类管控，重点加强危险化学品、危险废物、含重金属、放射源等环境风险源监控</w:t>
                  </w:r>
                </w:p>
              </w:tc>
              <w:tc>
                <w:tcPr>
                  <w:tcW w:w="2894" w:type="dxa"/>
                  <w:vAlign w:val="center"/>
                </w:tcPr>
                <w:p w14:paraId="201C036B">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本项目设置危废转移联单，加强建设单位与危废处置单位之间的管控，降低环境风险</w:t>
                  </w:r>
                </w:p>
              </w:tc>
              <w:tc>
                <w:tcPr>
                  <w:tcW w:w="649" w:type="dxa"/>
                  <w:vAlign w:val="center"/>
                </w:tcPr>
                <w:p w14:paraId="5CC53439">
                  <w:pPr>
                    <w:pStyle w:val="27"/>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符合</w:t>
                  </w:r>
                </w:p>
              </w:tc>
            </w:tr>
            <w:tr w14:paraId="0B5D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51AFFE4B">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2</w:t>
                  </w:r>
                </w:p>
              </w:tc>
              <w:tc>
                <w:tcPr>
                  <w:tcW w:w="4005" w:type="dxa"/>
                  <w:vAlign w:val="center"/>
                </w:tcPr>
                <w:p w14:paraId="53A6781C">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防控重点行业环境风险。加强对危废处置企业环境风险管控，强化贮存、运输、处置的环境监管</w:t>
                  </w:r>
                </w:p>
              </w:tc>
              <w:tc>
                <w:tcPr>
                  <w:tcW w:w="2894" w:type="dxa"/>
                  <w:vAlign w:val="center"/>
                </w:tcPr>
                <w:p w14:paraId="36527F28">
                  <w:pPr>
                    <w:keepNext w:val="0"/>
                    <w:keepLines w:val="0"/>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本项目不属石油、化工等防控重点行业，项目设置危废转移联单，加强与危废处置单位之间的管控，降低环境风险</w:t>
                  </w:r>
                </w:p>
              </w:tc>
              <w:tc>
                <w:tcPr>
                  <w:tcW w:w="649" w:type="dxa"/>
                  <w:vAlign w:val="center"/>
                </w:tcPr>
                <w:p w14:paraId="5542B4E7">
                  <w:pPr>
                    <w:pStyle w:val="27"/>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符合</w:t>
                  </w:r>
                </w:p>
              </w:tc>
            </w:tr>
            <w:tr w14:paraId="3DC26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0" w:type="dxa"/>
                  <w:gridSpan w:val="4"/>
                  <w:vAlign w:val="center"/>
                </w:tcPr>
                <w:p w14:paraId="4DB33B74">
                  <w:pPr>
                    <w:keepNext w:val="0"/>
                    <w:keepLines w:val="0"/>
                    <w:widowControl/>
                    <w:suppressLineNumbers w:val="0"/>
                    <w:spacing w:before="0" w:beforeAutospacing="0" w:after="0" w:afterAutospacing="0" w:line="240" w:lineRule="auto"/>
                    <w:ind w:left="0" w:right="0" w:firstLine="0" w:firstLineChars="0"/>
                    <w:jc w:val="left"/>
                    <w:rPr>
                      <w:rFonts w:hint="default"/>
                      <w:color w:val="auto"/>
                      <w:sz w:val="21"/>
                      <w:szCs w:val="21"/>
                    </w:rPr>
                  </w:pPr>
                  <w:r>
                    <w:rPr>
                      <w:rFonts w:hint="eastAsia"/>
                      <w:color w:val="auto"/>
                      <w:sz w:val="21"/>
                      <w:szCs w:val="21"/>
                    </w:rPr>
                    <w:t>4.强化固体废物安全处理处置</w:t>
                  </w:r>
                </w:p>
              </w:tc>
            </w:tr>
            <w:tr w14:paraId="6A1F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34890835">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1</w:t>
                  </w:r>
                </w:p>
              </w:tc>
              <w:tc>
                <w:tcPr>
                  <w:tcW w:w="4005" w:type="dxa"/>
                  <w:vAlign w:val="center"/>
                </w:tcPr>
                <w:p w14:paraId="31316DEF">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推进工业固废资源化利用。大力推进重点工业企业清洁生产，通过技术改造、降低能耗和原材料消耗，从生产工艺、装备、资源和能源使用角度提出清洁生产方案，实现工业固体废物的减量</w:t>
                  </w:r>
                </w:p>
              </w:tc>
              <w:tc>
                <w:tcPr>
                  <w:tcW w:w="2894" w:type="dxa"/>
                  <w:vAlign w:val="center"/>
                </w:tcPr>
                <w:p w14:paraId="7F4EBE6A">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本项目生产工艺采用先进的生产工艺、装备、资源和能源进行清洁生产，可有效减少固体废物的产生量</w:t>
                  </w:r>
                </w:p>
              </w:tc>
              <w:tc>
                <w:tcPr>
                  <w:tcW w:w="649" w:type="dxa"/>
                  <w:vAlign w:val="center"/>
                </w:tcPr>
                <w:p w14:paraId="43C84509">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olor w:val="auto"/>
                      <w:sz w:val="21"/>
                      <w:szCs w:val="21"/>
                    </w:rPr>
                    <w:t>符合</w:t>
                  </w:r>
                </w:p>
              </w:tc>
            </w:tr>
            <w:tr w14:paraId="7D7A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52" w:type="dxa"/>
                  <w:vAlign w:val="center"/>
                </w:tcPr>
                <w:p w14:paraId="6A908DB0">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2</w:t>
                  </w:r>
                </w:p>
              </w:tc>
              <w:tc>
                <w:tcPr>
                  <w:tcW w:w="4005" w:type="dxa"/>
                  <w:vAlign w:val="center"/>
                </w:tcPr>
                <w:p w14:paraId="24B72DA0">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加强危险废物安全处置。加快实施危险废物处置工程，提升危险废物安全处置能力。实施危险废物转移联单管理，采取密封、防水等措施防止收集运输过程造成环境污染</w:t>
                  </w:r>
                </w:p>
              </w:tc>
              <w:tc>
                <w:tcPr>
                  <w:tcW w:w="2894" w:type="dxa"/>
                  <w:vAlign w:val="center"/>
                </w:tcPr>
                <w:p w14:paraId="5C44091C">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本项目产生的危险废物暂存于符合要求的</w:t>
                  </w:r>
                  <w:r>
                    <w:rPr>
                      <w:rFonts w:hint="eastAsia" w:cs="宋体"/>
                      <w:color w:val="auto"/>
                      <w:sz w:val="21"/>
                      <w:szCs w:val="21"/>
                      <w:lang w:val="en-US" w:eastAsia="zh-CN"/>
                    </w:rPr>
                    <w:t>危险废物贮存点</w:t>
                  </w:r>
                  <w:r>
                    <w:rPr>
                      <w:rFonts w:hint="eastAsia" w:cs="宋体"/>
                      <w:color w:val="auto"/>
                      <w:sz w:val="21"/>
                      <w:szCs w:val="21"/>
                    </w:rPr>
                    <w:t>内，定期交由有资质的单位处置，杜绝危险废物混入一般工业固体废物或生活垃圾。设置危废管理台账及危废转移联单防范环境污染风险</w:t>
                  </w:r>
                </w:p>
              </w:tc>
              <w:tc>
                <w:tcPr>
                  <w:tcW w:w="649" w:type="dxa"/>
                  <w:vAlign w:val="center"/>
                </w:tcPr>
                <w:p w14:paraId="7A47DCCE">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olor w:val="auto"/>
                      <w:sz w:val="21"/>
                      <w:szCs w:val="21"/>
                    </w:rPr>
                    <w:t>符合</w:t>
                  </w:r>
                </w:p>
              </w:tc>
            </w:tr>
            <w:tr w14:paraId="25F9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2" w:type="dxa"/>
                  <w:vAlign w:val="center"/>
                </w:tcPr>
                <w:p w14:paraId="70F32A8C">
                  <w:pPr>
                    <w:keepNext w:val="0"/>
                    <w:keepLines w:val="0"/>
                    <w:suppressLineNumbers w:val="0"/>
                    <w:spacing w:before="0" w:beforeAutospacing="0" w:after="0" w:afterAutospacing="0" w:line="240" w:lineRule="auto"/>
                    <w:ind w:left="0" w:right="0" w:firstLine="0" w:firstLineChars="0"/>
                    <w:jc w:val="center"/>
                    <w:rPr>
                      <w:rFonts w:hint="default"/>
                      <w:color w:val="auto"/>
                      <w:sz w:val="21"/>
                      <w:szCs w:val="21"/>
                    </w:rPr>
                  </w:pPr>
                  <w:r>
                    <w:rPr>
                      <w:rFonts w:hint="eastAsia"/>
                      <w:color w:val="auto"/>
                      <w:sz w:val="21"/>
                      <w:szCs w:val="21"/>
                    </w:rPr>
                    <w:t>3</w:t>
                  </w:r>
                </w:p>
              </w:tc>
              <w:tc>
                <w:tcPr>
                  <w:tcW w:w="4005" w:type="dxa"/>
                  <w:vAlign w:val="center"/>
                </w:tcPr>
                <w:p w14:paraId="75C7E537">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加强生活垃圾综合处理。深入实施城市生活垃圾分类，提高垃圾处理减量化、资源化和无害化水平，积极创建“无废城市”</w:t>
                  </w:r>
                </w:p>
              </w:tc>
              <w:tc>
                <w:tcPr>
                  <w:tcW w:w="2894" w:type="dxa"/>
                  <w:vAlign w:val="center"/>
                </w:tcPr>
                <w:p w14:paraId="7BDBD3AA">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s="宋体"/>
                      <w:color w:val="auto"/>
                      <w:sz w:val="21"/>
                      <w:szCs w:val="21"/>
                    </w:rPr>
                    <w:t>本项目生活垃圾经</w:t>
                  </w:r>
                  <w:r>
                    <w:rPr>
                      <w:rFonts w:hint="default"/>
                      <w:color w:val="auto"/>
                      <w:sz w:val="21"/>
                      <w:szCs w:val="21"/>
                    </w:rPr>
                    <w:t>生活垃圾</w:t>
                  </w:r>
                  <w:r>
                    <w:rPr>
                      <w:rFonts w:hint="eastAsia"/>
                      <w:color w:val="auto"/>
                      <w:sz w:val="21"/>
                      <w:szCs w:val="21"/>
                    </w:rPr>
                    <w:t>桶</w:t>
                  </w:r>
                  <w:r>
                    <w:rPr>
                      <w:rFonts w:hint="default"/>
                      <w:color w:val="auto"/>
                      <w:sz w:val="21"/>
                      <w:szCs w:val="21"/>
                    </w:rPr>
                    <w:t>收集后由环卫部门统一清运处理</w:t>
                  </w:r>
                  <w:r>
                    <w:rPr>
                      <w:rFonts w:hint="eastAsia"/>
                      <w:color w:val="auto"/>
                      <w:sz w:val="21"/>
                      <w:szCs w:val="21"/>
                    </w:rPr>
                    <w:t>，只在厂内暂存</w:t>
                  </w:r>
                </w:p>
              </w:tc>
              <w:tc>
                <w:tcPr>
                  <w:tcW w:w="649" w:type="dxa"/>
                  <w:vAlign w:val="center"/>
                </w:tcPr>
                <w:p w14:paraId="521BC332">
                  <w:pPr>
                    <w:keepNext w:val="0"/>
                    <w:keepLines w:val="0"/>
                    <w:widowControl/>
                    <w:suppressLineNumbers w:val="0"/>
                    <w:spacing w:before="0" w:beforeAutospacing="0" w:after="0" w:afterAutospacing="0" w:line="240" w:lineRule="auto"/>
                    <w:ind w:left="0" w:right="0" w:firstLine="0" w:firstLineChars="0"/>
                    <w:jc w:val="left"/>
                    <w:rPr>
                      <w:rFonts w:hint="default" w:cs="宋体"/>
                      <w:color w:val="auto"/>
                      <w:sz w:val="21"/>
                      <w:szCs w:val="21"/>
                    </w:rPr>
                  </w:pPr>
                  <w:r>
                    <w:rPr>
                      <w:rFonts w:hint="eastAsia"/>
                      <w:color w:val="auto"/>
                      <w:sz w:val="21"/>
                      <w:szCs w:val="21"/>
                    </w:rPr>
                    <w:t>符合</w:t>
                  </w:r>
                </w:p>
              </w:tc>
            </w:tr>
          </w:tbl>
          <w:p w14:paraId="6324BC7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（5）与《安徽省“两高”项目管理目录（试行）》相符性分析</w:t>
            </w:r>
          </w:p>
          <w:p w14:paraId="205A6AA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sz w:val="24"/>
                <w:szCs w:val="24"/>
                <w:lang w:val="en-US" w:eastAsia="zh-CN"/>
              </w:rPr>
            </w:pPr>
            <w:r>
              <w:rPr>
                <w:rFonts w:hint="eastAsia" w:cs="宋体"/>
                <w:b/>
                <w:bCs/>
                <w:color w:val="000000"/>
                <w:sz w:val="24"/>
                <w:szCs w:val="24"/>
                <w:lang w:val="en-US" w:eastAsia="zh-CN"/>
              </w:rPr>
              <w:t xml:space="preserve">表1-8 </w:t>
            </w:r>
            <w:r>
              <w:rPr>
                <w:rFonts w:hint="eastAsia" w:ascii="Times New Roman" w:hAnsi="Times New Roman" w:eastAsia="宋体" w:cs="Times New Roman"/>
                <w:b/>
                <w:bCs/>
                <w:sz w:val="24"/>
                <w:szCs w:val="24"/>
                <w:lang w:val="en-US" w:eastAsia="zh-CN"/>
              </w:rPr>
              <w:t>与《安徽省“两高”项目管理目录（试行）》相符性分析</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53"/>
              <w:gridCol w:w="837"/>
              <w:gridCol w:w="2092"/>
              <w:gridCol w:w="1088"/>
              <w:gridCol w:w="3432"/>
            </w:tblGrid>
            <w:tr w14:paraId="2F68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585D3D8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序号</w:t>
                  </w:r>
                </w:p>
              </w:tc>
              <w:tc>
                <w:tcPr>
                  <w:tcW w:w="500" w:type="pct"/>
                  <w:shd w:val="clear" w:color="auto" w:fill="auto"/>
                  <w:tcMar>
                    <w:left w:w="108" w:type="dxa"/>
                    <w:right w:w="108" w:type="dxa"/>
                  </w:tcMar>
                  <w:vAlign w:val="center"/>
                </w:tcPr>
                <w:p w14:paraId="7BE1130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行业</w:t>
                  </w:r>
                </w:p>
              </w:tc>
              <w:tc>
                <w:tcPr>
                  <w:tcW w:w="1250" w:type="pct"/>
                  <w:shd w:val="clear" w:color="auto" w:fill="auto"/>
                  <w:tcMar>
                    <w:left w:w="108" w:type="dxa"/>
                    <w:right w:w="108" w:type="dxa"/>
                  </w:tcMar>
                  <w:vAlign w:val="center"/>
                </w:tcPr>
                <w:p w14:paraId="3DA00C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国民经济行业分类名称</w:t>
                  </w:r>
                </w:p>
              </w:tc>
              <w:tc>
                <w:tcPr>
                  <w:tcW w:w="650" w:type="pct"/>
                  <w:shd w:val="clear" w:color="auto" w:fill="auto"/>
                  <w:tcMar>
                    <w:left w:w="108" w:type="dxa"/>
                    <w:right w:w="108" w:type="dxa"/>
                  </w:tcMar>
                  <w:vAlign w:val="center"/>
                </w:tcPr>
                <w:p w14:paraId="11B14DB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行业小类代码</w:t>
                  </w:r>
                </w:p>
              </w:tc>
              <w:tc>
                <w:tcPr>
                  <w:tcW w:w="2050" w:type="pct"/>
                  <w:shd w:val="clear" w:color="auto" w:fill="auto"/>
                  <w:tcMar>
                    <w:left w:w="108" w:type="dxa"/>
                    <w:right w:w="108" w:type="dxa"/>
                  </w:tcMar>
                  <w:vAlign w:val="center"/>
                </w:tcPr>
                <w:p w14:paraId="310FC52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包含内容</w:t>
                  </w:r>
                </w:p>
              </w:tc>
            </w:tr>
            <w:tr w14:paraId="64B7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5E66765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w:t>
                  </w:r>
                </w:p>
              </w:tc>
              <w:tc>
                <w:tcPr>
                  <w:tcW w:w="500" w:type="pct"/>
                  <w:shd w:val="clear" w:color="auto" w:fill="auto"/>
                  <w:tcMar>
                    <w:left w:w="108" w:type="dxa"/>
                    <w:right w:w="108" w:type="dxa"/>
                  </w:tcMar>
                  <w:vAlign w:val="center"/>
                </w:tcPr>
                <w:p w14:paraId="7A1D822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石化</w:t>
                  </w:r>
                </w:p>
              </w:tc>
              <w:tc>
                <w:tcPr>
                  <w:tcW w:w="1250" w:type="pct"/>
                  <w:shd w:val="clear" w:color="auto" w:fill="auto"/>
                  <w:tcMar>
                    <w:left w:w="108" w:type="dxa"/>
                    <w:right w:w="108" w:type="dxa"/>
                  </w:tcMar>
                  <w:vAlign w:val="center"/>
                </w:tcPr>
                <w:p w14:paraId="52D7A0C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原油加工及石油制品制造</w:t>
                  </w:r>
                </w:p>
              </w:tc>
              <w:tc>
                <w:tcPr>
                  <w:tcW w:w="650" w:type="pct"/>
                  <w:shd w:val="clear" w:color="auto" w:fill="auto"/>
                  <w:tcMar>
                    <w:left w:w="108" w:type="dxa"/>
                    <w:right w:w="108" w:type="dxa"/>
                  </w:tcMar>
                  <w:vAlign w:val="center"/>
                </w:tcPr>
                <w:p w14:paraId="114AE23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2511</w:t>
                  </w:r>
                </w:p>
              </w:tc>
              <w:tc>
                <w:tcPr>
                  <w:tcW w:w="2050" w:type="pct"/>
                  <w:shd w:val="clear" w:color="auto" w:fill="auto"/>
                  <w:tcMar>
                    <w:left w:w="108" w:type="dxa"/>
                    <w:right w:w="108" w:type="dxa"/>
                  </w:tcMar>
                  <w:vAlign w:val="center"/>
                </w:tcPr>
                <w:p w14:paraId="1DE52B3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炼油</w:t>
                  </w:r>
                </w:p>
              </w:tc>
            </w:tr>
            <w:tr w14:paraId="2EFF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218291F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w:t>
                  </w:r>
                </w:p>
              </w:tc>
              <w:tc>
                <w:tcPr>
                  <w:tcW w:w="500" w:type="pct"/>
                  <w:shd w:val="clear" w:color="auto" w:fill="auto"/>
                  <w:tcMar>
                    <w:left w:w="108" w:type="dxa"/>
                    <w:right w:w="108" w:type="dxa"/>
                  </w:tcMar>
                  <w:vAlign w:val="center"/>
                </w:tcPr>
                <w:p w14:paraId="47B12C9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焦化</w:t>
                  </w:r>
                </w:p>
              </w:tc>
              <w:tc>
                <w:tcPr>
                  <w:tcW w:w="1250" w:type="pct"/>
                  <w:shd w:val="clear" w:color="auto" w:fill="auto"/>
                  <w:tcMar>
                    <w:left w:w="108" w:type="dxa"/>
                    <w:right w:w="108" w:type="dxa"/>
                  </w:tcMar>
                  <w:vAlign w:val="center"/>
                </w:tcPr>
                <w:p w14:paraId="6C6566C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炼焦</w:t>
                  </w:r>
                </w:p>
              </w:tc>
              <w:tc>
                <w:tcPr>
                  <w:tcW w:w="650" w:type="pct"/>
                  <w:shd w:val="clear" w:color="auto" w:fill="auto"/>
                  <w:tcMar>
                    <w:left w:w="108" w:type="dxa"/>
                    <w:right w:w="108" w:type="dxa"/>
                  </w:tcMar>
                  <w:vAlign w:val="center"/>
                </w:tcPr>
                <w:p w14:paraId="62874CF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2521</w:t>
                  </w:r>
                </w:p>
              </w:tc>
              <w:tc>
                <w:tcPr>
                  <w:tcW w:w="2050" w:type="pct"/>
                  <w:shd w:val="clear" w:color="auto" w:fill="auto"/>
                  <w:tcMar>
                    <w:left w:w="108" w:type="dxa"/>
                    <w:right w:w="108" w:type="dxa"/>
                  </w:tcMar>
                  <w:vAlign w:val="center"/>
                </w:tcPr>
                <w:p w14:paraId="323E8B5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煤制焦炭、石油焦（焦炭类）、沥青焦、其他原材料生产焦炭，机焦、型焦、土焦、半焦炭、其他工艺生产焦炭，矿物油焦、兰炭</w:t>
                  </w:r>
                </w:p>
              </w:tc>
            </w:tr>
            <w:tr w14:paraId="2254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230905C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w:t>
                  </w:r>
                </w:p>
              </w:tc>
              <w:tc>
                <w:tcPr>
                  <w:tcW w:w="500" w:type="pct"/>
                  <w:shd w:val="clear" w:color="auto" w:fill="auto"/>
                  <w:tcMar>
                    <w:left w:w="108" w:type="dxa"/>
                    <w:right w:w="108" w:type="dxa"/>
                  </w:tcMar>
                  <w:vAlign w:val="center"/>
                </w:tcPr>
                <w:p w14:paraId="58021A8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煤化工</w:t>
                  </w:r>
                </w:p>
              </w:tc>
              <w:tc>
                <w:tcPr>
                  <w:tcW w:w="1250" w:type="pct"/>
                  <w:shd w:val="clear" w:color="auto" w:fill="auto"/>
                  <w:tcMar>
                    <w:left w:w="108" w:type="dxa"/>
                    <w:right w:w="108" w:type="dxa"/>
                  </w:tcMar>
                  <w:vAlign w:val="center"/>
                </w:tcPr>
                <w:p w14:paraId="0E81B2E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煤制液体燃料生产</w:t>
                  </w:r>
                </w:p>
              </w:tc>
              <w:tc>
                <w:tcPr>
                  <w:tcW w:w="650" w:type="pct"/>
                  <w:shd w:val="clear" w:color="auto" w:fill="auto"/>
                  <w:tcMar>
                    <w:left w:w="108" w:type="dxa"/>
                    <w:right w:w="108" w:type="dxa"/>
                  </w:tcMar>
                  <w:vAlign w:val="center"/>
                </w:tcPr>
                <w:p w14:paraId="72EBB96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2523</w:t>
                  </w:r>
                </w:p>
              </w:tc>
              <w:tc>
                <w:tcPr>
                  <w:tcW w:w="2050" w:type="pct"/>
                  <w:shd w:val="clear" w:color="auto" w:fill="auto"/>
                  <w:tcMar>
                    <w:left w:w="108" w:type="dxa"/>
                    <w:right w:w="108" w:type="dxa"/>
                  </w:tcMar>
                  <w:vAlign w:val="center"/>
                </w:tcPr>
                <w:p w14:paraId="739AB9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甲醇、烯烃、乙二醇</w:t>
                  </w:r>
                </w:p>
              </w:tc>
            </w:tr>
            <w:tr w14:paraId="5DDB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3D1B051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w:t>
                  </w:r>
                </w:p>
              </w:tc>
              <w:tc>
                <w:tcPr>
                  <w:tcW w:w="500" w:type="pct"/>
                  <w:vMerge w:val="restart"/>
                  <w:shd w:val="clear" w:color="auto" w:fill="auto"/>
                  <w:tcMar>
                    <w:left w:w="108" w:type="dxa"/>
                    <w:right w:w="108" w:type="dxa"/>
                  </w:tcMar>
                  <w:vAlign w:val="center"/>
                </w:tcPr>
                <w:p w14:paraId="31A7FB7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化工</w:t>
                  </w:r>
                </w:p>
              </w:tc>
              <w:tc>
                <w:tcPr>
                  <w:tcW w:w="1250" w:type="pct"/>
                  <w:shd w:val="clear" w:color="auto" w:fill="auto"/>
                  <w:tcMar>
                    <w:left w:w="108" w:type="dxa"/>
                    <w:right w:w="108" w:type="dxa"/>
                  </w:tcMar>
                  <w:vAlign w:val="center"/>
                </w:tcPr>
                <w:p w14:paraId="4D122FE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无机碱制造</w:t>
                  </w:r>
                </w:p>
              </w:tc>
              <w:tc>
                <w:tcPr>
                  <w:tcW w:w="650" w:type="pct"/>
                  <w:shd w:val="clear" w:color="auto" w:fill="auto"/>
                  <w:tcMar>
                    <w:left w:w="108" w:type="dxa"/>
                    <w:right w:w="108" w:type="dxa"/>
                  </w:tcMar>
                  <w:vAlign w:val="center"/>
                </w:tcPr>
                <w:p w14:paraId="15212A1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2612</w:t>
                  </w:r>
                </w:p>
              </w:tc>
              <w:tc>
                <w:tcPr>
                  <w:tcW w:w="2050" w:type="pct"/>
                  <w:shd w:val="clear" w:color="auto" w:fill="auto"/>
                  <w:tcMar>
                    <w:left w:w="108" w:type="dxa"/>
                    <w:right w:w="108" w:type="dxa"/>
                  </w:tcMar>
                  <w:vAlign w:val="center"/>
                </w:tcPr>
                <w:p w14:paraId="731AA51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烧碱、纯碱</w:t>
                  </w:r>
                </w:p>
              </w:tc>
            </w:tr>
            <w:tr w14:paraId="1954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760DEE0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5</w:t>
                  </w:r>
                </w:p>
              </w:tc>
              <w:tc>
                <w:tcPr>
                  <w:tcW w:w="500" w:type="pct"/>
                  <w:vMerge w:val="continue"/>
                  <w:shd w:val="clear" w:color="auto" w:fill="auto"/>
                  <w:tcMar>
                    <w:left w:w="108" w:type="dxa"/>
                    <w:right w:w="108" w:type="dxa"/>
                  </w:tcMar>
                  <w:vAlign w:val="center"/>
                </w:tcPr>
                <w:p w14:paraId="16228D9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2E825DB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无机盐制造</w:t>
                  </w:r>
                </w:p>
              </w:tc>
              <w:tc>
                <w:tcPr>
                  <w:tcW w:w="650" w:type="pct"/>
                  <w:shd w:val="clear" w:color="auto" w:fill="auto"/>
                  <w:tcMar>
                    <w:left w:w="108" w:type="dxa"/>
                    <w:right w:w="108" w:type="dxa"/>
                  </w:tcMar>
                  <w:vAlign w:val="center"/>
                </w:tcPr>
                <w:p w14:paraId="1FE9EA5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2613</w:t>
                  </w:r>
                </w:p>
              </w:tc>
              <w:tc>
                <w:tcPr>
                  <w:tcW w:w="2050" w:type="pct"/>
                  <w:shd w:val="clear" w:color="auto" w:fill="auto"/>
                  <w:tcMar>
                    <w:left w:w="108" w:type="dxa"/>
                    <w:right w:w="108" w:type="dxa"/>
                  </w:tcMar>
                  <w:vAlign w:val="center"/>
                </w:tcPr>
                <w:p w14:paraId="75F7365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电石</w:t>
                  </w:r>
                </w:p>
              </w:tc>
            </w:tr>
            <w:tr w14:paraId="5353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286F353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6</w:t>
                  </w:r>
                </w:p>
              </w:tc>
              <w:tc>
                <w:tcPr>
                  <w:tcW w:w="500" w:type="pct"/>
                  <w:vMerge w:val="continue"/>
                  <w:shd w:val="clear" w:color="auto" w:fill="auto"/>
                  <w:tcMar>
                    <w:left w:w="108" w:type="dxa"/>
                    <w:right w:w="108" w:type="dxa"/>
                  </w:tcMar>
                  <w:vAlign w:val="center"/>
                </w:tcPr>
                <w:p w14:paraId="37F7810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4479FDD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有机化学原料制造</w:t>
                  </w:r>
                </w:p>
              </w:tc>
              <w:tc>
                <w:tcPr>
                  <w:tcW w:w="650" w:type="pct"/>
                  <w:shd w:val="clear" w:color="auto" w:fill="auto"/>
                  <w:tcMar>
                    <w:left w:w="108" w:type="dxa"/>
                    <w:right w:w="108" w:type="dxa"/>
                  </w:tcMar>
                  <w:vAlign w:val="center"/>
                </w:tcPr>
                <w:p w14:paraId="7356024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2614</w:t>
                  </w:r>
                </w:p>
              </w:tc>
              <w:tc>
                <w:tcPr>
                  <w:tcW w:w="2050" w:type="pct"/>
                  <w:shd w:val="clear" w:color="auto" w:fill="auto"/>
                  <w:tcMar>
                    <w:left w:w="108" w:type="dxa"/>
                    <w:right w:w="108" w:type="dxa"/>
                  </w:tcMar>
                  <w:vAlign w:val="center"/>
                </w:tcPr>
                <w:p w14:paraId="741ED9E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醋酸、乙烯、对二甲苯、丁二醇、二苯基甲烷二异氰酸酯、乙酸乙烯酯、用汞的氯乙烯</w:t>
                  </w:r>
                </w:p>
              </w:tc>
            </w:tr>
            <w:tr w14:paraId="3988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2D45F20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7</w:t>
                  </w:r>
                </w:p>
              </w:tc>
              <w:tc>
                <w:tcPr>
                  <w:tcW w:w="500" w:type="pct"/>
                  <w:vMerge w:val="continue"/>
                  <w:shd w:val="clear" w:color="auto" w:fill="auto"/>
                  <w:tcMar>
                    <w:left w:w="108" w:type="dxa"/>
                    <w:right w:w="108" w:type="dxa"/>
                  </w:tcMar>
                  <w:vAlign w:val="center"/>
                </w:tcPr>
                <w:p w14:paraId="3BE9E88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36196FC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其他基础化学原料制造</w:t>
                  </w:r>
                </w:p>
              </w:tc>
              <w:tc>
                <w:tcPr>
                  <w:tcW w:w="650" w:type="pct"/>
                  <w:shd w:val="clear" w:color="auto" w:fill="auto"/>
                  <w:tcMar>
                    <w:left w:w="108" w:type="dxa"/>
                    <w:right w:w="108" w:type="dxa"/>
                  </w:tcMar>
                  <w:vAlign w:val="center"/>
                </w:tcPr>
                <w:p w14:paraId="661A59A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2619</w:t>
                  </w:r>
                </w:p>
              </w:tc>
              <w:tc>
                <w:tcPr>
                  <w:tcW w:w="2050" w:type="pct"/>
                  <w:shd w:val="clear" w:color="auto" w:fill="auto"/>
                  <w:tcMar>
                    <w:left w:w="108" w:type="dxa"/>
                    <w:right w:w="108" w:type="dxa"/>
                  </w:tcMar>
                  <w:vAlign w:val="center"/>
                </w:tcPr>
                <w:p w14:paraId="183505B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黄磷</w:t>
                  </w:r>
                </w:p>
              </w:tc>
            </w:tr>
            <w:tr w14:paraId="6AF4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316B44E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8</w:t>
                  </w:r>
                </w:p>
              </w:tc>
              <w:tc>
                <w:tcPr>
                  <w:tcW w:w="500" w:type="pct"/>
                  <w:vMerge w:val="continue"/>
                  <w:shd w:val="clear" w:color="auto" w:fill="auto"/>
                  <w:tcMar>
                    <w:left w:w="108" w:type="dxa"/>
                    <w:right w:w="108" w:type="dxa"/>
                  </w:tcMar>
                  <w:vAlign w:val="center"/>
                </w:tcPr>
                <w:p w14:paraId="44EA6B7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26D8614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氮肥制造</w:t>
                  </w:r>
                </w:p>
              </w:tc>
              <w:tc>
                <w:tcPr>
                  <w:tcW w:w="650" w:type="pct"/>
                  <w:shd w:val="clear" w:color="auto" w:fill="auto"/>
                  <w:tcMar>
                    <w:left w:w="108" w:type="dxa"/>
                    <w:right w:w="108" w:type="dxa"/>
                  </w:tcMar>
                  <w:vAlign w:val="center"/>
                </w:tcPr>
                <w:p w14:paraId="5C5D469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2621</w:t>
                  </w:r>
                </w:p>
              </w:tc>
              <w:tc>
                <w:tcPr>
                  <w:tcW w:w="2050" w:type="pct"/>
                  <w:shd w:val="clear" w:color="auto" w:fill="auto"/>
                  <w:tcMar>
                    <w:left w:w="108" w:type="dxa"/>
                    <w:right w:w="108" w:type="dxa"/>
                  </w:tcMar>
                  <w:vAlign w:val="center"/>
                </w:tcPr>
                <w:p w14:paraId="070B7AF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合成氨、氮肥（尿素）</w:t>
                  </w:r>
                </w:p>
              </w:tc>
            </w:tr>
            <w:tr w14:paraId="7462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32D86F0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9</w:t>
                  </w:r>
                </w:p>
              </w:tc>
              <w:tc>
                <w:tcPr>
                  <w:tcW w:w="500" w:type="pct"/>
                  <w:vMerge w:val="continue"/>
                  <w:shd w:val="clear" w:color="auto" w:fill="auto"/>
                  <w:tcMar>
                    <w:left w:w="108" w:type="dxa"/>
                    <w:right w:w="108" w:type="dxa"/>
                  </w:tcMar>
                  <w:vAlign w:val="center"/>
                </w:tcPr>
                <w:p w14:paraId="191E2F3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7AC2860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磷肥制造</w:t>
                  </w:r>
                </w:p>
              </w:tc>
              <w:tc>
                <w:tcPr>
                  <w:tcW w:w="650" w:type="pct"/>
                  <w:shd w:val="clear" w:color="auto" w:fill="auto"/>
                  <w:tcMar>
                    <w:left w:w="108" w:type="dxa"/>
                    <w:right w:w="108" w:type="dxa"/>
                  </w:tcMar>
                  <w:vAlign w:val="center"/>
                </w:tcPr>
                <w:p w14:paraId="7FA531E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2622</w:t>
                  </w:r>
                </w:p>
              </w:tc>
              <w:tc>
                <w:tcPr>
                  <w:tcW w:w="2050" w:type="pct"/>
                  <w:shd w:val="clear" w:color="auto" w:fill="auto"/>
                  <w:tcMar>
                    <w:left w:w="108" w:type="dxa"/>
                    <w:right w:w="108" w:type="dxa"/>
                  </w:tcMar>
                  <w:vAlign w:val="center"/>
                </w:tcPr>
                <w:p w14:paraId="182CEC4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磷酸一铵、磷酸二铵</w:t>
                  </w:r>
                </w:p>
              </w:tc>
            </w:tr>
            <w:tr w14:paraId="52D1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275EB45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10</w:t>
                  </w:r>
                </w:p>
              </w:tc>
              <w:tc>
                <w:tcPr>
                  <w:tcW w:w="500" w:type="pct"/>
                  <w:vMerge w:val="continue"/>
                  <w:shd w:val="clear" w:color="auto" w:fill="auto"/>
                  <w:tcMar>
                    <w:left w:w="108" w:type="dxa"/>
                    <w:right w:w="108" w:type="dxa"/>
                  </w:tcMar>
                  <w:vAlign w:val="center"/>
                </w:tcPr>
                <w:p w14:paraId="2FB2D1C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0C8ABE8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初级形态塑料及合成树脂制造</w:t>
                  </w:r>
                </w:p>
              </w:tc>
              <w:tc>
                <w:tcPr>
                  <w:tcW w:w="650" w:type="pct"/>
                  <w:shd w:val="clear" w:color="auto" w:fill="auto"/>
                  <w:tcMar>
                    <w:left w:w="108" w:type="dxa"/>
                    <w:right w:w="108" w:type="dxa"/>
                  </w:tcMar>
                  <w:vAlign w:val="center"/>
                </w:tcPr>
                <w:p w14:paraId="2BCD322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2651</w:t>
                  </w:r>
                </w:p>
              </w:tc>
              <w:tc>
                <w:tcPr>
                  <w:tcW w:w="2050" w:type="pct"/>
                  <w:shd w:val="clear" w:color="auto" w:fill="auto"/>
                  <w:tcMar>
                    <w:left w:w="108" w:type="dxa"/>
                    <w:right w:w="108" w:type="dxa"/>
                  </w:tcMar>
                  <w:vAlign w:val="center"/>
                </w:tcPr>
                <w:p w14:paraId="7488BBE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用汞的聚氯乙烯</w:t>
                  </w:r>
                </w:p>
              </w:tc>
            </w:tr>
            <w:tr w14:paraId="4EEB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3D5935E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11</w:t>
                  </w:r>
                </w:p>
              </w:tc>
              <w:tc>
                <w:tcPr>
                  <w:tcW w:w="500" w:type="pct"/>
                  <w:vMerge w:val="restart"/>
                  <w:shd w:val="clear" w:color="auto" w:fill="auto"/>
                  <w:tcMar>
                    <w:left w:w="108" w:type="dxa"/>
                    <w:right w:w="108" w:type="dxa"/>
                  </w:tcMar>
                  <w:vAlign w:val="center"/>
                </w:tcPr>
                <w:p w14:paraId="37AF143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建材</w:t>
                  </w:r>
                </w:p>
              </w:tc>
              <w:tc>
                <w:tcPr>
                  <w:tcW w:w="1250" w:type="pct"/>
                  <w:shd w:val="clear" w:color="auto" w:fill="auto"/>
                  <w:tcMar>
                    <w:left w:w="108" w:type="dxa"/>
                    <w:right w:w="108" w:type="dxa"/>
                  </w:tcMar>
                  <w:vAlign w:val="center"/>
                </w:tcPr>
                <w:p w14:paraId="7E76C89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水泥制造</w:t>
                  </w:r>
                </w:p>
              </w:tc>
              <w:tc>
                <w:tcPr>
                  <w:tcW w:w="650" w:type="pct"/>
                  <w:shd w:val="clear" w:color="auto" w:fill="auto"/>
                  <w:tcMar>
                    <w:left w:w="108" w:type="dxa"/>
                    <w:right w:w="108" w:type="dxa"/>
                  </w:tcMar>
                  <w:vAlign w:val="center"/>
                </w:tcPr>
                <w:p w14:paraId="2916991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3011</w:t>
                  </w:r>
                </w:p>
              </w:tc>
              <w:tc>
                <w:tcPr>
                  <w:tcW w:w="2050" w:type="pct"/>
                  <w:shd w:val="clear" w:color="auto" w:fill="auto"/>
                  <w:tcMar>
                    <w:left w:w="108" w:type="dxa"/>
                    <w:right w:w="108" w:type="dxa"/>
                  </w:tcMar>
                  <w:vAlign w:val="center"/>
                </w:tcPr>
                <w:p w14:paraId="7495026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水泥熟料</w:t>
                  </w:r>
                </w:p>
              </w:tc>
            </w:tr>
            <w:tr w14:paraId="1EED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5AE2221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12</w:t>
                  </w:r>
                </w:p>
              </w:tc>
              <w:tc>
                <w:tcPr>
                  <w:tcW w:w="500" w:type="pct"/>
                  <w:vMerge w:val="continue"/>
                  <w:shd w:val="clear" w:color="auto" w:fill="auto"/>
                  <w:tcMar>
                    <w:left w:w="108" w:type="dxa"/>
                    <w:right w:w="108" w:type="dxa"/>
                  </w:tcMar>
                  <w:vAlign w:val="center"/>
                </w:tcPr>
                <w:p w14:paraId="16566DA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0A2AE20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石灰和石膏制造</w:t>
                  </w:r>
                </w:p>
              </w:tc>
              <w:tc>
                <w:tcPr>
                  <w:tcW w:w="650" w:type="pct"/>
                  <w:shd w:val="clear" w:color="auto" w:fill="auto"/>
                  <w:tcMar>
                    <w:left w:w="108" w:type="dxa"/>
                    <w:right w:w="108" w:type="dxa"/>
                  </w:tcMar>
                  <w:vAlign w:val="center"/>
                </w:tcPr>
                <w:p w14:paraId="6821F51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3012</w:t>
                  </w:r>
                </w:p>
              </w:tc>
              <w:tc>
                <w:tcPr>
                  <w:tcW w:w="2050" w:type="pct"/>
                  <w:shd w:val="clear" w:color="auto" w:fill="auto"/>
                  <w:tcMar>
                    <w:left w:w="108" w:type="dxa"/>
                    <w:right w:w="108" w:type="dxa"/>
                  </w:tcMar>
                  <w:vAlign w:val="center"/>
                </w:tcPr>
                <w:p w14:paraId="0047ED9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石灰</w:t>
                  </w:r>
                </w:p>
              </w:tc>
            </w:tr>
            <w:tr w14:paraId="1A48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7DF6EDA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13</w:t>
                  </w:r>
                </w:p>
              </w:tc>
              <w:tc>
                <w:tcPr>
                  <w:tcW w:w="500" w:type="pct"/>
                  <w:vMerge w:val="continue"/>
                  <w:shd w:val="clear" w:color="auto" w:fill="auto"/>
                  <w:tcMar>
                    <w:left w:w="108" w:type="dxa"/>
                    <w:right w:w="108" w:type="dxa"/>
                  </w:tcMar>
                  <w:vAlign w:val="center"/>
                </w:tcPr>
                <w:p w14:paraId="5124155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52B0D08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粘土砖瓦及建筑砌块制造</w:t>
                  </w:r>
                </w:p>
              </w:tc>
              <w:tc>
                <w:tcPr>
                  <w:tcW w:w="650" w:type="pct"/>
                  <w:shd w:val="clear" w:color="auto" w:fill="auto"/>
                  <w:tcMar>
                    <w:left w:w="108" w:type="dxa"/>
                    <w:right w:w="108" w:type="dxa"/>
                  </w:tcMar>
                  <w:vAlign w:val="center"/>
                </w:tcPr>
                <w:p w14:paraId="1739234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3031</w:t>
                  </w:r>
                </w:p>
              </w:tc>
              <w:tc>
                <w:tcPr>
                  <w:tcW w:w="2050" w:type="pct"/>
                  <w:shd w:val="clear" w:color="auto" w:fill="auto"/>
                  <w:tcMar>
                    <w:left w:w="108" w:type="dxa"/>
                    <w:right w:w="108" w:type="dxa"/>
                  </w:tcMar>
                  <w:vAlign w:val="center"/>
                </w:tcPr>
                <w:p w14:paraId="674A234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烧结砖瓦，不包括资源综合利用项目</w:t>
                  </w:r>
                </w:p>
              </w:tc>
            </w:tr>
            <w:tr w14:paraId="4230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4B50C47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14</w:t>
                  </w:r>
                </w:p>
              </w:tc>
              <w:tc>
                <w:tcPr>
                  <w:tcW w:w="500" w:type="pct"/>
                  <w:vMerge w:val="continue"/>
                  <w:shd w:val="clear" w:color="auto" w:fill="auto"/>
                  <w:tcMar>
                    <w:left w:w="108" w:type="dxa"/>
                    <w:right w:w="108" w:type="dxa"/>
                  </w:tcMar>
                  <w:vAlign w:val="center"/>
                </w:tcPr>
                <w:p w14:paraId="2AC0585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5D2A2B3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平板玻璃制造</w:t>
                  </w:r>
                </w:p>
              </w:tc>
              <w:tc>
                <w:tcPr>
                  <w:tcW w:w="650" w:type="pct"/>
                  <w:shd w:val="clear" w:color="auto" w:fill="auto"/>
                  <w:tcMar>
                    <w:left w:w="108" w:type="dxa"/>
                    <w:right w:w="108" w:type="dxa"/>
                  </w:tcMar>
                  <w:vAlign w:val="center"/>
                </w:tcPr>
                <w:p w14:paraId="4969622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3041</w:t>
                  </w:r>
                </w:p>
              </w:tc>
              <w:tc>
                <w:tcPr>
                  <w:tcW w:w="2050" w:type="pct"/>
                  <w:shd w:val="clear" w:color="auto" w:fill="auto"/>
                  <w:tcMar>
                    <w:left w:w="108" w:type="dxa"/>
                    <w:right w:w="108" w:type="dxa"/>
                  </w:tcMar>
                  <w:vAlign w:val="center"/>
                </w:tcPr>
                <w:p w14:paraId="3444928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普通平板玻璃，压延玻璃，其它平板玻璃，不包括光伏压延玻璃，显示玻璃</w:t>
                  </w:r>
                </w:p>
              </w:tc>
            </w:tr>
            <w:tr w14:paraId="1DE8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29A3A9E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15</w:t>
                  </w:r>
                </w:p>
              </w:tc>
              <w:tc>
                <w:tcPr>
                  <w:tcW w:w="500" w:type="pct"/>
                  <w:vMerge w:val="continue"/>
                  <w:shd w:val="clear" w:color="auto" w:fill="auto"/>
                  <w:tcMar>
                    <w:left w:w="108" w:type="dxa"/>
                    <w:right w:w="108" w:type="dxa"/>
                  </w:tcMar>
                  <w:vAlign w:val="center"/>
                </w:tcPr>
                <w:p w14:paraId="0A6E3C7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7BE3E61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建筑陶瓷制品制造</w:t>
                  </w:r>
                </w:p>
              </w:tc>
              <w:tc>
                <w:tcPr>
                  <w:tcW w:w="650" w:type="pct"/>
                  <w:shd w:val="clear" w:color="auto" w:fill="auto"/>
                  <w:tcMar>
                    <w:left w:w="108" w:type="dxa"/>
                    <w:right w:w="108" w:type="dxa"/>
                  </w:tcMar>
                  <w:vAlign w:val="center"/>
                </w:tcPr>
                <w:p w14:paraId="319560B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3071</w:t>
                  </w:r>
                </w:p>
              </w:tc>
              <w:tc>
                <w:tcPr>
                  <w:tcW w:w="2050" w:type="pct"/>
                  <w:shd w:val="clear" w:color="auto" w:fill="auto"/>
                  <w:tcMar>
                    <w:left w:w="108" w:type="dxa"/>
                    <w:right w:w="108" w:type="dxa"/>
                  </w:tcMar>
                  <w:vAlign w:val="center"/>
                </w:tcPr>
                <w:p w14:paraId="59A1DEA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建筑陶瓷</w:t>
                  </w:r>
                </w:p>
              </w:tc>
            </w:tr>
            <w:tr w14:paraId="5514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48D996D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16</w:t>
                  </w:r>
                </w:p>
              </w:tc>
              <w:tc>
                <w:tcPr>
                  <w:tcW w:w="500" w:type="pct"/>
                  <w:vMerge w:val="continue"/>
                  <w:shd w:val="clear" w:color="auto" w:fill="auto"/>
                  <w:tcMar>
                    <w:left w:w="108" w:type="dxa"/>
                    <w:right w:w="108" w:type="dxa"/>
                  </w:tcMar>
                  <w:vAlign w:val="center"/>
                </w:tcPr>
                <w:p w14:paraId="1F19480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7C48429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卫生陶瓷制品制造</w:t>
                  </w:r>
                </w:p>
              </w:tc>
              <w:tc>
                <w:tcPr>
                  <w:tcW w:w="650" w:type="pct"/>
                  <w:shd w:val="clear" w:color="auto" w:fill="auto"/>
                  <w:tcMar>
                    <w:left w:w="108" w:type="dxa"/>
                    <w:right w:w="108" w:type="dxa"/>
                  </w:tcMar>
                  <w:vAlign w:val="center"/>
                </w:tcPr>
                <w:p w14:paraId="2EA9F14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3072</w:t>
                  </w:r>
                </w:p>
              </w:tc>
              <w:tc>
                <w:tcPr>
                  <w:tcW w:w="2050" w:type="pct"/>
                  <w:shd w:val="clear" w:color="auto" w:fill="auto"/>
                  <w:tcMar>
                    <w:left w:w="108" w:type="dxa"/>
                    <w:right w:w="108" w:type="dxa"/>
                  </w:tcMar>
                  <w:vAlign w:val="center"/>
                </w:tcPr>
                <w:p w14:paraId="396F013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卫生陶瓷</w:t>
                  </w:r>
                </w:p>
              </w:tc>
            </w:tr>
            <w:tr w14:paraId="09B0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5E6AB94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17</w:t>
                  </w:r>
                </w:p>
              </w:tc>
              <w:tc>
                <w:tcPr>
                  <w:tcW w:w="500" w:type="pct"/>
                  <w:vMerge w:val="continue"/>
                  <w:shd w:val="clear" w:color="auto" w:fill="auto"/>
                  <w:tcMar>
                    <w:left w:w="108" w:type="dxa"/>
                    <w:right w:w="108" w:type="dxa"/>
                  </w:tcMar>
                  <w:vAlign w:val="center"/>
                </w:tcPr>
                <w:p w14:paraId="5C7A06B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181CBA4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耐火材料制品制造</w:t>
                  </w:r>
                </w:p>
              </w:tc>
              <w:tc>
                <w:tcPr>
                  <w:tcW w:w="650" w:type="pct"/>
                  <w:shd w:val="clear" w:color="auto" w:fill="auto"/>
                  <w:tcMar>
                    <w:left w:w="108" w:type="dxa"/>
                    <w:right w:w="108" w:type="dxa"/>
                  </w:tcMar>
                  <w:vAlign w:val="center"/>
                </w:tcPr>
                <w:p w14:paraId="57DD01E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308</w:t>
                  </w:r>
                </w:p>
              </w:tc>
              <w:tc>
                <w:tcPr>
                  <w:tcW w:w="2050" w:type="pct"/>
                  <w:shd w:val="clear" w:color="auto" w:fill="auto"/>
                  <w:tcMar>
                    <w:left w:w="108" w:type="dxa"/>
                    <w:right w:w="108" w:type="dxa"/>
                  </w:tcMar>
                  <w:vAlign w:val="center"/>
                </w:tcPr>
                <w:p w14:paraId="6BBFEA8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烧结工序制造的硅砖、镁铬砖、铝含量42%以下的粘土砖，不包括资源综合利用项目</w:t>
                  </w:r>
                </w:p>
              </w:tc>
            </w:tr>
            <w:tr w14:paraId="6677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37A1E21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18</w:t>
                  </w:r>
                </w:p>
              </w:tc>
              <w:tc>
                <w:tcPr>
                  <w:tcW w:w="500" w:type="pct"/>
                  <w:vMerge w:val="continue"/>
                  <w:shd w:val="clear" w:color="auto" w:fill="auto"/>
                  <w:tcMar>
                    <w:left w:w="108" w:type="dxa"/>
                    <w:right w:w="108" w:type="dxa"/>
                  </w:tcMar>
                  <w:vAlign w:val="center"/>
                </w:tcPr>
                <w:p w14:paraId="5F567F7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5EBF1C9A">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石墨及碳素制品制造</w:t>
                  </w:r>
                </w:p>
              </w:tc>
              <w:tc>
                <w:tcPr>
                  <w:tcW w:w="650" w:type="pct"/>
                  <w:shd w:val="clear" w:color="auto" w:fill="auto"/>
                  <w:tcMar>
                    <w:left w:w="108" w:type="dxa"/>
                    <w:right w:w="108" w:type="dxa"/>
                  </w:tcMar>
                  <w:vAlign w:val="center"/>
                </w:tcPr>
                <w:p w14:paraId="28FFC86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3091</w:t>
                  </w:r>
                </w:p>
              </w:tc>
              <w:tc>
                <w:tcPr>
                  <w:tcW w:w="2050" w:type="pct"/>
                  <w:shd w:val="clear" w:color="auto" w:fill="auto"/>
                  <w:tcMar>
                    <w:left w:w="108" w:type="dxa"/>
                    <w:right w:w="108" w:type="dxa"/>
                  </w:tcMar>
                  <w:vAlign w:val="center"/>
                </w:tcPr>
                <w:p w14:paraId="2D3C14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color w:val="000000"/>
                      <w:sz w:val="21"/>
                      <w:szCs w:val="21"/>
                    </w:rPr>
                    <w:t>铝用炭素</w:t>
                  </w:r>
                </w:p>
              </w:tc>
            </w:tr>
            <w:tr w14:paraId="2964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4129CCF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19</w:t>
                  </w:r>
                </w:p>
              </w:tc>
              <w:tc>
                <w:tcPr>
                  <w:tcW w:w="500" w:type="pct"/>
                  <w:vMerge w:val="restart"/>
                  <w:shd w:val="clear" w:color="auto" w:fill="auto"/>
                  <w:tcMar>
                    <w:left w:w="108" w:type="dxa"/>
                    <w:right w:w="108" w:type="dxa"/>
                  </w:tcMar>
                  <w:vAlign w:val="center"/>
                </w:tcPr>
                <w:p w14:paraId="2B46AC0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钢铁</w:t>
                  </w:r>
                </w:p>
              </w:tc>
              <w:tc>
                <w:tcPr>
                  <w:tcW w:w="1250" w:type="pct"/>
                  <w:shd w:val="clear" w:color="auto" w:fill="auto"/>
                  <w:tcMar>
                    <w:left w:w="108" w:type="dxa"/>
                    <w:right w:w="108" w:type="dxa"/>
                  </w:tcMar>
                  <w:vAlign w:val="center"/>
                </w:tcPr>
                <w:p w14:paraId="6A4A93B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炼铁</w:t>
                  </w:r>
                </w:p>
              </w:tc>
              <w:tc>
                <w:tcPr>
                  <w:tcW w:w="650" w:type="pct"/>
                  <w:shd w:val="clear" w:color="auto" w:fill="auto"/>
                  <w:tcMar>
                    <w:left w:w="108" w:type="dxa"/>
                    <w:right w:w="108" w:type="dxa"/>
                  </w:tcMar>
                  <w:vAlign w:val="center"/>
                </w:tcPr>
                <w:p w14:paraId="71D787C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3110</w:t>
                  </w:r>
                </w:p>
              </w:tc>
              <w:tc>
                <w:tcPr>
                  <w:tcW w:w="2050" w:type="pct"/>
                  <w:shd w:val="clear" w:color="auto" w:fill="auto"/>
                  <w:tcMar>
                    <w:left w:w="108" w:type="dxa"/>
                    <w:right w:w="108" w:type="dxa"/>
                  </w:tcMar>
                  <w:vAlign w:val="center"/>
                </w:tcPr>
                <w:p w14:paraId="6FEF143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炼钢用高炉生铁、直接还原铁、熔融还原铁</w:t>
                  </w:r>
                </w:p>
              </w:tc>
            </w:tr>
            <w:tr w14:paraId="65E4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1073958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20</w:t>
                  </w:r>
                </w:p>
              </w:tc>
              <w:tc>
                <w:tcPr>
                  <w:tcW w:w="500" w:type="pct"/>
                  <w:vMerge w:val="continue"/>
                  <w:shd w:val="clear" w:color="auto" w:fill="auto"/>
                  <w:tcMar>
                    <w:left w:w="108" w:type="dxa"/>
                    <w:right w:w="108" w:type="dxa"/>
                  </w:tcMar>
                  <w:vAlign w:val="center"/>
                </w:tcPr>
                <w:p w14:paraId="67B9BC7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07A3FB2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炼钢</w:t>
                  </w:r>
                </w:p>
              </w:tc>
              <w:tc>
                <w:tcPr>
                  <w:tcW w:w="650" w:type="pct"/>
                  <w:shd w:val="clear" w:color="auto" w:fill="auto"/>
                  <w:tcMar>
                    <w:left w:w="108" w:type="dxa"/>
                    <w:right w:w="108" w:type="dxa"/>
                  </w:tcMar>
                  <w:vAlign w:val="center"/>
                </w:tcPr>
                <w:p w14:paraId="619E5D4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3120</w:t>
                  </w:r>
                </w:p>
              </w:tc>
              <w:tc>
                <w:tcPr>
                  <w:tcW w:w="2050" w:type="pct"/>
                  <w:shd w:val="clear" w:color="auto" w:fill="auto"/>
                  <w:tcMar>
                    <w:left w:w="108" w:type="dxa"/>
                    <w:right w:w="108" w:type="dxa"/>
                  </w:tcMar>
                  <w:vAlign w:val="center"/>
                </w:tcPr>
                <w:p w14:paraId="0EB64BB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非合金钢粗钢、低合金钢粗钢、合金钢粗钢（不包括高炉—转炉长流程炼钢就地改造转型发展电炉短流程炼钢等未增加产能的技术改造项目）</w:t>
                  </w:r>
                </w:p>
              </w:tc>
            </w:tr>
            <w:tr w14:paraId="6DF8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1997893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21</w:t>
                  </w:r>
                </w:p>
              </w:tc>
              <w:tc>
                <w:tcPr>
                  <w:tcW w:w="500" w:type="pct"/>
                  <w:vMerge w:val="continue"/>
                  <w:shd w:val="clear" w:color="auto" w:fill="auto"/>
                  <w:tcMar>
                    <w:left w:w="108" w:type="dxa"/>
                    <w:right w:w="108" w:type="dxa"/>
                  </w:tcMar>
                  <w:vAlign w:val="center"/>
                </w:tcPr>
                <w:p w14:paraId="15F3843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4E3798C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铁合金冶炼</w:t>
                  </w:r>
                </w:p>
              </w:tc>
              <w:tc>
                <w:tcPr>
                  <w:tcW w:w="650" w:type="pct"/>
                  <w:shd w:val="clear" w:color="auto" w:fill="auto"/>
                  <w:tcMar>
                    <w:left w:w="108" w:type="dxa"/>
                    <w:right w:w="108" w:type="dxa"/>
                  </w:tcMar>
                  <w:vAlign w:val="center"/>
                </w:tcPr>
                <w:p w14:paraId="1AD722B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3140</w:t>
                  </w:r>
                </w:p>
              </w:tc>
              <w:tc>
                <w:tcPr>
                  <w:tcW w:w="2050" w:type="pct"/>
                  <w:shd w:val="clear" w:color="auto" w:fill="auto"/>
                  <w:tcMar>
                    <w:left w:w="108" w:type="dxa"/>
                    <w:right w:w="108" w:type="dxa"/>
                  </w:tcMar>
                  <w:vAlign w:val="center"/>
                </w:tcPr>
                <w:p w14:paraId="7C1C9F2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b w:val="0"/>
                      <w:bCs w:val="0"/>
                      <w:sz w:val="21"/>
                      <w:szCs w:val="21"/>
                    </w:rPr>
                    <w:t>普通铁合金，特种铁合金</w:t>
                  </w:r>
                  <w:r>
                    <w:rPr>
                      <w:rFonts w:hint="default" w:ascii="Times New Roman" w:hAnsi="Times New Roman" w:cs="Times New Roman" w:eastAsiaTheme="minorEastAsia"/>
                      <w:sz w:val="21"/>
                      <w:szCs w:val="21"/>
                    </w:rPr>
                    <w:t>，锰的冶炼，铁基合金粉末</w:t>
                  </w:r>
                </w:p>
              </w:tc>
            </w:tr>
            <w:tr w14:paraId="1797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51579C4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22</w:t>
                  </w:r>
                </w:p>
              </w:tc>
              <w:tc>
                <w:tcPr>
                  <w:tcW w:w="500" w:type="pct"/>
                  <w:vMerge w:val="restart"/>
                  <w:shd w:val="clear" w:color="auto" w:fill="auto"/>
                  <w:tcMar>
                    <w:left w:w="108" w:type="dxa"/>
                    <w:right w:w="108" w:type="dxa"/>
                  </w:tcMar>
                  <w:vAlign w:val="center"/>
                </w:tcPr>
                <w:p w14:paraId="3DD6EAB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有色</w:t>
                  </w:r>
                </w:p>
              </w:tc>
              <w:tc>
                <w:tcPr>
                  <w:tcW w:w="1250" w:type="pct"/>
                  <w:shd w:val="clear" w:color="auto" w:fill="auto"/>
                  <w:tcMar>
                    <w:left w:w="108" w:type="dxa"/>
                    <w:right w:w="108" w:type="dxa"/>
                  </w:tcMar>
                  <w:vAlign w:val="center"/>
                </w:tcPr>
                <w:p w14:paraId="745F4D9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铜冶炼</w:t>
                  </w:r>
                </w:p>
              </w:tc>
              <w:tc>
                <w:tcPr>
                  <w:tcW w:w="650" w:type="pct"/>
                  <w:shd w:val="clear" w:color="auto" w:fill="auto"/>
                  <w:tcMar>
                    <w:left w:w="108" w:type="dxa"/>
                    <w:right w:w="108" w:type="dxa"/>
                  </w:tcMar>
                  <w:vAlign w:val="center"/>
                </w:tcPr>
                <w:p w14:paraId="0942DE9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3211</w:t>
                  </w:r>
                </w:p>
              </w:tc>
              <w:tc>
                <w:tcPr>
                  <w:tcW w:w="2050" w:type="pct"/>
                  <w:shd w:val="clear" w:color="auto" w:fill="auto"/>
                  <w:tcMar>
                    <w:left w:w="108" w:type="dxa"/>
                    <w:right w:w="108" w:type="dxa"/>
                  </w:tcMar>
                  <w:vAlign w:val="center"/>
                </w:tcPr>
                <w:p w14:paraId="6E85B2A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铜冶炼，不包括再生铜冶炼项目</w:t>
                  </w:r>
                </w:p>
              </w:tc>
            </w:tr>
            <w:tr w14:paraId="0555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58A89EB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23</w:t>
                  </w:r>
                </w:p>
              </w:tc>
              <w:tc>
                <w:tcPr>
                  <w:tcW w:w="500" w:type="pct"/>
                  <w:vMerge w:val="continue"/>
                  <w:shd w:val="clear" w:color="auto" w:fill="auto"/>
                  <w:tcMar>
                    <w:left w:w="108" w:type="dxa"/>
                    <w:right w:w="108" w:type="dxa"/>
                  </w:tcMar>
                  <w:vAlign w:val="center"/>
                </w:tcPr>
                <w:p w14:paraId="43FC752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57EB138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铅锌冶炼</w:t>
                  </w:r>
                </w:p>
              </w:tc>
              <w:tc>
                <w:tcPr>
                  <w:tcW w:w="650" w:type="pct"/>
                  <w:shd w:val="clear" w:color="auto" w:fill="auto"/>
                  <w:tcMar>
                    <w:left w:w="108" w:type="dxa"/>
                    <w:right w:w="108" w:type="dxa"/>
                  </w:tcMar>
                  <w:vAlign w:val="center"/>
                </w:tcPr>
                <w:p w14:paraId="2549F8C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3212</w:t>
                  </w:r>
                </w:p>
              </w:tc>
              <w:tc>
                <w:tcPr>
                  <w:tcW w:w="2050" w:type="pct"/>
                  <w:shd w:val="clear" w:color="auto" w:fill="auto"/>
                  <w:tcMar>
                    <w:left w:w="108" w:type="dxa"/>
                    <w:right w:w="108" w:type="dxa"/>
                  </w:tcMar>
                  <w:vAlign w:val="center"/>
                </w:tcPr>
                <w:p w14:paraId="6E1EAFBD">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铅冶炼、锌冶炼，不包括再生铅、再生锌冶炼项目</w:t>
                  </w:r>
                </w:p>
              </w:tc>
            </w:tr>
            <w:tr w14:paraId="2436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7AB471B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24</w:t>
                  </w:r>
                </w:p>
              </w:tc>
              <w:tc>
                <w:tcPr>
                  <w:tcW w:w="500" w:type="pct"/>
                  <w:vMerge w:val="continue"/>
                  <w:shd w:val="clear" w:color="auto" w:fill="auto"/>
                  <w:tcMar>
                    <w:left w:w="108" w:type="dxa"/>
                    <w:right w:w="108" w:type="dxa"/>
                  </w:tcMar>
                  <w:vAlign w:val="center"/>
                </w:tcPr>
                <w:p w14:paraId="6E69458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28352B8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铝冶炼</w:t>
                  </w:r>
                </w:p>
              </w:tc>
              <w:tc>
                <w:tcPr>
                  <w:tcW w:w="650" w:type="pct"/>
                  <w:shd w:val="clear" w:color="auto" w:fill="auto"/>
                  <w:tcMar>
                    <w:left w:w="108" w:type="dxa"/>
                    <w:right w:w="108" w:type="dxa"/>
                  </w:tcMar>
                  <w:vAlign w:val="center"/>
                </w:tcPr>
                <w:p w14:paraId="67757994">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3216</w:t>
                  </w:r>
                </w:p>
              </w:tc>
              <w:tc>
                <w:tcPr>
                  <w:tcW w:w="2050" w:type="pct"/>
                  <w:shd w:val="clear" w:color="auto" w:fill="auto"/>
                  <w:tcMar>
                    <w:left w:w="108" w:type="dxa"/>
                    <w:right w:w="108" w:type="dxa"/>
                  </w:tcMar>
                  <w:vAlign w:val="center"/>
                </w:tcPr>
                <w:p w14:paraId="12E88CE0">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氧化铝（不包括以铝酸钠、氢氧化铝或氧化铝为原料深加工形成的非冶金级氧化铝）、电解铝</w:t>
                  </w:r>
                </w:p>
              </w:tc>
            </w:tr>
            <w:tr w14:paraId="6FB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2581E8D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25</w:t>
                  </w:r>
                </w:p>
              </w:tc>
              <w:tc>
                <w:tcPr>
                  <w:tcW w:w="500" w:type="pct"/>
                  <w:vMerge w:val="continue"/>
                  <w:shd w:val="clear" w:color="auto" w:fill="auto"/>
                  <w:tcMar>
                    <w:left w:w="108" w:type="dxa"/>
                    <w:right w:w="108" w:type="dxa"/>
                  </w:tcMar>
                  <w:vAlign w:val="center"/>
                </w:tcPr>
                <w:p w14:paraId="2DED29A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0FD93D88">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硅冶炼</w:t>
                  </w:r>
                </w:p>
              </w:tc>
              <w:tc>
                <w:tcPr>
                  <w:tcW w:w="650" w:type="pct"/>
                  <w:shd w:val="clear" w:color="auto" w:fill="auto"/>
                  <w:tcMar>
                    <w:left w:w="108" w:type="dxa"/>
                    <w:right w:w="108" w:type="dxa"/>
                  </w:tcMar>
                  <w:vAlign w:val="center"/>
                </w:tcPr>
                <w:p w14:paraId="2F8CB51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3218</w:t>
                  </w:r>
                </w:p>
              </w:tc>
              <w:tc>
                <w:tcPr>
                  <w:tcW w:w="2050" w:type="pct"/>
                  <w:shd w:val="clear" w:color="auto" w:fill="auto"/>
                  <w:tcMar>
                    <w:left w:w="108" w:type="dxa"/>
                    <w:right w:w="108" w:type="dxa"/>
                  </w:tcMar>
                  <w:vAlign w:val="center"/>
                </w:tcPr>
                <w:p w14:paraId="3850A2B3">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工业硅</w:t>
                  </w:r>
                </w:p>
              </w:tc>
            </w:tr>
            <w:tr w14:paraId="7702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5ABE5F4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26</w:t>
                  </w:r>
                </w:p>
              </w:tc>
              <w:tc>
                <w:tcPr>
                  <w:tcW w:w="500" w:type="pct"/>
                  <w:vMerge w:val="restart"/>
                  <w:shd w:val="clear" w:color="auto" w:fill="auto"/>
                  <w:tcMar>
                    <w:left w:w="108" w:type="dxa"/>
                    <w:right w:w="108" w:type="dxa"/>
                  </w:tcMar>
                  <w:vAlign w:val="center"/>
                </w:tcPr>
                <w:p w14:paraId="28830FB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煤电</w:t>
                  </w:r>
                </w:p>
              </w:tc>
              <w:tc>
                <w:tcPr>
                  <w:tcW w:w="1250" w:type="pct"/>
                  <w:shd w:val="clear" w:color="auto" w:fill="auto"/>
                  <w:tcMar>
                    <w:left w:w="108" w:type="dxa"/>
                    <w:right w:w="108" w:type="dxa"/>
                  </w:tcMar>
                  <w:vAlign w:val="center"/>
                </w:tcPr>
                <w:p w14:paraId="2F577C6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火力发电</w:t>
                  </w:r>
                </w:p>
              </w:tc>
              <w:tc>
                <w:tcPr>
                  <w:tcW w:w="650" w:type="pct"/>
                  <w:shd w:val="clear" w:color="auto" w:fill="auto"/>
                  <w:tcMar>
                    <w:left w:w="108" w:type="dxa"/>
                    <w:right w:w="108" w:type="dxa"/>
                  </w:tcMar>
                  <w:vAlign w:val="center"/>
                </w:tcPr>
                <w:p w14:paraId="2D0BA93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4411</w:t>
                  </w:r>
                </w:p>
              </w:tc>
              <w:tc>
                <w:tcPr>
                  <w:tcW w:w="2050" w:type="pct"/>
                  <w:shd w:val="clear" w:color="auto" w:fill="auto"/>
                  <w:tcMar>
                    <w:left w:w="108" w:type="dxa"/>
                    <w:right w:w="108" w:type="dxa"/>
                  </w:tcMar>
                  <w:vAlign w:val="center"/>
                </w:tcPr>
                <w:p w14:paraId="26889CA5">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燃煤发电</w:t>
                  </w:r>
                </w:p>
              </w:tc>
            </w:tr>
            <w:tr w14:paraId="23A2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97" w:hRule="atLeast"/>
                <w:jc w:val="center"/>
              </w:trPr>
              <w:tc>
                <w:tcPr>
                  <w:tcW w:w="450" w:type="pct"/>
                  <w:shd w:val="clear" w:color="auto" w:fill="auto"/>
                  <w:tcMar>
                    <w:left w:w="108" w:type="dxa"/>
                    <w:right w:w="108" w:type="dxa"/>
                  </w:tcMar>
                  <w:vAlign w:val="center"/>
                </w:tcPr>
                <w:p w14:paraId="1B9045B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27</w:t>
                  </w:r>
                </w:p>
              </w:tc>
              <w:tc>
                <w:tcPr>
                  <w:tcW w:w="500" w:type="pct"/>
                  <w:vMerge w:val="continue"/>
                  <w:shd w:val="clear" w:color="auto" w:fill="auto"/>
                  <w:tcMar>
                    <w:left w:w="108" w:type="dxa"/>
                    <w:right w:w="108" w:type="dxa"/>
                  </w:tcMar>
                  <w:vAlign w:val="center"/>
                </w:tcPr>
                <w:p w14:paraId="5ED6190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p>
              </w:tc>
              <w:tc>
                <w:tcPr>
                  <w:tcW w:w="1250" w:type="pct"/>
                  <w:shd w:val="clear" w:color="auto" w:fill="auto"/>
                  <w:tcMar>
                    <w:left w:w="108" w:type="dxa"/>
                    <w:right w:w="108" w:type="dxa"/>
                  </w:tcMar>
                  <w:vAlign w:val="center"/>
                </w:tcPr>
                <w:p w14:paraId="0DD150E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热电联产</w:t>
                  </w:r>
                </w:p>
              </w:tc>
              <w:tc>
                <w:tcPr>
                  <w:tcW w:w="650" w:type="pct"/>
                  <w:shd w:val="clear" w:color="auto" w:fill="auto"/>
                  <w:tcMar>
                    <w:left w:w="108" w:type="dxa"/>
                    <w:right w:w="108" w:type="dxa"/>
                  </w:tcMar>
                  <w:vAlign w:val="center"/>
                </w:tcPr>
                <w:p w14:paraId="200D257C">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4412</w:t>
                  </w:r>
                </w:p>
              </w:tc>
              <w:tc>
                <w:tcPr>
                  <w:tcW w:w="2050" w:type="pct"/>
                  <w:shd w:val="clear" w:color="auto" w:fill="auto"/>
                  <w:tcMar>
                    <w:left w:w="108" w:type="dxa"/>
                    <w:right w:w="108" w:type="dxa"/>
                  </w:tcMar>
                  <w:vAlign w:val="center"/>
                </w:tcPr>
                <w:p w14:paraId="3589EF9E">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燃煤热电联产</w:t>
                  </w:r>
                </w:p>
              </w:tc>
            </w:tr>
          </w:tbl>
          <w:p w14:paraId="057598D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lang w:val="en-US" w:eastAsia="zh-CN"/>
              </w:rPr>
            </w:pPr>
            <w:r>
              <w:rPr>
                <w:rFonts w:hint="eastAsia" w:cs="宋体"/>
                <w:sz w:val="24"/>
                <w:szCs w:val="24"/>
                <w:lang w:val="en-US" w:eastAsia="zh-CN"/>
              </w:rPr>
              <w:t>对照上表，</w:t>
            </w:r>
            <w:r>
              <w:rPr>
                <w:rFonts w:hint="eastAsia" w:ascii="Times New Roman" w:hAnsi="Times New Roman" w:eastAsia="宋体" w:cs="宋体"/>
                <w:sz w:val="24"/>
                <w:szCs w:val="24"/>
                <w:lang w:val="en-US" w:eastAsia="zh-CN"/>
              </w:rPr>
              <w:t>本项目属于</w:t>
            </w:r>
            <w:r>
              <w:rPr>
                <w:rFonts w:hint="default" w:ascii="Times New Roman" w:hAnsi="Times New Roman" w:eastAsia="宋体" w:cs="宋体"/>
                <w:sz w:val="24"/>
                <w:szCs w:val="24"/>
              </w:rPr>
              <w:t>C3</w:t>
            </w:r>
            <w:r>
              <w:rPr>
                <w:rFonts w:hint="eastAsia" w:ascii="Times New Roman" w:hAnsi="Times New Roman" w:eastAsia="宋体" w:cs="宋体"/>
                <w:sz w:val="24"/>
                <w:szCs w:val="24"/>
                <w:lang w:val="en-US" w:eastAsia="zh-CN"/>
              </w:rPr>
              <w:t>042特种玻璃制造</w:t>
            </w:r>
            <w:r>
              <w:rPr>
                <w:rFonts w:hint="eastAsia" w:cs="宋体"/>
                <w:sz w:val="24"/>
                <w:szCs w:val="24"/>
                <w:lang w:val="en-US" w:eastAsia="zh-CN"/>
              </w:rPr>
              <w:t>、305玻璃制品制造</w:t>
            </w:r>
            <w:r>
              <w:rPr>
                <w:rFonts w:hint="eastAsia" w:ascii="Times New Roman" w:hAnsi="Times New Roman" w:eastAsia="宋体" w:cs="宋体"/>
                <w:sz w:val="24"/>
                <w:szCs w:val="24"/>
                <w:lang w:val="en-US" w:eastAsia="zh-CN"/>
              </w:rPr>
              <w:t>，不属于“两高”项目行列。</w:t>
            </w:r>
          </w:p>
          <w:p w14:paraId="4CC58861">
            <w:pPr>
              <w:keepNext w:val="0"/>
              <w:keepLines w:val="0"/>
              <w:suppressLineNumbers w:val="0"/>
              <w:autoSpaceDE w:val="0"/>
              <w:autoSpaceDN w:val="0"/>
              <w:spacing w:before="0" w:beforeAutospacing="0" w:after="0" w:afterAutospacing="0" w:line="360" w:lineRule="auto"/>
              <w:ind w:left="0" w:right="0"/>
              <w:jc w:val="left"/>
              <w:rPr>
                <w:rFonts w:hint="default"/>
                <w:b/>
                <w:bCs/>
                <w:sz w:val="24"/>
                <w:szCs w:val="24"/>
              </w:rPr>
            </w:pPr>
            <w:r>
              <w:rPr>
                <w:rFonts w:hint="eastAsia"/>
                <w:b/>
                <w:bCs/>
                <w:sz w:val="24"/>
                <w:szCs w:val="24"/>
                <w:lang w:val="en-US" w:eastAsia="zh-CN"/>
              </w:rPr>
              <w:t>4</w:t>
            </w:r>
            <w:r>
              <w:rPr>
                <w:rFonts w:hint="eastAsia" w:cs="宋体"/>
                <w:b/>
                <w:bCs/>
                <w:sz w:val="24"/>
                <w:szCs w:val="24"/>
              </w:rPr>
              <w:t>、产业政策符合性</w:t>
            </w:r>
          </w:p>
          <w:p w14:paraId="0829C9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sz w:val="24"/>
                <w:szCs w:val="24"/>
              </w:rPr>
            </w:pPr>
            <w:r>
              <w:rPr>
                <w:rFonts w:hint="eastAsia" w:cs="宋体"/>
                <w:sz w:val="24"/>
                <w:szCs w:val="24"/>
              </w:rPr>
              <w:t>根据工信部《部门工业行业淘汰落后生产工艺装备和产业指导名录（</w:t>
            </w:r>
            <w:r>
              <w:rPr>
                <w:rFonts w:hint="default"/>
                <w:sz w:val="24"/>
                <w:szCs w:val="24"/>
              </w:rPr>
              <w:t>2010</w:t>
            </w:r>
            <w:r>
              <w:rPr>
                <w:rFonts w:hint="eastAsia" w:cs="宋体"/>
                <w:sz w:val="24"/>
                <w:szCs w:val="24"/>
              </w:rPr>
              <w:t>年本）》及《高耗能落后机电设备（产品）淘汰目录》第一批和第二批等相关产业政策及环保法规，该项目采用的技术、产品、工艺及所用设备均不属于限制类和淘汰类，属于国家允许类。</w:t>
            </w:r>
            <w:r>
              <w:rPr>
                <w:rFonts w:hint="default" w:ascii="Times New Roman" w:hAnsi="Times New Roman" w:cs="Times New Roman"/>
                <w:sz w:val="24"/>
                <w:szCs w:val="24"/>
                <w:lang w:val="en-US" w:eastAsia="zh-CN"/>
              </w:rPr>
              <w:t>本项目选址用地不属于《自然资源要素支撑产业高质量发展指导目录（2024年本）》（自然资发〔2024〕273号）中规定的限制及禁止项目。</w:t>
            </w:r>
          </w:p>
          <w:p w14:paraId="31E199C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kern w:val="0"/>
                <w:sz w:val="24"/>
                <w:szCs w:val="24"/>
              </w:rPr>
            </w:pPr>
            <w:r>
              <w:rPr>
                <w:rFonts w:hint="eastAsia" w:cs="宋体"/>
                <w:sz w:val="24"/>
                <w:szCs w:val="24"/>
              </w:rPr>
              <w:t>根据《产业结构调整指导目录》（</w:t>
            </w:r>
            <w:r>
              <w:rPr>
                <w:rFonts w:hint="default"/>
                <w:sz w:val="24"/>
                <w:szCs w:val="24"/>
              </w:rPr>
              <w:t>20</w:t>
            </w:r>
            <w:r>
              <w:rPr>
                <w:rFonts w:hint="eastAsia"/>
                <w:sz w:val="24"/>
                <w:szCs w:val="24"/>
                <w:lang w:val="en-US" w:eastAsia="zh-CN"/>
              </w:rPr>
              <w:t>24</w:t>
            </w:r>
            <w:r>
              <w:rPr>
                <w:rFonts w:hint="eastAsia" w:cs="宋体"/>
                <w:sz w:val="24"/>
                <w:szCs w:val="24"/>
              </w:rPr>
              <w:t>年本），本项目</w:t>
            </w:r>
            <w:r>
              <w:rPr>
                <w:rFonts w:hint="eastAsia" w:cs="宋体"/>
                <w:kern w:val="0"/>
                <w:sz w:val="24"/>
                <w:szCs w:val="24"/>
              </w:rPr>
              <w:t>属于</w:t>
            </w:r>
            <w:r>
              <w:rPr>
                <w:rFonts w:hint="eastAsia" w:cs="宋体"/>
                <w:kern w:val="0"/>
                <w:sz w:val="24"/>
                <w:szCs w:val="24"/>
                <w:lang w:val="en-US" w:eastAsia="zh-CN"/>
              </w:rPr>
              <w:t>鼓励</w:t>
            </w:r>
            <w:r>
              <w:rPr>
                <w:rFonts w:hint="eastAsia" w:cs="宋体"/>
                <w:kern w:val="0"/>
                <w:sz w:val="24"/>
                <w:szCs w:val="24"/>
              </w:rPr>
              <w:t>类</w:t>
            </w:r>
            <w:r>
              <w:rPr>
                <w:rFonts w:hint="eastAsia" w:cs="宋体"/>
                <w:kern w:val="0"/>
                <w:sz w:val="24"/>
                <w:szCs w:val="24"/>
                <w:lang w:val="en-US" w:eastAsia="zh-CN"/>
              </w:rPr>
              <w:t>-十二建材-高硼硅玻璃</w:t>
            </w:r>
            <w:r>
              <w:rPr>
                <w:rFonts w:hint="eastAsia" w:cs="宋体"/>
                <w:kern w:val="0"/>
                <w:sz w:val="24"/>
                <w:szCs w:val="24"/>
              </w:rPr>
              <w:t>。</w:t>
            </w:r>
          </w:p>
          <w:p w14:paraId="6619B8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rPr>
            </w:pPr>
            <w:r>
              <w:rPr>
                <w:rFonts w:hint="eastAsia" w:cs="宋体"/>
                <w:sz w:val="24"/>
                <w:szCs w:val="24"/>
                <w:lang w:val="en-US" w:eastAsia="zh-CN"/>
              </w:rPr>
              <w:t>项目已于2025年2月27日经安徽淮北烈山经开区管委会备案（项目代码：2502-340604-04-05-418170），并与安徽淮北烈山经开区管委会签署了投资协议书，可视为允许入园项目</w:t>
            </w:r>
            <w:r>
              <w:rPr>
                <w:rFonts w:hint="eastAsia" w:cs="宋体"/>
                <w:sz w:val="24"/>
                <w:szCs w:val="24"/>
              </w:rPr>
              <w:t>。</w:t>
            </w:r>
          </w:p>
          <w:p w14:paraId="6459386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rPr>
            </w:pPr>
            <w:r>
              <w:rPr>
                <w:rFonts w:hint="eastAsia" w:cs="宋体"/>
                <w:sz w:val="24"/>
                <w:szCs w:val="24"/>
                <w:lang w:val="en-US" w:eastAsia="zh-CN"/>
              </w:rPr>
              <w:t>综上</w:t>
            </w:r>
            <w:r>
              <w:rPr>
                <w:rFonts w:hint="eastAsia" w:cs="宋体"/>
                <w:sz w:val="24"/>
                <w:szCs w:val="24"/>
              </w:rPr>
              <w:t>，本项目符合国家产业政策。</w:t>
            </w:r>
          </w:p>
          <w:p w14:paraId="62BE8E8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rPr>
            </w:pPr>
          </w:p>
          <w:p w14:paraId="0CEC74C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lang w:val="en-US" w:eastAsia="zh-CN"/>
              </w:rPr>
            </w:pPr>
          </w:p>
          <w:p w14:paraId="160292C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lang w:val="en-US" w:eastAsia="zh-CN"/>
              </w:rPr>
            </w:pPr>
          </w:p>
          <w:p w14:paraId="05611BD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lang w:val="en-US" w:eastAsia="zh-CN"/>
              </w:rPr>
            </w:pPr>
          </w:p>
          <w:p w14:paraId="3EC494E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eastAsia="宋体"/>
                <w:kern w:val="0"/>
                <w:sz w:val="24"/>
                <w:szCs w:val="24"/>
                <w:lang w:val="en-US" w:eastAsia="zh-CN"/>
              </w:rPr>
            </w:pPr>
          </w:p>
        </w:tc>
      </w:tr>
    </w:tbl>
    <w:p w14:paraId="4104B6C4">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黑体" w:hAnsi="黑体" w:eastAsia="黑体" w:cs="黑体"/>
          <w:snapToGrid w:val="0"/>
          <w:sz w:val="30"/>
          <w:szCs w:val="30"/>
        </w:rPr>
        <w:sectPr>
          <w:pgSz w:w="11906" w:h="16838"/>
          <w:pgMar w:top="1440" w:right="1800" w:bottom="1440" w:left="1417" w:header="851" w:footer="992" w:gutter="0"/>
          <w:pgNumType w:fmt="decimal"/>
          <w:cols w:space="425" w:num="1"/>
          <w:docGrid w:type="lines" w:linePitch="312" w:charSpace="0"/>
        </w:sectPr>
      </w:pPr>
    </w:p>
    <w:p w14:paraId="74E8519D">
      <w:pPr>
        <w:pStyle w:val="28"/>
        <w:keepNext/>
        <w:keepLines/>
        <w:pageBreakBefore w:val="0"/>
        <w:widowControl w:val="0"/>
        <w:kinsoku/>
        <w:wordWrap w:val="0"/>
        <w:overflowPunct/>
        <w:topLinePunct/>
        <w:autoSpaceDE/>
        <w:autoSpaceDN/>
        <w:bidi w:val="0"/>
        <w:adjustRightInd/>
        <w:snapToGrid/>
        <w:spacing w:before="0" w:beforeAutospacing="0" w:after="0" w:afterAutospacing="0" w:line="360" w:lineRule="auto"/>
        <w:ind w:firstLine="0" w:firstLineChars="0"/>
        <w:jc w:val="center"/>
        <w:textAlignment w:val="auto"/>
        <w:outlineLvl w:val="0"/>
        <w:rPr>
          <w:rFonts w:ascii="黑体" w:hAnsi="黑体" w:eastAsia="黑体" w:cs="Times New Roman"/>
          <w:snapToGrid w:val="0"/>
          <w:sz w:val="30"/>
          <w:szCs w:val="30"/>
        </w:rPr>
      </w:pPr>
      <w:r>
        <w:rPr>
          <w:rFonts w:hint="eastAsia" w:ascii="黑体" w:hAnsi="黑体" w:eastAsia="黑体" w:cs="黑体"/>
          <w:snapToGrid w:val="0"/>
          <w:sz w:val="30"/>
          <w:szCs w:val="30"/>
        </w:rPr>
        <w:t>二、建设项目工程分析</w:t>
      </w:r>
      <w:bookmarkEnd w:id="2"/>
    </w:p>
    <w:tbl>
      <w:tblPr>
        <w:tblStyle w:val="30"/>
        <w:tblW w:w="8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335"/>
      </w:tblGrid>
      <w:tr w14:paraId="2139F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3" w:type="dxa"/>
            <w:tcBorders>
              <w:top w:val="single" w:color="auto" w:sz="8" w:space="0"/>
              <w:bottom w:val="single" w:color="auto" w:sz="8" w:space="0"/>
            </w:tcBorders>
            <w:vAlign w:val="center"/>
          </w:tcPr>
          <w:p w14:paraId="6D96FC54">
            <w:pPr>
              <w:pStyle w:val="28"/>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rPr>
                <w:rFonts w:hint="default" w:cs="Times New Roman"/>
                <w:sz w:val="21"/>
                <w:szCs w:val="21"/>
              </w:rPr>
            </w:pPr>
            <w:r>
              <w:rPr>
                <w:rFonts w:hint="eastAsia"/>
                <w:b/>
                <w:bCs/>
              </w:rPr>
              <w:t>建设内容</w:t>
            </w:r>
          </w:p>
        </w:tc>
        <w:tc>
          <w:tcPr>
            <w:tcW w:w="8362" w:type="dxa"/>
            <w:tcBorders>
              <w:top w:val="single" w:color="auto" w:sz="8" w:space="0"/>
              <w:bottom w:val="single" w:color="auto" w:sz="8" w:space="0"/>
              <w:right w:val="single" w:color="auto" w:sz="4" w:space="0"/>
            </w:tcBorders>
          </w:tcPr>
          <w:p w14:paraId="08E092B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default"/>
                <w:b/>
                <w:bCs/>
                <w:sz w:val="24"/>
                <w:szCs w:val="24"/>
              </w:rPr>
            </w:pPr>
            <w:r>
              <w:rPr>
                <w:rFonts w:hint="default"/>
                <w:b/>
                <w:bCs/>
                <w:sz w:val="24"/>
                <w:szCs w:val="24"/>
              </w:rPr>
              <w:t>1</w:t>
            </w:r>
            <w:r>
              <w:rPr>
                <w:rFonts w:hint="eastAsia" w:cs="宋体"/>
                <w:b/>
                <w:bCs/>
                <w:sz w:val="24"/>
                <w:szCs w:val="24"/>
              </w:rPr>
              <w:t>、项目基本情况</w:t>
            </w:r>
          </w:p>
          <w:p w14:paraId="7158499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rPr>
            </w:pPr>
            <w:r>
              <w:rPr>
                <w:rFonts w:hint="eastAsia" w:cs="宋体"/>
                <w:sz w:val="24"/>
                <w:szCs w:val="24"/>
              </w:rPr>
              <w:t>项目名称：</w:t>
            </w:r>
            <w:r>
              <w:rPr>
                <w:rFonts w:hint="eastAsia" w:cs="宋体"/>
                <w:sz w:val="24"/>
                <w:szCs w:val="24"/>
                <w:lang w:val="en-US" w:eastAsia="zh-CN"/>
              </w:rPr>
              <w:t>高硼硅新材料产业园项目</w:t>
            </w:r>
          </w:p>
          <w:p w14:paraId="56A4A13F">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sz w:val="24"/>
                <w:szCs w:val="24"/>
              </w:rPr>
            </w:pPr>
            <w:r>
              <w:rPr>
                <w:rFonts w:hint="eastAsia" w:cs="宋体"/>
                <w:sz w:val="24"/>
                <w:szCs w:val="24"/>
              </w:rPr>
              <w:t>建设单位：</w:t>
            </w:r>
            <w:r>
              <w:rPr>
                <w:rFonts w:hint="eastAsia" w:cs="宋体"/>
                <w:sz w:val="24"/>
                <w:szCs w:val="24"/>
                <w:lang w:val="en-US" w:eastAsia="zh-CN"/>
              </w:rPr>
              <w:t xml:space="preserve">安徽智玻新材料科技有限公司 </w:t>
            </w:r>
          </w:p>
          <w:p w14:paraId="2555E33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eastAsia="宋体"/>
                <w:sz w:val="24"/>
                <w:szCs w:val="24"/>
                <w:lang w:val="en-US" w:eastAsia="zh-CN"/>
              </w:rPr>
            </w:pPr>
            <w:r>
              <w:rPr>
                <w:rFonts w:hint="eastAsia" w:cs="宋体"/>
                <w:sz w:val="24"/>
                <w:szCs w:val="24"/>
              </w:rPr>
              <w:t>项目性质：</w:t>
            </w:r>
            <w:r>
              <w:rPr>
                <w:rFonts w:hint="eastAsia" w:cs="宋体"/>
                <w:sz w:val="24"/>
                <w:szCs w:val="24"/>
                <w:lang w:val="en-US" w:eastAsia="zh-CN"/>
              </w:rPr>
              <w:t>新建</w:t>
            </w:r>
          </w:p>
          <w:p w14:paraId="200F16E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sz w:val="24"/>
                <w:szCs w:val="24"/>
              </w:rPr>
            </w:pPr>
            <w:r>
              <w:rPr>
                <w:rFonts w:hint="eastAsia" w:cs="宋体"/>
                <w:sz w:val="24"/>
                <w:szCs w:val="24"/>
              </w:rPr>
              <w:t>项目总</w:t>
            </w:r>
            <w:r>
              <w:rPr>
                <w:rFonts w:hint="eastAsia" w:cs="宋体"/>
                <w:sz w:val="24"/>
                <w:szCs w:val="24"/>
                <w:lang w:val="en-US" w:eastAsia="zh-CN"/>
              </w:rPr>
              <w:t>投资</w:t>
            </w:r>
            <w:r>
              <w:rPr>
                <w:rFonts w:hint="eastAsia" w:cs="宋体"/>
                <w:sz w:val="24"/>
                <w:szCs w:val="24"/>
                <w:lang w:eastAsia="zh-CN"/>
              </w:rPr>
              <w:t>：</w:t>
            </w:r>
            <w:r>
              <w:rPr>
                <w:rFonts w:hint="eastAsia" w:cs="宋体"/>
                <w:sz w:val="24"/>
                <w:szCs w:val="24"/>
                <w:lang w:val="en-US" w:eastAsia="zh-CN"/>
              </w:rPr>
              <w:t>100500</w:t>
            </w:r>
            <w:r>
              <w:rPr>
                <w:rFonts w:hint="eastAsia" w:cs="宋体"/>
                <w:sz w:val="24"/>
                <w:szCs w:val="24"/>
              </w:rPr>
              <w:t>万元</w:t>
            </w:r>
          </w:p>
          <w:p w14:paraId="5C3B0B6F">
            <w:pPr>
              <w:keepNext/>
              <w:keepLines/>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宋体"/>
                <w:sz w:val="24"/>
                <w:szCs w:val="24"/>
                <w:lang w:val="en-US" w:eastAsia="zh-CN"/>
              </w:rPr>
            </w:pPr>
            <w:r>
              <w:rPr>
                <w:rFonts w:hint="eastAsia" w:cs="宋体"/>
                <w:sz w:val="24"/>
                <w:szCs w:val="24"/>
              </w:rPr>
              <w:t>周边环境现状：</w:t>
            </w:r>
            <w:r>
              <w:rPr>
                <w:rFonts w:hint="eastAsia" w:ascii="Times New Roman" w:hAnsi="Times New Roman" w:eastAsia="宋体" w:cs="宋体"/>
                <w:sz w:val="24"/>
                <w:szCs w:val="24"/>
                <w:lang w:val="en-US" w:eastAsia="zh-CN"/>
              </w:rPr>
              <w:t>本项目位于淮北市烈山区经济开发区青龙山电子信息产业园</w:t>
            </w:r>
            <w:r>
              <w:rPr>
                <w:rFonts w:hint="eastAsia" w:cs="宋体"/>
                <w:sz w:val="24"/>
                <w:szCs w:val="24"/>
                <w:lang w:val="en-US" w:eastAsia="zh-CN"/>
              </w:rPr>
              <w:t>四期</w:t>
            </w:r>
            <w:r>
              <w:rPr>
                <w:rFonts w:hint="eastAsia" w:ascii="Times New Roman" w:hAnsi="Times New Roman" w:eastAsia="宋体" w:cs="宋体"/>
                <w:sz w:val="24"/>
                <w:szCs w:val="24"/>
                <w:lang w:val="en-US" w:eastAsia="zh-CN"/>
              </w:rPr>
              <w:t>，本项目东侧为</w:t>
            </w:r>
            <w:r>
              <w:rPr>
                <w:rFonts w:hint="eastAsia" w:cs="宋体"/>
                <w:sz w:val="24"/>
                <w:szCs w:val="24"/>
                <w:lang w:val="en-US" w:eastAsia="zh-CN"/>
              </w:rPr>
              <w:t>经二路、隔路为空地及淮北市千锂鸟新能源科技有限公司，南侧为陶博路、隔路为中铁上海工程局集团淮北烈山厂房项目，</w:t>
            </w:r>
            <w:r>
              <w:rPr>
                <w:rFonts w:hint="eastAsia" w:ascii="Times New Roman" w:hAnsi="Times New Roman" w:eastAsia="宋体" w:cs="宋体"/>
                <w:sz w:val="24"/>
                <w:szCs w:val="24"/>
                <w:lang w:val="en-US" w:eastAsia="zh-CN"/>
              </w:rPr>
              <w:t>西侧为</w:t>
            </w:r>
            <w:r>
              <w:rPr>
                <w:rFonts w:hint="eastAsia" w:cs="宋体"/>
                <w:sz w:val="24"/>
                <w:szCs w:val="24"/>
                <w:lang w:val="en-US" w:eastAsia="zh-CN"/>
              </w:rPr>
              <w:t>空地，北侧为纬一路、隔路为空地。</w:t>
            </w:r>
          </w:p>
          <w:p w14:paraId="75A251D7">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宋体"/>
                <w:b/>
                <w:bCs/>
                <w:sz w:val="24"/>
                <w:szCs w:val="24"/>
              </w:rPr>
              <w:t>2、</w:t>
            </w:r>
            <w:r>
              <w:rPr>
                <w:rFonts w:hint="eastAsia" w:ascii="Times New Roman" w:hAnsi="Times New Roman" w:eastAsia="宋体" w:cs="宋体"/>
                <w:b/>
                <w:bCs/>
                <w:sz w:val="24"/>
                <w:szCs w:val="24"/>
                <w:lang w:val="en-US" w:eastAsia="zh-CN"/>
              </w:rPr>
              <w:t>项目建设背景</w:t>
            </w:r>
          </w:p>
          <w:p w14:paraId="56C3A443">
            <w:pPr>
              <w:keepNext/>
              <w:keepLines/>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随着国民收入水平的提高，消费者的需求从“有”向“好”转变，建设高硼硅玻璃项目具有深厚的市场需求基础、明确的政策支持导向、逐渐成熟的技术条件和重要的战略意义。项目不仅瞄准了当前消费升级和新能源产业的风口，更是切入国家急需突破的关键材料领域，是一个市场前景广阔、社会效益与经济效益并重的优质投资项目。</w:t>
            </w:r>
          </w:p>
          <w:p w14:paraId="50A5E944">
            <w:pPr>
              <w:keepNext/>
              <w:keepLines/>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b/>
                <w:bCs/>
                <w:sz w:val="24"/>
                <w:szCs w:val="24"/>
              </w:rPr>
            </w:pPr>
            <w:r>
              <w:rPr>
                <w:rFonts w:hint="eastAsia" w:cs="Times New Roman"/>
                <w:sz w:val="24"/>
                <w:szCs w:val="24"/>
                <w:lang w:val="en-US" w:eastAsia="zh-CN"/>
              </w:rPr>
              <w:t>基于此，我公司拟投资100500万元建设</w:t>
            </w:r>
            <w:r>
              <w:rPr>
                <w:rFonts w:hint="eastAsia" w:cs="宋体"/>
                <w:sz w:val="24"/>
                <w:szCs w:val="24"/>
                <w:lang w:val="en-US" w:eastAsia="zh-CN"/>
              </w:rPr>
              <w:t>高硼硅新材料产业园项目，项目已于2025年2月27日经安徽淮北烈山经济开发区管委会备案</w:t>
            </w:r>
            <w:r>
              <w:rPr>
                <w:rFonts w:hint="eastAsia" w:cs="Times New Roman"/>
                <w:sz w:val="24"/>
                <w:szCs w:val="24"/>
                <w:lang w:val="en-US" w:eastAsia="zh-CN"/>
              </w:rPr>
              <w:t>（项目代码：</w:t>
            </w:r>
            <w:r>
              <w:rPr>
                <w:rFonts w:hint="eastAsia" w:ascii="Times New Roman" w:hAnsi="Times New Roman" w:eastAsia="宋体" w:cs="Times New Roman"/>
                <w:sz w:val="24"/>
                <w:szCs w:val="24"/>
                <w:lang w:val="en-US" w:eastAsia="zh-CN"/>
              </w:rPr>
              <w:t>2502-340604-04-05-418170</w:t>
            </w:r>
            <w:r>
              <w:rPr>
                <w:rFonts w:hint="eastAsia" w:cs="Times New Roman"/>
                <w:sz w:val="24"/>
                <w:szCs w:val="24"/>
                <w:lang w:val="en-US" w:eastAsia="zh-CN"/>
              </w:rPr>
              <w:t>），并与开发区签署投资协议。</w:t>
            </w:r>
          </w:p>
          <w:p w14:paraId="10812507">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textAlignment w:val="auto"/>
              <w:rPr>
                <w:rFonts w:hint="default"/>
                <w:b/>
                <w:bCs/>
                <w:sz w:val="24"/>
                <w:szCs w:val="24"/>
              </w:rPr>
            </w:pPr>
            <w:r>
              <w:rPr>
                <w:rFonts w:hint="eastAsia" w:cs="宋体"/>
                <w:b/>
                <w:bCs/>
                <w:sz w:val="24"/>
                <w:szCs w:val="24"/>
                <w:lang w:val="en-US" w:eastAsia="zh-CN"/>
              </w:rPr>
              <w:t>3、</w:t>
            </w:r>
            <w:r>
              <w:rPr>
                <w:rFonts w:hint="eastAsia" w:cs="宋体"/>
                <w:b/>
                <w:bCs/>
                <w:sz w:val="24"/>
                <w:szCs w:val="24"/>
              </w:rPr>
              <w:t>建设规模及主要建设内容</w:t>
            </w:r>
            <w:r>
              <w:rPr>
                <w:rFonts w:hint="default"/>
                <w:b/>
                <w:bCs/>
                <w:sz w:val="24"/>
                <w:szCs w:val="24"/>
              </w:rPr>
              <w:t xml:space="preserve">                         </w:t>
            </w:r>
          </w:p>
          <w:p w14:paraId="2533DF03">
            <w:pPr>
              <w:keepNext/>
              <w:keepLines/>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项目位于淮北市烈山区经济开发区青龙山电子信息产业园，占地面积</w:t>
            </w:r>
            <w:r>
              <w:rPr>
                <w:rFonts w:hint="eastAsia" w:ascii="Times New Roman" w:hAnsi="Times New Roman" w:eastAsia="宋体" w:cs="Times New Roman"/>
                <w:sz w:val="24"/>
                <w:szCs w:val="24"/>
                <w:lang w:val="en-US" w:eastAsia="zh-CN"/>
              </w:rPr>
              <w:t>69297.73m</w:t>
            </w:r>
            <w:r>
              <w:rPr>
                <w:rFonts w:hint="eastAsia" w:ascii="Times New Roman" w:hAnsi="Times New Roman" w:eastAsia="宋体" w:cs="Times New Roman"/>
                <w:sz w:val="24"/>
                <w:szCs w:val="24"/>
                <w:vertAlign w:val="superscript"/>
                <w:lang w:val="en-US" w:eastAsia="zh-CN"/>
              </w:rPr>
              <w:t>2</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总建筑面积45597.8</w:t>
            </w:r>
            <w:r>
              <w:rPr>
                <w:rFonts w:hint="eastAsia" w:ascii="Times New Roman" w:hAnsi="Times New Roman" w:eastAsia="宋体" w:cs="Times New Roman"/>
                <w:sz w:val="24"/>
                <w:szCs w:val="24"/>
                <w:lang w:val="en-US" w:eastAsia="zh-CN"/>
              </w:rPr>
              <w:t>m</w:t>
            </w:r>
            <w:r>
              <w:rPr>
                <w:rFonts w:hint="eastAsia" w:ascii="Times New Roman" w:hAnsi="Times New Roman" w:eastAsia="宋体" w:cs="Times New Roman"/>
                <w:sz w:val="24"/>
                <w:szCs w:val="24"/>
                <w:vertAlign w:val="superscript"/>
                <w:lang w:val="en-US" w:eastAsia="zh-CN"/>
              </w:rPr>
              <w:t>2</w:t>
            </w:r>
            <w:r>
              <w:rPr>
                <w:rFonts w:hint="eastAsia" w:cs="Times New Roman"/>
                <w:sz w:val="24"/>
                <w:szCs w:val="24"/>
                <w:lang w:val="en-US" w:eastAsia="zh-CN"/>
              </w:rPr>
              <w:t>。1#生产车间内设计为光热玻璃生产线，2#生产车间内设计为防火玻璃生产线，3#生产车间内设计为高硼硅玻璃制品生产线，4#生产车间为成品库，另包含综合楼等。</w:t>
            </w:r>
            <w:r>
              <w:rPr>
                <w:rFonts w:hint="eastAsia" w:ascii="Times New Roman" w:hAnsi="Times New Roman" w:eastAsia="宋体" w:cs="Times New Roman"/>
                <w:sz w:val="24"/>
                <w:szCs w:val="24"/>
                <w:lang w:val="en-US" w:eastAsia="zh-CN"/>
              </w:rPr>
              <w:t>项目建成后，年产21900</w:t>
            </w:r>
            <w:r>
              <w:rPr>
                <w:rFonts w:hint="eastAsia" w:cs="Times New Roman"/>
                <w:sz w:val="24"/>
                <w:szCs w:val="24"/>
                <w:lang w:val="en-US" w:eastAsia="zh-CN"/>
              </w:rPr>
              <w:t>t高硼硅防火玻璃、14000t高硼硅光热玻璃、600t高硼硅玻璃制品。</w:t>
            </w:r>
          </w:p>
          <w:p w14:paraId="5B5A11A6">
            <w:pPr>
              <w:keepNext/>
              <w:keepLines/>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建设组成详见下表：</w:t>
            </w:r>
          </w:p>
          <w:p w14:paraId="6FBB211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cs="宋体"/>
                <w:b/>
                <w:bCs/>
                <w:sz w:val="24"/>
                <w:szCs w:val="24"/>
                <w:lang w:val="en-US" w:eastAsia="zh-CN"/>
              </w:rPr>
            </w:pPr>
            <w:r>
              <w:rPr>
                <w:rFonts w:hint="eastAsia" w:cs="宋体"/>
                <w:b/>
                <w:bCs/>
                <w:sz w:val="24"/>
                <w:szCs w:val="24"/>
              </w:rPr>
              <w:t>表2-</w:t>
            </w:r>
            <w:r>
              <w:rPr>
                <w:rFonts w:hint="eastAsia" w:cs="宋体"/>
                <w:b/>
                <w:bCs/>
                <w:sz w:val="24"/>
                <w:szCs w:val="24"/>
                <w:lang w:val="en-US" w:eastAsia="zh-CN"/>
              </w:rPr>
              <w:t>3</w:t>
            </w:r>
            <w:r>
              <w:rPr>
                <w:rFonts w:hint="eastAsia" w:cs="宋体"/>
                <w:b/>
                <w:bCs/>
                <w:sz w:val="24"/>
                <w:szCs w:val="24"/>
              </w:rPr>
              <w:t xml:space="preserve">  项目组成一览表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335"/>
              <w:gridCol w:w="424"/>
              <w:gridCol w:w="501"/>
              <w:gridCol w:w="5069"/>
              <w:gridCol w:w="9"/>
              <w:gridCol w:w="1031"/>
              <w:gridCol w:w="9"/>
            </w:tblGrid>
            <w:tr w14:paraId="4A5C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noWrap w:val="0"/>
                  <w:vAlign w:val="center"/>
                </w:tcPr>
                <w:p w14:paraId="07E4FB0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lang w:val="en-US" w:eastAsia="zh-CN"/>
                    </w:rPr>
                  </w:pPr>
                  <w:r>
                    <w:rPr>
                      <w:rFonts w:hint="eastAsia"/>
                      <w:b/>
                      <w:bCs/>
                      <w:color w:val="auto"/>
                      <w:sz w:val="21"/>
                      <w:szCs w:val="21"/>
                    </w:rPr>
                    <w:t>工程类别</w:t>
                  </w:r>
                </w:p>
              </w:tc>
              <w:tc>
                <w:tcPr>
                  <w:tcW w:w="1260" w:type="dxa"/>
                  <w:gridSpan w:val="3"/>
                  <w:noWrap w:val="0"/>
                  <w:vAlign w:val="center"/>
                </w:tcPr>
                <w:p w14:paraId="1CDFF06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lang w:val="en-US" w:eastAsia="zh-CN"/>
                    </w:rPr>
                  </w:pPr>
                  <w:r>
                    <w:rPr>
                      <w:rFonts w:hint="eastAsia"/>
                      <w:b/>
                      <w:bCs/>
                      <w:color w:val="auto"/>
                      <w:sz w:val="21"/>
                      <w:szCs w:val="21"/>
                    </w:rPr>
                    <w:t>单项工程</w:t>
                  </w:r>
                </w:p>
              </w:tc>
              <w:tc>
                <w:tcPr>
                  <w:tcW w:w="5069" w:type="dxa"/>
                  <w:noWrap w:val="0"/>
                  <w:vAlign w:val="center"/>
                </w:tcPr>
                <w:p w14:paraId="089EF0C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lang w:val="en-US" w:eastAsia="zh-CN"/>
                    </w:rPr>
                  </w:pPr>
                  <w:r>
                    <w:rPr>
                      <w:rFonts w:hint="eastAsia"/>
                      <w:b/>
                      <w:bCs/>
                      <w:color w:val="auto"/>
                      <w:sz w:val="21"/>
                      <w:szCs w:val="21"/>
                      <w:lang w:val="en-US" w:eastAsia="zh-CN"/>
                    </w:rPr>
                    <w:t>建设内容和规模</w:t>
                  </w:r>
                </w:p>
              </w:tc>
              <w:tc>
                <w:tcPr>
                  <w:tcW w:w="1040" w:type="dxa"/>
                  <w:gridSpan w:val="2"/>
                  <w:noWrap w:val="0"/>
                  <w:vAlign w:val="center"/>
                </w:tcPr>
                <w:p w14:paraId="1C0ADC7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lang w:val="en-US" w:eastAsia="zh-CN"/>
                    </w:rPr>
                  </w:pPr>
                  <w:r>
                    <w:rPr>
                      <w:rFonts w:hint="eastAsia"/>
                      <w:b/>
                      <w:bCs/>
                      <w:color w:val="auto"/>
                      <w:sz w:val="21"/>
                      <w:szCs w:val="21"/>
                    </w:rPr>
                    <w:t>备注</w:t>
                  </w:r>
                </w:p>
              </w:tc>
            </w:tr>
            <w:tr w14:paraId="4264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restart"/>
                  <w:noWrap w:val="0"/>
                  <w:vAlign w:val="center"/>
                </w:tcPr>
                <w:p w14:paraId="2889EB2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default"/>
                      <w:color w:val="auto"/>
                      <w:sz w:val="21"/>
                      <w:szCs w:val="21"/>
                      <w:lang w:val="en-US" w:eastAsia="zh-CN"/>
                    </w:rPr>
                    <w:t>主体工程</w:t>
                  </w:r>
                </w:p>
              </w:tc>
              <w:tc>
                <w:tcPr>
                  <w:tcW w:w="1260" w:type="dxa"/>
                  <w:gridSpan w:val="3"/>
                  <w:noWrap w:val="0"/>
                  <w:vAlign w:val="center"/>
                </w:tcPr>
                <w:p w14:paraId="7043EEF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1#生产车间</w:t>
                  </w:r>
                </w:p>
              </w:tc>
              <w:tc>
                <w:tcPr>
                  <w:tcW w:w="5069" w:type="dxa"/>
                  <w:noWrap w:val="0"/>
                  <w:vAlign w:val="center"/>
                </w:tcPr>
                <w:p w14:paraId="1153FBB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1F；H=12m，建筑面积为9602.2m</w:t>
                  </w:r>
                  <w:r>
                    <w:rPr>
                      <w:rFonts w:hint="eastAsia"/>
                      <w:color w:val="auto"/>
                      <w:sz w:val="21"/>
                      <w:szCs w:val="21"/>
                      <w:vertAlign w:val="superscript"/>
                      <w:lang w:val="en-US" w:eastAsia="zh-CN"/>
                    </w:rPr>
                    <w:t>2</w:t>
                  </w:r>
                  <w:r>
                    <w:rPr>
                      <w:rFonts w:hint="eastAsia"/>
                      <w:color w:val="auto"/>
                      <w:sz w:val="21"/>
                      <w:szCs w:val="21"/>
                      <w:vertAlign w:val="baseline"/>
                      <w:lang w:val="en-US" w:eastAsia="zh-CN"/>
                    </w:rPr>
                    <w:t>，位于厂区西北部，生产车间包含原料区、成品区、生产区，生产区内购置电熔窑、玻璃成型系统、退火窑、</w:t>
                  </w:r>
                  <w:r>
                    <w:rPr>
                      <w:rFonts w:hint="default" w:ascii="Times New Roman" w:hAnsi="Times New Roman" w:cs="Times New Roman"/>
                      <w:color w:val="auto"/>
                      <w:sz w:val="21"/>
                      <w:szCs w:val="21"/>
                      <w:highlight w:val="none"/>
                      <w:lang w:eastAsia="zh-CN"/>
                    </w:rPr>
                    <w:t>码垛机器人</w:t>
                  </w:r>
                  <w:r>
                    <w:rPr>
                      <w:rFonts w:hint="eastAsia" w:ascii="Times New Roman" w:hAnsi="Times New Roman" w:cs="Times New Roman"/>
                      <w:color w:val="auto"/>
                      <w:sz w:val="21"/>
                      <w:szCs w:val="21"/>
                      <w:highlight w:val="none"/>
                      <w:lang w:eastAsia="zh-CN"/>
                    </w:rPr>
                    <w:t>、循环水系统</w:t>
                  </w:r>
                  <w:r>
                    <w:rPr>
                      <w:rFonts w:hint="eastAsia"/>
                      <w:color w:val="auto"/>
                      <w:sz w:val="21"/>
                      <w:szCs w:val="21"/>
                      <w:vertAlign w:val="baseline"/>
                      <w:lang w:val="en-US" w:eastAsia="zh-CN"/>
                    </w:rPr>
                    <w:t>等设备，设置3#、4#生产线，年产14000t高硼硅光热玻璃</w:t>
                  </w:r>
                </w:p>
              </w:tc>
              <w:tc>
                <w:tcPr>
                  <w:tcW w:w="1040" w:type="dxa"/>
                  <w:gridSpan w:val="2"/>
                  <w:noWrap w:val="0"/>
                  <w:vAlign w:val="center"/>
                </w:tcPr>
                <w:p w14:paraId="386D3C3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厂房依托，生产线新建</w:t>
                  </w:r>
                </w:p>
              </w:tc>
            </w:tr>
            <w:tr w14:paraId="0DC0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479A1BD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1260" w:type="dxa"/>
                  <w:gridSpan w:val="3"/>
                  <w:noWrap w:val="0"/>
                  <w:vAlign w:val="center"/>
                </w:tcPr>
                <w:p w14:paraId="626D277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2#生产车间</w:t>
                  </w:r>
                </w:p>
              </w:tc>
              <w:tc>
                <w:tcPr>
                  <w:tcW w:w="5069" w:type="dxa"/>
                  <w:noWrap w:val="0"/>
                  <w:vAlign w:val="center"/>
                </w:tcPr>
                <w:p w14:paraId="599CA5D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1F；H=12m，建筑面积为9602.2m</w:t>
                  </w:r>
                  <w:r>
                    <w:rPr>
                      <w:rFonts w:hint="eastAsia"/>
                      <w:color w:val="auto"/>
                      <w:sz w:val="21"/>
                      <w:szCs w:val="21"/>
                      <w:vertAlign w:val="superscript"/>
                      <w:lang w:val="en-US" w:eastAsia="zh-CN"/>
                    </w:rPr>
                    <w:t>2</w:t>
                  </w:r>
                  <w:r>
                    <w:rPr>
                      <w:rFonts w:hint="eastAsia"/>
                      <w:color w:val="auto"/>
                      <w:sz w:val="21"/>
                      <w:szCs w:val="21"/>
                      <w:vertAlign w:val="baseline"/>
                      <w:lang w:val="en-US" w:eastAsia="zh-CN"/>
                    </w:rPr>
                    <w:t>，位于厂区东北部，生产车间包含原料区、成品区、生产区，生产区内购置电熔窑、玻璃成型系统、退火窑、</w:t>
                  </w:r>
                  <w:r>
                    <w:rPr>
                      <w:rFonts w:hint="default" w:ascii="Times New Roman" w:hAnsi="Times New Roman" w:cs="Times New Roman"/>
                      <w:color w:val="auto"/>
                      <w:sz w:val="21"/>
                      <w:szCs w:val="21"/>
                      <w:highlight w:val="none"/>
                      <w:lang w:eastAsia="zh-CN"/>
                    </w:rPr>
                    <w:t>码垛机器人</w:t>
                  </w:r>
                  <w:r>
                    <w:rPr>
                      <w:rFonts w:hint="eastAsia" w:ascii="Times New Roman" w:hAnsi="Times New Roman" w:cs="Times New Roman"/>
                      <w:color w:val="auto"/>
                      <w:sz w:val="21"/>
                      <w:szCs w:val="21"/>
                      <w:highlight w:val="none"/>
                      <w:lang w:eastAsia="zh-CN"/>
                    </w:rPr>
                    <w:t>、循环水系统</w:t>
                  </w:r>
                  <w:r>
                    <w:rPr>
                      <w:rFonts w:hint="eastAsia"/>
                      <w:color w:val="auto"/>
                      <w:sz w:val="21"/>
                      <w:szCs w:val="21"/>
                      <w:vertAlign w:val="baseline"/>
                      <w:lang w:val="en-US" w:eastAsia="zh-CN"/>
                    </w:rPr>
                    <w:t>等设备，设置1#、2#生产线，年产21900t高硼硅防火玻璃</w:t>
                  </w:r>
                </w:p>
              </w:tc>
              <w:tc>
                <w:tcPr>
                  <w:tcW w:w="1040" w:type="dxa"/>
                  <w:gridSpan w:val="2"/>
                  <w:noWrap w:val="0"/>
                  <w:vAlign w:val="center"/>
                </w:tcPr>
                <w:p w14:paraId="699AA78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厂房依托，生产线新建</w:t>
                  </w:r>
                </w:p>
              </w:tc>
            </w:tr>
            <w:tr w14:paraId="22C5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7D6C1AA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1260" w:type="dxa"/>
                  <w:gridSpan w:val="3"/>
                  <w:noWrap w:val="0"/>
                  <w:vAlign w:val="center"/>
                </w:tcPr>
                <w:p w14:paraId="401C476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3#生产车间</w:t>
                  </w:r>
                </w:p>
              </w:tc>
              <w:tc>
                <w:tcPr>
                  <w:tcW w:w="5069" w:type="dxa"/>
                  <w:noWrap w:val="0"/>
                  <w:vAlign w:val="center"/>
                </w:tcPr>
                <w:p w14:paraId="3CA343B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1F；H=12m，建筑面积为11341.7m</w:t>
                  </w:r>
                  <w:r>
                    <w:rPr>
                      <w:rFonts w:hint="eastAsia"/>
                      <w:color w:val="auto"/>
                      <w:sz w:val="21"/>
                      <w:szCs w:val="21"/>
                      <w:vertAlign w:val="superscript"/>
                      <w:lang w:val="en-US" w:eastAsia="zh-CN"/>
                    </w:rPr>
                    <w:t>2</w:t>
                  </w:r>
                  <w:r>
                    <w:rPr>
                      <w:rFonts w:hint="eastAsia"/>
                      <w:color w:val="auto"/>
                      <w:sz w:val="21"/>
                      <w:szCs w:val="21"/>
                      <w:vertAlign w:val="baseline"/>
                      <w:lang w:val="en-US" w:eastAsia="zh-CN"/>
                    </w:rPr>
                    <w:t>，位于厂区西南部，生产车间包含原料区、成品区、生产区，生产区内购置电熔窑、玻璃成型系统、退火窑、圆口机</w:t>
                  </w:r>
                  <w:r>
                    <w:rPr>
                      <w:rFonts w:hint="eastAsia" w:ascii="Times New Roman" w:hAnsi="Times New Roman" w:cs="Times New Roman"/>
                      <w:color w:val="auto"/>
                      <w:sz w:val="21"/>
                      <w:szCs w:val="21"/>
                      <w:highlight w:val="none"/>
                      <w:lang w:eastAsia="zh-CN"/>
                    </w:rPr>
                    <w:t>、循环水系统</w:t>
                  </w:r>
                  <w:r>
                    <w:rPr>
                      <w:rFonts w:hint="eastAsia"/>
                      <w:color w:val="auto"/>
                      <w:sz w:val="21"/>
                      <w:szCs w:val="21"/>
                      <w:vertAlign w:val="baseline"/>
                      <w:lang w:val="en-US" w:eastAsia="zh-CN"/>
                    </w:rPr>
                    <w:t>等设备，设置5#生产线，年产600t高硼硅玻璃制品</w:t>
                  </w:r>
                </w:p>
              </w:tc>
              <w:tc>
                <w:tcPr>
                  <w:tcW w:w="1040" w:type="dxa"/>
                  <w:gridSpan w:val="2"/>
                  <w:noWrap w:val="0"/>
                  <w:vAlign w:val="center"/>
                </w:tcPr>
                <w:p w14:paraId="7B05AB7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厂房依托，生产线新建</w:t>
                  </w:r>
                </w:p>
              </w:tc>
            </w:tr>
            <w:tr w14:paraId="466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restart"/>
                  <w:noWrap w:val="0"/>
                  <w:vAlign w:val="center"/>
                </w:tcPr>
                <w:p w14:paraId="7C73AEC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辅助工程</w:t>
                  </w:r>
                </w:p>
              </w:tc>
              <w:tc>
                <w:tcPr>
                  <w:tcW w:w="1260" w:type="dxa"/>
                  <w:gridSpan w:val="3"/>
                  <w:noWrap w:val="0"/>
                  <w:vAlign w:val="center"/>
                </w:tcPr>
                <w:p w14:paraId="71F325E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综合楼</w:t>
                  </w:r>
                </w:p>
              </w:tc>
              <w:tc>
                <w:tcPr>
                  <w:tcW w:w="5069" w:type="dxa"/>
                  <w:noWrap w:val="0"/>
                  <w:vAlign w:val="center"/>
                </w:tcPr>
                <w:p w14:paraId="46CAA29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5F；H=15m，建筑面积为5515m</w:t>
                  </w:r>
                  <w:r>
                    <w:rPr>
                      <w:rFonts w:hint="eastAsia"/>
                      <w:color w:val="auto"/>
                      <w:sz w:val="21"/>
                      <w:szCs w:val="21"/>
                      <w:vertAlign w:val="superscript"/>
                      <w:lang w:val="en-US" w:eastAsia="zh-CN"/>
                    </w:rPr>
                    <w:t>2</w:t>
                  </w:r>
                  <w:r>
                    <w:rPr>
                      <w:rFonts w:hint="eastAsia"/>
                      <w:color w:val="auto"/>
                      <w:sz w:val="21"/>
                      <w:szCs w:val="21"/>
                      <w:vertAlign w:val="baseline"/>
                      <w:lang w:val="en-US" w:eastAsia="zh-CN"/>
                    </w:rPr>
                    <w:t>，位于厂区次入口南部，主要用于厂区职工办公、休息</w:t>
                  </w:r>
                </w:p>
              </w:tc>
              <w:tc>
                <w:tcPr>
                  <w:tcW w:w="1040" w:type="dxa"/>
                  <w:gridSpan w:val="2"/>
                  <w:noWrap w:val="0"/>
                  <w:vAlign w:val="center"/>
                </w:tcPr>
                <w:p w14:paraId="5E84B1A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综合楼依托</w:t>
                  </w:r>
                </w:p>
              </w:tc>
            </w:tr>
            <w:tr w14:paraId="1A56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0CC67D9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c>
                <w:tcPr>
                  <w:tcW w:w="1260" w:type="dxa"/>
                  <w:gridSpan w:val="3"/>
                  <w:noWrap w:val="0"/>
                  <w:vAlign w:val="center"/>
                </w:tcPr>
                <w:p w14:paraId="18B9184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门卫室</w:t>
                  </w:r>
                </w:p>
              </w:tc>
              <w:tc>
                <w:tcPr>
                  <w:tcW w:w="5069" w:type="dxa"/>
                  <w:noWrap w:val="0"/>
                  <w:vAlign w:val="center"/>
                </w:tcPr>
                <w:p w14:paraId="1DD4ACA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1F，H=3m，建筑面积58m</w:t>
                  </w:r>
                  <w:r>
                    <w:rPr>
                      <w:rFonts w:hint="eastAsia"/>
                      <w:color w:val="auto"/>
                      <w:sz w:val="21"/>
                      <w:szCs w:val="21"/>
                      <w:vertAlign w:val="superscript"/>
                      <w:lang w:val="en-US" w:eastAsia="zh-CN"/>
                    </w:rPr>
                    <w:t>2</w:t>
                  </w:r>
                  <w:r>
                    <w:rPr>
                      <w:rFonts w:hint="eastAsia"/>
                      <w:color w:val="auto"/>
                      <w:sz w:val="21"/>
                      <w:szCs w:val="21"/>
                      <w:vertAlign w:val="baseline"/>
                      <w:lang w:val="en-US" w:eastAsia="zh-CN"/>
                    </w:rPr>
                    <w:t>，位于厂区次入口北部</w:t>
                  </w:r>
                </w:p>
              </w:tc>
              <w:tc>
                <w:tcPr>
                  <w:tcW w:w="1040" w:type="dxa"/>
                  <w:gridSpan w:val="2"/>
                  <w:noWrap w:val="0"/>
                  <w:vAlign w:val="center"/>
                </w:tcPr>
                <w:p w14:paraId="754AC44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门卫室依托</w:t>
                  </w:r>
                </w:p>
              </w:tc>
            </w:tr>
            <w:tr w14:paraId="5511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0CDE01D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c>
                <w:tcPr>
                  <w:tcW w:w="1260" w:type="dxa"/>
                  <w:gridSpan w:val="3"/>
                  <w:noWrap w:val="0"/>
                  <w:vAlign w:val="center"/>
                </w:tcPr>
                <w:p w14:paraId="2F90952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消防泵房</w:t>
                  </w:r>
                </w:p>
              </w:tc>
              <w:tc>
                <w:tcPr>
                  <w:tcW w:w="5069" w:type="dxa"/>
                  <w:noWrap w:val="0"/>
                  <w:vAlign w:val="center"/>
                </w:tcPr>
                <w:p w14:paraId="37157E3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1F，占地65m</w:t>
                  </w:r>
                  <w:r>
                    <w:rPr>
                      <w:rFonts w:hint="eastAsia"/>
                      <w:color w:val="auto"/>
                      <w:sz w:val="21"/>
                      <w:szCs w:val="21"/>
                      <w:vertAlign w:val="superscript"/>
                      <w:lang w:val="en-US" w:eastAsia="zh-CN"/>
                    </w:rPr>
                    <w:t>2</w:t>
                  </w:r>
                  <w:r>
                    <w:rPr>
                      <w:rFonts w:hint="eastAsia"/>
                      <w:color w:val="auto"/>
                      <w:sz w:val="21"/>
                      <w:szCs w:val="21"/>
                      <w:vertAlign w:val="baseline"/>
                      <w:lang w:val="en-US" w:eastAsia="zh-CN"/>
                    </w:rPr>
                    <w:t>，位于综合楼西侧，用于调度消防水池</w:t>
                  </w:r>
                </w:p>
              </w:tc>
              <w:tc>
                <w:tcPr>
                  <w:tcW w:w="1040" w:type="dxa"/>
                  <w:gridSpan w:val="2"/>
                  <w:noWrap w:val="0"/>
                  <w:vAlign w:val="center"/>
                </w:tcPr>
                <w:p w14:paraId="194DEF82">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消防泵房依托</w:t>
                  </w:r>
                </w:p>
              </w:tc>
            </w:tr>
            <w:tr w14:paraId="5277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288EB9B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c>
                <w:tcPr>
                  <w:tcW w:w="1260" w:type="dxa"/>
                  <w:gridSpan w:val="3"/>
                  <w:noWrap w:val="0"/>
                  <w:vAlign w:val="center"/>
                </w:tcPr>
                <w:p w14:paraId="7EA6352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配电室</w:t>
                  </w:r>
                </w:p>
              </w:tc>
              <w:tc>
                <w:tcPr>
                  <w:tcW w:w="5069" w:type="dxa"/>
                  <w:noWrap w:val="0"/>
                  <w:vAlign w:val="center"/>
                </w:tcPr>
                <w:p w14:paraId="1956377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1F，建筑面积361.8m</w:t>
                  </w:r>
                  <w:r>
                    <w:rPr>
                      <w:rFonts w:hint="eastAsia"/>
                      <w:color w:val="auto"/>
                      <w:sz w:val="21"/>
                      <w:szCs w:val="21"/>
                      <w:vertAlign w:val="superscript"/>
                      <w:lang w:val="en-US" w:eastAsia="zh-CN"/>
                    </w:rPr>
                    <w:t>2</w:t>
                  </w:r>
                  <w:r>
                    <w:rPr>
                      <w:rFonts w:hint="eastAsia"/>
                      <w:color w:val="auto"/>
                      <w:sz w:val="21"/>
                      <w:szCs w:val="21"/>
                      <w:vertAlign w:val="baseline"/>
                      <w:lang w:val="en-US" w:eastAsia="zh-CN"/>
                    </w:rPr>
                    <w:t>，位于消防泵房南部，用于调度场内用电</w:t>
                  </w:r>
                </w:p>
              </w:tc>
              <w:tc>
                <w:tcPr>
                  <w:tcW w:w="1040" w:type="dxa"/>
                  <w:gridSpan w:val="2"/>
                  <w:noWrap w:val="0"/>
                  <w:vAlign w:val="center"/>
                </w:tcPr>
                <w:p w14:paraId="768C15B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配电室依托</w:t>
                  </w:r>
                </w:p>
              </w:tc>
            </w:tr>
            <w:tr w14:paraId="19C1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47A556C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c>
                <w:tcPr>
                  <w:tcW w:w="1260" w:type="dxa"/>
                  <w:gridSpan w:val="3"/>
                  <w:noWrap w:val="0"/>
                  <w:vAlign w:val="center"/>
                </w:tcPr>
                <w:p w14:paraId="4E9EF42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制水房</w:t>
                  </w:r>
                </w:p>
              </w:tc>
              <w:tc>
                <w:tcPr>
                  <w:tcW w:w="5069" w:type="dxa"/>
                  <w:noWrap w:val="0"/>
                  <w:vAlign w:val="center"/>
                </w:tcPr>
                <w:p w14:paraId="4EE9D58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lang w:val="en-US" w:eastAsia="zh-CN"/>
                    </w:rPr>
                    <w:t>1F，建筑面积20m</w:t>
                  </w:r>
                  <w:r>
                    <w:rPr>
                      <w:rFonts w:hint="eastAsia"/>
                      <w:color w:val="auto"/>
                      <w:sz w:val="21"/>
                      <w:szCs w:val="21"/>
                      <w:vertAlign w:val="superscript"/>
                      <w:lang w:val="en-US" w:eastAsia="zh-CN"/>
                    </w:rPr>
                    <w:t>2</w:t>
                  </w:r>
                  <w:r>
                    <w:rPr>
                      <w:rFonts w:hint="eastAsia"/>
                      <w:color w:val="auto"/>
                      <w:sz w:val="21"/>
                      <w:szCs w:val="21"/>
                      <w:vertAlign w:val="baseline"/>
                      <w:lang w:val="en-US" w:eastAsia="zh-CN"/>
                    </w:rPr>
                    <w:t>，内含纯水制备装置，用于纯水的制备</w:t>
                  </w:r>
                </w:p>
              </w:tc>
              <w:tc>
                <w:tcPr>
                  <w:tcW w:w="1040" w:type="dxa"/>
                  <w:gridSpan w:val="2"/>
                  <w:noWrap w:val="0"/>
                  <w:vAlign w:val="center"/>
                </w:tcPr>
                <w:p w14:paraId="37382CB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制水房依托</w:t>
                  </w:r>
                </w:p>
              </w:tc>
            </w:tr>
            <w:tr w14:paraId="7817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restart"/>
                  <w:noWrap w:val="0"/>
                  <w:vAlign w:val="center"/>
                </w:tcPr>
                <w:p w14:paraId="3F7FB6C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储运工程</w:t>
                  </w:r>
                </w:p>
              </w:tc>
              <w:tc>
                <w:tcPr>
                  <w:tcW w:w="1260" w:type="dxa"/>
                  <w:gridSpan w:val="3"/>
                  <w:noWrap w:val="0"/>
                  <w:vAlign w:val="center"/>
                </w:tcPr>
                <w:p w14:paraId="3D9D061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成品库</w:t>
                  </w:r>
                </w:p>
              </w:tc>
              <w:tc>
                <w:tcPr>
                  <w:tcW w:w="5069" w:type="dxa"/>
                  <w:noWrap w:val="0"/>
                  <w:vAlign w:val="center"/>
                </w:tcPr>
                <w:p w14:paraId="5CDC5D1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lang w:val="en-US" w:eastAsia="zh-CN"/>
                    </w:rPr>
                    <w:t>4#生产车间、1F；H=12m，建筑面积为6558m</w:t>
                  </w:r>
                  <w:r>
                    <w:rPr>
                      <w:rFonts w:hint="default" w:ascii="Times New Roman" w:hAnsi="Times New Roman" w:cs="Times New Roman"/>
                      <w:color w:val="auto"/>
                      <w:sz w:val="21"/>
                      <w:szCs w:val="21"/>
                      <w:vertAlign w:val="superscript"/>
                      <w:lang w:val="en-US" w:eastAsia="zh-CN"/>
                    </w:rPr>
                    <w:t>2</w:t>
                  </w:r>
                  <w:r>
                    <w:rPr>
                      <w:rFonts w:hint="default" w:ascii="Times New Roman" w:hAnsi="Times New Roman" w:cs="Times New Roman"/>
                      <w:color w:val="auto"/>
                      <w:sz w:val="21"/>
                      <w:szCs w:val="21"/>
                      <w:vertAlign w:val="baseline"/>
                      <w:lang w:val="en-US" w:eastAsia="zh-CN"/>
                    </w:rPr>
                    <w:t>，位于厂区东南侧，厂房主要暂存成品</w:t>
                  </w:r>
                </w:p>
              </w:tc>
              <w:tc>
                <w:tcPr>
                  <w:tcW w:w="1040" w:type="dxa"/>
                  <w:gridSpan w:val="2"/>
                  <w:noWrap w:val="0"/>
                  <w:vAlign w:val="center"/>
                </w:tcPr>
                <w:p w14:paraId="25BC6BE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厂房依托现有</w:t>
                  </w:r>
                </w:p>
              </w:tc>
            </w:tr>
            <w:tr w14:paraId="61B2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5C819B82">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1260" w:type="dxa"/>
                  <w:gridSpan w:val="3"/>
                  <w:noWrap w:val="0"/>
                  <w:vAlign w:val="center"/>
                </w:tcPr>
                <w:p w14:paraId="7F93727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0"/>
                      <w:sz w:val="21"/>
                      <w:szCs w:val="21"/>
                      <w:lang w:val="en-US" w:eastAsia="zh-CN" w:bidi="ar-SA"/>
                    </w:rPr>
                  </w:pPr>
                  <w:r>
                    <w:rPr>
                      <w:rFonts w:hint="eastAsia"/>
                      <w:color w:val="auto"/>
                      <w:sz w:val="21"/>
                      <w:szCs w:val="21"/>
                      <w:lang w:val="en-US" w:eastAsia="zh-CN"/>
                    </w:rPr>
                    <w:t>成品区</w:t>
                  </w:r>
                </w:p>
              </w:tc>
              <w:tc>
                <w:tcPr>
                  <w:tcW w:w="5069" w:type="dxa"/>
                  <w:noWrap w:val="0"/>
                  <w:vAlign w:val="center"/>
                </w:tcPr>
                <w:p w14:paraId="2FB486A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snapToGrid w:val="0"/>
                      <w:color w:val="auto"/>
                      <w:kern w:val="0"/>
                      <w:sz w:val="21"/>
                      <w:szCs w:val="21"/>
                      <w:lang w:val="en-US" w:eastAsia="zh-CN" w:bidi="ar-SA"/>
                    </w:rPr>
                  </w:pPr>
                  <w:r>
                    <w:rPr>
                      <w:rFonts w:hint="eastAsia"/>
                      <w:color w:val="auto"/>
                      <w:sz w:val="21"/>
                      <w:szCs w:val="21"/>
                      <w:vertAlign w:val="baseline"/>
                      <w:lang w:val="en-US" w:eastAsia="zh-CN"/>
                    </w:rPr>
                    <w:t>1#、2#、3#生产车间内分别在东侧、西侧、东侧设置成品区，主要用于厂区成品暂存</w:t>
                  </w:r>
                </w:p>
              </w:tc>
              <w:tc>
                <w:tcPr>
                  <w:tcW w:w="1040" w:type="dxa"/>
                  <w:gridSpan w:val="2"/>
                  <w:noWrap w:val="0"/>
                  <w:vAlign w:val="center"/>
                </w:tcPr>
                <w:p w14:paraId="7626DE0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宋体"/>
                      <w:snapToGrid w:val="0"/>
                      <w:color w:val="auto"/>
                      <w:kern w:val="0"/>
                      <w:sz w:val="21"/>
                      <w:szCs w:val="21"/>
                      <w:lang w:val="en-US" w:eastAsia="zh-CN" w:bidi="ar-SA"/>
                    </w:rPr>
                  </w:pPr>
                  <w:r>
                    <w:rPr>
                      <w:rFonts w:hint="eastAsia"/>
                      <w:color w:val="auto"/>
                      <w:sz w:val="21"/>
                      <w:szCs w:val="21"/>
                      <w:lang w:val="en-US" w:eastAsia="zh-CN"/>
                    </w:rPr>
                    <w:t>厂房依托现有</w:t>
                  </w:r>
                </w:p>
              </w:tc>
            </w:tr>
            <w:tr w14:paraId="6892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4D382F8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1260" w:type="dxa"/>
                  <w:gridSpan w:val="3"/>
                  <w:noWrap w:val="0"/>
                  <w:vAlign w:val="center"/>
                </w:tcPr>
                <w:p w14:paraId="3740124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原料区</w:t>
                  </w:r>
                </w:p>
              </w:tc>
              <w:tc>
                <w:tcPr>
                  <w:tcW w:w="5069" w:type="dxa"/>
                  <w:noWrap w:val="0"/>
                  <w:vAlign w:val="center"/>
                </w:tcPr>
                <w:p w14:paraId="44C6497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color w:val="auto"/>
                      <w:sz w:val="21"/>
                      <w:szCs w:val="21"/>
                      <w:vertAlign w:val="baseline"/>
                      <w:lang w:val="en-US" w:eastAsia="zh-CN"/>
                    </w:rPr>
                    <w:t>1#、2#、3#生产车间内分别在生产线北侧设置原料区，主要用于厂区原料暂存</w:t>
                  </w:r>
                </w:p>
              </w:tc>
              <w:tc>
                <w:tcPr>
                  <w:tcW w:w="1040" w:type="dxa"/>
                  <w:gridSpan w:val="2"/>
                  <w:noWrap w:val="0"/>
                  <w:vAlign w:val="center"/>
                </w:tcPr>
                <w:p w14:paraId="4371554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厂房依托现有</w:t>
                  </w:r>
                </w:p>
              </w:tc>
            </w:tr>
            <w:tr w14:paraId="4A6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restart"/>
                  <w:noWrap w:val="0"/>
                  <w:vAlign w:val="center"/>
                </w:tcPr>
                <w:p w14:paraId="56D51DB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s="宋体"/>
                      <w:color w:val="auto"/>
                      <w:kern w:val="0"/>
                      <w:sz w:val="21"/>
                      <w:szCs w:val="21"/>
                    </w:rPr>
                    <w:t>公用工程</w:t>
                  </w:r>
                </w:p>
              </w:tc>
              <w:tc>
                <w:tcPr>
                  <w:tcW w:w="1260" w:type="dxa"/>
                  <w:gridSpan w:val="3"/>
                  <w:noWrap w:val="0"/>
                  <w:vAlign w:val="center"/>
                </w:tcPr>
                <w:p w14:paraId="27ED42E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s="宋体"/>
                      <w:color w:val="auto"/>
                      <w:sz w:val="21"/>
                      <w:szCs w:val="21"/>
                    </w:rPr>
                    <w:t>给水</w:t>
                  </w:r>
                </w:p>
              </w:tc>
              <w:tc>
                <w:tcPr>
                  <w:tcW w:w="5069" w:type="dxa"/>
                  <w:noWrap w:val="0"/>
                  <w:vAlign w:val="center"/>
                </w:tcPr>
                <w:p w14:paraId="0E269DF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eastAsia="宋体"/>
                      <w:color w:val="auto"/>
                      <w:sz w:val="21"/>
                      <w:szCs w:val="21"/>
                      <w:lang w:val="en-US" w:eastAsia="zh-CN"/>
                    </w:rPr>
                  </w:pPr>
                  <w:r>
                    <w:rPr>
                      <w:rFonts w:hint="default"/>
                      <w:color w:val="auto"/>
                      <w:sz w:val="21"/>
                      <w:szCs w:val="21"/>
                    </w:rPr>
                    <w:t>园区</w:t>
                  </w:r>
                  <w:r>
                    <w:rPr>
                      <w:rFonts w:hint="eastAsia" w:cs="宋体"/>
                      <w:color w:val="auto"/>
                      <w:kern w:val="0"/>
                      <w:sz w:val="21"/>
                      <w:szCs w:val="21"/>
                    </w:rPr>
                    <w:t>供水管网供给</w:t>
                  </w:r>
                  <w:r>
                    <w:rPr>
                      <w:rFonts w:hint="eastAsia" w:cs="宋体"/>
                      <w:color w:val="auto"/>
                      <w:kern w:val="0"/>
                      <w:sz w:val="21"/>
                      <w:szCs w:val="21"/>
                      <w:lang w:eastAsia="zh-CN"/>
                    </w:rPr>
                    <w:t>，</w:t>
                  </w:r>
                  <w:r>
                    <w:rPr>
                      <w:rFonts w:hint="eastAsia" w:cs="宋体"/>
                      <w:color w:val="auto"/>
                      <w:kern w:val="0"/>
                      <w:sz w:val="21"/>
                      <w:szCs w:val="21"/>
                      <w:lang w:val="en-US" w:eastAsia="zh-CN"/>
                    </w:rPr>
                    <w:t>年用水总量为20124m</w:t>
                  </w:r>
                  <w:r>
                    <w:rPr>
                      <w:rFonts w:hint="eastAsia" w:cs="宋体"/>
                      <w:color w:val="auto"/>
                      <w:kern w:val="0"/>
                      <w:sz w:val="21"/>
                      <w:szCs w:val="21"/>
                      <w:vertAlign w:val="superscript"/>
                      <w:lang w:val="en-US" w:eastAsia="zh-CN"/>
                    </w:rPr>
                    <w:t>3</w:t>
                  </w:r>
                </w:p>
              </w:tc>
              <w:tc>
                <w:tcPr>
                  <w:tcW w:w="1040" w:type="dxa"/>
                  <w:gridSpan w:val="2"/>
                  <w:noWrap w:val="0"/>
                  <w:vAlign w:val="center"/>
                </w:tcPr>
                <w:p w14:paraId="561036B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3331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7FA9047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1260" w:type="dxa"/>
                  <w:gridSpan w:val="3"/>
                  <w:noWrap w:val="0"/>
                  <w:vAlign w:val="center"/>
                </w:tcPr>
                <w:p w14:paraId="1C5CB74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s="宋体"/>
                      <w:color w:val="auto"/>
                      <w:sz w:val="21"/>
                      <w:szCs w:val="21"/>
                    </w:rPr>
                    <w:t>排水</w:t>
                  </w:r>
                </w:p>
              </w:tc>
              <w:tc>
                <w:tcPr>
                  <w:tcW w:w="5069" w:type="dxa"/>
                  <w:noWrap w:val="0"/>
                  <w:vAlign w:val="center"/>
                </w:tcPr>
                <w:p w14:paraId="7BA678C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olor w:val="auto"/>
                      <w:sz w:val="21"/>
                      <w:szCs w:val="21"/>
                      <w:lang w:val="en-US" w:eastAsia="zh-CN"/>
                    </w:rPr>
                  </w:pPr>
                  <w:r>
                    <w:rPr>
                      <w:rFonts w:hint="eastAsia"/>
                      <w:color w:val="auto"/>
                      <w:sz w:val="21"/>
                      <w:szCs w:val="21"/>
                      <w:lang w:val="en-US" w:eastAsia="zh-CN"/>
                    </w:rPr>
                    <w:t>雨污分流、雨水排入雨水管网，经化粪池预处理生活污水与定期排放的循环冷却定期排污水，汇同纯水制备浓水接管进入淮北蓝海水处理有限公司进一步处理，处理达标后部分作为平山电厂冷却循环水，剩余部分排入萧濉新河</w:t>
                  </w:r>
                </w:p>
              </w:tc>
              <w:tc>
                <w:tcPr>
                  <w:tcW w:w="1040" w:type="dxa"/>
                  <w:gridSpan w:val="2"/>
                  <w:noWrap w:val="0"/>
                  <w:vAlign w:val="center"/>
                </w:tcPr>
                <w:p w14:paraId="1D903A4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67F8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66D8FF3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1260" w:type="dxa"/>
                  <w:gridSpan w:val="3"/>
                  <w:noWrap w:val="0"/>
                  <w:vAlign w:val="center"/>
                </w:tcPr>
                <w:p w14:paraId="45736AE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r>
                    <w:rPr>
                      <w:rFonts w:hint="eastAsia" w:cs="宋体"/>
                      <w:color w:val="auto"/>
                      <w:sz w:val="21"/>
                      <w:szCs w:val="21"/>
                    </w:rPr>
                    <w:t>供电</w:t>
                  </w:r>
                </w:p>
              </w:tc>
              <w:tc>
                <w:tcPr>
                  <w:tcW w:w="5069" w:type="dxa"/>
                  <w:noWrap w:val="0"/>
                  <w:vAlign w:val="center"/>
                </w:tcPr>
                <w:p w14:paraId="3B6FBED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eastAsia="宋体"/>
                      <w:color w:val="auto"/>
                      <w:sz w:val="21"/>
                      <w:szCs w:val="21"/>
                      <w:lang w:val="en-US" w:eastAsia="zh-CN"/>
                    </w:rPr>
                  </w:pPr>
                  <w:r>
                    <w:rPr>
                      <w:rFonts w:hint="default"/>
                      <w:color w:val="auto"/>
                      <w:sz w:val="21"/>
                      <w:szCs w:val="21"/>
                    </w:rPr>
                    <w:t>园区</w:t>
                  </w:r>
                  <w:r>
                    <w:rPr>
                      <w:rFonts w:hint="default" w:ascii="Times New Roman" w:hAnsi="Times New Roman" w:cs="Times New Roman"/>
                      <w:color w:val="auto"/>
                      <w:kern w:val="0"/>
                      <w:sz w:val="21"/>
                      <w:szCs w:val="21"/>
                    </w:rPr>
                    <w:t>电网供电，</w:t>
                  </w:r>
                  <w:r>
                    <w:rPr>
                      <w:rFonts w:hint="default" w:ascii="Times New Roman" w:hAnsi="Times New Roman" w:cs="Times New Roman"/>
                      <w:color w:val="auto"/>
                      <w:sz w:val="21"/>
                      <w:szCs w:val="21"/>
                    </w:rPr>
                    <w:t>用电量</w:t>
                  </w:r>
                  <w:r>
                    <w:rPr>
                      <w:rFonts w:hint="default" w:ascii="Times New Roman" w:hAnsi="Times New Roman" w:cs="Times New Roman"/>
                      <w:color w:val="auto"/>
                      <w:sz w:val="21"/>
                      <w:szCs w:val="21"/>
                      <w:lang w:val="en-US" w:eastAsia="zh-CN"/>
                    </w:rPr>
                    <w:t>4793.73</w:t>
                  </w:r>
                  <w:r>
                    <w:rPr>
                      <w:rFonts w:hint="default" w:ascii="Times New Roman" w:hAnsi="Times New Roman" w:cs="Times New Roman"/>
                      <w:color w:val="auto"/>
                      <w:sz w:val="21"/>
                      <w:szCs w:val="21"/>
                      <w:lang w:eastAsia="zh-CN"/>
                    </w:rPr>
                    <w:t>万</w:t>
                  </w:r>
                  <w:r>
                    <w:rPr>
                      <w:rFonts w:hint="default" w:ascii="Times New Roman" w:hAnsi="Times New Roman" w:cs="Times New Roman"/>
                      <w:color w:val="auto"/>
                      <w:sz w:val="21"/>
                      <w:szCs w:val="21"/>
                    </w:rPr>
                    <w:t>kWh/a</w:t>
                  </w:r>
                </w:p>
              </w:tc>
              <w:tc>
                <w:tcPr>
                  <w:tcW w:w="1040" w:type="dxa"/>
                  <w:gridSpan w:val="2"/>
                  <w:noWrap w:val="0"/>
                  <w:vAlign w:val="center"/>
                </w:tcPr>
                <w:p w14:paraId="2B28075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72F9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0D37072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1260" w:type="dxa"/>
                  <w:gridSpan w:val="3"/>
                  <w:noWrap w:val="0"/>
                  <w:vAlign w:val="center"/>
                </w:tcPr>
                <w:p w14:paraId="4DCF85C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宋体"/>
                      <w:color w:val="auto"/>
                      <w:sz w:val="21"/>
                      <w:szCs w:val="21"/>
                    </w:rPr>
                  </w:pPr>
                  <w:r>
                    <w:rPr>
                      <w:rFonts w:hint="eastAsia" w:cs="宋体"/>
                      <w:color w:val="auto"/>
                      <w:kern w:val="0"/>
                      <w:sz w:val="21"/>
                      <w:szCs w:val="21"/>
                    </w:rPr>
                    <w:t>废水治理</w:t>
                  </w:r>
                </w:p>
              </w:tc>
              <w:tc>
                <w:tcPr>
                  <w:tcW w:w="5069" w:type="dxa"/>
                  <w:noWrap w:val="0"/>
                  <w:vAlign w:val="center"/>
                </w:tcPr>
                <w:p w14:paraId="79F3E50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color w:val="auto"/>
                      <w:sz w:val="21"/>
                      <w:szCs w:val="21"/>
                      <w:lang w:val="en-US" w:eastAsia="zh-CN"/>
                    </w:rPr>
                  </w:pPr>
                  <w:r>
                    <w:rPr>
                      <w:rFonts w:hint="eastAsia"/>
                      <w:color w:val="auto"/>
                      <w:sz w:val="21"/>
                      <w:szCs w:val="21"/>
                      <w:lang w:val="en-US" w:eastAsia="zh-CN"/>
                    </w:rPr>
                    <w:t>雨污分流、雨水排入雨水管网，经化粪池预处理生活污水与定期排放的循环冷却定期排污水，汇同纯水制备浓水接管进入淮北蓝海水处理有限公司进一步处理，处理达标后部分作为平山电厂冷却循环水，剩余部分排入萧濉新河</w:t>
                  </w:r>
                </w:p>
              </w:tc>
              <w:tc>
                <w:tcPr>
                  <w:tcW w:w="1040" w:type="dxa"/>
                  <w:gridSpan w:val="2"/>
                  <w:noWrap w:val="0"/>
                  <w:vAlign w:val="center"/>
                </w:tcPr>
                <w:p w14:paraId="4609670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1C69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75834FB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335" w:type="dxa"/>
                  <w:vMerge w:val="restart"/>
                  <w:noWrap w:val="0"/>
                  <w:vAlign w:val="center"/>
                </w:tcPr>
                <w:p w14:paraId="7AA61B5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宋体"/>
                      <w:color w:val="auto"/>
                      <w:kern w:val="0"/>
                      <w:sz w:val="21"/>
                      <w:szCs w:val="21"/>
                    </w:rPr>
                  </w:pPr>
                  <w:r>
                    <w:rPr>
                      <w:rFonts w:hint="eastAsia" w:ascii="Times New Roman" w:hAnsi="Times New Roman" w:eastAsia="宋体" w:cs="宋体"/>
                      <w:color w:val="auto"/>
                      <w:kern w:val="0"/>
                      <w:sz w:val="21"/>
                      <w:szCs w:val="21"/>
                    </w:rPr>
                    <w:t>废气治理</w:t>
                  </w:r>
                </w:p>
              </w:tc>
              <w:tc>
                <w:tcPr>
                  <w:tcW w:w="424" w:type="dxa"/>
                  <w:vMerge w:val="restart"/>
                  <w:noWrap w:val="0"/>
                  <w:vAlign w:val="center"/>
                </w:tcPr>
                <w:p w14:paraId="5C527AB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2#生产车间</w:t>
                  </w:r>
                </w:p>
              </w:tc>
              <w:tc>
                <w:tcPr>
                  <w:tcW w:w="501" w:type="dxa"/>
                  <w:vMerge w:val="restart"/>
                  <w:noWrap w:val="0"/>
                  <w:vAlign w:val="center"/>
                </w:tcPr>
                <w:p w14:paraId="63BAAB3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1#生产线</w:t>
                  </w:r>
                </w:p>
              </w:tc>
              <w:tc>
                <w:tcPr>
                  <w:tcW w:w="5078" w:type="dxa"/>
                  <w:gridSpan w:val="2"/>
                  <w:noWrap w:val="0"/>
                  <w:vAlign w:val="center"/>
                </w:tcPr>
                <w:p w14:paraId="0868FA1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车间封闭，1#生产线</w:t>
                  </w:r>
                  <w:r>
                    <w:rPr>
                      <w:rFonts w:hint="eastAsia" w:cs="宋体"/>
                      <w:color w:val="auto"/>
                      <w:kern w:val="0"/>
                      <w:sz w:val="21"/>
                      <w:szCs w:val="21"/>
                      <w:lang w:val="en-US" w:eastAsia="zh-CN"/>
                    </w:rPr>
                    <w:t>布料</w:t>
                  </w:r>
                  <w:r>
                    <w:rPr>
                      <w:rFonts w:hint="eastAsia" w:ascii="Times New Roman" w:hAnsi="Times New Roman" w:eastAsia="宋体" w:cs="宋体"/>
                      <w:color w:val="auto"/>
                      <w:kern w:val="0"/>
                      <w:sz w:val="21"/>
                      <w:szCs w:val="21"/>
                      <w:lang w:val="en-US" w:eastAsia="zh-CN"/>
                    </w:rPr>
                    <w:t>粉尘经集气罩收集（收集效率95%）</w:t>
                  </w:r>
                  <w:r>
                    <w:rPr>
                      <w:rFonts w:hint="eastAsia" w:cs="宋体"/>
                      <w:color w:val="auto"/>
                      <w:kern w:val="0"/>
                      <w:sz w:val="21"/>
                      <w:szCs w:val="21"/>
                      <w:lang w:val="en-US" w:eastAsia="zh-CN"/>
                    </w:rPr>
                    <w:t>后，</w:t>
                  </w:r>
                  <w:r>
                    <w:rPr>
                      <w:rFonts w:hint="eastAsia" w:ascii="Times New Roman" w:hAnsi="Times New Roman" w:eastAsia="宋体" w:cs="宋体"/>
                      <w:color w:val="auto"/>
                      <w:kern w:val="0"/>
                      <w:sz w:val="21"/>
                      <w:szCs w:val="21"/>
                      <w:lang w:val="en-US" w:eastAsia="zh-CN"/>
                    </w:rPr>
                    <w:t>与经</w:t>
                  </w:r>
                  <w:r>
                    <w:rPr>
                      <w:rFonts w:hint="eastAsia" w:cs="宋体"/>
                      <w:color w:val="auto"/>
                      <w:kern w:val="0"/>
                      <w:sz w:val="21"/>
                      <w:szCs w:val="21"/>
                      <w:lang w:val="en-US" w:eastAsia="zh-CN"/>
                    </w:rPr>
                    <w:t>设备密闭、</w:t>
                  </w:r>
                  <w:r>
                    <w:rPr>
                      <w:rFonts w:hint="eastAsia" w:ascii="Times New Roman" w:hAnsi="Times New Roman" w:eastAsia="宋体" w:cs="宋体"/>
                      <w:color w:val="auto"/>
                      <w:kern w:val="0"/>
                      <w:sz w:val="21"/>
                      <w:szCs w:val="21"/>
                      <w:lang w:val="en-US" w:eastAsia="zh-CN"/>
                    </w:rPr>
                    <w:t>管道收集（收集效率95%）的熔化废气一起由“1#布袋除尘器”处理（处理效率9</w:t>
                  </w:r>
                  <w:r>
                    <w:rPr>
                      <w:rFonts w:hint="eastAsia" w:cs="宋体"/>
                      <w:color w:val="auto"/>
                      <w:kern w:val="0"/>
                      <w:sz w:val="21"/>
                      <w:szCs w:val="21"/>
                      <w:lang w:val="en-US" w:eastAsia="zh-CN"/>
                    </w:rPr>
                    <w:t>9</w:t>
                  </w:r>
                  <w:r>
                    <w:rPr>
                      <w:rFonts w:hint="eastAsia" w:ascii="Times New Roman" w:hAnsi="Times New Roman" w:eastAsia="宋体" w:cs="宋体"/>
                      <w:color w:val="auto"/>
                      <w:kern w:val="0"/>
                      <w:sz w:val="21"/>
                      <w:szCs w:val="21"/>
                      <w:lang w:val="en-US" w:eastAsia="zh-CN"/>
                    </w:rPr>
                    <w:t>%）达标后，通过DA001排气筒排放（排放高度15m）</w:t>
                  </w:r>
                </w:p>
              </w:tc>
              <w:tc>
                <w:tcPr>
                  <w:tcW w:w="1040" w:type="dxa"/>
                  <w:gridSpan w:val="2"/>
                  <w:vMerge w:val="restart"/>
                  <w:noWrap w:val="0"/>
                  <w:vAlign w:val="center"/>
                </w:tcPr>
                <w:p w14:paraId="7DF85D3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5A36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525B34F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335" w:type="dxa"/>
                  <w:vMerge w:val="continue"/>
                  <w:noWrap w:val="0"/>
                  <w:vAlign w:val="center"/>
                </w:tcPr>
                <w:p w14:paraId="3AAFB63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424" w:type="dxa"/>
                  <w:vMerge w:val="continue"/>
                  <w:noWrap w:val="0"/>
                  <w:vAlign w:val="center"/>
                </w:tcPr>
                <w:p w14:paraId="7C5833D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501" w:type="dxa"/>
                  <w:vMerge w:val="continue"/>
                  <w:noWrap w:val="0"/>
                  <w:vAlign w:val="center"/>
                </w:tcPr>
                <w:p w14:paraId="12105E5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0E0FB6E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1#生产线火焰抛光工序天然气燃烧废气与2#生产</w:t>
                  </w:r>
                  <w:r>
                    <w:rPr>
                      <w:rFonts w:hint="eastAsia" w:ascii="Times New Roman" w:hAnsi="Times New Roman" w:eastAsia="宋体" w:cs="宋体"/>
                      <w:color w:val="auto"/>
                      <w:kern w:val="0"/>
                      <w:sz w:val="21"/>
                      <w:szCs w:val="21"/>
                      <w:lang w:val="en-US" w:eastAsia="zh-CN"/>
                    </w:rPr>
                    <w:t>线</w:t>
                  </w:r>
                  <w:r>
                    <w:rPr>
                      <w:rFonts w:hint="eastAsia" w:cs="宋体"/>
                      <w:color w:val="auto"/>
                      <w:kern w:val="0"/>
                      <w:sz w:val="21"/>
                      <w:szCs w:val="21"/>
                      <w:lang w:val="en-US" w:eastAsia="zh-CN"/>
                    </w:rPr>
                    <w:t>天然气燃烧废气一同经过DA006排气筒排放</w:t>
                  </w:r>
                  <w:r>
                    <w:rPr>
                      <w:rFonts w:hint="eastAsia" w:ascii="Times New Roman" w:hAnsi="Times New Roman" w:eastAsia="宋体" w:cs="宋体"/>
                      <w:color w:val="auto"/>
                      <w:kern w:val="0"/>
                      <w:sz w:val="21"/>
                      <w:szCs w:val="21"/>
                      <w:lang w:val="en-US" w:eastAsia="zh-CN"/>
                    </w:rPr>
                    <w:t>（排放高度15m）</w:t>
                  </w:r>
                </w:p>
              </w:tc>
              <w:tc>
                <w:tcPr>
                  <w:tcW w:w="1040" w:type="dxa"/>
                  <w:gridSpan w:val="2"/>
                  <w:vMerge w:val="continue"/>
                  <w:noWrap w:val="0"/>
                  <w:vAlign w:val="center"/>
                </w:tcPr>
                <w:p w14:paraId="2FF3814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r>
            <w:tr w14:paraId="5E9D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4488551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335" w:type="dxa"/>
                  <w:vMerge w:val="continue"/>
                  <w:noWrap w:val="0"/>
                  <w:vAlign w:val="center"/>
                </w:tcPr>
                <w:p w14:paraId="668CC19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424" w:type="dxa"/>
                  <w:vMerge w:val="continue"/>
                  <w:noWrap w:val="0"/>
                  <w:vAlign w:val="center"/>
                </w:tcPr>
                <w:p w14:paraId="5050F39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501" w:type="dxa"/>
                  <w:vMerge w:val="continue"/>
                  <w:noWrap w:val="0"/>
                  <w:vAlign w:val="center"/>
                </w:tcPr>
                <w:p w14:paraId="749AB7F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13BA700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1#生产线</w:t>
                  </w:r>
                  <w:r>
                    <w:rPr>
                      <w:rFonts w:hint="eastAsia" w:cs="宋体"/>
                      <w:color w:val="auto"/>
                      <w:kern w:val="0"/>
                      <w:sz w:val="21"/>
                      <w:szCs w:val="21"/>
                      <w:lang w:val="en-US" w:eastAsia="zh-CN"/>
                    </w:rPr>
                    <w:t>配料、混料过程中产生的颗粒物无组织降落至密闭配料间内，定期清扫地面</w:t>
                  </w:r>
                </w:p>
              </w:tc>
              <w:tc>
                <w:tcPr>
                  <w:tcW w:w="1040" w:type="dxa"/>
                  <w:gridSpan w:val="2"/>
                  <w:vMerge w:val="continue"/>
                  <w:noWrap w:val="0"/>
                  <w:vAlign w:val="center"/>
                </w:tcPr>
                <w:p w14:paraId="3F3F12B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r>
            <w:tr w14:paraId="0A8E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2C65323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15653ED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16A7679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restart"/>
                  <w:noWrap w:val="0"/>
                  <w:vAlign w:val="center"/>
                </w:tcPr>
                <w:p w14:paraId="51192E9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2#生产线</w:t>
                  </w:r>
                </w:p>
              </w:tc>
              <w:tc>
                <w:tcPr>
                  <w:tcW w:w="5078" w:type="dxa"/>
                  <w:gridSpan w:val="2"/>
                  <w:noWrap w:val="0"/>
                  <w:vAlign w:val="center"/>
                </w:tcPr>
                <w:p w14:paraId="2FDAE4E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车间封闭，2#生产线</w:t>
                  </w:r>
                  <w:r>
                    <w:rPr>
                      <w:rFonts w:hint="eastAsia" w:cs="宋体"/>
                      <w:color w:val="auto"/>
                      <w:kern w:val="0"/>
                      <w:sz w:val="21"/>
                      <w:szCs w:val="21"/>
                      <w:lang w:val="en-US" w:eastAsia="zh-CN"/>
                    </w:rPr>
                    <w:t>布料</w:t>
                  </w:r>
                  <w:r>
                    <w:rPr>
                      <w:rFonts w:hint="eastAsia" w:ascii="Times New Roman" w:hAnsi="Times New Roman" w:eastAsia="宋体" w:cs="宋体"/>
                      <w:color w:val="auto"/>
                      <w:kern w:val="0"/>
                      <w:sz w:val="21"/>
                      <w:szCs w:val="21"/>
                      <w:lang w:val="en-US" w:eastAsia="zh-CN"/>
                    </w:rPr>
                    <w:t>粉尘经集气罩收集（收集效率95%）后，与经</w:t>
                  </w:r>
                  <w:r>
                    <w:rPr>
                      <w:rFonts w:hint="eastAsia" w:cs="宋体"/>
                      <w:color w:val="auto"/>
                      <w:kern w:val="0"/>
                      <w:sz w:val="21"/>
                      <w:szCs w:val="21"/>
                      <w:lang w:val="en-US" w:eastAsia="zh-CN"/>
                    </w:rPr>
                    <w:t>设备密闭、</w:t>
                  </w:r>
                  <w:r>
                    <w:rPr>
                      <w:rFonts w:hint="eastAsia" w:ascii="Times New Roman" w:hAnsi="Times New Roman" w:eastAsia="宋体" w:cs="宋体"/>
                      <w:color w:val="auto"/>
                      <w:kern w:val="0"/>
                      <w:sz w:val="21"/>
                      <w:szCs w:val="21"/>
                      <w:lang w:val="en-US" w:eastAsia="zh-CN"/>
                    </w:rPr>
                    <w:t>管道收集（收集效率95%）的熔化废气一起由“2#布袋除尘器”处理（处理效率9</w:t>
                  </w:r>
                  <w:r>
                    <w:rPr>
                      <w:rFonts w:hint="eastAsia" w:cs="宋体"/>
                      <w:color w:val="auto"/>
                      <w:kern w:val="0"/>
                      <w:sz w:val="21"/>
                      <w:szCs w:val="21"/>
                      <w:lang w:val="en-US" w:eastAsia="zh-CN"/>
                    </w:rPr>
                    <w:t>9</w:t>
                  </w:r>
                  <w:r>
                    <w:rPr>
                      <w:rFonts w:hint="eastAsia" w:ascii="Times New Roman" w:hAnsi="Times New Roman" w:eastAsia="宋体" w:cs="宋体"/>
                      <w:color w:val="auto"/>
                      <w:kern w:val="0"/>
                      <w:sz w:val="21"/>
                      <w:szCs w:val="21"/>
                      <w:lang w:val="en-US" w:eastAsia="zh-CN"/>
                    </w:rPr>
                    <w:t>%）达标后，通过DA002排气筒排放（排放高度15m）</w:t>
                  </w:r>
                </w:p>
              </w:tc>
              <w:tc>
                <w:tcPr>
                  <w:tcW w:w="1040" w:type="dxa"/>
                  <w:gridSpan w:val="2"/>
                  <w:vMerge w:val="continue"/>
                  <w:noWrap w:val="0"/>
                  <w:vAlign w:val="center"/>
                </w:tcPr>
                <w:p w14:paraId="265C8FF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67EA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2B737B3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62215D9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34568FA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continue"/>
                  <w:noWrap w:val="0"/>
                  <w:vAlign w:val="center"/>
                </w:tcPr>
                <w:p w14:paraId="695394B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6850A68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2#生产线火焰抛光工序天然气燃烧废气与1#生产</w:t>
                  </w:r>
                  <w:r>
                    <w:rPr>
                      <w:rFonts w:hint="eastAsia" w:ascii="Times New Roman" w:hAnsi="Times New Roman" w:eastAsia="宋体" w:cs="宋体"/>
                      <w:color w:val="auto"/>
                      <w:kern w:val="0"/>
                      <w:sz w:val="21"/>
                      <w:szCs w:val="21"/>
                      <w:lang w:val="en-US" w:eastAsia="zh-CN"/>
                    </w:rPr>
                    <w:t>线</w:t>
                  </w:r>
                  <w:r>
                    <w:rPr>
                      <w:rFonts w:hint="eastAsia" w:cs="宋体"/>
                      <w:color w:val="auto"/>
                      <w:kern w:val="0"/>
                      <w:sz w:val="21"/>
                      <w:szCs w:val="21"/>
                      <w:lang w:val="en-US" w:eastAsia="zh-CN"/>
                    </w:rPr>
                    <w:t>天然气燃烧废气一同经过DA006排气筒排放</w:t>
                  </w:r>
                  <w:r>
                    <w:rPr>
                      <w:rFonts w:hint="eastAsia" w:ascii="Times New Roman" w:hAnsi="Times New Roman" w:eastAsia="宋体" w:cs="宋体"/>
                      <w:color w:val="auto"/>
                      <w:kern w:val="0"/>
                      <w:sz w:val="21"/>
                      <w:szCs w:val="21"/>
                      <w:lang w:val="en-US" w:eastAsia="zh-CN"/>
                    </w:rPr>
                    <w:t>（排放高度15m）（排放高度15m）</w:t>
                  </w:r>
                </w:p>
              </w:tc>
              <w:tc>
                <w:tcPr>
                  <w:tcW w:w="1040" w:type="dxa"/>
                  <w:gridSpan w:val="2"/>
                  <w:vMerge w:val="continue"/>
                  <w:noWrap w:val="0"/>
                  <w:vAlign w:val="center"/>
                </w:tcPr>
                <w:p w14:paraId="5C5690F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076A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6F7F87D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03B813D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49BB594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continue"/>
                  <w:noWrap w:val="0"/>
                  <w:vAlign w:val="center"/>
                </w:tcPr>
                <w:p w14:paraId="4DA74CE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7B8AE28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s="宋体"/>
                      <w:color w:val="auto"/>
                      <w:kern w:val="0"/>
                      <w:sz w:val="21"/>
                      <w:szCs w:val="21"/>
                      <w:lang w:val="en-US" w:eastAsia="zh-CN"/>
                    </w:rPr>
                  </w:pPr>
                  <w:r>
                    <w:rPr>
                      <w:rFonts w:hint="eastAsia" w:cs="宋体"/>
                      <w:color w:val="auto"/>
                      <w:kern w:val="0"/>
                      <w:sz w:val="21"/>
                      <w:szCs w:val="21"/>
                      <w:lang w:val="en-US" w:eastAsia="zh-CN"/>
                    </w:rPr>
                    <w:t>2</w:t>
                  </w:r>
                  <w:r>
                    <w:rPr>
                      <w:rFonts w:hint="eastAsia" w:ascii="Times New Roman" w:hAnsi="Times New Roman" w:eastAsia="宋体" w:cs="宋体"/>
                      <w:color w:val="auto"/>
                      <w:kern w:val="0"/>
                      <w:sz w:val="21"/>
                      <w:szCs w:val="21"/>
                      <w:lang w:val="en-US" w:eastAsia="zh-CN"/>
                    </w:rPr>
                    <w:t>#生产线</w:t>
                  </w:r>
                  <w:r>
                    <w:rPr>
                      <w:rFonts w:hint="eastAsia" w:cs="宋体"/>
                      <w:color w:val="auto"/>
                      <w:kern w:val="0"/>
                      <w:sz w:val="21"/>
                      <w:szCs w:val="21"/>
                      <w:lang w:val="en-US" w:eastAsia="zh-CN"/>
                    </w:rPr>
                    <w:t>配料、混料过程中产生的颗粒物无组织降落至密闭配料间内，定期清扫地面</w:t>
                  </w:r>
                </w:p>
              </w:tc>
              <w:tc>
                <w:tcPr>
                  <w:tcW w:w="1040" w:type="dxa"/>
                  <w:gridSpan w:val="2"/>
                  <w:vMerge w:val="continue"/>
                  <w:noWrap w:val="0"/>
                  <w:vAlign w:val="center"/>
                </w:tcPr>
                <w:p w14:paraId="786CEEF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7F41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1BFB624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335" w:type="dxa"/>
                  <w:vMerge w:val="continue"/>
                  <w:noWrap w:val="0"/>
                  <w:vAlign w:val="center"/>
                </w:tcPr>
                <w:p w14:paraId="3EE258F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424" w:type="dxa"/>
                  <w:vMerge w:val="restart"/>
                  <w:noWrap w:val="0"/>
                  <w:vAlign w:val="center"/>
                </w:tcPr>
                <w:p w14:paraId="5D01501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r>
                    <w:rPr>
                      <w:rFonts w:hint="eastAsia" w:cs="宋体"/>
                      <w:color w:val="auto"/>
                      <w:kern w:val="0"/>
                      <w:sz w:val="21"/>
                      <w:szCs w:val="21"/>
                      <w:lang w:val="en-US" w:eastAsia="zh-CN"/>
                    </w:rPr>
                    <w:t>1#生产车间</w:t>
                  </w:r>
                </w:p>
              </w:tc>
              <w:tc>
                <w:tcPr>
                  <w:tcW w:w="501" w:type="dxa"/>
                  <w:vMerge w:val="restart"/>
                  <w:noWrap w:val="0"/>
                  <w:vAlign w:val="center"/>
                </w:tcPr>
                <w:p w14:paraId="473F534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3#生产线</w:t>
                  </w:r>
                </w:p>
              </w:tc>
              <w:tc>
                <w:tcPr>
                  <w:tcW w:w="5078" w:type="dxa"/>
                  <w:gridSpan w:val="2"/>
                  <w:noWrap w:val="0"/>
                  <w:vAlign w:val="center"/>
                </w:tcPr>
                <w:p w14:paraId="68E3D55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sz w:val="21"/>
                      <w:szCs w:val="21"/>
                      <w:lang w:val="en-US" w:eastAsia="zh-CN"/>
                    </w:rPr>
                  </w:pPr>
                  <w:r>
                    <w:rPr>
                      <w:rFonts w:hint="eastAsia" w:ascii="Times New Roman" w:hAnsi="Times New Roman" w:eastAsia="宋体" w:cs="宋体"/>
                      <w:color w:val="auto"/>
                      <w:kern w:val="0"/>
                      <w:sz w:val="21"/>
                      <w:szCs w:val="21"/>
                      <w:lang w:val="en-US" w:eastAsia="zh-CN"/>
                    </w:rPr>
                    <w:t>车间封闭，</w:t>
                  </w:r>
                  <w:r>
                    <w:rPr>
                      <w:rFonts w:hint="eastAsia"/>
                      <w:color w:val="auto"/>
                      <w:sz w:val="21"/>
                      <w:szCs w:val="21"/>
                      <w:lang w:val="en-US" w:eastAsia="zh-CN"/>
                    </w:rPr>
                    <w:t>3#生产线布料粉尘经集气罩收集（收集效率95%）后，与经</w:t>
                  </w:r>
                  <w:r>
                    <w:rPr>
                      <w:rFonts w:hint="eastAsia" w:cs="宋体"/>
                      <w:color w:val="auto"/>
                      <w:kern w:val="0"/>
                      <w:sz w:val="21"/>
                      <w:szCs w:val="21"/>
                      <w:lang w:val="en-US" w:eastAsia="zh-CN"/>
                    </w:rPr>
                    <w:t>设备密闭、</w:t>
                  </w:r>
                  <w:r>
                    <w:rPr>
                      <w:rFonts w:hint="eastAsia"/>
                      <w:color w:val="auto"/>
                      <w:sz w:val="21"/>
                      <w:szCs w:val="21"/>
                      <w:lang w:val="en-US" w:eastAsia="zh-CN"/>
                    </w:rPr>
                    <w:t>管道收集（收集效率95%）的熔化废气一起由“3#布袋除尘器”处理（处理效率99%）达标后，通过DA003排气筒排放</w:t>
                  </w:r>
                  <w:r>
                    <w:rPr>
                      <w:rFonts w:hint="eastAsia" w:ascii="Times New Roman" w:hAnsi="Times New Roman" w:eastAsia="宋体" w:cs="宋体"/>
                      <w:color w:val="auto"/>
                      <w:kern w:val="0"/>
                      <w:sz w:val="21"/>
                      <w:szCs w:val="21"/>
                      <w:lang w:val="en-US" w:eastAsia="zh-CN"/>
                    </w:rPr>
                    <w:t>（排放高度15m）</w:t>
                  </w:r>
                </w:p>
              </w:tc>
              <w:tc>
                <w:tcPr>
                  <w:tcW w:w="1040" w:type="dxa"/>
                  <w:gridSpan w:val="2"/>
                  <w:vMerge w:val="continue"/>
                  <w:noWrap w:val="0"/>
                  <w:vAlign w:val="center"/>
                </w:tcPr>
                <w:p w14:paraId="1B8E334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r>
            <w:tr w14:paraId="3223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52B93AC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335" w:type="dxa"/>
                  <w:vMerge w:val="continue"/>
                  <w:noWrap w:val="0"/>
                  <w:vAlign w:val="center"/>
                </w:tcPr>
                <w:p w14:paraId="00EA372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424" w:type="dxa"/>
                  <w:vMerge w:val="continue"/>
                  <w:noWrap w:val="0"/>
                  <w:vAlign w:val="center"/>
                </w:tcPr>
                <w:p w14:paraId="2EFA6D62">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501" w:type="dxa"/>
                  <w:vMerge w:val="continue"/>
                  <w:noWrap w:val="0"/>
                  <w:vAlign w:val="center"/>
                </w:tcPr>
                <w:p w14:paraId="0F4F9DD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2034F16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3#生产</w:t>
                  </w:r>
                  <w:r>
                    <w:rPr>
                      <w:rFonts w:hint="eastAsia" w:ascii="Times New Roman" w:hAnsi="Times New Roman" w:eastAsia="宋体" w:cs="宋体"/>
                      <w:color w:val="auto"/>
                      <w:kern w:val="0"/>
                      <w:sz w:val="21"/>
                      <w:szCs w:val="21"/>
                      <w:lang w:val="en-US" w:eastAsia="zh-CN"/>
                    </w:rPr>
                    <w:t>线</w:t>
                  </w:r>
                  <w:r>
                    <w:rPr>
                      <w:rFonts w:hint="eastAsia" w:cs="宋体"/>
                      <w:color w:val="auto"/>
                      <w:kern w:val="0"/>
                      <w:sz w:val="21"/>
                      <w:szCs w:val="21"/>
                      <w:lang w:val="en-US" w:eastAsia="zh-CN"/>
                    </w:rPr>
                    <w:t>火焰抛光工序天然气燃烧废气与4#生产</w:t>
                  </w:r>
                  <w:r>
                    <w:rPr>
                      <w:rFonts w:hint="eastAsia" w:ascii="Times New Roman" w:hAnsi="Times New Roman" w:eastAsia="宋体" w:cs="宋体"/>
                      <w:color w:val="auto"/>
                      <w:kern w:val="0"/>
                      <w:sz w:val="21"/>
                      <w:szCs w:val="21"/>
                      <w:lang w:val="en-US" w:eastAsia="zh-CN"/>
                    </w:rPr>
                    <w:t>线</w:t>
                  </w:r>
                  <w:r>
                    <w:rPr>
                      <w:rFonts w:hint="eastAsia" w:cs="宋体"/>
                      <w:color w:val="auto"/>
                      <w:kern w:val="0"/>
                      <w:sz w:val="21"/>
                      <w:szCs w:val="21"/>
                      <w:lang w:val="en-US" w:eastAsia="zh-CN"/>
                    </w:rPr>
                    <w:t>天然气燃烧废气一同经过DA007排气筒排放</w:t>
                  </w:r>
                  <w:r>
                    <w:rPr>
                      <w:rFonts w:hint="eastAsia" w:ascii="Times New Roman" w:hAnsi="Times New Roman" w:eastAsia="宋体" w:cs="宋体"/>
                      <w:color w:val="auto"/>
                      <w:kern w:val="0"/>
                      <w:sz w:val="21"/>
                      <w:szCs w:val="21"/>
                      <w:lang w:val="en-US" w:eastAsia="zh-CN"/>
                    </w:rPr>
                    <w:t>（排放高度15m）</w:t>
                  </w:r>
                </w:p>
              </w:tc>
              <w:tc>
                <w:tcPr>
                  <w:tcW w:w="1040" w:type="dxa"/>
                  <w:gridSpan w:val="2"/>
                  <w:vMerge w:val="continue"/>
                  <w:noWrap w:val="0"/>
                  <w:vAlign w:val="center"/>
                </w:tcPr>
                <w:p w14:paraId="6902C74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r>
            <w:tr w14:paraId="747E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539CE43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335" w:type="dxa"/>
                  <w:vMerge w:val="continue"/>
                  <w:noWrap w:val="0"/>
                  <w:vAlign w:val="center"/>
                </w:tcPr>
                <w:p w14:paraId="05C1D512">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424" w:type="dxa"/>
                  <w:vMerge w:val="continue"/>
                  <w:noWrap w:val="0"/>
                  <w:vAlign w:val="center"/>
                </w:tcPr>
                <w:p w14:paraId="7CA3C14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宋体"/>
                      <w:color w:val="auto"/>
                      <w:kern w:val="0"/>
                      <w:sz w:val="21"/>
                      <w:szCs w:val="21"/>
                    </w:rPr>
                  </w:pPr>
                </w:p>
              </w:tc>
              <w:tc>
                <w:tcPr>
                  <w:tcW w:w="501" w:type="dxa"/>
                  <w:vMerge w:val="continue"/>
                  <w:noWrap w:val="0"/>
                  <w:vAlign w:val="center"/>
                </w:tcPr>
                <w:p w14:paraId="3741EE3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3E34CDD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s="宋体"/>
                      <w:color w:val="auto"/>
                      <w:kern w:val="0"/>
                      <w:sz w:val="21"/>
                      <w:szCs w:val="21"/>
                      <w:lang w:val="en-US" w:eastAsia="zh-CN"/>
                    </w:rPr>
                  </w:pPr>
                  <w:r>
                    <w:rPr>
                      <w:rFonts w:hint="eastAsia" w:cs="宋体"/>
                      <w:color w:val="auto"/>
                      <w:kern w:val="0"/>
                      <w:sz w:val="21"/>
                      <w:szCs w:val="21"/>
                      <w:lang w:val="en-US" w:eastAsia="zh-CN"/>
                    </w:rPr>
                    <w:t>3</w:t>
                  </w:r>
                  <w:r>
                    <w:rPr>
                      <w:rFonts w:hint="eastAsia" w:ascii="Times New Roman" w:hAnsi="Times New Roman" w:eastAsia="宋体" w:cs="宋体"/>
                      <w:color w:val="auto"/>
                      <w:kern w:val="0"/>
                      <w:sz w:val="21"/>
                      <w:szCs w:val="21"/>
                      <w:lang w:val="en-US" w:eastAsia="zh-CN"/>
                    </w:rPr>
                    <w:t>#生产线</w:t>
                  </w:r>
                  <w:r>
                    <w:rPr>
                      <w:rFonts w:hint="eastAsia" w:cs="宋体"/>
                      <w:color w:val="auto"/>
                      <w:kern w:val="0"/>
                      <w:sz w:val="21"/>
                      <w:szCs w:val="21"/>
                      <w:lang w:val="en-US" w:eastAsia="zh-CN"/>
                    </w:rPr>
                    <w:t>配料、混料过程中产生的颗粒物无组织降落至密闭配料间内，定期清扫地面</w:t>
                  </w:r>
                </w:p>
              </w:tc>
              <w:tc>
                <w:tcPr>
                  <w:tcW w:w="1040" w:type="dxa"/>
                  <w:gridSpan w:val="2"/>
                  <w:vMerge w:val="continue"/>
                  <w:noWrap w:val="0"/>
                  <w:vAlign w:val="center"/>
                </w:tcPr>
                <w:p w14:paraId="7D25C1E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lang w:val="en-US" w:eastAsia="zh-CN"/>
                    </w:rPr>
                  </w:pPr>
                </w:p>
              </w:tc>
            </w:tr>
            <w:tr w14:paraId="7026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7FCE5B0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6FD0DFD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34E5FF4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restart"/>
                  <w:noWrap w:val="0"/>
                  <w:vAlign w:val="center"/>
                </w:tcPr>
                <w:p w14:paraId="0AE2931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4#生产线</w:t>
                  </w:r>
                </w:p>
              </w:tc>
              <w:tc>
                <w:tcPr>
                  <w:tcW w:w="5078" w:type="dxa"/>
                  <w:gridSpan w:val="2"/>
                  <w:noWrap w:val="0"/>
                  <w:vAlign w:val="center"/>
                </w:tcPr>
                <w:p w14:paraId="3FF25AA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车间封闭，4#生产线</w:t>
                  </w:r>
                  <w:r>
                    <w:rPr>
                      <w:rFonts w:hint="eastAsia" w:cs="宋体"/>
                      <w:color w:val="auto"/>
                      <w:kern w:val="0"/>
                      <w:sz w:val="21"/>
                      <w:szCs w:val="21"/>
                      <w:lang w:val="en-US" w:eastAsia="zh-CN"/>
                    </w:rPr>
                    <w:t>布料</w:t>
                  </w:r>
                  <w:r>
                    <w:rPr>
                      <w:rFonts w:hint="eastAsia" w:ascii="Times New Roman" w:hAnsi="Times New Roman" w:eastAsia="宋体" w:cs="宋体"/>
                      <w:color w:val="auto"/>
                      <w:kern w:val="0"/>
                      <w:sz w:val="21"/>
                      <w:szCs w:val="21"/>
                      <w:lang w:val="en-US" w:eastAsia="zh-CN"/>
                    </w:rPr>
                    <w:t>粉尘经集气罩收集（收集效率95%）后，与经</w:t>
                  </w:r>
                  <w:r>
                    <w:rPr>
                      <w:rFonts w:hint="eastAsia" w:cs="宋体"/>
                      <w:color w:val="auto"/>
                      <w:kern w:val="0"/>
                      <w:sz w:val="21"/>
                      <w:szCs w:val="21"/>
                      <w:lang w:val="en-US" w:eastAsia="zh-CN"/>
                    </w:rPr>
                    <w:t>设备密闭、</w:t>
                  </w:r>
                  <w:r>
                    <w:rPr>
                      <w:rFonts w:hint="eastAsia" w:ascii="Times New Roman" w:hAnsi="Times New Roman" w:eastAsia="宋体" w:cs="宋体"/>
                      <w:color w:val="auto"/>
                      <w:kern w:val="0"/>
                      <w:sz w:val="21"/>
                      <w:szCs w:val="21"/>
                      <w:lang w:val="en-US" w:eastAsia="zh-CN"/>
                    </w:rPr>
                    <w:t>管道收集（收集效率95%）的熔化废气一起由“4#布袋除尘器”处理（处理效率9</w:t>
                  </w:r>
                  <w:r>
                    <w:rPr>
                      <w:rFonts w:hint="eastAsia" w:cs="宋体"/>
                      <w:color w:val="auto"/>
                      <w:kern w:val="0"/>
                      <w:sz w:val="21"/>
                      <w:szCs w:val="21"/>
                      <w:lang w:val="en-US" w:eastAsia="zh-CN"/>
                    </w:rPr>
                    <w:t>9</w:t>
                  </w:r>
                  <w:r>
                    <w:rPr>
                      <w:rFonts w:hint="eastAsia" w:ascii="Times New Roman" w:hAnsi="Times New Roman" w:eastAsia="宋体" w:cs="宋体"/>
                      <w:color w:val="auto"/>
                      <w:kern w:val="0"/>
                      <w:sz w:val="21"/>
                      <w:szCs w:val="21"/>
                      <w:lang w:val="en-US" w:eastAsia="zh-CN"/>
                    </w:rPr>
                    <w:t>%）达标后，通过DA004排气筒排放（排放高度15m）</w:t>
                  </w:r>
                </w:p>
              </w:tc>
              <w:tc>
                <w:tcPr>
                  <w:tcW w:w="1040" w:type="dxa"/>
                  <w:gridSpan w:val="2"/>
                  <w:vMerge w:val="continue"/>
                  <w:noWrap w:val="0"/>
                  <w:vAlign w:val="center"/>
                </w:tcPr>
                <w:p w14:paraId="6E0B9A4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4DF16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131BC81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5A689712">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4490676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continue"/>
                  <w:noWrap w:val="0"/>
                  <w:vAlign w:val="center"/>
                </w:tcPr>
                <w:p w14:paraId="5131A3A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4A18FB2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4#生产</w:t>
                  </w:r>
                  <w:r>
                    <w:rPr>
                      <w:rFonts w:hint="eastAsia" w:ascii="Times New Roman" w:hAnsi="Times New Roman" w:eastAsia="宋体" w:cs="宋体"/>
                      <w:color w:val="auto"/>
                      <w:kern w:val="0"/>
                      <w:sz w:val="21"/>
                      <w:szCs w:val="21"/>
                      <w:lang w:val="en-US" w:eastAsia="zh-CN"/>
                    </w:rPr>
                    <w:t>线</w:t>
                  </w:r>
                  <w:r>
                    <w:rPr>
                      <w:rFonts w:hint="eastAsia" w:cs="宋体"/>
                      <w:color w:val="auto"/>
                      <w:kern w:val="0"/>
                      <w:sz w:val="21"/>
                      <w:szCs w:val="21"/>
                      <w:lang w:val="en-US" w:eastAsia="zh-CN"/>
                    </w:rPr>
                    <w:t>火焰抛光工序天然气燃烧废气与3#生产</w:t>
                  </w:r>
                  <w:r>
                    <w:rPr>
                      <w:rFonts w:hint="eastAsia" w:ascii="Times New Roman" w:hAnsi="Times New Roman" w:eastAsia="宋体" w:cs="宋体"/>
                      <w:color w:val="auto"/>
                      <w:kern w:val="0"/>
                      <w:sz w:val="21"/>
                      <w:szCs w:val="21"/>
                      <w:lang w:val="en-US" w:eastAsia="zh-CN"/>
                    </w:rPr>
                    <w:t>线</w:t>
                  </w:r>
                  <w:r>
                    <w:rPr>
                      <w:rFonts w:hint="eastAsia" w:cs="宋体"/>
                      <w:color w:val="auto"/>
                      <w:kern w:val="0"/>
                      <w:sz w:val="21"/>
                      <w:szCs w:val="21"/>
                      <w:lang w:val="en-US" w:eastAsia="zh-CN"/>
                    </w:rPr>
                    <w:t>天然气燃烧废气一同经过DA007排气筒排放</w:t>
                  </w:r>
                  <w:r>
                    <w:rPr>
                      <w:rFonts w:hint="eastAsia" w:ascii="Times New Roman" w:hAnsi="Times New Roman" w:eastAsia="宋体" w:cs="宋体"/>
                      <w:color w:val="auto"/>
                      <w:kern w:val="0"/>
                      <w:sz w:val="21"/>
                      <w:szCs w:val="21"/>
                      <w:lang w:val="en-US" w:eastAsia="zh-CN"/>
                    </w:rPr>
                    <w:t>（排放高度15m）</w:t>
                  </w:r>
                </w:p>
              </w:tc>
              <w:tc>
                <w:tcPr>
                  <w:tcW w:w="1040" w:type="dxa"/>
                  <w:gridSpan w:val="2"/>
                  <w:vMerge w:val="continue"/>
                  <w:noWrap w:val="0"/>
                  <w:vAlign w:val="center"/>
                </w:tcPr>
                <w:p w14:paraId="390D97C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4DB6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51CB29D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6E6A72F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71A331A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continue"/>
                  <w:noWrap w:val="0"/>
                  <w:vAlign w:val="center"/>
                </w:tcPr>
                <w:p w14:paraId="6A2A866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lang w:val="en-US" w:eastAsia="zh-CN"/>
                    </w:rPr>
                  </w:pPr>
                </w:p>
              </w:tc>
              <w:tc>
                <w:tcPr>
                  <w:tcW w:w="5078" w:type="dxa"/>
                  <w:gridSpan w:val="2"/>
                  <w:noWrap w:val="0"/>
                  <w:vAlign w:val="center"/>
                </w:tcPr>
                <w:p w14:paraId="6163603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s="宋体"/>
                      <w:color w:val="auto"/>
                      <w:kern w:val="0"/>
                      <w:sz w:val="21"/>
                      <w:szCs w:val="21"/>
                      <w:lang w:val="en-US" w:eastAsia="zh-CN"/>
                    </w:rPr>
                  </w:pPr>
                  <w:r>
                    <w:rPr>
                      <w:rFonts w:hint="eastAsia" w:cs="宋体"/>
                      <w:color w:val="auto"/>
                      <w:kern w:val="0"/>
                      <w:sz w:val="21"/>
                      <w:szCs w:val="21"/>
                      <w:lang w:val="en-US" w:eastAsia="zh-CN"/>
                    </w:rPr>
                    <w:t>4</w:t>
                  </w:r>
                  <w:r>
                    <w:rPr>
                      <w:rFonts w:hint="eastAsia" w:ascii="Times New Roman" w:hAnsi="Times New Roman" w:eastAsia="宋体" w:cs="宋体"/>
                      <w:color w:val="auto"/>
                      <w:kern w:val="0"/>
                      <w:sz w:val="21"/>
                      <w:szCs w:val="21"/>
                      <w:lang w:val="en-US" w:eastAsia="zh-CN"/>
                    </w:rPr>
                    <w:t>#生产线</w:t>
                  </w:r>
                  <w:r>
                    <w:rPr>
                      <w:rFonts w:hint="eastAsia" w:cs="宋体"/>
                      <w:color w:val="auto"/>
                      <w:kern w:val="0"/>
                      <w:sz w:val="21"/>
                      <w:szCs w:val="21"/>
                      <w:lang w:val="en-US" w:eastAsia="zh-CN"/>
                    </w:rPr>
                    <w:t>配料、混料过程中产生的颗粒物无组织降落至密闭配料间内，定期清扫地面</w:t>
                  </w:r>
                </w:p>
              </w:tc>
              <w:tc>
                <w:tcPr>
                  <w:tcW w:w="1040" w:type="dxa"/>
                  <w:gridSpan w:val="2"/>
                  <w:vMerge w:val="continue"/>
                  <w:noWrap w:val="0"/>
                  <w:vAlign w:val="center"/>
                </w:tcPr>
                <w:p w14:paraId="6FBFB01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706D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4B45CA0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236920A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restart"/>
                  <w:noWrap w:val="0"/>
                  <w:vAlign w:val="center"/>
                </w:tcPr>
                <w:p w14:paraId="36210B4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r>
                    <w:rPr>
                      <w:rFonts w:hint="eastAsia" w:cs="宋体"/>
                      <w:color w:val="auto"/>
                      <w:kern w:val="0"/>
                      <w:sz w:val="21"/>
                      <w:szCs w:val="21"/>
                      <w:lang w:val="en-US" w:eastAsia="zh-CN"/>
                    </w:rPr>
                    <w:t>3#生产车间</w:t>
                  </w:r>
                </w:p>
              </w:tc>
              <w:tc>
                <w:tcPr>
                  <w:tcW w:w="501" w:type="dxa"/>
                  <w:vMerge w:val="restart"/>
                  <w:noWrap w:val="0"/>
                  <w:vAlign w:val="center"/>
                </w:tcPr>
                <w:p w14:paraId="77F6ACD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5</w:t>
                  </w:r>
                  <w:r>
                    <w:rPr>
                      <w:rFonts w:hint="eastAsia" w:ascii="Times New Roman" w:hAnsi="Times New Roman" w:eastAsia="宋体" w:cs="宋体"/>
                      <w:color w:val="auto"/>
                      <w:kern w:val="0"/>
                      <w:sz w:val="21"/>
                      <w:szCs w:val="21"/>
                      <w:lang w:val="en-US" w:eastAsia="zh-CN"/>
                    </w:rPr>
                    <w:t>#生产线</w:t>
                  </w:r>
                </w:p>
              </w:tc>
              <w:tc>
                <w:tcPr>
                  <w:tcW w:w="5078" w:type="dxa"/>
                  <w:gridSpan w:val="2"/>
                  <w:noWrap w:val="0"/>
                  <w:vAlign w:val="center"/>
                </w:tcPr>
                <w:p w14:paraId="237050F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ascii="Times New Roman" w:hAnsi="Times New Roman" w:eastAsia="宋体" w:cs="宋体"/>
                      <w:color w:val="auto"/>
                      <w:kern w:val="0"/>
                      <w:sz w:val="21"/>
                      <w:szCs w:val="21"/>
                      <w:lang w:val="en-US" w:eastAsia="zh-CN"/>
                    </w:rPr>
                    <w:t>车间封闭，</w:t>
                  </w:r>
                  <w:r>
                    <w:rPr>
                      <w:rFonts w:hint="eastAsia"/>
                      <w:color w:val="auto"/>
                      <w:sz w:val="21"/>
                      <w:szCs w:val="21"/>
                      <w:lang w:val="en-US" w:eastAsia="zh-CN"/>
                    </w:rPr>
                    <w:t>5#生产线布料粉尘经集气罩收集（收集效率95%）后，与经</w:t>
                  </w:r>
                  <w:r>
                    <w:rPr>
                      <w:rFonts w:hint="eastAsia" w:cs="宋体"/>
                      <w:color w:val="auto"/>
                      <w:kern w:val="0"/>
                      <w:sz w:val="21"/>
                      <w:szCs w:val="21"/>
                      <w:lang w:val="en-US" w:eastAsia="zh-CN"/>
                    </w:rPr>
                    <w:t>设备密闭、</w:t>
                  </w:r>
                  <w:r>
                    <w:rPr>
                      <w:rFonts w:hint="eastAsia"/>
                      <w:color w:val="auto"/>
                      <w:sz w:val="21"/>
                      <w:szCs w:val="21"/>
                      <w:lang w:val="en-US" w:eastAsia="zh-CN"/>
                    </w:rPr>
                    <w:t>管道收集（收集效率95%）的熔化废气一起由“5#布袋除尘器”处理（处理效率99%）达标后，通过DA005排气筒排放</w:t>
                  </w:r>
                  <w:r>
                    <w:rPr>
                      <w:rFonts w:hint="eastAsia" w:ascii="Times New Roman" w:hAnsi="Times New Roman" w:eastAsia="宋体" w:cs="宋体"/>
                      <w:color w:val="auto"/>
                      <w:kern w:val="0"/>
                      <w:sz w:val="21"/>
                      <w:szCs w:val="21"/>
                      <w:lang w:val="en-US" w:eastAsia="zh-CN"/>
                    </w:rPr>
                    <w:t>（排放高度15m）</w:t>
                  </w:r>
                </w:p>
              </w:tc>
              <w:tc>
                <w:tcPr>
                  <w:tcW w:w="1040" w:type="dxa"/>
                  <w:gridSpan w:val="2"/>
                  <w:vMerge w:val="continue"/>
                  <w:noWrap w:val="0"/>
                  <w:vAlign w:val="center"/>
                </w:tcPr>
                <w:p w14:paraId="1C631A2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3B5C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13E49C2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38D5429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53F4E52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continue"/>
                  <w:noWrap w:val="0"/>
                  <w:vAlign w:val="center"/>
                </w:tcPr>
                <w:p w14:paraId="10B9DE5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宋体"/>
                      <w:color w:val="auto"/>
                      <w:kern w:val="0"/>
                      <w:sz w:val="21"/>
                      <w:szCs w:val="21"/>
                      <w:lang w:val="en-US" w:eastAsia="zh-CN"/>
                    </w:rPr>
                  </w:pPr>
                </w:p>
              </w:tc>
              <w:tc>
                <w:tcPr>
                  <w:tcW w:w="5078" w:type="dxa"/>
                  <w:gridSpan w:val="2"/>
                  <w:noWrap w:val="0"/>
                  <w:vAlign w:val="center"/>
                </w:tcPr>
                <w:p w14:paraId="49ABA8F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cs="宋体"/>
                      <w:color w:val="auto"/>
                      <w:kern w:val="0"/>
                      <w:sz w:val="21"/>
                      <w:szCs w:val="21"/>
                      <w:lang w:val="en-US" w:eastAsia="zh-CN"/>
                    </w:rPr>
                    <w:t>5#生产</w:t>
                  </w:r>
                  <w:r>
                    <w:rPr>
                      <w:rFonts w:hint="eastAsia" w:ascii="Times New Roman" w:hAnsi="Times New Roman" w:eastAsia="宋体" w:cs="宋体"/>
                      <w:color w:val="auto"/>
                      <w:kern w:val="0"/>
                      <w:sz w:val="21"/>
                      <w:szCs w:val="21"/>
                      <w:lang w:val="en-US" w:eastAsia="zh-CN"/>
                    </w:rPr>
                    <w:t>线</w:t>
                  </w:r>
                  <w:r>
                    <w:rPr>
                      <w:rFonts w:hint="eastAsia" w:cs="宋体"/>
                      <w:color w:val="auto"/>
                      <w:kern w:val="0"/>
                      <w:sz w:val="21"/>
                      <w:szCs w:val="21"/>
                      <w:lang w:val="en-US" w:eastAsia="zh-CN"/>
                    </w:rPr>
                    <w:t>火焰抛光工序天然气燃烧废气经过DA008排气筒排放</w:t>
                  </w:r>
                  <w:r>
                    <w:rPr>
                      <w:rFonts w:hint="eastAsia" w:ascii="Times New Roman" w:hAnsi="Times New Roman" w:eastAsia="宋体" w:cs="宋体"/>
                      <w:color w:val="auto"/>
                      <w:kern w:val="0"/>
                      <w:sz w:val="21"/>
                      <w:szCs w:val="21"/>
                      <w:lang w:val="en-US" w:eastAsia="zh-CN"/>
                    </w:rPr>
                    <w:t>（排放高度15m）</w:t>
                  </w:r>
                </w:p>
              </w:tc>
              <w:tc>
                <w:tcPr>
                  <w:tcW w:w="1040" w:type="dxa"/>
                  <w:gridSpan w:val="2"/>
                  <w:vMerge w:val="continue"/>
                  <w:noWrap w:val="0"/>
                  <w:vAlign w:val="center"/>
                </w:tcPr>
                <w:p w14:paraId="449FD23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4A19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139F0C0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4E6872A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2D92B5B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continue"/>
                  <w:noWrap w:val="0"/>
                  <w:vAlign w:val="center"/>
                </w:tcPr>
                <w:p w14:paraId="65C029B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宋体"/>
                      <w:color w:val="auto"/>
                      <w:kern w:val="0"/>
                      <w:sz w:val="21"/>
                      <w:szCs w:val="21"/>
                      <w:lang w:val="en-US" w:eastAsia="zh-CN"/>
                    </w:rPr>
                  </w:pPr>
                </w:p>
              </w:tc>
              <w:tc>
                <w:tcPr>
                  <w:tcW w:w="5078" w:type="dxa"/>
                  <w:gridSpan w:val="2"/>
                  <w:noWrap w:val="0"/>
                  <w:vAlign w:val="center"/>
                </w:tcPr>
                <w:p w14:paraId="20DC1DB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s="宋体"/>
                      <w:color w:val="auto"/>
                      <w:kern w:val="0"/>
                      <w:sz w:val="21"/>
                      <w:szCs w:val="21"/>
                      <w:lang w:val="en-US" w:eastAsia="zh-CN"/>
                    </w:rPr>
                  </w:pPr>
                  <w:r>
                    <w:rPr>
                      <w:rFonts w:hint="eastAsia" w:cs="宋体"/>
                      <w:color w:val="auto"/>
                      <w:kern w:val="0"/>
                      <w:sz w:val="21"/>
                      <w:szCs w:val="21"/>
                      <w:lang w:val="en-US" w:eastAsia="zh-CN"/>
                    </w:rPr>
                    <w:t>圆口废气产生量较小，厂房封闭、无组织排放</w:t>
                  </w:r>
                </w:p>
              </w:tc>
              <w:tc>
                <w:tcPr>
                  <w:tcW w:w="1040" w:type="dxa"/>
                  <w:gridSpan w:val="2"/>
                  <w:vMerge w:val="continue"/>
                  <w:noWrap w:val="0"/>
                  <w:vAlign w:val="center"/>
                </w:tcPr>
                <w:p w14:paraId="4FEEC422">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6CD6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09A9610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335" w:type="dxa"/>
                  <w:vMerge w:val="continue"/>
                  <w:noWrap w:val="0"/>
                  <w:vAlign w:val="center"/>
                </w:tcPr>
                <w:p w14:paraId="55D61D7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424" w:type="dxa"/>
                  <w:vMerge w:val="continue"/>
                  <w:noWrap w:val="0"/>
                  <w:vAlign w:val="center"/>
                </w:tcPr>
                <w:p w14:paraId="7A826161">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rPr>
                  </w:pPr>
                </w:p>
              </w:tc>
              <w:tc>
                <w:tcPr>
                  <w:tcW w:w="501" w:type="dxa"/>
                  <w:vMerge w:val="continue"/>
                  <w:noWrap w:val="0"/>
                  <w:vAlign w:val="center"/>
                </w:tcPr>
                <w:p w14:paraId="15475FC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宋体"/>
                      <w:color w:val="auto"/>
                      <w:kern w:val="0"/>
                      <w:sz w:val="21"/>
                      <w:szCs w:val="21"/>
                      <w:lang w:val="en-US" w:eastAsia="zh-CN"/>
                    </w:rPr>
                  </w:pPr>
                </w:p>
              </w:tc>
              <w:tc>
                <w:tcPr>
                  <w:tcW w:w="5078" w:type="dxa"/>
                  <w:gridSpan w:val="2"/>
                  <w:noWrap w:val="0"/>
                  <w:vAlign w:val="center"/>
                </w:tcPr>
                <w:p w14:paraId="4389E6B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s="宋体"/>
                      <w:color w:val="auto"/>
                      <w:kern w:val="0"/>
                      <w:sz w:val="21"/>
                      <w:szCs w:val="21"/>
                      <w:lang w:val="en-US" w:eastAsia="zh-CN"/>
                    </w:rPr>
                  </w:pPr>
                  <w:r>
                    <w:rPr>
                      <w:rFonts w:hint="eastAsia" w:cs="宋体"/>
                      <w:color w:val="auto"/>
                      <w:kern w:val="0"/>
                      <w:sz w:val="21"/>
                      <w:szCs w:val="21"/>
                      <w:lang w:val="en-US" w:eastAsia="zh-CN"/>
                    </w:rPr>
                    <w:t>5#生产线配料、混料过程中产生的颗粒物无组织降落至密闭配料间内，定期清扫地面</w:t>
                  </w:r>
                </w:p>
              </w:tc>
              <w:tc>
                <w:tcPr>
                  <w:tcW w:w="1040" w:type="dxa"/>
                  <w:gridSpan w:val="2"/>
                  <w:vMerge w:val="continue"/>
                  <w:noWrap w:val="0"/>
                  <w:vAlign w:val="center"/>
                </w:tcPr>
                <w:p w14:paraId="7A59528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color w:val="auto"/>
                      <w:kern w:val="0"/>
                      <w:sz w:val="21"/>
                      <w:szCs w:val="21"/>
                      <w:lang w:val="en-US" w:eastAsia="zh-CN"/>
                    </w:rPr>
                  </w:pPr>
                </w:p>
              </w:tc>
            </w:tr>
            <w:tr w14:paraId="345C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1" w:type="dxa"/>
                  <w:vMerge w:val="continue"/>
                  <w:noWrap w:val="0"/>
                  <w:vAlign w:val="center"/>
                </w:tcPr>
                <w:p w14:paraId="27DE4462">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759" w:type="dxa"/>
                  <w:gridSpan w:val="2"/>
                  <w:noWrap w:val="0"/>
                  <w:vAlign w:val="center"/>
                </w:tcPr>
                <w:p w14:paraId="52E25E1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宋体"/>
                      <w:color w:val="auto"/>
                      <w:kern w:val="0"/>
                      <w:sz w:val="21"/>
                      <w:szCs w:val="21"/>
                    </w:rPr>
                  </w:pPr>
                  <w:r>
                    <w:rPr>
                      <w:rFonts w:hint="eastAsia" w:ascii="Times New Roman" w:hAnsi="Times New Roman" w:eastAsia="宋体" w:cs="宋体"/>
                      <w:color w:val="auto"/>
                      <w:kern w:val="0"/>
                      <w:sz w:val="21"/>
                      <w:szCs w:val="21"/>
                    </w:rPr>
                    <w:t>固废治理</w:t>
                  </w:r>
                </w:p>
              </w:tc>
              <w:tc>
                <w:tcPr>
                  <w:tcW w:w="5579" w:type="dxa"/>
                  <w:gridSpan w:val="3"/>
                  <w:noWrap w:val="0"/>
                  <w:vAlign w:val="center"/>
                </w:tcPr>
                <w:p w14:paraId="150554C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宋体" w:cs="宋体"/>
                      <w:color w:val="auto"/>
                      <w:kern w:val="0"/>
                      <w:sz w:val="21"/>
                      <w:szCs w:val="21"/>
                      <w:lang w:val="en-US" w:eastAsia="zh-CN"/>
                    </w:rPr>
                  </w:pPr>
                  <w:r>
                    <w:rPr>
                      <w:rFonts w:hint="eastAsia" w:cs="宋体"/>
                      <w:color w:val="auto"/>
                      <w:sz w:val="21"/>
                      <w:szCs w:val="21"/>
                    </w:rPr>
                    <w:t>生活垃圾</w:t>
                  </w:r>
                  <w:r>
                    <w:rPr>
                      <w:rFonts w:hint="eastAsia" w:cs="宋体"/>
                      <w:color w:val="auto"/>
                      <w:sz w:val="21"/>
                      <w:szCs w:val="21"/>
                      <w:lang w:val="en-US" w:eastAsia="zh-CN"/>
                    </w:rPr>
                    <w:t>暂存于生活垃圾桶，交由环卫部门统一清运</w:t>
                  </w:r>
                  <w:r>
                    <w:rPr>
                      <w:rFonts w:hint="default"/>
                      <w:color w:val="auto"/>
                      <w:sz w:val="21"/>
                      <w:szCs w:val="21"/>
                    </w:rPr>
                    <w:t>处置</w:t>
                  </w:r>
                  <w:r>
                    <w:rPr>
                      <w:rFonts w:hint="eastAsia"/>
                      <w:color w:val="auto"/>
                      <w:sz w:val="21"/>
                      <w:szCs w:val="21"/>
                      <w:lang w:eastAsia="zh-CN"/>
                    </w:rPr>
                    <w:t>；</w:t>
                  </w:r>
                  <w:r>
                    <w:rPr>
                      <w:rFonts w:hint="default"/>
                      <w:color w:val="auto"/>
                      <w:sz w:val="21"/>
                      <w:szCs w:val="21"/>
                      <w:lang w:eastAsia="zh-CN"/>
                    </w:rPr>
                    <w:t>废包装</w:t>
                  </w:r>
                  <w:r>
                    <w:rPr>
                      <w:rFonts w:hint="default"/>
                      <w:color w:val="auto"/>
                      <w:sz w:val="21"/>
                      <w:szCs w:val="21"/>
                      <w:lang w:val="en-US" w:eastAsia="zh-CN"/>
                    </w:rPr>
                    <w:t>材料</w:t>
                  </w:r>
                  <w:r>
                    <w:rPr>
                      <w:rFonts w:hint="eastAsia"/>
                      <w:color w:val="auto"/>
                      <w:sz w:val="21"/>
                      <w:szCs w:val="21"/>
                      <w:lang w:val="en-US" w:eastAsia="zh-CN"/>
                    </w:rPr>
                    <w:t>暂存于一般工业固体废物暂存场所，定期外售；</w:t>
                  </w:r>
                  <w:r>
                    <w:rPr>
                      <w:rFonts w:hint="default"/>
                      <w:color w:val="auto"/>
                      <w:sz w:val="21"/>
                      <w:szCs w:val="21"/>
                      <w:lang w:val="en-US" w:eastAsia="zh-CN"/>
                    </w:rPr>
                    <w:t>玻璃废边角料、不合格产品</w:t>
                  </w:r>
                  <w:r>
                    <w:rPr>
                      <w:rFonts w:hint="eastAsia"/>
                      <w:color w:val="auto"/>
                      <w:sz w:val="21"/>
                      <w:szCs w:val="21"/>
                      <w:lang w:val="en-US" w:eastAsia="zh-CN"/>
                    </w:rPr>
                    <w:t>暂存于一般工业固体废物暂存场所，定期回用于生产线；</w:t>
                  </w:r>
                  <w:r>
                    <w:rPr>
                      <w:rFonts w:hint="eastAsia" w:cs="宋体"/>
                      <w:color w:val="auto"/>
                      <w:sz w:val="21"/>
                      <w:szCs w:val="21"/>
                      <w:lang w:val="en-US" w:eastAsia="zh-CN"/>
                    </w:rPr>
                    <w:t>纯水制备产生的废过滤材料</w:t>
                  </w:r>
                  <w:r>
                    <w:rPr>
                      <w:rFonts w:hint="eastAsia" w:ascii="Times New Roman" w:hAnsi="Times New Roman" w:eastAsia="宋体" w:cs="宋体"/>
                      <w:color w:val="auto"/>
                      <w:kern w:val="0"/>
                      <w:sz w:val="21"/>
                      <w:szCs w:val="21"/>
                      <w:lang w:val="en-US" w:eastAsia="zh-CN"/>
                    </w:rPr>
                    <w:t>、停机检修废保温材料</w:t>
                  </w:r>
                  <w:r>
                    <w:rPr>
                      <w:rFonts w:hint="eastAsia"/>
                      <w:color w:val="auto"/>
                      <w:sz w:val="21"/>
                      <w:szCs w:val="21"/>
                      <w:lang w:val="en-US" w:eastAsia="zh-CN"/>
                    </w:rPr>
                    <w:t>定期交由厂家回收；</w:t>
                  </w:r>
                  <w:r>
                    <w:rPr>
                      <w:rFonts w:hint="eastAsia" w:eastAsia="宋体" w:cs="宋体"/>
                      <w:color w:val="auto"/>
                      <w:sz w:val="21"/>
                      <w:szCs w:val="21"/>
                      <w:lang w:val="en-US" w:eastAsia="zh-CN"/>
                    </w:rPr>
                    <w:t>除尘器收集的粉尘</w:t>
                  </w:r>
                  <w:r>
                    <w:rPr>
                      <w:rFonts w:hint="eastAsia"/>
                      <w:color w:val="auto"/>
                      <w:sz w:val="21"/>
                      <w:szCs w:val="21"/>
                      <w:lang w:val="en-US" w:eastAsia="zh-CN"/>
                    </w:rPr>
                    <w:t>暂存于一般工业固体废物暂存场所，定期外售；</w:t>
                  </w:r>
                  <w:r>
                    <w:rPr>
                      <w:rFonts w:hint="eastAsia" w:eastAsia="宋体" w:cs="宋体"/>
                      <w:color w:val="auto"/>
                      <w:sz w:val="21"/>
                      <w:szCs w:val="21"/>
                      <w:lang w:val="en-US" w:eastAsia="zh-CN"/>
                    </w:rPr>
                    <w:t>废润滑油及包装桶、废含油抹布、废手套</w:t>
                  </w:r>
                  <w:r>
                    <w:rPr>
                      <w:rFonts w:hint="eastAsia" w:eastAsia="宋体"/>
                      <w:color w:val="auto"/>
                      <w:sz w:val="21"/>
                      <w:szCs w:val="21"/>
                      <w:lang w:val="en-US" w:eastAsia="zh-CN"/>
                    </w:rPr>
                    <w:t>暂存于危险固废暂存场所，交由有资质单位处置</w:t>
                  </w:r>
                </w:p>
              </w:tc>
              <w:tc>
                <w:tcPr>
                  <w:tcW w:w="1040" w:type="dxa"/>
                  <w:gridSpan w:val="2"/>
                  <w:noWrap w:val="0"/>
                  <w:vAlign w:val="center"/>
                </w:tcPr>
                <w:p w14:paraId="587FFA4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56E0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731" w:type="dxa"/>
                  <w:vMerge w:val="continue"/>
                  <w:noWrap w:val="0"/>
                  <w:vAlign w:val="center"/>
                </w:tcPr>
                <w:p w14:paraId="081994E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p>
              </w:tc>
              <w:tc>
                <w:tcPr>
                  <w:tcW w:w="759" w:type="dxa"/>
                  <w:gridSpan w:val="2"/>
                  <w:noWrap w:val="0"/>
                  <w:vAlign w:val="center"/>
                </w:tcPr>
                <w:p w14:paraId="6ABD4933">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宋体"/>
                      <w:color w:val="auto"/>
                      <w:kern w:val="0"/>
                      <w:sz w:val="21"/>
                      <w:szCs w:val="21"/>
                    </w:rPr>
                  </w:pPr>
                  <w:r>
                    <w:rPr>
                      <w:rFonts w:hint="eastAsia" w:cs="宋体"/>
                      <w:color w:val="auto"/>
                      <w:kern w:val="0"/>
                      <w:sz w:val="21"/>
                      <w:szCs w:val="21"/>
                    </w:rPr>
                    <w:t>噪声</w:t>
                  </w:r>
                  <w:r>
                    <w:rPr>
                      <w:rFonts w:hint="eastAsia" w:cs="宋体"/>
                      <w:color w:val="auto"/>
                      <w:kern w:val="0"/>
                      <w:sz w:val="21"/>
                      <w:szCs w:val="21"/>
                      <w:lang w:val="en-US" w:eastAsia="zh-CN"/>
                    </w:rPr>
                    <w:t>治理</w:t>
                  </w:r>
                </w:p>
              </w:tc>
              <w:tc>
                <w:tcPr>
                  <w:tcW w:w="5570" w:type="dxa"/>
                  <w:gridSpan w:val="2"/>
                  <w:noWrap w:val="0"/>
                  <w:vAlign w:val="center"/>
                </w:tcPr>
                <w:p w14:paraId="6DD381E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cs="宋体"/>
                      <w:color w:val="auto"/>
                      <w:kern w:val="0"/>
                      <w:sz w:val="21"/>
                      <w:szCs w:val="21"/>
                    </w:rPr>
                  </w:pPr>
                  <w:r>
                    <w:rPr>
                      <w:rFonts w:hint="eastAsia"/>
                      <w:b w:val="0"/>
                      <w:bCs w:val="0"/>
                      <w:color w:val="auto"/>
                      <w:sz w:val="21"/>
                      <w:szCs w:val="21"/>
                    </w:rPr>
                    <w:t>设备设减</w:t>
                  </w:r>
                  <w:r>
                    <w:rPr>
                      <w:rFonts w:hint="eastAsia"/>
                      <w:b w:val="0"/>
                      <w:bCs w:val="0"/>
                      <w:color w:val="auto"/>
                      <w:sz w:val="21"/>
                      <w:szCs w:val="21"/>
                      <w:lang w:val="en-US" w:eastAsia="zh-CN"/>
                    </w:rPr>
                    <w:t>振</w:t>
                  </w:r>
                  <w:r>
                    <w:rPr>
                      <w:rFonts w:hint="eastAsia"/>
                      <w:b w:val="0"/>
                      <w:bCs w:val="0"/>
                      <w:color w:val="auto"/>
                      <w:sz w:val="21"/>
                      <w:szCs w:val="21"/>
                    </w:rPr>
                    <w:t>、隔声等降噪措施</w:t>
                  </w:r>
                </w:p>
              </w:tc>
              <w:tc>
                <w:tcPr>
                  <w:tcW w:w="1040" w:type="dxa"/>
                  <w:gridSpan w:val="2"/>
                  <w:noWrap w:val="0"/>
                  <w:vAlign w:val="center"/>
                </w:tcPr>
                <w:p w14:paraId="10DC0E9F">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r w14:paraId="2B02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1490" w:type="dxa"/>
                  <w:gridSpan w:val="3"/>
                  <w:noWrap w:val="0"/>
                  <w:vAlign w:val="center"/>
                </w:tcPr>
                <w:p w14:paraId="1671479E">
                  <w:pPr>
                    <w:pStyle w:val="3"/>
                    <w:keepNext/>
                    <w:keepLines/>
                    <w:pageBreakBefore w:val="0"/>
                    <w:widowControl w:val="0"/>
                    <w:suppressLineNumbers w:val="0"/>
                    <w:kinsoku/>
                    <w:wordWrap w:val="0"/>
                    <w:overflowPunct/>
                    <w:topLinePunct/>
                    <w:autoSpaceDE/>
                    <w:autoSpaceDN/>
                    <w:bidi w:val="0"/>
                    <w:adjustRightInd/>
                    <w:snapToGrid/>
                    <w:spacing w:before="0" w:beforeLines="0" w:after="0" w:afterLines="0" w:line="240" w:lineRule="auto"/>
                    <w:ind w:left="0" w:right="0" w:firstLine="0" w:firstLineChars="0"/>
                    <w:jc w:val="center"/>
                    <w:textAlignment w:val="auto"/>
                    <w:rPr>
                      <w:rFonts w:hint="eastAsia" w:ascii="Times New Roman" w:hAnsi="Times New Roman" w:eastAsia="宋体" w:cs="宋体"/>
                      <w:b w:val="0"/>
                      <w:bCs w:val="0"/>
                      <w:snapToGrid w:val="0"/>
                      <w:color w:val="auto"/>
                      <w:kern w:val="2"/>
                      <w:sz w:val="21"/>
                      <w:szCs w:val="21"/>
                      <w:lang w:val="en-US" w:eastAsia="zh-CN" w:bidi="ar-SA"/>
                    </w:rPr>
                  </w:pPr>
                  <w:r>
                    <w:rPr>
                      <w:rFonts w:hint="eastAsia" w:ascii="Times New Roman" w:hAnsi="Times New Roman" w:eastAsia="宋体" w:cs="宋体"/>
                      <w:b w:val="0"/>
                      <w:bCs w:val="0"/>
                      <w:color w:val="auto"/>
                      <w:kern w:val="2"/>
                      <w:sz w:val="21"/>
                      <w:szCs w:val="21"/>
                      <w:lang w:val="en-US" w:eastAsia="zh-CN" w:bidi="ar-SA"/>
                    </w:rPr>
                    <w:t>环境风险防范措施</w:t>
                  </w:r>
                </w:p>
              </w:tc>
              <w:tc>
                <w:tcPr>
                  <w:tcW w:w="5570" w:type="dxa"/>
                  <w:gridSpan w:val="2"/>
                  <w:noWrap w:val="0"/>
                  <w:vAlign w:val="center"/>
                </w:tcPr>
                <w:p w14:paraId="698EBAB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Times New Roman" w:hAnsi="Times New Roman" w:eastAsia="宋体" w:cs="宋体"/>
                      <w:snapToGrid w:val="0"/>
                      <w:color w:val="auto"/>
                      <w:kern w:val="0"/>
                      <w:sz w:val="21"/>
                      <w:szCs w:val="21"/>
                      <w:lang w:val="en-US" w:eastAsia="zh-CN" w:bidi="ar"/>
                    </w:rPr>
                  </w:pPr>
                  <w:r>
                    <w:rPr>
                      <w:rFonts w:hint="default"/>
                      <w:color w:val="auto"/>
                      <w:kern w:val="0"/>
                      <w:sz w:val="21"/>
                      <w:szCs w:val="21"/>
                      <w:lang w:bidi="ar"/>
                    </w:rPr>
                    <w:t>设消防</w:t>
                  </w:r>
                  <w:r>
                    <w:rPr>
                      <w:rFonts w:hint="default"/>
                      <w:color w:val="auto"/>
                      <w:sz w:val="21"/>
                      <w:szCs w:val="21"/>
                    </w:rPr>
                    <w:t>应急预案、消防器材、</w:t>
                  </w:r>
                  <w:r>
                    <w:rPr>
                      <w:rFonts w:hint="eastAsia"/>
                      <w:color w:val="auto"/>
                      <w:sz w:val="21"/>
                      <w:szCs w:val="21"/>
                    </w:rPr>
                    <w:t>事故池</w:t>
                  </w:r>
                  <w:r>
                    <w:rPr>
                      <w:rFonts w:hint="eastAsia"/>
                      <w:color w:val="auto"/>
                      <w:sz w:val="21"/>
                      <w:szCs w:val="21"/>
                      <w:lang w:val="en-US" w:eastAsia="zh-CN"/>
                    </w:rPr>
                    <w:t>容积300m</w:t>
                  </w:r>
                  <w:r>
                    <w:rPr>
                      <w:rFonts w:hint="eastAsia"/>
                      <w:color w:val="auto"/>
                      <w:sz w:val="21"/>
                      <w:szCs w:val="21"/>
                      <w:vertAlign w:val="superscript"/>
                      <w:lang w:val="en-US" w:eastAsia="zh-CN"/>
                    </w:rPr>
                    <w:t>3</w:t>
                  </w:r>
                </w:p>
              </w:tc>
              <w:tc>
                <w:tcPr>
                  <w:tcW w:w="1040" w:type="dxa"/>
                  <w:gridSpan w:val="2"/>
                  <w:noWrap w:val="0"/>
                  <w:vAlign w:val="center"/>
                </w:tcPr>
                <w:p w14:paraId="1A79C87E">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事故池依托，其余新建</w:t>
                  </w:r>
                </w:p>
              </w:tc>
            </w:tr>
            <w:tr w14:paraId="461C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397" w:hRule="atLeast"/>
                <w:jc w:val="center"/>
              </w:trPr>
              <w:tc>
                <w:tcPr>
                  <w:tcW w:w="1490" w:type="dxa"/>
                  <w:gridSpan w:val="3"/>
                  <w:noWrap w:val="0"/>
                  <w:vAlign w:val="center"/>
                </w:tcPr>
                <w:p w14:paraId="40F844DC">
                  <w:pPr>
                    <w:pStyle w:val="3"/>
                    <w:keepNext/>
                    <w:keepLines/>
                    <w:pageBreakBefore w:val="0"/>
                    <w:widowControl w:val="0"/>
                    <w:suppressLineNumbers w:val="0"/>
                    <w:kinsoku/>
                    <w:wordWrap w:val="0"/>
                    <w:overflowPunct/>
                    <w:topLinePunct/>
                    <w:autoSpaceDE/>
                    <w:autoSpaceDN/>
                    <w:bidi w:val="0"/>
                    <w:adjustRightInd/>
                    <w:snapToGrid/>
                    <w:spacing w:before="0" w:beforeLines="0" w:after="0" w:afterLines="0" w:line="240" w:lineRule="auto"/>
                    <w:ind w:left="0" w:right="0" w:firstLine="0" w:firstLineChars="0"/>
                    <w:jc w:val="center"/>
                    <w:textAlignment w:val="auto"/>
                    <w:rPr>
                      <w:rFonts w:hint="eastAsia" w:ascii="Times New Roman" w:hAnsi="Times New Roman" w:eastAsia="宋体" w:cs="Times New Roman"/>
                      <w:b w:val="0"/>
                      <w:bCs w:val="0"/>
                      <w:snapToGrid w:val="0"/>
                      <w:color w:val="auto"/>
                      <w:kern w:val="0"/>
                      <w:sz w:val="21"/>
                      <w:szCs w:val="21"/>
                      <w:lang w:val="en-US" w:eastAsia="zh-CN" w:bidi="ar-SA"/>
                    </w:rPr>
                  </w:pPr>
                  <w:r>
                    <w:rPr>
                      <w:rFonts w:hint="eastAsia" w:cs="Times New Roman"/>
                      <w:b w:val="0"/>
                      <w:bCs w:val="0"/>
                      <w:color w:val="auto"/>
                      <w:sz w:val="21"/>
                      <w:szCs w:val="21"/>
                      <w:lang w:val="en-US" w:eastAsia="zh-CN"/>
                    </w:rPr>
                    <w:t>地下水、土壤、防渗</w:t>
                  </w:r>
                </w:p>
              </w:tc>
              <w:tc>
                <w:tcPr>
                  <w:tcW w:w="5570" w:type="dxa"/>
                  <w:gridSpan w:val="2"/>
                  <w:noWrap w:val="0"/>
                  <w:vAlign w:val="center"/>
                </w:tcPr>
                <w:p w14:paraId="3A2A4356">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eastAsia" w:ascii="Times New Roman" w:hAnsi="Times New Roman" w:eastAsia="宋体" w:cs="宋体"/>
                      <w:snapToGrid w:val="0"/>
                      <w:color w:val="auto"/>
                      <w:kern w:val="0"/>
                      <w:sz w:val="21"/>
                      <w:szCs w:val="21"/>
                      <w:lang w:val="en-US" w:eastAsia="zh-CN" w:bidi="ar-SA"/>
                    </w:rPr>
                  </w:pPr>
                  <w:r>
                    <w:rPr>
                      <w:rFonts w:hint="default"/>
                      <w:color w:val="auto"/>
                      <w:sz w:val="21"/>
                      <w:szCs w:val="21"/>
                    </w:rPr>
                    <w:t>污水管线、化粪池</w:t>
                  </w:r>
                  <w:r>
                    <w:rPr>
                      <w:rFonts w:hint="eastAsia"/>
                      <w:color w:val="auto"/>
                      <w:sz w:val="21"/>
                      <w:szCs w:val="21"/>
                      <w:lang w:val="en-US" w:eastAsia="zh-CN"/>
                    </w:rPr>
                    <w:t>、危险废物贮存点（10m</w:t>
                  </w:r>
                  <w:r>
                    <w:rPr>
                      <w:rFonts w:hint="eastAsia"/>
                      <w:color w:val="auto"/>
                      <w:sz w:val="21"/>
                      <w:szCs w:val="21"/>
                      <w:vertAlign w:val="superscript"/>
                      <w:lang w:val="en-US" w:eastAsia="zh-CN"/>
                    </w:rPr>
                    <w:t>3</w:t>
                  </w:r>
                  <w:r>
                    <w:rPr>
                      <w:rFonts w:hint="eastAsia"/>
                      <w:color w:val="auto"/>
                      <w:sz w:val="21"/>
                      <w:szCs w:val="21"/>
                      <w:lang w:val="en-US" w:eastAsia="zh-CN"/>
                    </w:rPr>
                    <w:t>）</w:t>
                  </w:r>
                  <w:r>
                    <w:rPr>
                      <w:rFonts w:hint="default"/>
                      <w:color w:val="auto"/>
                      <w:sz w:val="21"/>
                      <w:szCs w:val="21"/>
                    </w:rPr>
                    <w:t>重点防渗；</w:t>
                  </w:r>
                  <w:r>
                    <w:rPr>
                      <w:rFonts w:hint="eastAsia"/>
                      <w:color w:val="auto"/>
                      <w:sz w:val="21"/>
                      <w:szCs w:val="21"/>
                    </w:rPr>
                    <w:t>事故池</w:t>
                  </w:r>
                  <w:r>
                    <w:rPr>
                      <w:rFonts w:hint="eastAsia"/>
                      <w:color w:val="auto"/>
                      <w:sz w:val="21"/>
                      <w:szCs w:val="21"/>
                      <w:lang w:eastAsia="zh-CN"/>
                    </w:rPr>
                    <w:t>、</w:t>
                  </w:r>
                  <w:r>
                    <w:rPr>
                      <w:rFonts w:hint="eastAsia" w:ascii="Times New Roman" w:hAnsi="Times New Roman" w:cs="Times New Roman"/>
                      <w:color w:val="auto"/>
                      <w:sz w:val="21"/>
                      <w:szCs w:val="21"/>
                      <w:lang w:val="en-US" w:eastAsia="zh-CN"/>
                    </w:rPr>
                    <w:t>一般固废暂存间</w:t>
                  </w:r>
                  <w:r>
                    <w:rPr>
                      <w:rFonts w:hint="eastAsia" w:cs="Times New Roman"/>
                      <w:color w:val="auto"/>
                      <w:sz w:val="21"/>
                      <w:szCs w:val="21"/>
                      <w:lang w:val="en-US" w:eastAsia="zh-CN"/>
                    </w:rPr>
                    <w:t>、原料区、成品区</w:t>
                  </w:r>
                  <w:r>
                    <w:rPr>
                      <w:rFonts w:hint="eastAsia"/>
                      <w:color w:val="auto"/>
                      <w:sz w:val="21"/>
                      <w:szCs w:val="21"/>
                    </w:rPr>
                    <w:t>等</w:t>
                  </w:r>
                  <w:r>
                    <w:rPr>
                      <w:rFonts w:hint="default"/>
                      <w:color w:val="auto"/>
                      <w:sz w:val="21"/>
                      <w:szCs w:val="21"/>
                    </w:rPr>
                    <w:t>一般防渗</w:t>
                  </w:r>
                  <w:r>
                    <w:rPr>
                      <w:rFonts w:hint="eastAsia"/>
                      <w:color w:val="auto"/>
                      <w:sz w:val="21"/>
                      <w:szCs w:val="21"/>
                      <w:lang w:eastAsia="zh-CN"/>
                    </w:rPr>
                    <w:t>、</w:t>
                  </w:r>
                  <w:r>
                    <w:rPr>
                      <w:rFonts w:hint="eastAsia"/>
                      <w:color w:val="auto"/>
                      <w:sz w:val="21"/>
                      <w:szCs w:val="21"/>
                      <w:lang w:val="en-US" w:eastAsia="zh-CN"/>
                    </w:rPr>
                    <w:t>办公区等做简单防渗</w:t>
                  </w:r>
                </w:p>
              </w:tc>
              <w:tc>
                <w:tcPr>
                  <w:tcW w:w="1040" w:type="dxa"/>
                  <w:gridSpan w:val="2"/>
                  <w:noWrap w:val="0"/>
                  <w:vAlign w:val="center"/>
                </w:tcPr>
                <w:p w14:paraId="67E19CAD">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新建</w:t>
                  </w:r>
                </w:p>
              </w:tc>
            </w:tr>
          </w:tbl>
          <w:p w14:paraId="0C8FEEF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textAlignment w:val="auto"/>
              <w:rPr>
                <w:rFonts w:hint="default"/>
                <w:b/>
                <w:bCs/>
                <w:sz w:val="24"/>
                <w:szCs w:val="24"/>
              </w:rPr>
            </w:pPr>
            <w:r>
              <w:rPr>
                <w:rFonts w:hint="eastAsia"/>
                <w:b/>
                <w:bCs/>
                <w:sz w:val="24"/>
                <w:szCs w:val="24"/>
                <w:lang w:val="en-US" w:eastAsia="zh-CN"/>
              </w:rPr>
              <w:t>3</w:t>
            </w:r>
            <w:r>
              <w:rPr>
                <w:rFonts w:hint="eastAsia" w:cs="宋体"/>
                <w:b/>
                <w:bCs/>
                <w:sz w:val="24"/>
                <w:szCs w:val="24"/>
              </w:rPr>
              <w:t>、产品方案</w:t>
            </w:r>
          </w:p>
          <w:p w14:paraId="312732AA">
            <w:pPr>
              <w:keepNext/>
              <w:keepLines/>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本项目建成后，全厂可达到</w:t>
            </w:r>
            <w:r>
              <w:rPr>
                <w:rFonts w:hint="eastAsia" w:ascii="Times New Roman" w:hAnsi="Times New Roman" w:eastAsia="宋体" w:cs="Times New Roman"/>
                <w:sz w:val="24"/>
                <w:szCs w:val="24"/>
                <w:lang w:val="en-US" w:eastAsia="zh-CN"/>
              </w:rPr>
              <w:t>年产21900</w:t>
            </w:r>
            <w:r>
              <w:rPr>
                <w:rFonts w:hint="eastAsia" w:cs="Times New Roman"/>
                <w:sz w:val="24"/>
                <w:szCs w:val="24"/>
                <w:lang w:val="en-US" w:eastAsia="zh-CN"/>
              </w:rPr>
              <w:t>t高硼硅防火玻璃，14000t高硼硅光热玻璃、600t高硼硅玻璃制品的生产能力。</w:t>
            </w:r>
            <w:r>
              <w:rPr>
                <w:rFonts w:hint="eastAsia" w:ascii="Times New Roman" w:hAnsi="Times New Roman" w:eastAsia="宋体" w:cs="Times New Roman"/>
                <w:sz w:val="24"/>
                <w:szCs w:val="24"/>
                <w:lang w:val="en-US" w:eastAsia="zh-CN"/>
              </w:rPr>
              <w:t>产品方案见下表：</w:t>
            </w:r>
          </w:p>
          <w:p w14:paraId="5C3ED93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2-</w:t>
            </w:r>
            <w:r>
              <w:rPr>
                <w:rFonts w:hint="eastAsia" w:cs="Times New Roman"/>
                <w:b/>
                <w:bCs/>
                <w:sz w:val="24"/>
                <w:szCs w:val="24"/>
                <w:lang w:val="en-US" w:eastAsia="zh-CN"/>
              </w:rPr>
              <w:t>4</w:t>
            </w:r>
            <w:r>
              <w:rPr>
                <w:rFonts w:hint="default"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产品方案</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3292"/>
              <w:gridCol w:w="3461"/>
            </w:tblGrid>
            <w:tr w14:paraId="4D73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tcBorders>
                    <w:top w:val="single" w:color="auto" w:sz="4" w:space="0"/>
                    <w:left w:val="single" w:color="auto" w:sz="4" w:space="0"/>
                    <w:right w:val="single" w:color="auto" w:sz="4" w:space="0"/>
                  </w:tcBorders>
                  <w:vAlign w:val="center"/>
                </w:tcPr>
                <w:p w14:paraId="75520AF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b/>
                      <w:bCs/>
                      <w:lang w:val="en-US" w:eastAsia="zh-CN"/>
                    </w:rPr>
                  </w:pPr>
                  <w:r>
                    <w:rPr>
                      <w:rFonts w:hint="eastAsia"/>
                      <w:b/>
                      <w:bCs/>
                      <w:lang w:val="en-US" w:eastAsia="zh-CN"/>
                    </w:rPr>
                    <w:t>序号</w:t>
                  </w:r>
                </w:p>
              </w:tc>
              <w:tc>
                <w:tcPr>
                  <w:tcW w:w="3312" w:type="dxa"/>
                  <w:tcBorders>
                    <w:top w:val="single" w:color="auto" w:sz="4" w:space="0"/>
                    <w:left w:val="single" w:color="auto" w:sz="4" w:space="0"/>
                    <w:right w:val="single" w:color="auto" w:sz="4" w:space="0"/>
                  </w:tcBorders>
                  <w:vAlign w:val="center"/>
                </w:tcPr>
                <w:p w14:paraId="3491155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b/>
                      <w:bCs/>
                    </w:rPr>
                  </w:pPr>
                  <w:r>
                    <w:rPr>
                      <w:rFonts w:hint="default"/>
                      <w:b/>
                      <w:bCs/>
                    </w:rPr>
                    <w:t>产品名称</w:t>
                  </w:r>
                </w:p>
              </w:tc>
              <w:tc>
                <w:tcPr>
                  <w:tcW w:w="3482" w:type="dxa"/>
                  <w:tcBorders>
                    <w:top w:val="single" w:color="auto" w:sz="4" w:space="0"/>
                    <w:left w:val="single" w:color="auto" w:sz="4" w:space="0"/>
                    <w:bottom w:val="single" w:color="auto" w:sz="4" w:space="0"/>
                    <w:right w:val="single" w:color="auto" w:sz="4" w:space="0"/>
                  </w:tcBorders>
                  <w:vAlign w:val="center"/>
                </w:tcPr>
                <w:p w14:paraId="13A8260C">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b/>
                      <w:bCs/>
                      <w:lang w:val="en-US" w:eastAsia="zh-CN"/>
                    </w:rPr>
                  </w:pPr>
                  <w:r>
                    <w:rPr>
                      <w:rFonts w:hint="default"/>
                      <w:b/>
                      <w:bCs/>
                    </w:rPr>
                    <w:t>产量</w:t>
                  </w:r>
                  <w:r>
                    <w:rPr>
                      <w:rFonts w:hint="eastAsia"/>
                      <w:b/>
                      <w:bCs/>
                      <w:lang w:eastAsia="zh-CN"/>
                    </w:rPr>
                    <w:t>（</w:t>
                  </w:r>
                  <w:r>
                    <w:rPr>
                      <w:rFonts w:hint="eastAsia"/>
                      <w:b/>
                      <w:bCs/>
                      <w:lang w:val="en-US" w:eastAsia="zh-CN"/>
                    </w:rPr>
                    <w:t>t</w:t>
                  </w:r>
                  <w:r>
                    <w:rPr>
                      <w:rFonts w:hint="default" w:ascii="Times New Roman" w:hAnsi="Times New Roman" w:cs="Times New Roman"/>
                      <w:b/>
                      <w:bCs/>
                    </w:rPr>
                    <w:t>/</w:t>
                  </w:r>
                  <w:r>
                    <w:rPr>
                      <w:rFonts w:hint="eastAsia" w:cs="Times New Roman"/>
                      <w:b/>
                      <w:bCs/>
                      <w:lang w:val="en-US" w:eastAsia="zh-CN"/>
                    </w:rPr>
                    <w:t>a</w:t>
                  </w:r>
                  <w:r>
                    <w:rPr>
                      <w:rFonts w:hint="eastAsia"/>
                      <w:b/>
                      <w:bCs/>
                      <w:lang w:eastAsia="zh-CN"/>
                    </w:rPr>
                    <w:t>）</w:t>
                  </w:r>
                </w:p>
              </w:tc>
            </w:tr>
            <w:tr w14:paraId="7ED6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14:paraId="6ACF11F6">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lang w:val="en-US" w:eastAsia="zh-CN"/>
                    </w:rPr>
                  </w:pPr>
                  <w:r>
                    <w:rPr>
                      <w:rFonts w:hint="eastAsia" w:cs="Times New Roman"/>
                      <w:b w:val="0"/>
                      <w:bCs w:val="0"/>
                      <w:lang w:val="en-US" w:eastAsia="zh-CN"/>
                    </w:rPr>
                    <w:t>1</w:t>
                  </w:r>
                </w:p>
              </w:tc>
              <w:tc>
                <w:tcPr>
                  <w:tcW w:w="3312" w:type="dxa"/>
                  <w:tcBorders>
                    <w:top w:val="single" w:color="auto" w:sz="4" w:space="0"/>
                    <w:left w:val="single" w:color="auto" w:sz="4" w:space="0"/>
                    <w:bottom w:val="single" w:color="auto" w:sz="4" w:space="0"/>
                    <w:right w:val="single" w:color="auto" w:sz="4" w:space="0"/>
                  </w:tcBorders>
                  <w:vAlign w:val="center"/>
                </w:tcPr>
                <w:p w14:paraId="491FEAA5">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高硼硅防火玻璃</w:t>
                  </w:r>
                </w:p>
              </w:tc>
              <w:tc>
                <w:tcPr>
                  <w:tcW w:w="3482" w:type="dxa"/>
                  <w:tcBorders>
                    <w:top w:val="single" w:color="auto" w:sz="4" w:space="0"/>
                    <w:left w:val="single" w:color="auto" w:sz="4" w:space="0"/>
                    <w:bottom w:val="single" w:color="auto" w:sz="4" w:space="0"/>
                    <w:right w:val="single" w:color="auto" w:sz="4" w:space="0"/>
                  </w:tcBorders>
                  <w:vAlign w:val="center"/>
                </w:tcPr>
                <w:p w14:paraId="481809E7">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rPr>
                      <w:rFonts w:hint="eastAsia" w:ascii="Times New Roman" w:hAnsi="Times New Roman" w:cs="Times New Roman"/>
                      <w:b w:val="0"/>
                      <w:bCs w:val="0"/>
                      <w:color w:val="auto"/>
                      <w:lang w:val="en-US" w:eastAsia="zh-CN"/>
                    </w:rPr>
                  </w:pPr>
                  <w:r>
                    <w:rPr>
                      <w:rFonts w:hint="eastAsia" w:ascii="Times New Roman" w:hAnsi="Times New Roman" w:cs="Times New Roman"/>
                      <w:b w:val="0"/>
                      <w:bCs w:val="0"/>
                      <w:color w:val="auto"/>
                      <w:lang w:val="en-US" w:eastAsia="zh-CN"/>
                    </w:rPr>
                    <w:t>21900</w:t>
                  </w:r>
                </w:p>
              </w:tc>
            </w:tr>
            <w:tr w14:paraId="3ABD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14:paraId="41ACBB4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lang w:val="en-US" w:eastAsia="zh-CN"/>
                    </w:rPr>
                  </w:pPr>
                  <w:r>
                    <w:rPr>
                      <w:rFonts w:hint="eastAsia" w:cs="Times New Roman"/>
                      <w:b w:val="0"/>
                      <w:bCs w:val="0"/>
                      <w:lang w:val="en-US" w:eastAsia="zh-CN"/>
                    </w:rPr>
                    <w:t>2</w:t>
                  </w:r>
                </w:p>
              </w:tc>
              <w:tc>
                <w:tcPr>
                  <w:tcW w:w="3312" w:type="dxa"/>
                  <w:tcBorders>
                    <w:top w:val="single" w:color="auto" w:sz="4" w:space="0"/>
                    <w:left w:val="single" w:color="auto" w:sz="4" w:space="0"/>
                    <w:bottom w:val="single" w:color="auto" w:sz="4" w:space="0"/>
                    <w:right w:val="single" w:color="auto" w:sz="4" w:space="0"/>
                  </w:tcBorders>
                  <w:vAlign w:val="center"/>
                </w:tcPr>
                <w:p w14:paraId="5369AF7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高硼硅光热玻璃</w:t>
                  </w:r>
                </w:p>
              </w:tc>
              <w:tc>
                <w:tcPr>
                  <w:tcW w:w="3482" w:type="dxa"/>
                  <w:tcBorders>
                    <w:top w:val="single" w:color="auto" w:sz="4" w:space="0"/>
                    <w:left w:val="single" w:color="auto" w:sz="4" w:space="0"/>
                    <w:bottom w:val="single" w:color="auto" w:sz="4" w:space="0"/>
                    <w:right w:val="single" w:color="auto" w:sz="4" w:space="0"/>
                  </w:tcBorders>
                  <w:vAlign w:val="center"/>
                </w:tcPr>
                <w:p w14:paraId="2EE26B0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14000</w:t>
                  </w:r>
                </w:p>
              </w:tc>
            </w:tr>
            <w:tr w14:paraId="37E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14:paraId="628D56F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b w:val="0"/>
                      <w:bCs w:val="0"/>
                      <w:lang w:val="en-US" w:eastAsia="zh-CN"/>
                    </w:rPr>
                  </w:pPr>
                  <w:r>
                    <w:rPr>
                      <w:rFonts w:hint="eastAsia" w:cs="Times New Roman"/>
                      <w:b w:val="0"/>
                      <w:bCs w:val="0"/>
                      <w:lang w:val="en-US" w:eastAsia="zh-CN"/>
                    </w:rPr>
                    <w:t>3</w:t>
                  </w:r>
                </w:p>
              </w:tc>
              <w:tc>
                <w:tcPr>
                  <w:tcW w:w="3312" w:type="dxa"/>
                  <w:tcBorders>
                    <w:top w:val="single" w:color="auto" w:sz="4" w:space="0"/>
                    <w:left w:val="single" w:color="auto" w:sz="4" w:space="0"/>
                    <w:bottom w:val="single" w:color="auto" w:sz="4" w:space="0"/>
                    <w:right w:val="single" w:color="auto" w:sz="4" w:space="0"/>
                  </w:tcBorders>
                  <w:vAlign w:val="center"/>
                </w:tcPr>
                <w:p w14:paraId="1B8B33E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高硼硅玻璃制品</w:t>
                  </w:r>
                </w:p>
              </w:tc>
              <w:tc>
                <w:tcPr>
                  <w:tcW w:w="3482" w:type="dxa"/>
                  <w:tcBorders>
                    <w:top w:val="single" w:color="auto" w:sz="4" w:space="0"/>
                    <w:left w:val="single" w:color="auto" w:sz="4" w:space="0"/>
                    <w:bottom w:val="single" w:color="auto" w:sz="4" w:space="0"/>
                    <w:right w:val="single" w:color="auto" w:sz="4" w:space="0"/>
                  </w:tcBorders>
                  <w:vAlign w:val="center"/>
                </w:tcPr>
                <w:p w14:paraId="6C74F4D0">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cs="Times New Roman"/>
                      <w:b w:val="0"/>
                      <w:bCs w:val="0"/>
                      <w:color w:val="auto"/>
                      <w:lang w:val="en-US" w:eastAsia="zh-CN"/>
                    </w:rPr>
                  </w:pPr>
                  <w:r>
                    <w:rPr>
                      <w:rFonts w:hint="eastAsia" w:cs="Times New Roman"/>
                      <w:b w:val="0"/>
                      <w:bCs w:val="0"/>
                      <w:color w:val="auto"/>
                      <w:lang w:val="en-US" w:eastAsia="zh-CN"/>
                    </w:rPr>
                    <w:t>600</w:t>
                  </w:r>
                </w:p>
              </w:tc>
            </w:tr>
          </w:tbl>
          <w:p w14:paraId="1AD67ACE">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textAlignment w:val="auto"/>
              <w:rPr>
                <w:rFonts w:hint="default"/>
                <w:b/>
                <w:bCs/>
                <w:sz w:val="24"/>
                <w:szCs w:val="24"/>
              </w:rPr>
            </w:pPr>
            <w:r>
              <w:rPr>
                <w:rFonts w:hint="eastAsia"/>
                <w:b/>
                <w:bCs/>
                <w:sz w:val="24"/>
                <w:szCs w:val="24"/>
                <w:lang w:val="en-US" w:eastAsia="zh-CN"/>
              </w:rPr>
              <w:t>4</w:t>
            </w:r>
            <w:r>
              <w:rPr>
                <w:rFonts w:hint="eastAsia" w:cs="宋体"/>
                <w:b/>
                <w:bCs/>
                <w:sz w:val="24"/>
                <w:szCs w:val="24"/>
              </w:rPr>
              <w:t>、主要生产设备</w:t>
            </w:r>
          </w:p>
          <w:p w14:paraId="69D99985">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b w:val="0"/>
                <w:bCs w:val="0"/>
                <w:sz w:val="24"/>
                <w:szCs w:val="24"/>
                <w:lang w:val="en-US" w:eastAsia="zh-CN"/>
              </w:rPr>
            </w:pPr>
            <w:r>
              <w:rPr>
                <w:rFonts w:hint="eastAsia" w:cs="宋体"/>
                <w:b w:val="0"/>
                <w:bCs w:val="0"/>
                <w:sz w:val="24"/>
                <w:szCs w:val="24"/>
                <w:lang w:val="en-US" w:eastAsia="zh-CN"/>
              </w:rPr>
              <w:t>①设备详单</w:t>
            </w:r>
          </w:p>
          <w:p w14:paraId="6E783B6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b/>
                <w:bCs/>
                <w:sz w:val="24"/>
                <w:szCs w:val="24"/>
              </w:rPr>
            </w:pPr>
            <w:r>
              <w:rPr>
                <w:rFonts w:hint="eastAsia" w:cs="宋体"/>
                <w:b w:val="0"/>
                <w:bCs w:val="0"/>
                <w:sz w:val="24"/>
                <w:szCs w:val="24"/>
                <w:lang w:val="en-US" w:eastAsia="zh-CN"/>
              </w:rPr>
              <w:t>项目所使用设备不涉及淘汰落后设备，均为国家允许使用设备，</w:t>
            </w:r>
            <w:r>
              <w:rPr>
                <w:rFonts w:hint="eastAsia" w:cs="宋体"/>
                <w:b w:val="0"/>
                <w:bCs w:val="0"/>
                <w:sz w:val="24"/>
                <w:szCs w:val="24"/>
              </w:rPr>
              <w:t>本项目主要生产设备详见下表。</w:t>
            </w:r>
          </w:p>
          <w:p w14:paraId="65C8451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w:t>
            </w:r>
            <w:r>
              <w:rPr>
                <w:rFonts w:hint="default" w:ascii="Times New Roman" w:hAnsi="Times New Roman" w:eastAsia="宋体" w:cs="Times New Roman"/>
                <w:b/>
                <w:bCs/>
                <w:sz w:val="24"/>
                <w:szCs w:val="24"/>
              </w:rPr>
              <w:t>2-</w:t>
            </w:r>
            <w:r>
              <w:rPr>
                <w:rFonts w:hint="eastAsia" w:cs="Times New Roman"/>
                <w:b/>
                <w:bCs/>
                <w:sz w:val="24"/>
                <w:szCs w:val="24"/>
                <w:lang w:val="en-US" w:eastAsia="zh-CN"/>
              </w:rPr>
              <w:t>6</w:t>
            </w:r>
            <w:r>
              <w:rPr>
                <w:rFonts w:hint="default" w:ascii="Times New Roman" w:hAnsi="Times New Roman" w:eastAsia="宋体" w:cs="Times New Roman"/>
                <w:b/>
                <w:bCs/>
                <w:sz w:val="24"/>
                <w:szCs w:val="24"/>
              </w:rPr>
              <w:t xml:space="preserve"> </w:t>
            </w:r>
            <w:r>
              <w:rPr>
                <w:rFonts w:hint="eastAsia" w:ascii="Times New Roman" w:hAnsi="Times New Roman" w:eastAsia="宋体" w:cs="Times New Roman"/>
                <w:b/>
                <w:bCs/>
                <w:sz w:val="24"/>
                <w:szCs w:val="24"/>
              </w:rPr>
              <w:t>项目主要生产设备一览表</w:t>
            </w:r>
            <w:r>
              <w:rPr>
                <w:rFonts w:hint="eastAsia" w:ascii="Times New Roman" w:hAnsi="Times New Roman" w:eastAsia="宋体" w:cs="Times New Roman"/>
                <w:b/>
                <w:bCs/>
                <w:sz w:val="24"/>
                <w:szCs w:val="24"/>
                <w:lang w:val="en-US" w:eastAsia="zh-CN"/>
              </w:rPr>
              <w:t xml:space="preserve">  </w:t>
            </w:r>
          </w:p>
          <w:tbl>
            <w:tblPr>
              <w:tblStyle w:val="3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812"/>
              <w:gridCol w:w="1185"/>
              <w:gridCol w:w="899"/>
              <w:gridCol w:w="656"/>
              <w:gridCol w:w="756"/>
              <w:gridCol w:w="442"/>
              <w:gridCol w:w="2919"/>
            </w:tblGrid>
            <w:tr w14:paraId="12CE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451E1A5E">
                  <w:pPr>
                    <w:pStyle w:val="91"/>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eastAsia="宋体" w:cs="Times New Roman"/>
                      <w:b/>
                      <w:bCs/>
                      <w:color w:val="000000"/>
                      <w:sz w:val="21"/>
                      <w:szCs w:val="21"/>
                      <w:highlight w:val="none"/>
                    </w:rPr>
                    <w:t>序号</w:t>
                  </w:r>
                </w:p>
              </w:tc>
              <w:tc>
                <w:tcPr>
                  <w:tcW w:w="1997" w:type="dxa"/>
                  <w:gridSpan w:val="2"/>
                  <w:noWrap w:val="0"/>
                  <w:vAlign w:val="center"/>
                </w:tcPr>
                <w:p w14:paraId="3652954C">
                  <w:pPr>
                    <w:pStyle w:val="91"/>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eastAsia="宋体" w:cs="Times New Roman"/>
                      <w:b/>
                      <w:bCs/>
                      <w:color w:val="000000"/>
                      <w:sz w:val="21"/>
                      <w:szCs w:val="21"/>
                      <w:highlight w:val="none"/>
                    </w:rPr>
                    <w:t>设备名称</w:t>
                  </w:r>
                </w:p>
              </w:tc>
              <w:tc>
                <w:tcPr>
                  <w:tcW w:w="899" w:type="dxa"/>
                  <w:noWrap w:val="0"/>
                  <w:vAlign w:val="center"/>
                </w:tcPr>
                <w:p w14:paraId="15E626E2">
                  <w:pPr>
                    <w:pStyle w:val="91"/>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eastAsia="宋体" w:cs="Times New Roman"/>
                      <w:b/>
                      <w:bCs/>
                      <w:color w:val="000000"/>
                      <w:sz w:val="21"/>
                      <w:szCs w:val="21"/>
                      <w:highlight w:val="none"/>
                    </w:rPr>
                    <w:t>规格型号</w:t>
                  </w:r>
                </w:p>
              </w:tc>
              <w:tc>
                <w:tcPr>
                  <w:tcW w:w="656" w:type="dxa"/>
                  <w:noWrap w:val="0"/>
                  <w:vAlign w:val="center"/>
                </w:tcPr>
                <w:p w14:paraId="17750077">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color w:val="000000"/>
                      <w:szCs w:val="21"/>
                      <w:highlight w:val="none"/>
                    </w:rPr>
                    <w:t>单位</w:t>
                  </w:r>
                </w:p>
              </w:tc>
              <w:tc>
                <w:tcPr>
                  <w:tcW w:w="756" w:type="dxa"/>
                  <w:noWrap w:val="0"/>
                  <w:vAlign w:val="center"/>
                </w:tcPr>
                <w:p w14:paraId="5DED89E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color w:val="000000"/>
                      <w:szCs w:val="21"/>
                      <w:highlight w:val="none"/>
                    </w:rPr>
                    <w:t>数量</w:t>
                  </w:r>
                </w:p>
              </w:tc>
              <w:tc>
                <w:tcPr>
                  <w:tcW w:w="442" w:type="dxa"/>
                  <w:noWrap w:val="0"/>
                  <w:vAlign w:val="center"/>
                </w:tcPr>
                <w:p w14:paraId="5FDA5279">
                  <w:pPr>
                    <w:pStyle w:val="91"/>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000000"/>
                      <w:sz w:val="21"/>
                      <w:szCs w:val="21"/>
                      <w:highlight w:val="none"/>
                      <w:lang w:val="en-US" w:eastAsia="zh-CN"/>
                    </w:rPr>
                  </w:pPr>
                  <w:r>
                    <w:rPr>
                      <w:rFonts w:hint="eastAsia" w:eastAsia="宋体" w:cs="Times New Roman"/>
                      <w:b/>
                      <w:bCs/>
                      <w:color w:val="000000"/>
                      <w:sz w:val="21"/>
                      <w:szCs w:val="21"/>
                      <w:highlight w:val="none"/>
                      <w:lang w:val="en-US" w:eastAsia="zh-CN"/>
                    </w:rPr>
                    <w:t>位置</w:t>
                  </w:r>
                </w:p>
              </w:tc>
              <w:tc>
                <w:tcPr>
                  <w:tcW w:w="2919" w:type="dxa"/>
                  <w:noWrap w:val="0"/>
                  <w:vAlign w:val="center"/>
                </w:tcPr>
                <w:p w14:paraId="047EE1B5">
                  <w:pPr>
                    <w:pStyle w:val="91"/>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eastAsia="宋体" w:cs="Times New Roman"/>
                      <w:b/>
                      <w:bCs/>
                      <w:color w:val="000000"/>
                      <w:sz w:val="21"/>
                      <w:szCs w:val="21"/>
                      <w:highlight w:val="none"/>
                    </w:rPr>
                    <w:t>用途</w:t>
                  </w:r>
                </w:p>
              </w:tc>
            </w:tr>
            <w:tr w14:paraId="20FA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5" w:type="dxa"/>
                  <w:gridSpan w:val="8"/>
                  <w:shd w:val="clear" w:color="auto" w:fill="A4A4A4"/>
                  <w:noWrap w:val="0"/>
                  <w:vAlign w:val="center"/>
                </w:tcPr>
                <w:p w14:paraId="0C76DB15">
                  <w:pPr>
                    <w:pStyle w:val="91"/>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val="en-US" w:eastAsia="zh-CN"/>
                    </w:rPr>
                    <w:t>高硼硅防火玻璃所需主要生产设备</w:t>
                  </w:r>
                </w:p>
              </w:tc>
            </w:tr>
            <w:tr w14:paraId="5A07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2DB866B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w:t>
                  </w:r>
                </w:p>
              </w:tc>
              <w:tc>
                <w:tcPr>
                  <w:tcW w:w="1997" w:type="dxa"/>
                  <w:gridSpan w:val="2"/>
                  <w:noWrap w:val="0"/>
                  <w:vAlign w:val="center"/>
                </w:tcPr>
                <w:p w14:paraId="31425FE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行车</w:t>
                  </w:r>
                </w:p>
              </w:tc>
              <w:tc>
                <w:tcPr>
                  <w:tcW w:w="899" w:type="dxa"/>
                  <w:noWrap w:val="0"/>
                  <w:vAlign w:val="center"/>
                </w:tcPr>
                <w:p w14:paraId="552A77A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spacing w:val="3"/>
                      <w:sz w:val="21"/>
                      <w:szCs w:val="21"/>
                      <w:highlight w:val="none"/>
                      <w:lang w:val="en-US" w:eastAsia="zh-CN"/>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4C7533C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5A61CEC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8</w:t>
                  </w:r>
                </w:p>
              </w:tc>
              <w:tc>
                <w:tcPr>
                  <w:tcW w:w="442" w:type="dxa"/>
                  <w:vMerge w:val="restart"/>
                  <w:noWrap w:val="0"/>
                  <w:vAlign w:val="center"/>
                </w:tcPr>
                <w:p w14:paraId="7FB81872">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2#生产车间</w:t>
                  </w:r>
                </w:p>
              </w:tc>
              <w:tc>
                <w:tcPr>
                  <w:tcW w:w="2919" w:type="dxa"/>
                  <w:vMerge w:val="restart"/>
                  <w:noWrap w:val="0"/>
                  <w:vAlign w:val="center"/>
                </w:tcPr>
                <w:p w14:paraId="6BBF5C4B">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color w:val="000000"/>
                      <w:sz w:val="21"/>
                      <w:szCs w:val="21"/>
                      <w:highlight w:val="none"/>
                      <w:lang w:val="en-US" w:eastAsia="zh-CN"/>
                    </w:rPr>
                    <w:t>*</w:t>
                  </w:r>
                </w:p>
              </w:tc>
            </w:tr>
            <w:tr w14:paraId="5AAA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403C27B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w:t>
                  </w:r>
                </w:p>
              </w:tc>
              <w:tc>
                <w:tcPr>
                  <w:tcW w:w="1997" w:type="dxa"/>
                  <w:gridSpan w:val="2"/>
                  <w:noWrap w:val="0"/>
                  <w:vAlign w:val="center"/>
                </w:tcPr>
                <w:p w14:paraId="1A80B49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料仓</w:t>
                  </w:r>
                </w:p>
              </w:tc>
              <w:tc>
                <w:tcPr>
                  <w:tcW w:w="899" w:type="dxa"/>
                  <w:noWrap w:val="0"/>
                  <w:vAlign w:val="center"/>
                </w:tcPr>
                <w:p w14:paraId="2CD7C9A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3"/>
                      <w:sz w:val="21"/>
                      <w:szCs w:val="21"/>
                      <w:highlight w:val="none"/>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42EE460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个</w:t>
                  </w:r>
                </w:p>
              </w:tc>
              <w:tc>
                <w:tcPr>
                  <w:tcW w:w="756" w:type="dxa"/>
                  <w:noWrap w:val="0"/>
                  <w:vAlign w:val="center"/>
                </w:tcPr>
                <w:p w14:paraId="1DB1A77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10</w:t>
                  </w:r>
                </w:p>
              </w:tc>
              <w:tc>
                <w:tcPr>
                  <w:tcW w:w="442" w:type="dxa"/>
                  <w:vMerge w:val="continue"/>
                  <w:noWrap w:val="0"/>
                  <w:vAlign w:val="center"/>
                </w:tcPr>
                <w:p w14:paraId="1E59F6ED">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5542E35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lang w:val="en-US"/>
                    </w:rPr>
                  </w:pPr>
                </w:p>
              </w:tc>
            </w:tr>
            <w:tr w14:paraId="128C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4C9B0EB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w:t>
                  </w:r>
                </w:p>
              </w:tc>
              <w:tc>
                <w:tcPr>
                  <w:tcW w:w="1997" w:type="dxa"/>
                  <w:gridSpan w:val="2"/>
                  <w:noWrap w:val="0"/>
                  <w:vAlign w:val="center"/>
                </w:tcPr>
                <w:p w14:paraId="0678D25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cs="Times New Roman"/>
                      <w:color w:val="000000"/>
                      <w:spacing w:val="6"/>
                      <w:sz w:val="21"/>
                      <w:szCs w:val="21"/>
                      <w:highlight w:val="none"/>
                    </w:rPr>
                    <w:t>配料</w:t>
                  </w:r>
                  <w:r>
                    <w:rPr>
                      <w:rFonts w:hint="eastAsia" w:ascii="Times New Roman" w:hAnsi="Times New Roman" w:cs="Times New Roman"/>
                      <w:color w:val="000000"/>
                      <w:spacing w:val="6"/>
                      <w:sz w:val="21"/>
                      <w:szCs w:val="21"/>
                      <w:highlight w:val="none"/>
                      <w:lang w:val="en-US" w:eastAsia="zh-CN"/>
                    </w:rPr>
                    <w:t>设备</w:t>
                  </w:r>
                </w:p>
              </w:tc>
              <w:tc>
                <w:tcPr>
                  <w:tcW w:w="899" w:type="dxa"/>
                  <w:noWrap w:val="0"/>
                  <w:vAlign w:val="center"/>
                </w:tcPr>
                <w:p w14:paraId="072EA6A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color w:val="000000"/>
                      <w:spacing w:val="3"/>
                      <w:sz w:val="21"/>
                      <w:szCs w:val="21"/>
                      <w:highlight w:val="none"/>
                    </w:rPr>
                    <w:t>非标</w:t>
                  </w:r>
                </w:p>
              </w:tc>
              <w:tc>
                <w:tcPr>
                  <w:tcW w:w="656" w:type="dxa"/>
                  <w:noWrap w:val="0"/>
                  <w:vAlign w:val="center"/>
                </w:tcPr>
                <w:p w14:paraId="27689EB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2470BE4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noWrap w:val="0"/>
                  <w:vAlign w:val="center"/>
                </w:tcPr>
                <w:p w14:paraId="58F6E9A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z w:val="21"/>
                      <w:szCs w:val="21"/>
                      <w:highlight w:val="none"/>
                      <w:lang w:val="en-US" w:eastAsia="zh-CN"/>
                    </w:rPr>
                  </w:pPr>
                </w:p>
              </w:tc>
              <w:tc>
                <w:tcPr>
                  <w:tcW w:w="2919" w:type="dxa"/>
                  <w:vMerge w:val="continue"/>
                  <w:noWrap w:val="0"/>
                  <w:vAlign w:val="center"/>
                </w:tcPr>
                <w:p w14:paraId="064F0F4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p>
              </w:tc>
            </w:tr>
            <w:tr w14:paraId="4D1F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076977B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4</w:t>
                  </w:r>
                </w:p>
              </w:tc>
              <w:tc>
                <w:tcPr>
                  <w:tcW w:w="1997" w:type="dxa"/>
                  <w:gridSpan w:val="2"/>
                  <w:noWrap w:val="0"/>
                  <w:vAlign w:val="center"/>
                </w:tcPr>
                <w:p w14:paraId="052AA06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提升机</w:t>
                  </w:r>
                </w:p>
              </w:tc>
              <w:tc>
                <w:tcPr>
                  <w:tcW w:w="899" w:type="dxa"/>
                  <w:noWrap w:val="0"/>
                  <w:vAlign w:val="center"/>
                </w:tcPr>
                <w:p w14:paraId="17BE638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3"/>
                      <w:sz w:val="21"/>
                      <w:szCs w:val="21"/>
                      <w:highlight w:val="none"/>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0DCB8B1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18AD6EF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noWrap w:val="0"/>
                  <w:vAlign w:val="center"/>
                </w:tcPr>
                <w:p w14:paraId="77BA97C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0DA6FF3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val="0"/>
                      <w:sz w:val="21"/>
                      <w:szCs w:val="21"/>
                      <w:vertAlign w:val="baseline"/>
                      <w:lang w:val="en-US" w:eastAsia="zh-CN"/>
                    </w:rPr>
                  </w:pPr>
                </w:p>
              </w:tc>
            </w:tr>
            <w:tr w14:paraId="4035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3040ABE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5</w:t>
                  </w:r>
                </w:p>
              </w:tc>
              <w:tc>
                <w:tcPr>
                  <w:tcW w:w="1997" w:type="dxa"/>
                  <w:gridSpan w:val="2"/>
                  <w:noWrap w:val="0"/>
                  <w:vAlign w:val="center"/>
                </w:tcPr>
                <w:p w14:paraId="1F17C6E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原料暂存仓</w:t>
                  </w:r>
                </w:p>
              </w:tc>
              <w:tc>
                <w:tcPr>
                  <w:tcW w:w="899" w:type="dxa"/>
                  <w:noWrap w:val="0"/>
                  <w:vAlign w:val="center"/>
                </w:tcPr>
                <w:p w14:paraId="2A06772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3"/>
                      <w:sz w:val="21"/>
                      <w:szCs w:val="21"/>
                      <w:highlight w:val="none"/>
                      <w:lang w:val="en-US" w:eastAsia="zh-CN"/>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2F2183F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个</w:t>
                  </w:r>
                </w:p>
              </w:tc>
              <w:tc>
                <w:tcPr>
                  <w:tcW w:w="756" w:type="dxa"/>
                  <w:noWrap w:val="0"/>
                  <w:vAlign w:val="center"/>
                </w:tcPr>
                <w:p w14:paraId="67074C2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2</w:t>
                  </w:r>
                </w:p>
              </w:tc>
              <w:tc>
                <w:tcPr>
                  <w:tcW w:w="442" w:type="dxa"/>
                  <w:vMerge w:val="continue"/>
                  <w:noWrap w:val="0"/>
                  <w:vAlign w:val="center"/>
                </w:tcPr>
                <w:p w14:paraId="3692F796">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31E2574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b w:val="0"/>
                      <w:bCs w:val="0"/>
                      <w:sz w:val="21"/>
                      <w:szCs w:val="21"/>
                      <w:vertAlign w:val="baseline"/>
                      <w:lang w:val="en-US" w:eastAsia="zh-CN"/>
                    </w:rPr>
                  </w:pPr>
                </w:p>
              </w:tc>
            </w:tr>
            <w:tr w14:paraId="51FE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2B90BA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6</w:t>
                  </w:r>
                </w:p>
              </w:tc>
              <w:tc>
                <w:tcPr>
                  <w:tcW w:w="1997" w:type="dxa"/>
                  <w:gridSpan w:val="2"/>
                  <w:noWrap w:val="0"/>
                  <w:vAlign w:val="center"/>
                </w:tcPr>
                <w:p w14:paraId="1937592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自动布料机</w:t>
                  </w:r>
                </w:p>
              </w:tc>
              <w:tc>
                <w:tcPr>
                  <w:tcW w:w="899" w:type="dxa"/>
                  <w:noWrap w:val="0"/>
                  <w:vAlign w:val="center"/>
                </w:tcPr>
                <w:p w14:paraId="2E14D7C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000000"/>
                      <w:spacing w:val="3"/>
                      <w:sz w:val="21"/>
                      <w:szCs w:val="21"/>
                      <w:highlight w:val="none"/>
                      <w:lang w:val="en-US" w:eastAsia="zh-CN"/>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563693D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3D3B13C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2</w:t>
                  </w:r>
                </w:p>
              </w:tc>
              <w:tc>
                <w:tcPr>
                  <w:tcW w:w="442" w:type="dxa"/>
                  <w:vMerge w:val="continue"/>
                  <w:noWrap w:val="0"/>
                  <w:vAlign w:val="center"/>
                </w:tcPr>
                <w:p w14:paraId="641109D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51549B7C">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val="0"/>
                      <w:sz w:val="21"/>
                      <w:szCs w:val="21"/>
                      <w:vertAlign w:val="baseline"/>
                      <w:lang w:val="en-US" w:eastAsia="zh-CN"/>
                    </w:rPr>
                  </w:pPr>
                </w:p>
              </w:tc>
            </w:tr>
            <w:tr w14:paraId="5380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B82F3F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7</w:t>
                  </w:r>
                </w:p>
              </w:tc>
              <w:tc>
                <w:tcPr>
                  <w:tcW w:w="1997" w:type="dxa"/>
                  <w:gridSpan w:val="2"/>
                  <w:noWrap w:val="0"/>
                  <w:vAlign w:val="center"/>
                </w:tcPr>
                <w:p w14:paraId="6EA78BE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color w:val="000000"/>
                      <w:spacing w:val="-2"/>
                      <w:sz w:val="21"/>
                      <w:szCs w:val="21"/>
                      <w:highlight w:val="none"/>
                      <w:lang w:eastAsia="zh-CN"/>
                    </w:rPr>
                    <w:t>电熔窑</w:t>
                  </w:r>
                </w:p>
              </w:tc>
              <w:tc>
                <w:tcPr>
                  <w:tcW w:w="899" w:type="dxa"/>
                  <w:noWrap w:val="0"/>
                  <w:vAlign w:val="center"/>
                </w:tcPr>
                <w:p w14:paraId="3E89DB0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color w:val="000000"/>
                      <w:spacing w:val="4"/>
                      <w:sz w:val="21"/>
                      <w:szCs w:val="21"/>
                      <w:highlight w:val="none"/>
                      <w:lang w:val="en-US" w:eastAsia="zh-CN"/>
                    </w:rPr>
                    <w:t>3</w:t>
                  </w:r>
                  <w:r>
                    <w:rPr>
                      <w:rFonts w:hint="default" w:ascii="Times New Roman" w:hAnsi="Times New Roman" w:cs="Times New Roman"/>
                      <w:color w:val="000000"/>
                      <w:spacing w:val="4"/>
                      <w:sz w:val="21"/>
                      <w:szCs w:val="21"/>
                      <w:highlight w:val="none"/>
                    </w:rPr>
                    <w:t>0t/d</w:t>
                  </w:r>
                </w:p>
              </w:tc>
              <w:tc>
                <w:tcPr>
                  <w:tcW w:w="656" w:type="dxa"/>
                  <w:noWrap w:val="0"/>
                  <w:vAlign w:val="center"/>
                </w:tcPr>
                <w:p w14:paraId="4F7FEAC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627875B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color w:val="000000"/>
                      <w:sz w:val="21"/>
                      <w:szCs w:val="21"/>
                      <w:highlight w:val="none"/>
                    </w:rPr>
                    <w:t>2</w:t>
                  </w:r>
                </w:p>
              </w:tc>
              <w:tc>
                <w:tcPr>
                  <w:tcW w:w="442" w:type="dxa"/>
                  <w:vMerge w:val="continue"/>
                  <w:noWrap w:val="0"/>
                  <w:vAlign w:val="center"/>
                </w:tcPr>
                <w:p w14:paraId="489A29D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c>
                <w:tcPr>
                  <w:tcW w:w="2919" w:type="dxa"/>
                  <w:vMerge w:val="continue"/>
                  <w:noWrap w:val="0"/>
                  <w:vAlign w:val="center"/>
                </w:tcPr>
                <w:p w14:paraId="29ED013D">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131B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5902091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8</w:t>
                  </w:r>
                </w:p>
              </w:tc>
              <w:tc>
                <w:tcPr>
                  <w:tcW w:w="812" w:type="dxa"/>
                  <w:vMerge w:val="restart"/>
                  <w:noWrap w:val="0"/>
                  <w:vAlign w:val="center"/>
                </w:tcPr>
                <w:p w14:paraId="2640FBB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spacing w:val="-2"/>
                      <w:sz w:val="21"/>
                      <w:szCs w:val="21"/>
                      <w:highlight w:val="none"/>
                      <w:lang w:val="en-US" w:eastAsia="zh-CN"/>
                    </w:rPr>
                  </w:pPr>
                  <w:r>
                    <w:rPr>
                      <w:rFonts w:hint="default" w:ascii="Times New Roman" w:hAnsi="Times New Roman" w:cs="Times New Roman"/>
                      <w:color w:val="000000"/>
                      <w:spacing w:val="8"/>
                      <w:sz w:val="21"/>
                      <w:szCs w:val="21"/>
                      <w:highlight w:val="none"/>
                      <w:lang w:eastAsia="zh-CN"/>
                    </w:rPr>
                    <w:t>玻璃成型系统</w:t>
                  </w:r>
                </w:p>
              </w:tc>
              <w:tc>
                <w:tcPr>
                  <w:tcW w:w="1185" w:type="dxa"/>
                  <w:noWrap w:val="0"/>
                  <w:vAlign w:val="center"/>
                </w:tcPr>
                <w:p w14:paraId="163505F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2"/>
                      <w:sz w:val="21"/>
                      <w:szCs w:val="21"/>
                      <w:highlight w:val="none"/>
                      <w:lang w:val="en-US" w:eastAsia="zh-CN"/>
                    </w:rPr>
                  </w:pPr>
                  <w:r>
                    <w:rPr>
                      <w:rFonts w:hint="eastAsia" w:ascii="Times New Roman" w:hAnsi="Times New Roman" w:cs="Times New Roman"/>
                      <w:color w:val="000000"/>
                      <w:spacing w:val="-2"/>
                      <w:sz w:val="21"/>
                      <w:szCs w:val="21"/>
                      <w:highlight w:val="none"/>
                      <w:lang w:val="en-US" w:eastAsia="zh-CN"/>
                    </w:rPr>
                    <w:t>火焰抛光设备</w:t>
                  </w:r>
                </w:p>
              </w:tc>
              <w:tc>
                <w:tcPr>
                  <w:tcW w:w="899" w:type="dxa"/>
                  <w:noWrap w:val="0"/>
                  <w:vAlign w:val="center"/>
                </w:tcPr>
                <w:p w14:paraId="70D5C95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000000"/>
                      <w:spacing w:val="4"/>
                      <w:sz w:val="21"/>
                      <w:szCs w:val="21"/>
                      <w:highlight w:val="none"/>
                      <w:lang w:val="en-US" w:eastAsia="zh-CN"/>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1F6240D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3FAF4E5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2</w:t>
                  </w:r>
                </w:p>
              </w:tc>
              <w:tc>
                <w:tcPr>
                  <w:tcW w:w="442" w:type="dxa"/>
                  <w:vMerge w:val="continue"/>
                  <w:noWrap w:val="0"/>
                  <w:vAlign w:val="center"/>
                </w:tcPr>
                <w:p w14:paraId="1F2DB98B">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c>
                <w:tcPr>
                  <w:tcW w:w="2919" w:type="dxa"/>
                  <w:vMerge w:val="continue"/>
                  <w:noWrap w:val="0"/>
                  <w:vAlign w:val="center"/>
                </w:tcPr>
                <w:p w14:paraId="7F993634">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6C44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4135194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9</w:t>
                  </w:r>
                </w:p>
              </w:tc>
              <w:tc>
                <w:tcPr>
                  <w:tcW w:w="812" w:type="dxa"/>
                  <w:vMerge w:val="continue"/>
                  <w:noWrap w:val="0"/>
                  <w:vAlign w:val="center"/>
                </w:tcPr>
                <w:p w14:paraId="39A5A23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p>
              </w:tc>
              <w:tc>
                <w:tcPr>
                  <w:tcW w:w="1185" w:type="dxa"/>
                  <w:noWrap w:val="0"/>
                  <w:vAlign w:val="center"/>
                </w:tcPr>
                <w:p w14:paraId="6A157CC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8"/>
                      <w:sz w:val="21"/>
                      <w:szCs w:val="21"/>
                      <w:highlight w:val="none"/>
                      <w:lang w:val="en-US" w:eastAsia="zh-CN"/>
                    </w:rPr>
                  </w:pPr>
                  <w:r>
                    <w:rPr>
                      <w:rFonts w:hint="eastAsia" w:ascii="Times New Roman" w:hAnsi="Times New Roman" w:cs="Times New Roman"/>
                      <w:color w:val="000000"/>
                      <w:spacing w:val="8"/>
                      <w:sz w:val="21"/>
                      <w:szCs w:val="21"/>
                      <w:highlight w:val="none"/>
                      <w:lang w:val="en-US" w:eastAsia="zh-CN"/>
                    </w:rPr>
                    <w:t>成型设备</w:t>
                  </w:r>
                </w:p>
              </w:tc>
              <w:tc>
                <w:tcPr>
                  <w:tcW w:w="899" w:type="dxa"/>
                  <w:noWrap w:val="0"/>
                  <w:vAlign w:val="center"/>
                </w:tcPr>
                <w:p w14:paraId="4A7AD65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vertAlign w:val="baseline"/>
                      <w:lang w:eastAsia="zh-CN"/>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5199DD3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6D1A075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color w:val="000000"/>
                      <w:sz w:val="21"/>
                      <w:szCs w:val="21"/>
                      <w:highlight w:val="none"/>
                      <w:lang w:val="en-US" w:eastAsia="zh-CN"/>
                    </w:rPr>
                    <w:t>4</w:t>
                  </w:r>
                </w:p>
              </w:tc>
              <w:tc>
                <w:tcPr>
                  <w:tcW w:w="442" w:type="dxa"/>
                  <w:vMerge w:val="continue"/>
                  <w:noWrap w:val="0"/>
                  <w:vAlign w:val="center"/>
                </w:tcPr>
                <w:p w14:paraId="053EFFBC">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p>
              </w:tc>
              <w:tc>
                <w:tcPr>
                  <w:tcW w:w="2919" w:type="dxa"/>
                  <w:vMerge w:val="continue"/>
                  <w:noWrap w:val="0"/>
                  <w:vAlign w:val="center"/>
                </w:tcPr>
                <w:p w14:paraId="1C0E82E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3A1A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50E1FBE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11</w:t>
                  </w:r>
                </w:p>
              </w:tc>
              <w:tc>
                <w:tcPr>
                  <w:tcW w:w="1997" w:type="dxa"/>
                  <w:gridSpan w:val="2"/>
                  <w:noWrap w:val="0"/>
                  <w:vAlign w:val="center"/>
                </w:tcPr>
                <w:p w14:paraId="452EA12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8"/>
                      <w:sz w:val="21"/>
                      <w:szCs w:val="21"/>
                      <w:highlight w:val="none"/>
                      <w:lang w:val="en-US" w:eastAsia="zh-CN"/>
                    </w:rPr>
                  </w:pPr>
                  <w:r>
                    <w:rPr>
                      <w:rFonts w:hint="default" w:ascii="Times New Roman" w:hAnsi="Times New Roman" w:cs="Times New Roman"/>
                      <w:color w:val="000000"/>
                      <w:spacing w:val="7"/>
                      <w:sz w:val="21"/>
                      <w:szCs w:val="21"/>
                      <w:highlight w:val="none"/>
                      <w:lang w:eastAsia="zh-CN"/>
                    </w:rPr>
                    <w:t>退火窑</w:t>
                  </w:r>
                </w:p>
              </w:tc>
              <w:tc>
                <w:tcPr>
                  <w:tcW w:w="899" w:type="dxa"/>
                  <w:noWrap w:val="0"/>
                  <w:vAlign w:val="center"/>
                </w:tcPr>
                <w:p w14:paraId="6BEAFC0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3"/>
                      <w:sz w:val="21"/>
                      <w:szCs w:val="21"/>
                      <w:highlight w:val="none"/>
                      <w:lang w:eastAsia="zh-CN"/>
                    </w:rPr>
                  </w:pPr>
                  <w:r>
                    <w:rPr>
                      <w:rFonts w:hint="default" w:ascii="Times New Roman" w:hAnsi="Times New Roman" w:cs="Times New Roman"/>
                      <w:color w:val="000000"/>
                      <w:spacing w:val="3"/>
                      <w:sz w:val="21"/>
                      <w:szCs w:val="21"/>
                      <w:highlight w:val="none"/>
                      <w:lang w:eastAsia="zh-CN"/>
                    </w:rPr>
                    <w:t>非标</w:t>
                  </w:r>
                </w:p>
              </w:tc>
              <w:tc>
                <w:tcPr>
                  <w:tcW w:w="656" w:type="dxa"/>
                  <w:noWrap w:val="0"/>
                  <w:vAlign w:val="center"/>
                </w:tcPr>
                <w:p w14:paraId="5F63541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1A8FF76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eastAsia="zh-CN"/>
                    </w:rPr>
                    <w:t>2</w:t>
                  </w:r>
                </w:p>
              </w:tc>
              <w:tc>
                <w:tcPr>
                  <w:tcW w:w="442" w:type="dxa"/>
                  <w:vMerge w:val="continue"/>
                  <w:noWrap w:val="0"/>
                  <w:vAlign w:val="center"/>
                </w:tcPr>
                <w:p w14:paraId="65D3422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c>
                <w:tcPr>
                  <w:tcW w:w="2919" w:type="dxa"/>
                  <w:vMerge w:val="continue"/>
                  <w:noWrap w:val="0"/>
                  <w:vAlign w:val="center"/>
                </w:tcPr>
                <w:p w14:paraId="54AF57DB">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r>
            <w:tr w14:paraId="444D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9C7BE5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12</w:t>
                  </w:r>
                </w:p>
              </w:tc>
              <w:tc>
                <w:tcPr>
                  <w:tcW w:w="1997" w:type="dxa"/>
                  <w:gridSpan w:val="2"/>
                  <w:noWrap w:val="0"/>
                  <w:vAlign w:val="center"/>
                </w:tcPr>
                <w:p w14:paraId="0D73D51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color w:val="000000"/>
                      <w:spacing w:val="6"/>
                      <w:sz w:val="21"/>
                      <w:szCs w:val="21"/>
                      <w:highlight w:val="none"/>
                      <w:lang w:eastAsia="zh-CN"/>
                    </w:rPr>
                    <w:t>冷却风机</w:t>
                  </w:r>
                </w:p>
              </w:tc>
              <w:tc>
                <w:tcPr>
                  <w:tcW w:w="899" w:type="dxa"/>
                  <w:noWrap w:val="0"/>
                  <w:vAlign w:val="center"/>
                </w:tcPr>
                <w:p w14:paraId="491A858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vertAlign w:val="baseline"/>
                      <w:lang w:eastAsia="zh-CN"/>
                    </w:rPr>
                  </w:pPr>
                  <w:r>
                    <w:rPr>
                      <w:rFonts w:hint="eastAsia" w:ascii="Times New Roman" w:hAnsi="Times New Roman" w:cs="Times New Roman"/>
                      <w:color w:val="000000"/>
                      <w:spacing w:val="2"/>
                      <w:sz w:val="21"/>
                      <w:szCs w:val="21"/>
                      <w:highlight w:val="none"/>
                      <w:lang w:val="en-US" w:eastAsia="zh-CN"/>
                    </w:rPr>
                    <w:t>/</w:t>
                  </w:r>
                </w:p>
              </w:tc>
              <w:tc>
                <w:tcPr>
                  <w:tcW w:w="656" w:type="dxa"/>
                  <w:noWrap w:val="0"/>
                  <w:vAlign w:val="center"/>
                </w:tcPr>
                <w:p w14:paraId="5EFA3DE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631961A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color w:val="000000"/>
                      <w:sz w:val="21"/>
                      <w:szCs w:val="21"/>
                      <w:highlight w:val="none"/>
                      <w:lang w:val="en-US" w:eastAsia="zh-CN"/>
                    </w:rPr>
                    <w:t>10</w:t>
                  </w:r>
                </w:p>
              </w:tc>
              <w:tc>
                <w:tcPr>
                  <w:tcW w:w="442" w:type="dxa"/>
                  <w:vMerge w:val="continue"/>
                  <w:noWrap w:val="0"/>
                  <w:vAlign w:val="center"/>
                </w:tcPr>
                <w:p w14:paraId="7739AC6C">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rPr>
                  </w:pPr>
                </w:p>
              </w:tc>
              <w:tc>
                <w:tcPr>
                  <w:tcW w:w="2919" w:type="dxa"/>
                  <w:vMerge w:val="continue"/>
                  <w:noWrap w:val="0"/>
                  <w:vAlign w:val="center"/>
                </w:tcPr>
                <w:p w14:paraId="4D74ABE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5667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DBD17F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13</w:t>
                  </w:r>
                </w:p>
              </w:tc>
              <w:tc>
                <w:tcPr>
                  <w:tcW w:w="1997" w:type="dxa"/>
                  <w:gridSpan w:val="2"/>
                  <w:noWrap w:val="0"/>
                  <w:vAlign w:val="center"/>
                </w:tcPr>
                <w:p w14:paraId="61ECC2F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切割机</w:t>
                  </w:r>
                </w:p>
              </w:tc>
              <w:tc>
                <w:tcPr>
                  <w:tcW w:w="899" w:type="dxa"/>
                  <w:noWrap w:val="0"/>
                  <w:vAlign w:val="center"/>
                </w:tcPr>
                <w:p w14:paraId="6CE9821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vertAlign w:val="baseline"/>
                      <w:lang w:eastAsia="zh-CN"/>
                    </w:rPr>
                  </w:pPr>
                  <w:r>
                    <w:rPr>
                      <w:rFonts w:hint="default" w:ascii="Times New Roman" w:hAnsi="Times New Roman" w:cs="Times New Roman"/>
                      <w:color w:val="000000"/>
                      <w:spacing w:val="3"/>
                      <w:sz w:val="21"/>
                      <w:szCs w:val="21"/>
                      <w:highlight w:val="none"/>
                      <w:lang w:eastAsia="zh-CN"/>
                    </w:rPr>
                    <w:t>非标</w:t>
                  </w:r>
                </w:p>
              </w:tc>
              <w:tc>
                <w:tcPr>
                  <w:tcW w:w="656" w:type="dxa"/>
                  <w:noWrap w:val="0"/>
                  <w:vAlign w:val="center"/>
                </w:tcPr>
                <w:p w14:paraId="422C434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6D81FE1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color w:val="000000"/>
                      <w:sz w:val="21"/>
                      <w:szCs w:val="21"/>
                      <w:highlight w:val="none"/>
                      <w:lang w:val="en-US" w:eastAsia="zh-CN"/>
                    </w:rPr>
                    <w:t>4</w:t>
                  </w:r>
                </w:p>
              </w:tc>
              <w:tc>
                <w:tcPr>
                  <w:tcW w:w="442" w:type="dxa"/>
                  <w:vMerge w:val="continue"/>
                  <w:noWrap w:val="0"/>
                  <w:vAlign w:val="center"/>
                </w:tcPr>
                <w:p w14:paraId="12E778D6">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c>
                <w:tcPr>
                  <w:tcW w:w="2919" w:type="dxa"/>
                  <w:vMerge w:val="continue"/>
                  <w:noWrap w:val="0"/>
                  <w:vAlign w:val="center"/>
                </w:tcPr>
                <w:p w14:paraId="41780FE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44AE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5DB258D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14</w:t>
                  </w:r>
                </w:p>
              </w:tc>
              <w:tc>
                <w:tcPr>
                  <w:tcW w:w="1997" w:type="dxa"/>
                  <w:gridSpan w:val="2"/>
                  <w:noWrap w:val="0"/>
                  <w:vAlign w:val="center"/>
                </w:tcPr>
                <w:p w14:paraId="1F15992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color w:val="000000"/>
                      <w:sz w:val="21"/>
                      <w:szCs w:val="21"/>
                      <w:highlight w:val="none"/>
                      <w:lang w:eastAsia="zh-CN"/>
                    </w:rPr>
                    <w:t>码垛机器人</w:t>
                  </w:r>
                </w:p>
              </w:tc>
              <w:tc>
                <w:tcPr>
                  <w:tcW w:w="899" w:type="dxa"/>
                  <w:noWrap w:val="0"/>
                  <w:vAlign w:val="center"/>
                </w:tcPr>
                <w:p w14:paraId="2121ADA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vertAlign w:val="baseline"/>
                      <w:lang w:eastAsia="zh-CN"/>
                    </w:rPr>
                  </w:pPr>
                  <w:r>
                    <w:rPr>
                      <w:rFonts w:hint="default" w:ascii="Times New Roman" w:hAnsi="Times New Roman" w:cs="Times New Roman"/>
                      <w:color w:val="000000"/>
                      <w:sz w:val="21"/>
                      <w:szCs w:val="21"/>
                      <w:highlight w:val="none"/>
                      <w:lang w:eastAsia="zh-CN"/>
                    </w:rPr>
                    <w:t>非标</w:t>
                  </w:r>
                </w:p>
              </w:tc>
              <w:tc>
                <w:tcPr>
                  <w:tcW w:w="656" w:type="dxa"/>
                  <w:noWrap w:val="0"/>
                  <w:vAlign w:val="center"/>
                </w:tcPr>
                <w:p w14:paraId="52E09E1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4DAD69A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color w:val="000000"/>
                      <w:sz w:val="21"/>
                      <w:szCs w:val="21"/>
                      <w:highlight w:val="none"/>
                      <w:lang w:val="en-US" w:eastAsia="zh-CN"/>
                    </w:rPr>
                    <w:t>4</w:t>
                  </w:r>
                </w:p>
              </w:tc>
              <w:tc>
                <w:tcPr>
                  <w:tcW w:w="442" w:type="dxa"/>
                  <w:vMerge w:val="continue"/>
                  <w:noWrap w:val="0"/>
                  <w:vAlign w:val="center"/>
                </w:tcPr>
                <w:p w14:paraId="418D482E">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noWrap w:val="0"/>
                  <w:vAlign w:val="center"/>
                </w:tcPr>
                <w:p w14:paraId="5913176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63CD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7AC366C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15</w:t>
                  </w:r>
                </w:p>
              </w:tc>
              <w:tc>
                <w:tcPr>
                  <w:tcW w:w="1997" w:type="dxa"/>
                  <w:gridSpan w:val="2"/>
                  <w:noWrap w:val="0"/>
                  <w:vAlign w:val="center"/>
                </w:tcPr>
                <w:p w14:paraId="1422E2D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color w:val="000000"/>
                      <w:spacing w:val="6"/>
                      <w:sz w:val="21"/>
                      <w:szCs w:val="21"/>
                      <w:highlight w:val="none"/>
                      <w:lang w:eastAsia="zh-CN"/>
                    </w:rPr>
                    <w:t>堆垛机</w:t>
                  </w:r>
                </w:p>
              </w:tc>
              <w:tc>
                <w:tcPr>
                  <w:tcW w:w="899" w:type="dxa"/>
                  <w:noWrap w:val="0"/>
                  <w:vAlign w:val="center"/>
                </w:tcPr>
                <w:p w14:paraId="074E80E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z w:val="21"/>
                      <w:szCs w:val="21"/>
                      <w:vertAlign w:val="baseline"/>
                      <w:lang w:eastAsia="zh-CN"/>
                    </w:rPr>
                  </w:pPr>
                  <w:r>
                    <w:rPr>
                      <w:rFonts w:hint="default" w:ascii="Times New Roman" w:hAnsi="Times New Roman" w:cs="Times New Roman"/>
                      <w:color w:val="000000"/>
                      <w:spacing w:val="3"/>
                      <w:sz w:val="21"/>
                      <w:szCs w:val="21"/>
                      <w:highlight w:val="none"/>
                      <w:lang w:eastAsia="zh-CN"/>
                    </w:rPr>
                    <w:t>非标</w:t>
                  </w:r>
                </w:p>
              </w:tc>
              <w:tc>
                <w:tcPr>
                  <w:tcW w:w="656" w:type="dxa"/>
                  <w:noWrap w:val="0"/>
                  <w:vAlign w:val="center"/>
                </w:tcPr>
                <w:p w14:paraId="585D975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54534C4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color w:val="000000"/>
                      <w:sz w:val="21"/>
                      <w:szCs w:val="21"/>
                      <w:highlight w:val="none"/>
                      <w:lang w:val="en-US" w:eastAsia="zh-CN"/>
                    </w:rPr>
                    <w:t>2</w:t>
                  </w:r>
                </w:p>
              </w:tc>
              <w:tc>
                <w:tcPr>
                  <w:tcW w:w="442" w:type="dxa"/>
                  <w:vMerge w:val="continue"/>
                  <w:noWrap w:val="0"/>
                  <w:vAlign w:val="center"/>
                </w:tcPr>
                <w:p w14:paraId="503DB744">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noWrap w:val="0"/>
                  <w:vAlign w:val="center"/>
                </w:tcPr>
                <w:p w14:paraId="18007A28">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598E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B50B83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16</w:t>
                  </w:r>
                </w:p>
              </w:tc>
              <w:tc>
                <w:tcPr>
                  <w:tcW w:w="1997" w:type="dxa"/>
                  <w:gridSpan w:val="2"/>
                  <w:shd w:val="clear" w:color="auto" w:fill="auto"/>
                  <w:noWrap w:val="0"/>
                  <w:vAlign w:val="center"/>
                </w:tcPr>
                <w:p w14:paraId="37387CF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6"/>
                      <w:sz w:val="21"/>
                      <w:szCs w:val="21"/>
                      <w:highlight w:val="none"/>
                      <w:lang w:eastAsia="zh-CN"/>
                    </w:rPr>
                    <w:t>气垫桌</w:t>
                  </w:r>
                </w:p>
              </w:tc>
              <w:tc>
                <w:tcPr>
                  <w:tcW w:w="899" w:type="dxa"/>
                  <w:shd w:val="clear" w:color="auto" w:fill="auto"/>
                  <w:noWrap w:val="0"/>
                  <w:vAlign w:val="center"/>
                </w:tcPr>
                <w:p w14:paraId="24315C77">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0155760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张</w:t>
                  </w:r>
                </w:p>
              </w:tc>
              <w:tc>
                <w:tcPr>
                  <w:tcW w:w="756" w:type="dxa"/>
                  <w:shd w:val="clear" w:color="auto" w:fill="auto"/>
                  <w:noWrap w:val="0"/>
                  <w:vAlign w:val="center"/>
                </w:tcPr>
                <w:p w14:paraId="295150F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z w:val="21"/>
                      <w:szCs w:val="21"/>
                      <w:highlight w:val="none"/>
                      <w:lang w:eastAsia="zh-CN"/>
                    </w:rPr>
                    <w:t>2</w:t>
                  </w:r>
                </w:p>
              </w:tc>
              <w:tc>
                <w:tcPr>
                  <w:tcW w:w="442" w:type="dxa"/>
                  <w:vMerge w:val="continue"/>
                  <w:noWrap w:val="0"/>
                  <w:vAlign w:val="center"/>
                </w:tcPr>
                <w:p w14:paraId="39EAB91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noWrap w:val="0"/>
                  <w:vAlign w:val="center"/>
                </w:tcPr>
                <w:p w14:paraId="44F0F69E">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6ED7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22019D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17</w:t>
                  </w:r>
                </w:p>
              </w:tc>
              <w:tc>
                <w:tcPr>
                  <w:tcW w:w="1997" w:type="dxa"/>
                  <w:gridSpan w:val="2"/>
                  <w:shd w:val="clear" w:color="auto" w:fill="auto"/>
                  <w:noWrap w:val="0"/>
                  <w:vAlign w:val="center"/>
                </w:tcPr>
                <w:p w14:paraId="1595181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吹风清扫设备</w:t>
                  </w:r>
                </w:p>
              </w:tc>
              <w:tc>
                <w:tcPr>
                  <w:tcW w:w="899" w:type="dxa"/>
                  <w:shd w:val="clear" w:color="auto" w:fill="auto"/>
                  <w:noWrap w:val="0"/>
                  <w:vAlign w:val="center"/>
                </w:tcPr>
                <w:p w14:paraId="18C27E1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4BDF32E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170B663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lang w:eastAsia="zh-CN"/>
                    </w:rPr>
                  </w:pPr>
                  <w:r>
                    <w:rPr>
                      <w:rFonts w:hint="eastAsia" w:ascii="Times New Roman" w:hAnsi="Times New Roman" w:cs="Times New Roman"/>
                      <w:color w:val="000000"/>
                      <w:sz w:val="21"/>
                      <w:szCs w:val="21"/>
                      <w:highlight w:val="none"/>
                      <w:lang w:val="en-US" w:eastAsia="zh-CN"/>
                    </w:rPr>
                    <w:t>4</w:t>
                  </w:r>
                </w:p>
              </w:tc>
              <w:tc>
                <w:tcPr>
                  <w:tcW w:w="442" w:type="dxa"/>
                  <w:vMerge w:val="continue"/>
                  <w:noWrap w:val="0"/>
                  <w:vAlign w:val="center"/>
                </w:tcPr>
                <w:p w14:paraId="54EDDCB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noWrap w:val="0"/>
                  <w:vAlign w:val="center"/>
                </w:tcPr>
                <w:p w14:paraId="7E432ABD">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b w:val="0"/>
                      <w:bCs w:val="0"/>
                      <w:sz w:val="21"/>
                      <w:szCs w:val="21"/>
                      <w:vertAlign w:val="baseline"/>
                      <w:lang w:val="en-US" w:eastAsia="zh-CN"/>
                    </w:rPr>
                  </w:pPr>
                </w:p>
              </w:tc>
            </w:tr>
            <w:tr w14:paraId="405B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3F9AF7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18</w:t>
                  </w:r>
                </w:p>
              </w:tc>
              <w:tc>
                <w:tcPr>
                  <w:tcW w:w="1997" w:type="dxa"/>
                  <w:gridSpan w:val="2"/>
                  <w:shd w:val="clear" w:color="auto" w:fill="auto"/>
                  <w:noWrap w:val="0"/>
                  <w:vAlign w:val="center"/>
                </w:tcPr>
                <w:p w14:paraId="434A1C7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空压机</w:t>
                  </w:r>
                </w:p>
              </w:tc>
              <w:tc>
                <w:tcPr>
                  <w:tcW w:w="899" w:type="dxa"/>
                  <w:shd w:val="clear" w:color="auto" w:fill="auto"/>
                  <w:noWrap w:val="0"/>
                  <w:vAlign w:val="center"/>
                </w:tcPr>
                <w:p w14:paraId="7346551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10"/>
                      <w:kern w:val="2"/>
                      <w:sz w:val="21"/>
                      <w:szCs w:val="21"/>
                      <w:highlight w:val="none"/>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400102C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332B325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085A4AA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8"/>
                      <w:kern w:val="0"/>
                      <w:sz w:val="21"/>
                      <w:szCs w:val="21"/>
                      <w:highlight w:val="none"/>
                      <w:lang w:val="en-US" w:eastAsia="zh-CN" w:bidi="ar-SA"/>
                    </w:rPr>
                  </w:pPr>
                </w:p>
              </w:tc>
              <w:tc>
                <w:tcPr>
                  <w:tcW w:w="2919" w:type="dxa"/>
                  <w:vMerge w:val="continue"/>
                  <w:shd w:val="clear" w:color="auto" w:fill="auto"/>
                  <w:noWrap w:val="0"/>
                  <w:vAlign w:val="center"/>
                </w:tcPr>
                <w:p w14:paraId="0721BF3B">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6797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533B7A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19</w:t>
                  </w:r>
                </w:p>
              </w:tc>
              <w:tc>
                <w:tcPr>
                  <w:tcW w:w="1997" w:type="dxa"/>
                  <w:gridSpan w:val="2"/>
                  <w:shd w:val="clear" w:color="auto" w:fill="auto"/>
                  <w:noWrap w:val="0"/>
                  <w:vAlign w:val="center"/>
                </w:tcPr>
                <w:p w14:paraId="79EA92A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6"/>
                      <w:sz w:val="21"/>
                      <w:szCs w:val="21"/>
                      <w:highlight w:val="none"/>
                      <w:lang w:eastAsia="zh-CN"/>
                    </w:rPr>
                    <w:t>循环水系统</w:t>
                  </w:r>
                </w:p>
              </w:tc>
              <w:tc>
                <w:tcPr>
                  <w:tcW w:w="899" w:type="dxa"/>
                  <w:shd w:val="clear" w:color="auto" w:fill="auto"/>
                  <w:noWrap w:val="0"/>
                  <w:vAlign w:val="center"/>
                </w:tcPr>
                <w:p w14:paraId="11B2AD3C">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6115942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1CD4B40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4"/>
                      <w:sz w:val="21"/>
                      <w:szCs w:val="21"/>
                      <w:highlight w:val="none"/>
                      <w:lang w:eastAsia="zh-CN"/>
                    </w:rPr>
                    <w:t>1</w:t>
                  </w:r>
                </w:p>
              </w:tc>
              <w:tc>
                <w:tcPr>
                  <w:tcW w:w="442" w:type="dxa"/>
                  <w:vMerge w:val="continue"/>
                  <w:shd w:val="clear" w:color="auto" w:fill="auto"/>
                  <w:noWrap w:val="0"/>
                  <w:vAlign w:val="center"/>
                </w:tcPr>
                <w:p w14:paraId="6D9B661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8"/>
                      <w:kern w:val="0"/>
                      <w:sz w:val="21"/>
                      <w:szCs w:val="21"/>
                      <w:highlight w:val="none"/>
                      <w:lang w:val="en-US" w:eastAsia="zh-CN" w:bidi="ar-SA"/>
                    </w:rPr>
                  </w:pPr>
                </w:p>
              </w:tc>
              <w:tc>
                <w:tcPr>
                  <w:tcW w:w="2919" w:type="dxa"/>
                  <w:vMerge w:val="continue"/>
                  <w:shd w:val="clear" w:color="auto" w:fill="auto"/>
                  <w:noWrap w:val="0"/>
                  <w:vAlign w:val="center"/>
                </w:tcPr>
                <w:p w14:paraId="122E6316">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4B94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039805C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20</w:t>
                  </w:r>
                </w:p>
              </w:tc>
              <w:tc>
                <w:tcPr>
                  <w:tcW w:w="1997" w:type="dxa"/>
                  <w:gridSpan w:val="2"/>
                  <w:shd w:val="clear" w:color="auto" w:fill="auto"/>
                  <w:noWrap w:val="0"/>
                  <w:vAlign w:val="center"/>
                </w:tcPr>
                <w:p w14:paraId="1640DC2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纯水制备装置</w:t>
                  </w:r>
                </w:p>
              </w:tc>
              <w:tc>
                <w:tcPr>
                  <w:tcW w:w="899" w:type="dxa"/>
                  <w:shd w:val="clear" w:color="auto" w:fill="auto"/>
                  <w:noWrap w:val="0"/>
                  <w:vAlign w:val="center"/>
                </w:tcPr>
                <w:p w14:paraId="730D0E1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10"/>
                      <w:kern w:val="2"/>
                      <w:sz w:val="21"/>
                      <w:szCs w:val="21"/>
                      <w:highlight w:val="none"/>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306C2CF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4B59508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3A58F19C">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c>
                <w:tcPr>
                  <w:tcW w:w="2919" w:type="dxa"/>
                  <w:vMerge w:val="continue"/>
                  <w:shd w:val="clear" w:color="auto" w:fill="auto"/>
                  <w:noWrap w:val="0"/>
                  <w:vAlign w:val="center"/>
                </w:tcPr>
                <w:p w14:paraId="4F45F64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0C82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0F8972D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21</w:t>
                  </w:r>
                </w:p>
              </w:tc>
              <w:tc>
                <w:tcPr>
                  <w:tcW w:w="1997" w:type="dxa"/>
                  <w:gridSpan w:val="2"/>
                  <w:noWrap w:val="0"/>
                  <w:vAlign w:val="center"/>
                </w:tcPr>
                <w:p w14:paraId="2C4DC20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color w:val="000000"/>
                      <w:spacing w:val="6"/>
                      <w:sz w:val="21"/>
                      <w:szCs w:val="21"/>
                      <w:highlight w:val="none"/>
                      <w:lang w:val="en-US" w:eastAsia="zh-CN"/>
                    </w:rPr>
                    <w:t>布袋除尘器</w:t>
                  </w:r>
                </w:p>
              </w:tc>
              <w:tc>
                <w:tcPr>
                  <w:tcW w:w="899" w:type="dxa"/>
                  <w:noWrap w:val="0"/>
                  <w:vAlign w:val="center"/>
                </w:tcPr>
                <w:p w14:paraId="15FA7BE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10"/>
                      <w:szCs w:val="21"/>
                      <w:highlight w:val="none"/>
                    </w:rPr>
                    <w:t>/</w:t>
                  </w:r>
                </w:p>
              </w:tc>
              <w:tc>
                <w:tcPr>
                  <w:tcW w:w="656" w:type="dxa"/>
                  <w:noWrap w:val="0"/>
                  <w:vAlign w:val="center"/>
                </w:tcPr>
                <w:p w14:paraId="1C92B17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337C7FB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color w:val="000000"/>
                      <w:sz w:val="21"/>
                      <w:szCs w:val="21"/>
                      <w:highlight w:val="none"/>
                      <w:lang w:val="en-US" w:eastAsia="zh-CN"/>
                    </w:rPr>
                    <w:t>2</w:t>
                  </w:r>
                </w:p>
              </w:tc>
              <w:tc>
                <w:tcPr>
                  <w:tcW w:w="442" w:type="dxa"/>
                  <w:vMerge w:val="continue"/>
                  <w:noWrap w:val="0"/>
                  <w:vAlign w:val="center"/>
                </w:tcPr>
                <w:p w14:paraId="0F3BC7FE">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p>
              </w:tc>
              <w:tc>
                <w:tcPr>
                  <w:tcW w:w="2919" w:type="dxa"/>
                  <w:vMerge w:val="continue"/>
                  <w:noWrap w:val="0"/>
                  <w:vAlign w:val="center"/>
                </w:tcPr>
                <w:p w14:paraId="51CE76F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p>
              </w:tc>
            </w:tr>
            <w:tr w14:paraId="0EA8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5" w:type="dxa"/>
                  <w:gridSpan w:val="8"/>
                  <w:shd w:val="clear" w:color="auto" w:fill="A4A4A4"/>
                  <w:noWrap w:val="0"/>
                  <w:vAlign w:val="center"/>
                </w:tcPr>
                <w:p w14:paraId="1F4EA81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bCs/>
                      <w:sz w:val="21"/>
                      <w:szCs w:val="21"/>
                      <w:vertAlign w:val="baseline"/>
                      <w:lang w:val="en-US" w:eastAsia="zh-CN"/>
                    </w:rPr>
                    <w:t>高硼硅光热玻璃所需主要生产设备</w:t>
                  </w:r>
                </w:p>
              </w:tc>
            </w:tr>
            <w:tr w14:paraId="1EC3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2F93D3C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w:t>
                  </w:r>
                </w:p>
              </w:tc>
              <w:tc>
                <w:tcPr>
                  <w:tcW w:w="1997" w:type="dxa"/>
                  <w:gridSpan w:val="2"/>
                  <w:noWrap w:val="0"/>
                  <w:vAlign w:val="center"/>
                </w:tcPr>
                <w:p w14:paraId="3F095A1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r>
                    <w:rPr>
                      <w:rFonts w:hint="eastAsia" w:ascii="Times New Roman" w:hAnsi="Times New Roman" w:cs="Times New Roman"/>
                      <w:color w:val="000000"/>
                      <w:spacing w:val="6"/>
                      <w:sz w:val="21"/>
                      <w:szCs w:val="21"/>
                      <w:highlight w:val="none"/>
                      <w:lang w:val="en-US" w:eastAsia="zh-CN"/>
                    </w:rPr>
                    <w:t>行车</w:t>
                  </w:r>
                </w:p>
              </w:tc>
              <w:tc>
                <w:tcPr>
                  <w:tcW w:w="899" w:type="dxa"/>
                  <w:noWrap w:val="0"/>
                  <w:vAlign w:val="center"/>
                </w:tcPr>
                <w:p w14:paraId="6AF93D1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3"/>
                      <w:sz w:val="21"/>
                      <w:szCs w:val="21"/>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7EB33BB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0269091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8</w:t>
                  </w:r>
                </w:p>
              </w:tc>
              <w:tc>
                <w:tcPr>
                  <w:tcW w:w="442" w:type="dxa"/>
                  <w:vMerge w:val="restart"/>
                  <w:noWrap w:val="0"/>
                  <w:vAlign w:val="center"/>
                </w:tcPr>
                <w:p w14:paraId="493377B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p w14:paraId="24E9376C">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p w14:paraId="44B1F16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p w14:paraId="19747243">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p w14:paraId="000F684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p w14:paraId="206C84C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r>
                    <w:rPr>
                      <w:rFonts w:hint="eastAsia" w:cs="Times New Roman"/>
                      <w:color w:val="000000"/>
                      <w:sz w:val="21"/>
                      <w:szCs w:val="21"/>
                      <w:highlight w:val="none"/>
                      <w:lang w:val="en-US" w:eastAsia="zh-CN"/>
                    </w:rPr>
                    <w:t>1#生产车间</w:t>
                  </w:r>
                </w:p>
              </w:tc>
              <w:tc>
                <w:tcPr>
                  <w:tcW w:w="2919" w:type="dxa"/>
                  <w:vMerge w:val="restart"/>
                  <w:noWrap w:val="0"/>
                  <w:vAlign w:val="center"/>
                </w:tcPr>
                <w:p w14:paraId="68BF638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color w:val="000000"/>
                      <w:sz w:val="21"/>
                      <w:szCs w:val="21"/>
                      <w:highlight w:val="none"/>
                      <w:lang w:val="en-US" w:eastAsia="zh-CN"/>
                    </w:rPr>
                    <w:t>*</w:t>
                  </w:r>
                </w:p>
              </w:tc>
            </w:tr>
            <w:tr w14:paraId="0A1E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4E47A31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w:t>
                  </w:r>
                </w:p>
              </w:tc>
              <w:tc>
                <w:tcPr>
                  <w:tcW w:w="1997" w:type="dxa"/>
                  <w:gridSpan w:val="2"/>
                  <w:noWrap w:val="0"/>
                  <w:vAlign w:val="center"/>
                </w:tcPr>
                <w:p w14:paraId="43E3305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r>
                    <w:rPr>
                      <w:rFonts w:hint="eastAsia" w:ascii="Times New Roman" w:hAnsi="Times New Roman" w:cs="Times New Roman"/>
                      <w:color w:val="000000"/>
                      <w:spacing w:val="6"/>
                      <w:sz w:val="21"/>
                      <w:szCs w:val="21"/>
                      <w:highlight w:val="none"/>
                      <w:lang w:val="en-US" w:eastAsia="zh-CN"/>
                    </w:rPr>
                    <w:t>料仓</w:t>
                  </w:r>
                </w:p>
              </w:tc>
              <w:tc>
                <w:tcPr>
                  <w:tcW w:w="899" w:type="dxa"/>
                  <w:noWrap w:val="0"/>
                  <w:vAlign w:val="center"/>
                </w:tcPr>
                <w:p w14:paraId="4BB2668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3"/>
                      <w:sz w:val="21"/>
                      <w:szCs w:val="21"/>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1D1298A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eastAsia" w:ascii="Times New Roman" w:hAnsi="Times New Roman" w:cs="Times New Roman"/>
                      <w:color w:val="000000"/>
                      <w:spacing w:val="6"/>
                      <w:sz w:val="21"/>
                      <w:szCs w:val="21"/>
                      <w:highlight w:val="none"/>
                      <w:lang w:val="en-US" w:eastAsia="zh-CN"/>
                    </w:rPr>
                    <w:t>个</w:t>
                  </w:r>
                </w:p>
              </w:tc>
              <w:tc>
                <w:tcPr>
                  <w:tcW w:w="756" w:type="dxa"/>
                  <w:noWrap w:val="0"/>
                  <w:vAlign w:val="center"/>
                </w:tcPr>
                <w:p w14:paraId="10705F9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10</w:t>
                  </w:r>
                </w:p>
              </w:tc>
              <w:tc>
                <w:tcPr>
                  <w:tcW w:w="442" w:type="dxa"/>
                  <w:vMerge w:val="continue"/>
                  <w:noWrap w:val="0"/>
                  <w:vAlign w:val="center"/>
                </w:tcPr>
                <w:p w14:paraId="7567ACC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23EF233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r>
            <w:tr w14:paraId="2052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3FBB563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3</w:t>
                  </w:r>
                </w:p>
              </w:tc>
              <w:tc>
                <w:tcPr>
                  <w:tcW w:w="1997" w:type="dxa"/>
                  <w:gridSpan w:val="2"/>
                  <w:noWrap w:val="0"/>
                  <w:vAlign w:val="center"/>
                </w:tcPr>
                <w:p w14:paraId="6365D68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r>
                    <w:rPr>
                      <w:rFonts w:hint="default" w:ascii="Times New Roman" w:hAnsi="Times New Roman" w:cs="Times New Roman"/>
                      <w:color w:val="000000"/>
                      <w:spacing w:val="6"/>
                      <w:sz w:val="21"/>
                      <w:szCs w:val="21"/>
                      <w:highlight w:val="none"/>
                    </w:rPr>
                    <w:t>配料</w:t>
                  </w:r>
                  <w:r>
                    <w:rPr>
                      <w:rFonts w:hint="eastAsia" w:ascii="Times New Roman" w:hAnsi="Times New Roman" w:cs="Times New Roman"/>
                      <w:color w:val="000000"/>
                      <w:spacing w:val="6"/>
                      <w:sz w:val="21"/>
                      <w:szCs w:val="21"/>
                      <w:highlight w:val="none"/>
                      <w:lang w:val="en-US" w:eastAsia="zh-CN"/>
                    </w:rPr>
                    <w:t>设备</w:t>
                  </w:r>
                </w:p>
              </w:tc>
              <w:tc>
                <w:tcPr>
                  <w:tcW w:w="899" w:type="dxa"/>
                  <w:noWrap w:val="0"/>
                  <w:vAlign w:val="center"/>
                </w:tcPr>
                <w:p w14:paraId="0FDE03E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3"/>
                      <w:sz w:val="21"/>
                      <w:szCs w:val="21"/>
                    </w:rPr>
                  </w:pPr>
                  <w:r>
                    <w:rPr>
                      <w:rFonts w:hint="default" w:ascii="Times New Roman" w:hAnsi="Times New Roman" w:cs="Times New Roman"/>
                      <w:color w:val="000000"/>
                      <w:spacing w:val="3"/>
                      <w:sz w:val="21"/>
                      <w:szCs w:val="21"/>
                      <w:highlight w:val="none"/>
                    </w:rPr>
                    <w:t>非标</w:t>
                  </w:r>
                </w:p>
              </w:tc>
              <w:tc>
                <w:tcPr>
                  <w:tcW w:w="656" w:type="dxa"/>
                  <w:noWrap w:val="0"/>
                  <w:vAlign w:val="center"/>
                </w:tcPr>
                <w:p w14:paraId="5BCFB32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6EDEE74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noWrap w:val="0"/>
                  <w:vAlign w:val="center"/>
                </w:tcPr>
                <w:p w14:paraId="08EBC106">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0F1C1E3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r>
            <w:tr w14:paraId="3923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451EAF1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4</w:t>
                  </w:r>
                </w:p>
              </w:tc>
              <w:tc>
                <w:tcPr>
                  <w:tcW w:w="1997" w:type="dxa"/>
                  <w:gridSpan w:val="2"/>
                  <w:noWrap w:val="0"/>
                  <w:vAlign w:val="center"/>
                </w:tcPr>
                <w:p w14:paraId="35DDF6F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r>
                    <w:rPr>
                      <w:rFonts w:hint="eastAsia" w:ascii="Times New Roman" w:hAnsi="Times New Roman" w:cs="Times New Roman"/>
                      <w:color w:val="000000"/>
                      <w:spacing w:val="6"/>
                      <w:sz w:val="21"/>
                      <w:szCs w:val="21"/>
                      <w:highlight w:val="none"/>
                      <w:lang w:val="en-US" w:eastAsia="zh-CN"/>
                    </w:rPr>
                    <w:t>提升机</w:t>
                  </w:r>
                </w:p>
              </w:tc>
              <w:tc>
                <w:tcPr>
                  <w:tcW w:w="899" w:type="dxa"/>
                  <w:noWrap w:val="0"/>
                  <w:vAlign w:val="center"/>
                </w:tcPr>
                <w:p w14:paraId="32CF6D2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3"/>
                      <w:sz w:val="21"/>
                      <w:szCs w:val="21"/>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4FC061E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361FEBF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noWrap w:val="0"/>
                  <w:vAlign w:val="center"/>
                </w:tcPr>
                <w:p w14:paraId="0AC26BAE">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2EAEE77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r>
            <w:tr w14:paraId="768E4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6817FF0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5</w:t>
                  </w:r>
                </w:p>
              </w:tc>
              <w:tc>
                <w:tcPr>
                  <w:tcW w:w="1997" w:type="dxa"/>
                  <w:gridSpan w:val="2"/>
                  <w:noWrap w:val="0"/>
                  <w:vAlign w:val="center"/>
                </w:tcPr>
                <w:p w14:paraId="7102DDB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r>
                    <w:rPr>
                      <w:rFonts w:hint="eastAsia" w:ascii="Times New Roman" w:hAnsi="Times New Roman" w:cs="Times New Roman"/>
                      <w:color w:val="000000"/>
                      <w:spacing w:val="6"/>
                      <w:sz w:val="21"/>
                      <w:szCs w:val="21"/>
                      <w:highlight w:val="none"/>
                      <w:lang w:val="en-US" w:eastAsia="zh-CN"/>
                    </w:rPr>
                    <w:t>原料暂存仓</w:t>
                  </w:r>
                </w:p>
              </w:tc>
              <w:tc>
                <w:tcPr>
                  <w:tcW w:w="899" w:type="dxa"/>
                  <w:noWrap w:val="0"/>
                  <w:vAlign w:val="center"/>
                </w:tcPr>
                <w:p w14:paraId="772016B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3"/>
                      <w:sz w:val="21"/>
                      <w:szCs w:val="21"/>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63D1E64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eastAsia" w:ascii="Times New Roman" w:hAnsi="Times New Roman" w:cs="Times New Roman"/>
                      <w:color w:val="000000"/>
                      <w:spacing w:val="6"/>
                      <w:sz w:val="21"/>
                      <w:szCs w:val="21"/>
                      <w:highlight w:val="none"/>
                      <w:lang w:val="en-US" w:eastAsia="zh-CN"/>
                    </w:rPr>
                    <w:t>个</w:t>
                  </w:r>
                </w:p>
              </w:tc>
              <w:tc>
                <w:tcPr>
                  <w:tcW w:w="756" w:type="dxa"/>
                  <w:noWrap w:val="0"/>
                  <w:vAlign w:val="center"/>
                </w:tcPr>
                <w:p w14:paraId="7C18C1B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2</w:t>
                  </w:r>
                </w:p>
              </w:tc>
              <w:tc>
                <w:tcPr>
                  <w:tcW w:w="442" w:type="dxa"/>
                  <w:vMerge w:val="continue"/>
                  <w:noWrap w:val="0"/>
                  <w:vAlign w:val="center"/>
                </w:tcPr>
                <w:p w14:paraId="5FA6A10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1877357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r>
            <w:tr w14:paraId="79EE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168EBA0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6</w:t>
                  </w:r>
                </w:p>
              </w:tc>
              <w:tc>
                <w:tcPr>
                  <w:tcW w:w="1997" w:type="dxa"/>
                  <w:gridSpan w:val="2"/>
                  <w:noWrap w:val="0"/>
                  <w:vAlign w:val="center"/>
                </w:tcPr>
                <w:p w14:paraId="6D698AA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r>
                    <w:rPr>
                      <w:rFonts w:hint="eastAsia" w:ascii="Times New Roman" w:hAnsi="Times New Roman" w:cs="Times New Roman"/>
                      <w:color w:val="000000"/>
                      <w:spacing w:val="6"/>
                      <w:sz w:val="21"/>
                      <w:szCs w:val="21"/>
                      <w:highlight w:val="none"/>
                      <w:lang w:val="en-US" w:eastAsia="zh-CN"/>
                    </w:rPr>
                    <w:t>自动布料机</w:t>
                  </w:r>
                </w:p>
              </w:tc>
              <w:tc>
                <w:tcPr>
                  <w:tcW w:w="899" w:type="dxa"/>
                  <w:noWrap w:val="0"/>
                  <w:vAlign w:val="center"/>
                </w:tcPr>
                <w:p w14:paraId="569F79A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3"/>
                      <w:sz w:val="21"/>
                      <w:szCs w:val="21"/>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4B909BF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26D208A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pacing w:val="-10"/>
                      <w:sz w:val="21"/>
                      <w:szCs w:val="21"/>
                      <w:highlight w:val="none"/>
                      <w:lang w:val="en-US" w:eastAsia="zh-CN"/>
                    </w:rPr>
                    <w:t>2</w:t>
                  </w:r>
                </w:p>
              </w:tc>
              <w:tc>
                <w:tcPr>
                  <w:tcW w:w="442" w:type="dxa"/>
                  <w:vMerge w:val="continue"/>
                  <w:noWrap w:val="0"/>
                  <w:vAlign w:val="center"/>
                </w:tcPr>
                <w:p w14:paraId="370C192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4A1B6E5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r>
            <w:tr w14:paraId="50F8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25517A8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7</w:t>
                  </w:r>
                </w:p>
              </w:tc>
              <w:tc>
                <w:tcPr>
                  <w:tcW w:w="1997" w:type="dxa"/>
                  <w:gridSpan w:val="2"/>
                  <w:noWrap w:val="0"/>
                  <w:vAlign w:val="center"/>
                </w:tcPr>
                <w:p w14:paraId="56EC673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6"/>
                      <w:sz w:val="21"/>
                      <w:szCs w:val="21"/>
                      <w:highlight w:val="none"/>
                      <w:lang w:val="en-US" w:eastAsia="zh-CN"/>
                    </w:rPr>
                  </w:pPr>
                  <w:r>
                    <w:rPr>
                      <w:rFonts w:hint="eastAsia" w:ascii="Times New Roman" w:hAnsi="Times New Roman" w:cs="Times New Roman"/>
                      <w:spacing w:val="-2"/>
                      <w:sz w:val="21"/>
                      <w:szCs w:val="21"/>
                      <w:lang w:eastAsia="zh-CN"/>
                    </w:rPr>
                    <w:t>电熔窑</w:t>
                  </w:r>
                </w:p>
              </w:tc>
              <w:tc>
                <w:tcPr>
                  <w:tcW w:w="899" w:type="dxa"/>
                  <w:noWrap w:val="0"/>
                  <w:vAlign w:val="center"/>
                </w:tcPr>
                <w:p w14:paraId="6C49792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3"/>
                      <w:sz w:val="21"/>
                      <w:szCs w:val="21"/>
                      <w:highlight w:val="none"/>
                      <w:lang w:val="en-US" w:eastAsia="zh-CN"/>
                    </w:rPr>
                  </w:pPr>
                  <w:r>
                    <w:rPr>
                      <w:rFonts w:hint="default" w:ascii="Times New Roman" w:hAnsi="Times New Roman" w:cs="Times New Roman"/>
                      <w:spacing w:val="4"/>
                      <w:sz w:val="21"/>
                      <w:szCs w:val="21"/>
                    </w:rPr>
                    <w:t>30t/d</w:t>
                  </w:r>
                </w:p>
              </w:tc>
              <w:tc>
                <w:tcPr>
                  <w:tcW w:w="656" w:type="dxa"/>
                  <w:noWrap w:val="0"/>
                  <w:vAlign w:val="center"/>
                </w:tcPr>
                <w:p w14:paraId="2223864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10"/>
                      <w:szCs w:val="21"/>
                      <w:highlight w:val="none"/>
                    </w:rPr>
                    <w:t>台</w:t>
                  </w:r>
                </w:p>
              </w:tc>
              <w:tc>
                <w:tcPr>
                  <w:tcW w:w="756" w:type="dxa"/>
                  <w:noWrap w:val="0"/>
                  <w:vAlign w:val="center"/>
                </w:tcPr>
                <w:p w14:paraId="0993D05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z w:val="21"/>
                      <w:szCs w:val="21"/>
                      <w:highlight w:val="none"/>
                      <w:lang w:val="en-US" w:eastAsia="zh-CN"/>
                    </w:rPr>
                    <w:t>1</w:t>
                  </w:r>
                </w:p>
              </w:tc>
              <w:tc>
                <w:tcPr>
                  <w:tcW w:w="442" w:type="dxa"/>
                  <w:vMerge w:val="continue"/>
                  <w:noWrap w:val="0"/>
                  <w:vAlign w:val="center"/>
                </w:tcPr>
                <w:p w14:paraId="6587F53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507004A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sz w:val="21"/>
                      <w:szCs w:val="21"/>
                      <w:vertAlign w:val="baseline"/>
                      <w:lang w:val="en-US" w:eastAsia="zh-CN"/>
                    </w:rPr>
                  </w:pPr>
                </w:p>
              </w:tc>
            </w:tr>
            <w:tr w14:paraId="4C41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3C95421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8</w:t>
                  </w:r>
                </w:p>
              </w:tc>
              <w:tc>
                <w:tcPr>
                  <w:tcW w:w="1997" w:type="dxa"/>
                  <w:gridSpan w:val="2"/>
                  <w:noWrap w:val="0"/>
                  <w:vAlign w:val="center"/>
                </w:tcPr>
                <w:p w14:paraId="32751F5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6"/>
                      <w:sz w:val="21"/>
                      <w:szCs w:val="21"/>
                      <w:highlight w:val="none"/>
                      <w:lang w:val="en-US" w:eastAsia="zh-CN"/>
                    </w:rPr>
                  </w:pPr>
                  <w:r>
                    <w:rPr>
                      <w:rFonts w:hint="eastAsia" w:ascii="Times New Roman" w:hAnsi="Times New Roman" w:cs="Times New Roman"/>
                      <w:spacing w:val="-2"/>
                      <w:sz w:val="21"/>
                      <w:szCs w:val="21"/>
                      <w:lang w:eastAsia="zh-CN"/>
                    </w:rPr>
                    <w:t>电熔窑</w:t>
                  </w:r>
                </w:p>
              </w:tc>
              <w:tc>
                <w:tcPr>
                  <w:tcW w:w="899" w:type="dxa"/>
                  <w:noWrap w:val="0"/>
                  <w:vAlign w:val="center"/>
                </w:tcPr>
                <w:p w14:paraId="07F7E1C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3"/>
                      <w:sz w:val="21"/>
                      <w:szCs w:val="21"/>
                      <w:highlight w:val="none"/>
                      <w:lang w:val="en-US" w:eastAsia="zh-CN"/>
                    </w:rPr>
                  </w:pPr>
                  <w:r>
                    <w:rPr>
                      <w:rFonts w:hint="default" w:ascii="Times New Roman" w:hAnsi="Times New Roman" w:cs="Times New Roman"/>
                      <w:spacing w:val="1"/>
                      <w:sz w:val="21"/>
                      <w:szCs w:val="21"/>
                      <w:lang w:val="en-US" w:eastAsia="zh-CN"/>
                    </w:rPr>
                    <w:t>10t/d</w:t>
                  </w:r>
                </w:p>
              </w:tc>
              <w:tc>
                <w:tcPr>
                  <w:tcW w:w="656" w:type="dxa"/>
                  <w:noWrap w:val="0"/>
                  <w:vAlign w:val="center"/>
                </w:tcPr>
                <w:p w14:paraId="2A4BB500">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zCs w:val="21"/>
                      <w:highlight w:val="none"/>
                    </w:rPr>
                    <w:t>套</w:t>
                  </w:r>
                </w:p>
              </w:tc>
              <w:tc>
                <w:tcPr>
                  <w:tcW w:w="756" w:type="dxa"/>
                  <w:noWrap w:val="0"/>
                  <w:vAlign w:val="center"/>
                </w:tcPr>
                <w:p w14:paraId="1514A3C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10"/>
                      <w:sz w:val="21"/>
                      <w:szCs w:val="21"/>
                      <w:highlight w:val="none"/>
                      <w:lang w:val="en-US" w:eastAsia="zh-CN"/>
                    </w:rPr>
                  </w:pPr>
                  <w:r>
                    <w:rPr>
                      <w:rFonts w:hint="eastAsia" w:ascii="Times New Roman" w:hAnsi="Times New Roman" w:cs="Times New Roman"/>
                      <w:color w:val="000000"/>
                      <w:sz w:val="21"/>
                      <w:szCs w:val="21"/>
                      <w:highlight w:val="none"/>
                      <w:lang w:val="en-US" w:eastAsia="zh-CN"/>
                    </w:rPr>
                    <w:t>1</w:t>
                  </w:r>
                </w:p>
              </w:tc>
              <w:tc>
                <w:tcPr>
                  <w:tcW w:w="442" w:type="dxa"/>
                  <w:vMerge w:val="continue"/>
                  <w:noWrap w:val="0"/>
                  <w:vAlign w:val="center"/>
                </w:tcPr>
                <w:p w14:paraId="69538C9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272B9CB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sz w:val="21"/>
                      <w:szCs w:val="21"/>
                      <w:vertAlign w:val="baseline"/>
                      <w:lang w:val="en-US" w:eastAsia="zh-CN"/>
                    </w:rPr>
                  </w:pPr>
                </w:p>
              </w:tc>
            </w:tr>
            <w:tr w14:paraId="71AB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4603730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9</w:t>
                  </w:r>
                </w:p>
              </w:tc>
              <w:tc>
                <w:tcPr>
                  <w:tcW w:w="812" w:type="dxa"/>
                  <w:vMerge w:val="restart"/>
                  <w:noWrap w:val="0"/>
                  <w:vAlign w:val="center"/>
                </w:tcPr>
                <w:p w14:paraId="6997CB9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spacing w:val="8"/>
                      <w:sz w:val="21"/>
                      <w:szCs w:val="21"/>
                      <w:lang w:eastAsia="zh-CN"/>
                    </w:rPr>
                    <w:t>玻璃成型系统</w:t>
                  </w:r>
                </w:p>
              </w:tc>
              <w:tc>
                <w:tcPr>
                  <w:tcW w:w="1185" w:type="dxa"/>
                  <w:noWrap w:val="0"/>
                  <w:vAlign w:val="center"/>
                </w:tcPr>
                <w:p w14:paraId="633C22E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2"/>
                      <w:sz w:val="21"/>
                      <w:szCs w:val="21"/>
                    </w:rPr>
                  </w:pPr>
                  <w:r>
                    <w:rPr>
                      <w:rFonts w:hint="eastAsia" w:ascii="Times New Roman" w:hAnsi="Times New Roman" w:cs="Times New Roman"/>
                      <w:color w:val="000000"/>
                      <w:spacing w:val="-2"/>
                      <w:sz w:val="21"/>
                      <w:szCs w:val="21"/>
                      <w:highlight w:val="none"/>
                      <w:lang w:val="en-US" w:eastAsia="zh-CN"/>
                    </w:rPr>
                    <w:t>火焰抛光设备</w:t>
                  </w:r>
                </w:p>
              </w:tc>
              <w:tc>
                <w:tcPr>
                  <w:tcW w:w="899" w:type="dxa"/>
                  <w:noWrap w:val="0"/>
                  <w:vAlign w:val="center"/>
                </w:tcPr>
                <w:p w14:paraId="46C693D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1"/>
                      <w:sz w:val="21"/>
                      <w:szCs w:val="21"/>
                      <w:lang w:val="en-US" w:eastAsia="zh-CN"/>
                    </w:rPr>
                  </w:pPr>
                  <w:r>
                    <w:rPr>
                      <w:rFonts w:hint="eastAsia" w:ascii="Times New Roman" w:hAnsi="Times New Roman" w:cs="Times New Roman"/>
                      <w:color w:val="000000"/>
                      <w:spacing w:val="3"/>
                      <w:sz w:val="21"/>
                      <w:szCs w:val="21"/>
                      <w:highlight w:val="none"/>
                      <w:lang w:val="en-US" w:eastAsia="zh-CN"/>
                    </w:rPr>
                    <w:t>/</w:t>
                  </w:r>
                </w:p>
              </w:tc>
              <w:tc>
                <w:tcPr>
                  <w:tcW w:w="656" w:type="dxa"/>
                  <w:noWrap w:val="0"/>
                  <w:vAlign w:val="center"/>
                </w:tcPr>
                <w:p w14:paraId="7275252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1DCBED0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z w:val="21"/>
                      <w:szCs w:val="21"/>
                      <w:highlight w:val="none"/>
                      <w:lang w:val="en-US" w:eastAsia="zh-CN"/>
                    </w:rPr>
                  </w:pPr>
                  <w:r>
                    <w:rPr>
                      <w:rFonts w:hint="default" w:ascii="Times New Roman" w:hAnsi="Times New Roman" w:cs="Times New Roman"/>
                      <w:color w:val="000000"/>
                      <w:sz w:val="21"/>
                      <w:szCs w:val="21"/>
                      <w:highlight w:val="none"/>
                    </w:rPr>
                    <w:t>2</w:t>
                  </w:r>
                </w:p>
              </w:tc>
              <w:tc>
                <w:tcPr>
                  <w:tcW w:w="442" w:type="dxa"/>
                  <w:vMerge w:val="continue"/>
                  <w:noWrap w:val="0"/>
                  <w:vAlign w:val="center"/>
                </w:tcPr>
                <w:p w14:paraId="47C2757D">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noWrap w:val="0"/>
                  <w:vAlign w:val="center"/>
                </w:tcPr>
                <w:p w14:paraId="0A9C1D33">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vertAlign w:val="baseline"/>
                      <w:lang w:val="en-US" w:eastAsia="zh-CN"/>
                    </w:rPr>
                  </w:pPr>
                </w:p>
              </w:tc>
            </w:tr>
            <w:tr w14:paraId="0184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02E1FFF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10</w:t>
                  </w:r>
                </w:p>
              </w:tc>
              <w:tc>
                <w:tcPr>
                  <w:tcW w:w="812" w:type="dxa"/>
                  <w:vMerge w:val="continue"/>
                  <w:noWrap w:val="0"/>
                  <w:vAlign w:val="center"/>
                </w:tcPr>
                <w:p w14:paraId="0F958DC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2"/>
                      <w:sz w:val="21"/>
                      <w:szCs w:val="21"/>
                    </w:rPr>
                  </w:pPr>
                </w:p>
              </w:tc>
              <w:tc>
                <w:tcPr>
                  <w:tcW w:w="1185" w:type="dxa"/>
                  <w:shd w:val="clear" w:color="auto" w:fill="auto"/>
                  <w:noWrap w:val="0"/>
                  <w:vAlign w:val="center"/>
                </w:tcPr>
                <w:p w14:paraId="4DF6360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kern w:val="2"/>
                      <w:sz w:val="21"/>
                      <w:szCs w:val="21"/>
                      <w:lang w:val="en-US" w:eastAsia="zh-CN" w:bidi="ar-SA"/>
                    </w:rPr>
                  </w:pPr>
                  <w:r>
                    <w:rPr>
                      <w:rFonts w:hint="eastAsia" w:ascii="Times New Roman" w:hAnsi="Times New Roman" w:cs="Times New Roman"/>
                      <w:color w:val="auto"/>
                      <w:spacing w:val="8"/>
                      <w:sz w:val="21"/>
                      <w:szCs w:val="21"/>
                      <w:highlight w:val="none"/>
                      <w:lang w:val="en-US" w:eastAsia="zh-CN"/>
                    </w:rPr>
                    <w:t>成型设备</w:t>
                  </w:r>
                </w:p>
              </w:tc>
              <w:tc>
                <w:tcPr>
                  <w:tcW w:w="899" w:type="dxa"/>
                  <w:noWrap w:val="0"/>
                  <w:vAlign w:val="center"/>
                </w:tcPr>
                <w:p w14:paraId="3A6F499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pacing w:val="1"/>
                      <w:sz w:val="21"/>
                      <w:szCs w:val="21"/>
                      <w:lang w:val="en-US" w:eastAsia="zh-CN"/>
                    </w:rPr>
                  </w:pPr>
                  <w:r>
                    <w:rPr>
                      <w:rFonts w:hint="eastAsia" w:ascii="Times New Roman" w:hAnsi="Times New Roman" w:cs="Times New Roman"/>
                      <w:color w:val="auto"/>
                      <w:spacing w:val="3"/>
                      <w:sz w:val="21"/>
                      <w:szCs w:val="21"/>
                      <w:highlight w:val="none"/>
                      <w:lang w:val="en-US" w:eastAsia="zh-CN"/>
                    </w:rPr>
                    <w:t>/</w:t>
                  </w:r>
                </w:p>
              </w:tc>
              <w:tc>
                <w:tcPr>
                  <w:tcW w:w="656" w:type="dxa"/>
                  <w:noWrap w:val="0"/>
                  <w:vAlign w:val="center"/>
                </w:tcPr>
                <w:p w14:paraId="1B2898B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pacing w:val="6"/>
                      <w:sz w:val="21"/>
                      <w:szCs w:val="21"/>
                      <w:highlight w:val="none"/>
                      <w:lang w:val="en-US" w:eastAsia="zh-CN"/>
                    </w:rPr>
                    <w:t>台</w:t>
                  </w:r>
                </w:p>
              </w:tc>
              <w:tc>
                <w:tcPr>
                  <w:tcW w:w="756" w:type="dxa"/>
                  <w:noWrap w:val="0"/>
                  <w:vAlign w:val="center"/>
                </w:tcPr>
                <w:p w14:paraId="0825DA7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p>
              </w:tc>
              <w:tc>
                <w:tcPr>
                  <w:tcW w:w="442" w:type="dxa"/>
                  <w:vMerge w:val="continue"/>
                  <w:noWrap w:val="0"/>
                  <w:vAlign w:val="center"/>
                </w:tcPr>
                <w:p w14:paraId="0D5ED8B6">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highlight w:val="none"/>
                      <w:lang w:val="en-US" w:eastAsia="zh-CN"/>
                    </w:rPr>
                  </w:pPr>
                </w:p>
              </w:tc>
              <w:tc>
                <w:tcPr>
                  <w:tcW w:w="2919" w:type="dxa"/>
                  <w:vMerge w:val="continue"/>
                  <w:noWrap w:val="0"/>
                  <w:vAlign w:val="center"/>
                </w:tcPr>
                <w:p w14:paraId="304482E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p>
              </w:tc>
            </w:tr>
            <w:tr w14:paraId="5855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3334161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11</w:t>
                  </w:r>
                </w:p>
              </w:tc>
              <w:tc>
                <w:tcPr>
                  <w:tcW w:w="1997" w:type="dxa"/>
                  <w:gridSpan w:val="2"/>
                  <w:noWrap w:val="0"/>
                  <w:vAlign w:val="center"/>
                </w:tcPr>
                <w:p w14:paraId="5D770EC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8"/>
                      <w:sz w:val="21"/>
                      <w:szCs w:val="21"/>
                      <w:highlight w:val="none"/>
                      <w:lang w:val="en-US" w:eastAsia="zh-CN"/>
                    </w:rPr>
                  </w:pPr>
                  <w:r>
                    <w:rPr>
                      <w:rFonts w:hint="default" w:ascii="Times New Roman" w:hAnsi="Times New Roman" w:cs="Times New Roman"/>
                      <w:color w:val="000000"/>
                      <w:spacing w:val="7"/>
                      <w:sz w:val="21"/>
                      <w:szCs w:val="21"/>
                      <w:highlight w:val="none"/>
                      <w:lang w:eastAsia="zh-CN"/>
                    </w:rPr>
                    <w:t>退火窑</w:t>
                  </w:r>
                </w:p>
              </w:tc>
              <w:tc>
                <w:tcPr>
                  <w:tcW w:w="899" w:type="dxa"/>
                  <w:noWrap w:val="0"/>
                  <w:vAlign w:val="center"/>
                </w:tcPr>
                <w:p w14:paraId="41126D6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3"/>
                      <w:sz w:val="21"/>
                      <w:szCs w:val="21"/>
                      <w:highlight w:val="none"/>
                      <w:lang w:eastAsia="zh-CN"/>
                    </w:rPr>
                  </w:pPr>
                  <w:r>
                    <w:rPr>
                      <w:rFonts w:hint="default" w:ascii="Times New Roman" w:hAnsi="Times New Roman" w:cs="Times New Roman"/>
                      <w:color w:val="000000"/>
                      <w:spacing w:val="3"/>
                      <w:sz w:val="21"/>
                      <w:szCs w:val="21"/>
                      <w:highlight w:val="none"/>
                      <w:lang w:eastAsia="zh-CN"/>
                    </w:rPr>
                    <w:t>非标</w:t>
                  </w:r>
                </w:p>
              </w:tc>
              <w:tc>
                <w:tcPr>
                  <w:tcW w:w="656" w:type="dxa"/>
                  <w:noWrap w:val="0"/>
                  <w:vAlign w:val="center"/>
                </w:tcPr>
                <w:p w14:paraId="1E0FA8C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noWrap w:val="0"/>
                  <w:vAlign w:val="center"/>
                </w:tcPr>
                <w:p w14:paraId="3A542CB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lang w:eastAsia="zh-CN"/>
                    </w:rPr>
                  </w:pPr>
                  <w:r>
                    <w:rPr>
                      <w:rFonts w:hint="default" w:ascii="Times New Roman" w:hAnsi="Times New Roman" w:cs="Times New Roman"/>
                      <w:color w:val="000000"/>
                      <w:sz w:val="21"/>
                      <w:szCs w:val="21"/>
                      <w:highlight w:val="none"/>
                      <w:lang w:eastAsia="zh-CN"/>
                    </w:rPr>
                    <w:t>2</w:t>
                  </w:r>
                </w:p>
              </w:tc>
              <w:tc>
                <w:tcPr>
                  <w:tcW w:w="442" w:type="dxa"/>
                  <w:vMerge w:val="continue"/>
                  <w:noWrap w:val="0"/>
                  <w:vAlign w:val="center"/>
                </w:tcPr>
                <w:p w14:paraId="01E0CB6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rPr>
                  </w:pPr>
                </w:p>
              </w:tc>
              <w:tc>
                <w:tcPr>
                  <w:tcW w:w="2919" w:type="dxa"/>
                  <w:vMerge w:val="continue"/>
                  <w:noWrap w:val="0"/>
                  <w:vAlign w:val="center"/>
                </w:tcPr>
                <w:p w14:paraId="4D995CC3">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sz w:val="21"/>
                      <w:szCs w:val="21"/>
                      <w:vertAlign w:val="baseline"/>
                      <w:lang w:val="en-US" w:eastAsia="zh-CN"/>
                    </w:rPr>
                  </w:pPr>
                </w:p>
              </w:tc>
            </w:tr>
            <w:tr w14:paraId="1489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3ABE69A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12</w:t>
                  </w:r>
                </w:p>
              </w:tc>
              <w:tc>
                <w:tcPr>
                  <w:tcW w:w="1997" w:type="dxa"/>
                  <w:gridSpan w:val="2"/>
                  <w:noWrap w:val="0"/>
                  <w:vAlign w:val="center"/>
                </w:tcPr>
                <w:p w14:paraId="32B3225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spacing w:val="6"/>
                      <w:sz w:val="21"/>
                      <w:szCs w:val="21"/>
                      <w:lang w:eastAsia="zh-CN"/>
                    </w:rPr>
                    <w:t>冷却风机</w:t>
                  </w:r>
                </w:p>
              </w:tc>
              <w:tc>
                <w:tcPr>
                  <w:tcW w:w="899" w:type="dxa"/>
                  <w:noWrap w:val="0"/>
                  <w:vAlign w:val="center"/>
                </w:tcPr>
                <w:p w14:paraId="0290C8E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spacing w:val="2"/>
                      <w:sz w:val="21"/>
                      <w:szCs w:val="21"/>
                      <w:lang w:eastAsia="zh-CN"/>
                    </w:rPr>
                    <w:t>15</w:t>
                  </w:r>
                  <w:r>
                    <w:rPr>
                      <w:rFonts w:hint="default" w:ascii="Times New Roman" w:hAnsi="Times New Roman" w:cs="Times New Roman"/>
                      <w:sz w:val="21"/>
                      <w:szCs w:val="21"/>
                      <w:lang w:eastAsia="zh-CN"/>
                    </w:rPr>
                    <w:t>kw</w:t>
                  </w:r>
                  <w:r>
                    <w:rPr>
                      <w:rFonts w:hint="default" w:ascii="Times New Roman" w:hAnsi="Times New Roman" w:cs="Times New Roman"/>
                      <w:spacing w:val="2"/>
                      <w:sz w:val="21"/>
                      <w:szCs w:val="21"/>
                      <w:lang w:eastAsia="zh-CN"/>
                    </w:rPr>
                    <w:t>/台</w:t>
                  </w:r>
                </w:p>
              </w:tc>
              <w:tc>
                <w:tcPr>
                  <w:tcW w:w="656" w:type="dxa"/>
                  <w:noWrap w:val="0"/>
                  <w:vAlign w:val="center"/>
                </w:tcPr>
                <w:p w14:paraId="7B027A1C">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color w:val="000000"/>
                      <w:szCs w:val="21"/>
                      <w:highlight w:val="none"/>
                    </w:rPr>
                    <w:t>套</w:t>
                  </w:r>
                </w:p>
              </w:tc>
              <w:tc>
                <w:tcPr>
                  <w:tcW w:w="756" w:type="dxa"/>
                  <w:noWrap w:val="0"/>
                  <w:vAlign w:val="center"/>
                </w:tcPr>
                <w:p w14:paraId="0E91B8F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4"/>
                      <w:sz w:val="21"/>
                      <w:szCs w:val="21"/>
                      <w:highlight w:val="none"/>
                      <w:lang w:val="en-US" w:eastAsia="zh-CN"/>
                    </w:rPr>
                  </w:pPr>
                  <w:r>
                    <w:rPr>
                      <w:rFonts w:hint="eastAsia" w:ascii="Times New Roman" w:hAnsi="Times New Roman" w:cs="Times New Roman"/>
                      <w:color w:val="000000"/>
                      <w:sz w:val="21"/>
                      <w:szCs w:val="21"/>
                      <w:highlight w:val="none"/>
                      <w:lang w:val="en-US" w:eastAsia="zh-CN"/>
                    </w:rPr>
                    <w:t>10</w:t>
                  </w:r>
                </w:p>
              </w:tc>
              <w:tc>
                <w:tcPr>
                  <w:tcW w:w="442" w:type="dxa"/>
                  <w:vMerge w:val="continue"/>
                  <w:noWrap w:val="0"/>
                  <w:vAlign w:val="center"/>
                </w:tcPr>
                <w:p w14:paraId="00329BF3">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c>
                <w:tcPr>
                  <w:tcW w:w="2919" w:type="dxa"/>
                  <w:vMerge w:val="continue"/>
                  <w:noWrap w:val="0"/>
                  <w:vAlign w:val="center"/>
                </w:tcPr>
                <w:p w14:paraId="0232808B">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r>
            <w:tr w14:paraId="35E4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445436B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13</w:t>
                  </w:r>
                </w:p>
              </w:tc>
              <w:tc>
                <w:tcPr>
                  <w:tcW w:w="1997" w:type="dxa"/>
                  <w:gridSpan w:val="2"/>
                  <w:noWrap w:val="0"/>
                  <w:vAlign w:val="center"/>
                </w:tcPr>
                <w:p w14:paraId="6C2D42D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eastAsia="zh-CN"/>
                    </w:rPr>
                  </w:pPr>
                  <w:r>
                    <w:rPr>
                      <w:rFonts w:hint="eastAsia" w:ascii="Times New Roman" w:hAnsi="Times New Roman" w:cs="Times New Roman"/>
                      <w:b w:val="0"/>
                      <w:bCs w:val="0"/>
                      <w:sz w:val="21"/>
                      <w:szCs w:val="21"/>
                      <w:lang w:val="en-US" w:eastAsia="zh-CN"/>
                    </w:rPr>
                    <w:t>切割机</w:t>
                  </w:r>
                </w:p>
              </w:tc>
              <w:tc>
                <w:tcPr>
                  <w:tcW w:w="899" w:type="dxa"/>
                  <w:noWrap w:val="0"/>
                  <w:vAlign w:val="center"/>
                </w:tcPr>
                <w:p w14:paraId="1A3CCC7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2"/>
                      <w:sz w:val="21"/>
                      <w:szCs w:val="21"/>
                      <w:lang w:eastAsia="zh-CN"/>
                    </w:rPr>
                  </w:pPr>
                  <w:r>
                    <w:rPr>
                      <w:rFonts w:hint="default" w:ascii="Times New Roman" w:hAnsi="Times New Roman" w:cs="Times New Roman"/>
                      <w:color w:val="000000"/>
                      <w:spacing w:val="3"/>
                      <w:sz w:val="21"/>
                      <w:szCs w:val="21"/>
                      <w:highlight w:val="none"/>
                      <w:lang w:eastAsia="zh-CN"/>
                    </w:rPr>
                    <w:t>非标</w:t>
                  </w:r>
                </w:p>
              </w:tc>
              <w:tc>
                <w:tcPr>
                  <w:tcW w:w="656" w:type="dxa"/>
                  <w:noWrap w:val="0"/>
                  <w:vAlign w:val="center"/>
                </w:tcPr>
                <w:p w14:paraId="5ABF374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pacing w:val="6"/>
                      <w:sz w:val="21"/>
                      <w:szCs w:val="21"/>
                      <w:highlight w:val="none"/>
                      <w:lang w:val="en-US" w:eastAsia="zh-CN"/>
                    </w:rPr>
                    <w:t>台</w:t>
                  </w:r>
                </w:p>
              </w:tc>
              <w:tc>
                <w:tcPr>
                  <w:tcW w:w="756" w:type="dxa"/>
                  <w:noWrap w:val="0"/>
                  <w:vAlign w:val="center"/>
                </w:tcPr>
                <w:p w14:paraId="6E9482B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w:t>
                  </w:r>
                </w:p>
              </w:tc>
              <w:tc>
                <w:tcPr>
                  <w:tcW w:w="442" w:type="dxa"/>
                  <w:vMerge w:val="continue"/>
                  <w:noWrap w:val="0"/>
                  <w:vAlign w:val="center"/>
                </w:tcPr>
                <w:p w14:paraId="00563A0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c>
                <w:tcPr>
                  <w:tcW w:w="2919" w:type="dxa"/>
                  <w:vMerge w:val="continue"/>
                  <w:noWrap w:val="0"/>
                  <w:vAlign w:val="center"/>
                </w:tcPr>
                <w:p w14:paraId="6FD19FF4">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sz w:val="21"/>
                      <w:szCs w:val="21"/>
                      <w:vertAlign w:val="baseline"/>
                      <w:lang w:val="en-US" w:eastAsia="zh-CN"/>
                    </w:rPr>
                  </w:pPr>
                </w:p>
              </w:tc>
            </w:tr>
            <w:tr w14:paraId="4577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16D94E7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14</w:t>
                  </w:r>
                </w:p>
              </w:tc>
              <w:tc>
                <w:tcPr>
                  <w:tcW w:w="1997" w:type="dxa"/>
                  <w:gridSpan w:val="2"/>
                  <w:noWrap w:val="0"/>
                  <w:vAlign w:val="center"/>
                </w:tcPr>
                <w:p w14:paraId="1E6C5CE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eastAsia="zh-CN"/>
                    </w:rPr>
                  </w:pPr>
                  <w:r>
                    <w:rPr>
                      <w:rFonts w:hint="default" w:ascii="Times New Roman" w:hAnsi="Times New Roman" w:cs="Times New Roman"/>
                      <w:sz w:val="21"/>
                      <w:szCs w:val="21"/>
                      <w:lang w:eastAsia="zh-CN"/>
                    </w:rPr>
                    <w:t>码垛机器人</w:t>
                  </w:r>
                </w:p>
              </w:tc>
              <w:tc>
                <w:tcPr>
                  <w:tcW w:w="899" w:type="dxa"/>
                  <w:noWrap w:val="0"/>
                  <w:vAlign w:val="center"/>
                </w:tcPr>
                <w:p w14:paraId="4DCE2C1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2"/>
                      <w:sz w:val="21"/>
                      <w:szCs w:val="21"/>
                      <w:lang w:eastAsia="zh-CN"/>
                    </w:rPr>
                  </w:pPr>
                  <w:r>
                    <w:rPr>
                      <w:rFonts w:hint="default" w:ascii="Times New Roman" w:hAnsi="Times New Roman" w:cs="Times New Roman"/>
                      <w:sz w:val="21"/>
                      <w:szCs w:val="21"/>
                      <w:lang w:eastAsia="zh-CN"/>
                    </w:rPr>
                    <w:t>非标</w:t>
                  </w:r>
                </w:p>
              </w:tc>
              <w:tc>
                <w:tcPr>
                  <w:tcW w:w="656" w:type="dxa"/>
                  <w:noWrap w:val="0"/>
                  <w:vAlign w:val="center"/>
                </w:tcPr>
                <w:p w14:paraId="416F814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Cs w:val="21"/>
                      <w:highlight w:val="none"/>
                    </w:rPr>
                  </w:pPr>
                  <w:r>
                    <w:rPr>
                      <w:rFonts w:hint="default" w:ascii="Times New Roman" w:hAnsi="Times New Roman" w:cs="Times New Roman"/>
                      <w:color w:val="000000"/>
                      <w:spacing w:val="-10"/>
                      <w:szCs w:val="21"/>
                      <w:highlight w:val="none"/>
                    </w:rPr>
                    <w:t>台</w:t>
                  </w:r>
                </w:p>
              </w:tc>
              <w:tc>
                <w:tcPr>
                  <w:tcW w:w="756" w:type="dxa"/>
                  <w:noWrap w:val="0"/>
                  <w:vAlign w:val="center"/>
                </w:tcPr>
                <w:p w14:paraId="30D3894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w:t>
                  </w:r>
                </w:p>
              </w:tc>
              <w:tc>
                <w:tcPr>
                  <w:tcW w:w="442" w:type="dxa"/>
                  <w:vMerge w:val="continue"/>
                  <w:noWrap w:val="0"/>
                  <w:vAlign w:val="center"/>
                </w:tcPr>
                <w:p w14:paraId="19E23713">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c>
                <w:tcPr>
                  <w:tcW w:w="2919" w:type="dxa"/>
                  <w:vMerge w:val="continue"/>
                  <w:noWrap w:val="0"/>
                  <w:vAlign w:val="center"/>
                </w:tcPr>
                <w:p w14:paraId="0E832D6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sz w:val="21"/>
                      <w:szCs w:val="21"/>
                      <w:vertAlign w:val="baseline"/>
                      <w:lang w:val="en-US" w:eastAsia="zh-CN"/>
                    </w:rPr>
                  </w:pPr>
                </w:p>
              </w:tc>
            </w:tr>
            <w:tr w14:paraId="0E0D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5504DBB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15</w:t>
                  </w:r>
                </w:p>
              </w:tc>
              <w:tc>
                <w:tcPr>
                  <w:tcW w:w="1997" w:type="dxa"/>
                  <w:gridSpan w:val="2"/>
                  <w:noWrap w:val="0"/>
                  <w:vAlign w:val="center"/>
                </w:tcPr>
                <w:p w14:paraId="149B508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spacing w:val="6"/>
                      <w:sz w:val="21"/>
                      <w:szCs w:val="21"/>
                      <w:lang w:eastAsia="zh-CN"/>
                    </w:rPr>
                    <w:t>堆垛机</w:t>
                  </w:r>
                </w:p>
              </w:tc>
              <w:tc>
                <w:tcPr>
                  <w:tcW w:w="899" w:type="dxa"/>
                  <w:noWrap w:val="0"/>
                  <w:vAlign w:val="center"/>
                </w:tcPr>
                <w:p w14:paraId="0C3923A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spacing w:val="3"/>
                      <w:sz w:val="21"/>
                      <w:szCs w:val="21"/>
                      <w:lang w:eastAsia="zh-CN"/>
                    </w:rPr>
                    <w:t>非标</w:t>
                  </w:r>
                </w:p>
              </w:tc>
              <w:tc>
                <w:tcPr>
                  <w:tcW w:w="656" w:type="dxa"/>
                  <w:noWrap w:val="0"/>
                  <w:vAlign w:val="center"/>
                </w:tcPr>
                <w:p w14:paraId="2BAD3B26">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color w:val="000000"/>
                      <w:spacing w:val="-10"/>
                      <w:szCs w:val="21"/>
                      <w:highlight w:val="none"/>
                    </w:rPr>
                    <w:t>台</w:t>
                  </w:r>
                </w:p>
              </w:tc>
              <w:tc>
                <w:tcPr>
                  <w:tcW w:w="756" w:type="dxa"/>
                  <w:noWrap w:val="0"/>
                  <w:vAlign w:val="center"/>
                </w:tcPr>
                <w:p w14:paraId="254AE60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4"/>
                      <w:sz w:val="21"/>
                      <w:szCs w:val="21"/>
                      <w:highlight w:val="none"/>
                      <w:lang w:val="en-US" w:eastAsia="zh-CN"/>
                    </w:rPr>
                  </w:pPr>
                  <w:r>
                    <w:rPr>
                      <w:rFonts w:hint="eastAsia" w:ascii="Times New Roman" w:hAnsi="Times New Roman" w:cs="Times New Roman"/>
                      <w:color w:val="000000"/>
                      <w:spacing w:val="-4"/>
                      <w:sz w:val="21"/>
                      <w:szCs w:val="21"/>
                      <w:highlight w:val="none"/>
                      <w:lang w:val="en-US" w:eastAsia="zh-CN"/>
                    </w:rPr>
                    <w:t>2</w:t>
                  </w:r>
                </w:p>
              </w:tc>
              <w:tc>
                <w:tcPr>
                  <w:tcW w:w="442" w:type="dxa"/>
                  <w:vMerge w:val="continue"/>
                  <w:noWrap w:val="0"/>
                  <w:vAlign w:val="center"/>
                </w:tcPr>
                <w:p w14:paraId="1219B34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noWrap w:val="0"/>
                  <w:vAlign w:val="center"/>
                </w:tcPr>
                <w:p w14:paraId="0F49764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vertAlign w:val="baseline"/>
                      <w:lang w:val="en-US" w:eastAsia="zh-CN" w:bidi="ar-SA"/>
                    </w:rPr>
                  </w:pPr>
                </w:p>
              </w:tc>
            </w:tr>
            <w:tr w14:paraId="6E79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010C9D6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16</w:t>
                  </w:r>
                </w:p>
              </w:tc>
              <w:tc>
                <w:tcPr>
                  <w:tcW w:w="1997" w:type="dxa"/>
                  <w:gridSpan w:val="2"/>
                  <w:noWrap w:val="0"/>
                  <w:vAlign w:val="center"/>
                </w:tcPr>
                <w:p w14:paraId="4CC5F24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spacing w:val="6"/>
                      <w:sz w:val="21"/>
                      <w:szCs w:val="21"/>
                      <w:lang w:eastAsia="zh-CN"/>
                    </w:rPr>
                    <w:t>气垫桌</w:t>
                  </w:r>
                </w:p>
              </w:tc>
              <w:tc>
                <w:tcPr>
                  <w:tcW w:w="899" w:type="dxa"/>
                  <w:noWrap w:val="0"/>
                  <w:vAlign w:val="center"/>
                </w:tcPr>
                <w:p w14:paraId="470AF81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rPr>
                  </w:pPr>
                  <w:r>
                    <w:rPr>
                      <w:rFonts w:hint="default" w:ascii="Times New Roman" w:hAnsi="Times New Roman" w:cs="Times New Roman"/>
                      <w:color w:val="000000"/>
                      <w:spacing w:val="10"/>
                      <w:szCs w:val="21"/>
                      <w:highlight w:val="none"/>
                    </w:rPr>
                    <w:t>/</w:t>
                  </w:r>
                </w:p>
              </w:tc>
              <w:tc>
                <w:tcPr>
                  <w:tcW w:w="656" w:type="dxa"/>
                  <w:noWrap w:val="0"/>
                  <w:vAlign w:val="center"/>
                </w:tcPr>
                <w:p w14:paraId="6D8BE419">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default" w:ascii="Times New Roman" w:hAnsi="Times New Roman" w:cs="Times New Roman"/>
                      <w:color w:val="000000"/>
                      <w:spacing w:val="-4"/>
                      <w:szCs w:val="21"/>
                      <w:highlight w:val="none"/>
                    </w:rPr>
                    <w:t>套</w:t>
                  </w:r>
                </w:p>
              </w:tc>
              <w:tc>
                <w:tcPr>
                  <w:tcW w:w="756" w:type="dxa"/>
                  <w:noWrap w:val="0"/>
                  <w:vAlign w:val="center"/>
                </w:tcPr>
                <w:p w14:paraId="1BF5552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4"/>
                      <w:sz w:val="21"/>
                      <w:szCs w:val="21"/>
                      <w:highlight w:val="none"/>
                      <w:lang w:val="en-US" w:eastAsia="zh-CN"/>
                    </w:rPr>
                  </w:pPr>
                  <w:r>
                    <w:rPr>
                      <w:rFonts w:hint="eastAsia" w:ascii="Times New Roman" w:hAnsi="Times New Roman" w:cs="Times New Roman"/>
                      <w:b w:val="0"/>
                      <w:bCs w:val="0"/>
                      <w:color w:val="auto"/>
                      <w:kern w:val="2"/>
                      <w:sz w:val="21"/>
                      <w:szCs w:val="21"/>
                      <w:lang w:val="en-US" w:eastAsia="zh-CN" w:bidi="ar-SA"/>
                    </w:rPr>
                    <w:t>2</w:t>
                  </w:r>
                </w:p>
              </w:tc>
              <w:tc>
                <w:tcPr>
                  <w:tcW w:w="442" w:type="dxa"/>
                  <w:vMerge w:val="continue"/>
                  <w:noWrap w:val="0"/>
                  <w:vAlign w:val="center"/>
                </w:tcPr>
                <w:p w14:paraId="6B2378B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noWrap w:val="0"/>
                  <w:vAlign w:val="center"/>
                </w:tcPr>
                <w:p w14:paraId="7DE8C896">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r>
            <w:tr w14:paraId="18F1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3BCEC1A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17</w:t>
                  </w:r>
                </w:p>
              </w:tc>
              <w:tc>
                <w:tcPr>
                  <w:tcW w:w="1997" w:type="dxa"/>
                  <w:gridSpan w:val="2"/>
                  <w:shd w:val="clear" w:color="auto" w:fill="auto"/>
                  <w:noWrap w:val="0"/>
                  <w:vAlign w:val="center"/>
                </w:tcPr>
                <w:p w14:paraId="29B5001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pacing w:val="6"/>
                      <w:sz w:val="21"/>
                      <w:szCs w:val="21"/>
                      <w:highlight w:val="none"/>
                      <w:lang w:val="en-US" w:eastAsia="zh-CN"/>
                    </w:rPr>
                  </w:pPr>
                  <w:r>
                    <w:rPr>
                      <w:rFonts w:hint="eastAsia" w:ascii="Times New Roman" w:hAnsi="Times New Roman" w:cs="Times New Roman"/>
                      <w:color w:val="000000"/>
                      <w:spacing w:val="6"/>
                      <w:sz w:val="21"/>
                      <w:szCs w:val="21"/>
                      <w:highlight w:val="none"/>
                      <w:lang w:val="en-US" w:eastAsia="zh-CN"/>
                    </w:rPr>
                    <w:t>吹风清扫设备</w:t>
                  </w:r>
                </w:p>
              </w:tc>
              <w:tc>
                <w:tcPr>
                  <w:tcW w:w="899" w:type="dxa"/>
                  <w:shd w:val="clear" w:color="auto" w:fill="auto"/>
                  <w:noWrap w:val="0"/>
                  <w:vAlign w:val="center"/>
                </w:tcPr>
                <w:p w14:paraId="3CE719C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24376B2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zCs w:val="21"/>
                      <w:highlight w:val="none"/>
                      <w:lang w:val="en-US" w:eastAsia="zh-CN"/>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3200AE4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4</w:t>
                  </w:r>
                </w:p>
              </w:tc>
              <w:tc>
                <w:tcPr>
                  <w:tcW w:w="442" w:type="dxa"/>
                  <w:vMerge w:val="continue"/>
                  <w:noWrap w:val="0"/>
                  <w:vAlign w:val="center"/>
                </w:tcPr>
                <w:p w14:paraId="505D37F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p>
              </w:tc>
              <w:tc>
                <w:tcPr>
                  <w:tcW w:w="2919" w:type="dxa"/>
                  <w:vMerge w:val="continue"/>
                  <w:noWrap w:val="0"/>
                  <w:vAlign w:val="center"/>
                </w:tcPr>
                <w:p w14:paraId="1138057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kern w:val="0"/>
                      <w:sz w:val="21"/>
                      <w:szCs w:val="21"/>
                      <w:lang w:val="en-US" w:eastAsia="zh-CN" w:bidi="ar-SA"/>
                    </w:rPr>
                  </w:pPr>
                </w:p>
              </w:tc>
            </w:tr>
            <w:tr w14:paraId="198F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05F40A0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18</w:t>
                  </w:r>
                </w:p>
              </w:tc>
              <w:tc>
                <w:tcPr>
                  <w:tcW w:w="1997" w:type="dxa"/>
                  <w:gridSpan w:val="2"/>
                  <w:shd w:val="clear" w:color="auto" w:fill="auto"/>
                  <w:noWrap w:val="0"/>
                  <w:vAlign w:val="center"/>
                </w:tcPr>
                <w:p w14:paraId="1B1D1B8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color w:val="000000"/>
                      <w:spacing w:val="6"/>
                      <w:sz w:val="21"/>
                      <w:szCs w:val="21"/>
                      <w:highlight w:val="none"/>
                      <w:lang w:val="en-US" w:eastAsia="zh-CN"/>
                    </w:rPr>
                    <w:t>空压机</w:t>
                  </w:r>
                </w:p>
              </w:tc>
              <w:tc>
                <w:tcPr>
                  <w:tcW w:w="899" w:type="dxa"/>
                  <w:shd w:val="clear" w:color="auto" w:fill="auto"/>
                  <w:noWrap w:val="0"/>
                  <w:vAlign w:val="center"/>
                </w:tcPr>
                <w:p w14:paraId="2D79EF4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45DF94B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zCs w:val="21"/>
                      <w:highlight w:val="none"/>
                      <w:lang w:val="en-US" w:eastAsia="zh-CN"/>
                    </w:rPr>
                    <w:t>套</w:t>
                  </w:r>
                </w:p>
              </w:tc>
              <w:tc>
                <w:tcPr>
                  <w:tcW w:w="756" w:type="dxa"/>
                  <w:shd w:val="clear" w:color="auto" w:fill="auto"/>
                  <w:noWrap w:val="0"/>
                  <w:vAlign w:val="center"/>
                </w:tcPr>
                <w:p w14:paraId="12975F8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noWrap w:val="0"/>
                  <w:vAlign w:val="center"/>
                </w:tcPr>
                <w:p w14:paraId="4DA0997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p>
              </w:tc>
              <w:tc>
                <w:tcPr>
                  <w:tcW w:w="2919" w:type="dxa"/>
                  <w:vMerge w:val="continue"/>
                  <w:noWrap w:val="0"/>
                  <w:vAlign w:val="center"/>
                </w:tcPr>
                <w:p w14:paraId="443E26A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r>
            <w:tr w14:paraId="508C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0151BA3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19</w:t>
                  </w:r>
                </w:p>
              </w:tc>
              <w:tc>
                <w:tcPr>
                  <w:tcW w:w="1997" w:type="dxa"/>
                  <w:gridSpan w:val="2"/>
                  <w:shd w:val="clear" w:color="auto" w:fill="auto"/>
                  <w:noWrap w:val="0"/>
                  <w:vAlign w:val="center"/>
                </w:tcPr>
                <w:p w14:paraId="0F61B8F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6"/>
                      <w:sz w:val="21"/>
                      <w:szCs w:val="21"/>
                      <w:highlight w:val="none"/>
                      <w:lang w:eastAsia="zh-CN"/>
                    </w:rPr>
                    <w:t>循环水系统</w:t>
                  </w:r>
                </w:p>
              </w:tc>
              <w:tc>
                <w:tcPr>
                  <w:tcW w:w="899" w:type="dxa"/>
                  <w:shd w:val="clear" w:color="auto" w:fill="auto"/>
                  <w:noWrap w:val="0"/>
                  <w:vAlign w:val="center"/>
                </w:tcPr>
                <w:p w14:paraId="2C8BEC0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10"/>
                      <w:kern w:val="2"/>
                      <w:sz w:val="21"/>
                      <w:szCs w:val="21"/>
                      <w:highlight w:val="none"/>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295B7AE7">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10"/>
                      <w:kern w:val="2"/>
                      <w:sz w:val="21"/>
                      <w:szCs w:val="21"/>
                      <w:highlight w:val="none"/>
                      <w:lang w:val="en-US" w:eastAsia="zh-CN" w:bidi="ar-SA"/>
                    </w:rPr>
                  </w:pPr>
                  <w:r>
                    <w:rPr>
                      <w:rFonts w:hint="default" w:ascii="Times New Roman" w:hAnsi="Times New Roman" w:cs="Times New Roman"/>
                      <w:color w:val="000000"/>
                      <w:szCs w:val="21"/>
                      <w:highlight w:val="none"/>
                      <w:lang w:val="en-US" w:eastAsia="zh-CN"/>
                    </w:rPr>
                    <w:t>套</w:t>
                  </w:r>
                </w:p>
              </w:tc>
              <w:tc>
                <w:tcPr>
                  <w:tcW w:w="756" w:type="dxa"/>
                  <w:shd w:val="clear" w:color="auto" w:fill="auto"/>
                  <w:noWrap w:val="0"/>
                  <w:vAlign w:val="center"/>
                </w:tcPr>
                <w:p w14:paraId="5A73633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10"/>
                      <w:kern w:val="2"/>
                      <w:sz w:val="21"/>
                      <w:szCs w:val="21"/>
                      <w:highlight w:val="none"/>
                      <w:lang w:val="en-US" w:eastAsia="zh-CN" w:bidi="ar-SA"/>
                    </w:rPr>
                  </w:pPr>
                  <w:r>
                    <w:rPr>
                      <w:rFonts w:hint="eastAsia" w:ascii="Times New Roman" w:hAnsi="Times New Roman" w:cs="Times New Roman"/>
                      <w:b w:val="0"/>
                      <w:bCs w:val="0"/>
                      <w:color w:val="auto"/>
                      <w:sz w:val="21"/>
                      <w:szCs w:val="21"/>
                      <w:lang w:val="en-US" w:eastAsia="zh-CN"/>
                    </w:rPr>
                    <w:t>1</w:t>
                  </w:r>
                </w:p>
              </w:tc>
              <w:tc>
                <w:tcPr>
                  <w:tcW w:w="442" w:type="dxa"/>
                  <w:vMerge w:val="continue"/>
                  <w:shd w:val="clear" w:color="auto" w:fill="auto"/>
                  <w:noWrap w:val="0"/>
                  <w:vAlign w:val="center"/>
                </w:tcPr>
                <w:p w14:paraId="63D9B1AB">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0"/>
                      <w:sz w:val="21"/>
                      <w:szCs w:val="21"/>
                      <w:lang w:val="en-US" w:eastAsia="zh-CN" w:bidi="ar-SA"/>
                    </w:rPr>
                  </w:pPr>
                </w:p>
              </w:tc>
              <w:tc>
                <w:tcPr>
                  <w:tcW w:w="2919" w:type="dxa"/>
                  <w:vMerge w:val="continue"/>
                  <w:shd w:val="clear" w:color="auto" w:fill="auto"/>
                  <w:noWrap w:val="0"/>
                  <w:vAlign w:val="center"/>
                </w:tcPr>
                <w:p w14:paraId="45F33238">
                  <w:pPr>
                    <w:pStyle w:val="44"/>
                    <w:keepNext/>
                    <w:keepLines/>
                    <w:pageBreakBefore w:val="0"/>
                    <w:widowControl w:val="0"/>
                    <w:suppressLineNumbers w:val="0"/>
                    <w:suppressAutoHyphen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lang w:val="en-US" w:eastAsia="zh-CN" w:bidi="ar-SA"/>
                    </w:rPr>
                  </w:pPr>
                </w:p>
              </w:tc>
            </w:tr>
            <w:tr w14:paraId="267A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noWrap w:val="0"/>
                  <w:vAlign w:val="center"/>
                </w:tcPr>
                <w:p w14:paraId="16C543C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20</w:t>
                  </w:r>
                </w:p>
              </w:tc>
              <w:tc>
                <w:tcPr>
                  <w:tcW w:w="1997" w:type="dxa"/>
                  <w:gridSpan w:val="2"/>
                  <w:shd w:val="clear" w:color="auto" w:fill="auto"/>
                  <w:noWrap w:val="0"/>
                  <w:vAlign w:val="center"/>
                </w:tcPr>
                <w:p w14:paraId="431A333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布袋除尘器</w:t>
                  </w:r>
                </w:p>
              </w:tc>
              <w:tc>
                <w:tcPr>
                  <w:tcW w:w="899" w:type="dxa"/>
                  <w:shd w:val="clear" w:color="auto" w:fill="auto"/>
                  <w:noWrap w:val="0"/>
                  <w:vAlign w:val="center"/>
                </w:tcPr>
                <w:p w14:paraId="479EF9DF">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43E4ED6F">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台</w:t>
                  </w:r>
                </w:p>
              </w:tc>
              <w:tc>
                <w:tcPr>
                  <w:tcW w:w="756" w:type="dxa"/>
                  <w:shd w:val="clear" w:color="auto" w:fill="auto"/>
                  <w:noWrap w:val="0"/>
                  <w:vAlign w:val="center"/>
                </w:tcPr>
                <w:p w14:paraId="43209BE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color w:val="000000"/>
                      <w:spacing w:val="-10"/>
                      <w:sz w:val="21"/>
                      <w:szCs w:val="21"/>
                      <w:highlight w:val="none"/>
                      <w:lang w:val="en-US" w:eastAsia="zh-CN"/>
                    </w:rPr>
                    <w:t>2</w:t>
                  </w:r>
                </w:p>
              </w:tc>
              <w:tc>
                <w:tcPr>
                  <w:tcW w:w="442" w:type="dxa"/>
                  <w:vMerge w:val="continue"/>
                  <w:shd w:val="clear" w:color="auto" w:fill="auto"/>
                  <w:noWrap w:val="0"/>
                  <w:vAlign w:val="center"/>
                </w:tcPr>
                <w:p w14:paraId="067E708D">
                  <w:pPr>
                    <w:pStyle w:val="44"/>
                    <w:keepNext/>
                    <w:keepLines/>
                    <w:pageBreakBefore w:val="0"/>
                    <w:widowControl w:val="0"/>
                    <w:suppressLineNumbers w:val="0"/>
                    <w:suppressAutoHyphen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8"/>
                      <w:kern w:val="2"/>
                      <w:sz w:val="21"/>
                      <w:szCs w:val="21"/>
                      <w:highlight w:val="none"/>
                      <w:lang w:val="en-US" w:eastAsia="zh-CN" w:bidi="ar-SA"/>
                    </w:rPr>
                  </w:pPr>
                </w:p>
              </w:tc>
              <w:tc>
                <w:tcPr>
                  <w:tcW w:w="2919" w:type="dxa"/>
                  <w:vMerge w:val="continue"/>
                  <w:shd w:val="clear" w:color="auto" w:fill="auto"/>
                  <w:noWrap w:val="0"/>
                  <w:vAlign w:val="center"/>
                </w:tcPr>
                <w:p w14:paraId="0EC3D1D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p>
              </w:tc>
            </w:tr>
            <w:tr w14:paraId="3CC8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05" w:type="dxa"/>
                  <w:gridSpan w:val="8"/>
                  <w:shd w:val="clear" w:color="auto" w:fill="A4A4A4" w:themeFill="background1" w:themeFillShade="A5"/>
                  <w:noWrap w:val="0"/>
                  <w:vAlign w:val="center"/>
                </w:tcPr>
                <w:p w14:paraId="72729434">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default" w:ascii="Times New Roman" w:hAnsi="Times New Roman" w:eastAsia="宋体" w:cs="Times New Roman"/>
                      <w:b/>
                      <w:bCs/>
                      <w:sz w:val="21"/>
                      <w:szCs w:val="21"/>
                      <w:vertAlign w:val="baseline"/>
                      <w:lang w:val="en-US" w:eastAsia="zh-CN"/>
                    </w:rPr>
                    <w:t>高硼硅玻璃制品所需主要生产设备</w:t>
                  </w:r>
                </w:p>
              </w:tc>
            </w:tr>
            <w:tr w14:paraId="7701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A317B7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w:t>
                  </w:r>
                </w:p>
              </w:tc>
              <w:tc>
                <w:tcPr>
                  <w:tcW w:w="1997" w:type="dxa"/>
                  <w:gridSpan w:val="2"/>
                  <w:shd w:val="clear" w:color="auto" w:fill="auto"/>
                  <w:noWrap w:val="0"/>
                  <w:vAlign w:val="center"/>
                </w:tcPr>
                <w:p w14:paraId="6D7B7C7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行车</w:t>
                  </w:r>
                </w:p>
              </w:tc>
              <w:tc>
                <w:tcPr>
                  <w:tcW w:w="899" w:type="dxa"/>
                  <w:shd w:val="clear" w:color="auto" w:fill="auto"/>
                  <w:noWrap w:val="0"/>
                  <w:vAlign w:val="center"/>
                </w:tcPr>
                <w:p w14:paraId="0AEF85E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3"/>
                      <w:kern w:val="2"/>
                      <w:sz w:val="21"/>
                      <w:szCs w:val="21"/>
                      <w:highlight w:val="none"/>
                      <w:lang w:val="en-US" w:eastAsia="zh-CN" w:bidi="ar-SA"/>
                    </w:rPr>
                  </w:pPr>
                  <w:r>
                    <w:rPr>
                      <w:rFonts w:hint="eastAsia" w:ascii="Times New Roman" w:hAnsi="Times New Roman" w:cs="Times New Roman"/>
                      <w:color w:val="000000"/>
                      <w:spacing w:val="3"/>
                      <w:sz w:val="21"/>
                      <w:szCs w:val="21"/>
                      <w:highlight w:val="none"/>
                      <w:lang w:val="en-US" w:eastAsia="zh-CN"/>
                    </w:rPr>
                    <w:t>/</w:t>
                  </w:r>
                </w:p>
              </w:tc>
              <w:tc>
                <w:tcPr>
                  <w:tcW w:w="656" w:type="dxa"/>
                  <w:shd w:val="clear" w:color="auto" w:fill="auto"/>
                  <w:noWrap w:val="0"/>
                  <w:vAlign w:val="center"/>
                </w:tcPr>
                <w:p w14:paraId="35E0381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50427F3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10"/>
                      <w:kern w:val="2"/>
                      <w:sz w:val="21"/>
                      <w:szCs w:val="21"/>
                      <w:highlight w:val="none"/>
                      <w:lang w:val="en-US" w:eastAsia="zh-CN" w:bidi="ar-SA"/>
                    </w:rPr>
                  </w:pPr>
                  <w:r>
                    <w:rPr>
                      <w:rFonts w:hint="eastAsia" w:ascii="Times New Roman" w:hAnsi="Times New Roman" w:cs="Times New Roman"/>
                      <w:color w:val="000000"/>
                      <w:spacing w:val="-10"/>
                      <w:sz w:val="21"/>
                      <w:szCs w:val="21"/>
                      <w:highlight w:val="none"/>
                      <w:lang w:val="en-US" w:eastAsia="zh-CN"/>
                    </w:rPr>
                    <w:t>4</w:t>
                  </w:r>
                </w:p>
              </w:tc>
              <w:tc>
                <w:tcPr>
                  <w:tcW w:w="442" w:type="dxa"/>
                  <w:vMerge w:val="restart"/>
                  <w:shd w:val="clear" w:color="auto" w:fill="auto"/>
                  <w:noWrap w:val="0"/>
                  <w:vAlign w:val="center"/>
                </w:tcPr>
                <w:p w14:paraId="6103ED1B">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3#生产车间</w:t>
                  </w:r>
                </w:p>
                <w:p w14:paraId="3C02272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0"/>
                      <w:sz w:val="21"/>
                      <w:szCs w:val="21"/>
                      <w:lang w:val="en-US" w:eastAsia="zh-CN" w:bidi="ar-SA"/>
                    </w:rPr>
                  </w:pPr>
                </w:p>
                <w:p w14:paraId="226E0B7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2919" w:type="dxa"/>
                  <w:vMerge w:val="restart"/>
                  <w:shd w:val="clear" w:color="auto" w:fill="auto"/>
                  <w:noWrap w:val="0"/>
                  <w:vAlign w:val="center"/>
                </w:tcPr>
                <w:p w14:paraId="7C476AAF">
                  <w:pPr>
                    <w:pStyle w:val="44"/>
                    <w:keepNext/>
                    <w:keepLines/>
                    <w:pageBreakBefore w:val="0"/>
                    <w:widowControl w:val="0"/>
                    <w:suppressLineNumbers w:val="0"/>
                    <w:suppressAutoHyphen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cs="Times New Roman"/>
                      <w:color w:val="000000"/>
                      <w:sz w:val="21"/>
                      <w:szCs w:val="21"/>
                      <w:highlight w:val="none"/>
                      <w:lang w:val="en-US" w:eastAsia="zh-CN"/>
                    </w:rPr>
                    <w:t>*</w:t>
                  </w:r>
                </w:p>
              </w:tc>
            </w:tr>
            <w:tr w14:paraId="1D84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CCB167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2</w:t>
                  </w:r>
                </w:p>
              </w:tc>
              <w:tc>
                <w:tcPr>
                  <w:tcW w:w="1997" w:type="dxa"/>
                  <w:gridSpan w:val="2"/>
                  <w:shd w:val="clear" w:color="auto" w:fill="auto"/>
                  <w:noWrap w:val="0"/>
                  <w:vAlign w:val="center"/>
                </w:tcPr>
                <w:p w14:paraId="5A8EEA8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料仓</w:t>
                  </w:r>
                </w:p>
              </w:tc>
              <w:tc>
                <w:tcPr>
                  <w:tcW w:w="899" w:type="dxa"/>
                  <w:shd w:val="clear" w:color="auto" w:fill="auto"/>
                  <w:noWrap w:val="0"/>
                  <w:vAlign w:val="center"/>
                </w:tcPr>
                <w:p w14:paraId="3B47355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3"/>
                      <w:kern w:val="2"/>
                      <w:sz w:val="21"/>
                      <w:szCs w:val="21"/>
                      <w:highlight w:val="none"/>
                      <w:lang w:val="en-US" w:eastAsia="en-US" w:bidi="ar-SA"/>
                    </w:rPr>
                  </w:pPr>
                  <w:r>
                    <w:rPr>
                      <w:rFonts w:hint="eastAsia" w:ascii="Times New Roman" w:hAnsi="Times New Roman" w:cs="Times New Roman"/>
                      <w:color w:val="000000"/>
                      <w:spacing w:val="3"/>
                      <w:sz w:val="21"/>
                      <w:szCs w:val="21"/>
                      <w:highlight w:val="none"/>
                      <w:lang w:val="en-US" w:eastAsia="zh-CN"/>
                    </w:rPr>
                    <w:t>/</w:t>
                  </w:r>
                </w:p>
              </w:tc>
              <w:tc>
                <w:tcPr>
                  <w:tcW w:w="656" w:type="dxa"/>
                  <w:shd w:val="clear" w:color="auto" w:fill="auto"/>
                  <w:noWrap w:val="0"/>
                  <w:vAlign w:val="center"/>
                </w:tcPr>
                <w:p w14:paraId="679F66E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个</w:t>
                  </w:r>
                </w:p>
              </w:tc>
              <w:tc>
                <w:tcPr>
                  <w:tcW w:w="756" w:type="dxa"/>
                  <w:shd w:val="clear" w:color="auto" w:fill="auto"/>
                  <w:noWrap w:val="0"/>
                  <w:vAlign w:val="center"/>
                </w:tcPr>
                <w:p w14:paraId="057335F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10"/>
                      <w:kern w:val="2"/>
                      <w:sz w:val="21"/>
                      <w:szCs w:val="21"/>
                      <w:highlight w:val="none"/>
                      <w:lang w:val="en-US" w:eastAsia="zh-CN" w:bidi="ar-SA"/>
                    </w:rPr>
                  </w:pPr>
                  <w:r>
                    <w:rPr>
                      <w:rFonts w:hint="eastAsia" w:ascii="Times New Roman" w:hAnsi="Times New Roman" w:cs="Times New Roman"/>
                      <w:color w:val="000000"/>
                      <w:spacing w:val="-10"/>
                      <w:sz w:val="21"/>
                      <w:szCs w:val="21"/>
                      <w:highlight w:val="none"/>
                      <w:lang w:val="en-US" w:eastAsia="zh-CN"/>
                    </w:rPr>
                    <w:t>5</w:t>
                  </w:r>
                </w:p>
              </w:tc>
              <w:tc>
                <w:tcPr>
                  <w:tcW w:w="442" w:type="dxa"/>
                  <w:vMerge w:val="continue"/>
                  <w:shd w:val="clear" w:color="auto" w:fill="auto"/>
                  <w:noWrap w:val="0"/>
                  <w:vAlign w:val="center"/>
                </w:tcPr>
                <w:p w14:paraId="299093E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shd w:val="clear" w:color="auto" w:fill="auto"/>
                  <w:noWrap w:val="0"/>
                  <w:vAlign w:val="center"/>
                </w:tcPr>
                <w:p w14:paraId="0A8862E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p>
              </w:tc>
            </w:tr>
            <w:tr w14:paraId="420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A1278F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3</w:t>
                  </w:r>
                </w:p>
              </w:tc>
              <w:tc>
                <w:tcPr>
                  <w:tcW w:w="1997" w:type="dxa"/>
                  <w:gridSpan w:val="2"/>
                  <w:shd w:val="clear" w:color="auto" w:fill="auto"/>
                  <w:noWrap w:val="0"/>
                  <w:vAlign w:val="center"/>
                </w:tcPr>
                <w:p w14:paraId="14AC3C7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6"/>
                      <w:sz w:val="21"/>
                      <w:szCs w:val="21"/>
                      <w:highlight w:val="none"/>
                    </w:rPr>
                    <w:t>配料</w:t>
                  </w:r>
                  <w:r>
                    <w:rPr>
                      <w:rFonts w:hint="eastAsia" w:ascii="Times New Roman" w:hAnsi="Times New Roman" w:cs="Times New Roman"/>
                      <w:color w:val="000000"/>
                      <w:spacing w:val="6"/>
                      <w:sz w:val="21"/>
                      <w:szCs w:val="21"/>
                      <w:highlight w:val="none"/>
                      <w:lang w:val="en-US" w:eastAsia="zh-CN"/>
                    </w:rPr>
                    <w:t>设备</w:t>
                  </w:r>
                </w:p>
              </w:tc>
              <w:tc>
                <w:tcPr>
                  <w:tcW w:w="899" w:type="dxa"/>
                  <w:shd w:val="clear" w:color="auto" w:fill="auto"/>
                  <w:noWrap w:val="0"/>
                  <w:vAlign w:val="center"/>
                </w:tcPr>
                <w:p w14:paraId="7061E89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color w:val="000000"/>
                      <w:spacing w:val="3"/>
                      <w:sz w:val="21"/>
                      <w:szCs w:val="21"/>
                      <w:highlight w:val="none"/>
                    </w:rPr>
                    <w:t>非标</w:t>
                  </w:r>
                </w:p>
              </w:tc>
              <w:tc>
                <w:tcPr>
                  <w:tcW w:w="656" w:type="dxa"/>
                  <w:shd w:val="clear" w:color="auto" w:fill="auto"/>
                  <w:noWrap w:val="0"/>
                  <w:vAlign w:val="center"/>
                </w:tcPr>
                <w:p w14:paraId="08835D6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27A9482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shd w:val="clear" w:color="auto" w:fill="auto"/>
                  <w:noWrap w:val="0"/>
                  <w:vAlign w:val="center"/>
                </w:tcPr>
                <w:p w14:paraId="33612A8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shd w:val="clear" w:color="auto" w:fill="auto"/>
                  <w:noWrap w:val="0"/>
                  <w:vAlign w:val="center"/>
                </w:tcPr>
                <w:p w14:paraId="0C2A482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0479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235535F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4</w:t>
                  </w:r>
                </w:p>
              </w:tc>
              <w:tc>
                <w:tcPr>
                  <w:tcW w:w="1997" w:type="dxa"/>
                  <w:gridSpan w:val="2"/>
                  <w:shd w:val="clear" w:color="auto" w:fill="auto"/>
                  <w:noWrap w:val="0"/>
                  <w:vAlign w:val="center"/>
                </w:tcPr>
                <w:p w14:paraId="5A3E5F5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提升机</w:t>
                  </w:r>
                </w:p>
              </w:tc>
              <w:tc>
                <w:tcPr>
                  <w:tcW w:w="899" w:type="dxa"/>
                  <w:shd w:val="clear" w:color="auto" w:fill="auto"/>
                  <w:noWrap w:val="0"/>
                  <w:vAlign w:val="center"/>
                </w:tcPr>
                <w:p w14:paraId="33E9CDA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3"/>
                      <w:kern w:val="2"/>
                      <w:sz w:val="21"/>
                      <w:szCs w:val="21"/>
                      <w:highlight w:val="none"/>
                      <w:lang w:val="en-US" w:eastAsia="en-US" w:bidi="ar-SA"/>
                    </w:rPr>
                  </w:pPr>
                  <w:r>
                    <w:rPr>
                      <w:rFonts w:hint="eastAsia" w:ascii="Times New Roman" w:hAnsi="Times New Roman" w:cs="Times New Roman"/>
                      <w:color w:val="000000"/>
                      <w:spacing w:val="3"/>
                      <w:sz w:val="21"/>
                      <w:szCs w:val="21"/>
                      <w:highlight w:val="none"/>
                      <w:lang w:val="en-US" w:eastAsia="zh-CN"/>
                    </w:rPr>
                    <w:t>/</w:t>
                  </w:r>
                </w:p>
              </w:tc>
              <w:tc>
                <w:tcPr>
                  <w:tcW w:w="656" w:type="dxa"/>
                  <w:shd w:val="clear" w:color="auto" w:fill="auto"/>
                  <w:noWrap w:val="0"/>
                  <w:vAlign w:val="center"/>
                </w:tcPr>
                <w:p w14:paraId="582BF56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70D29D8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10"/>
                      <w:kern w:val="2"/>
                      <w:sz w:val="21"/>
                      <w:szCs w:val="21"/>
                      <w:highlight w:val="none"/>
                      <w:lang w:val="en-US" w:eastAsia="zh-CN" w:bidi="ar-SA"/>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shd w:val="clear" w:color="auto" w:fill="auto"/>
                  <w:noWrap w:val="0"/>
                  <w:vAlign w:val="center"/>
                </w:tcPr>
                <w:p w14:paraId="7C34C342">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shd w:val="clear" w:color="auto" w:fill="auto"/>
                  <w:noWrap w:val="0"/>
                  <w:vAlign w:val="center"/>
                </w:tcPr>
                <w:p w14:paraId="7DE4EF2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52ED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DDFC67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5</w:t>
                  </w:r>
                </w:p>
              </w:tc>
              <w:tc>
                <w:tcPr>
                  <w:tcW w:w="1997" w:type="dxa"/>
                  <w:gridSpan w:val="2"/>
                  <w:shd w:val="clear" w:color="auto" w:fill="auto"/>
                  <w:noWrap w:val="0"/>
                  <w:vAlign w:val="center"/>
                </w:tcPr>
                <w:p w14:paraId="178626E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原料暂存仓</w:t>
                  </w:r>
                </w:p>
              </w:tc>
              <w:tc>
                <w:tcPr>
                  <w:tcW w:w="899" w:type="dxa"/>
                  <w:shd w:val="clear" w:color="auto" w:fill="auto"/>
                  <w:noWrap w:val="0"/>
                  <w:vAlign w:val="center"/>
                </w:tcPr>
                <w:p w14:paraId="46D860A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3"/>
                      <w:kern w:val="2"/>
                      <w:sz w:val="21"/>
                      <w:szCs w:val="21"/>
                      <w:highlight w:val="none"/>
                      <w:lang w:val="en-US" w:eastAsia="zh-CN" w:bidi="ar-SA"/>
                    </w:rPr>
                  </w:pPr>
                  <w:r>
                    <w:rPr>
                      <w:rFonts w:hint="eastAsia" w:ascii="Times New Roman" w:hAnsi="Times New Roman" w:cs="Times New Roman"/>
                      <w:color w:val="000000"/>
                      <w:spacing w:val="3"/>
                      <w:sz w:val="21"/>
                      <w:szCs w:val="21"/>
                      <w:highlight w:val="none"/>
                      <w:lang w:val="en-US" w:eastAsia="zh-CN"/>
                    </w:rPr>
                    <w:t>/</w:t>
                  </w:r>
                </w:p>
              </w:tc>
              <w:tc>
                <w:tcPr>
                  <w:tcW w:w="656" w:type="dxa"/>
                  <w:shd w:val="clear" w:color="auto" w:fill="auto"/>
                  <w:noWrap w:val="0"/>
                  <w:vAlign w:val="center"/>
                </w:tcPr>
                <w:p w14:paraId="548686E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个</w:t>
                  </w:r>
                </w:p>
              </w:tc>
              <w:tc>
                <w:tcPr>
                  <w:tcW w:w="756" w:type="dxa"/>
                  <w:shd w:val="clear" w:color="auto" w:fill="auto"/>
                  <w:noWrap w:val="0"/>
                  <w:vAlign w:val="center"/>
                </w:tcPr>
                <w:p w14:paraId="341E7E4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10"/>
                      <w:kern w:val="2"/>
                      <w:sz w:val="21"/>
                      <w:szCs w:val="21"/>
                      <w:highlight w:val="none"/>
                      <w:lang w:val="en-US" w:eastAsia="zh-CN" w:bidi="ar-SA"/>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shd w:val="clear" w:color="auto" w:fill="auto"/>
                  <w:noWrap w:val="0"/>
                  <w:vAlign w:val="center"/>
                </w:tcPr>
                <w:p w14:paraId="704D259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shd w:val="clear" w:color="auto" w:fill="auto"/>
                  <w:noWrap w:val="0"/>
                  <w:vAlign w:val="center"/>
                </w:tcPr>
                <w:p w14:paraId="77F73D6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76C6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2CE0FC4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6</w:t>
                  </w:r>
                </w:p>
              </w:tc>
              <w:tc>
                <w:tcPr>
                  <w:tcW w:w="1997" w:type="dxa"/>
                  <w:gridSpan w:val="2"/>
                  <w:shd w:val="clear" w:color="auto" w:fill="auto"/>
                  <w:noWrap w:val="0"/>
                  <w:vAlign w:val="center"/>
                </w:tcPr>
                <w:p w14:paraId="44468B4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eastAsia" w:ascii="Times New Roman" w:hAnsi="Times New Roman" w:cs="Times New Roman"/>
                      <w:color w:val="000000"/>
                      <w:spacing w:val="6"/>
                      <w:sz w:val="21"/>
                      <w:szCs w:val="21"/>
                      <w:highlight w:val="none"/>
                      <w:lang w:val="en-US" w:eastAsia="zh-CN"/>
                    </w:rPr>
                    <w:t>自动布料机</w:t>
                  </w:r>
                </w:p>
              </w:tc>
              <w:tc>
                <w:tcPr>
                  <w:tcW w:w="899" w:type="dxa"/>
                  <w:shd w:val="clear" w:color="auto" w:fill="auto"/>
                  <w:noWrap w:val="0"/>
                  <w:vAlign w:val="center"/>
                </w:tcPr>
                <w:p w14:paraId="5D306C4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3"/>
                      <w:kern w:val="2"/>
                      <w:sz w:val="21"/>
                      <w:szCs w:val="21"/>
                      <w:highlight w:val="none"/>
                      <w:lang w:val="en-US" w:eastAsia="zh-CN" w:bidi="ar-SA"/>
                    </w:rPr>
                  </w:pPr>
                  <w:r>
                    <w:rPr>
                      <w:rFonts w:hint="eastAsia" w:ascii="Times New Roman" w:hAnsi="Times New Roman" w:cs="Times New Roman"/>
                      <w:color w:val="000000"/>
                      <w:spacing w:val="3"/>
                      <w:sz w:val="21"/>
                      <w:szCs w:val="21"/>
                      <w:highlight w:val="none"/>
                      <w:lang w:val="en-US" w:eastAsia="zh-CN"/>
                    </w:rPr>
                    <w:t>/</w:t>
                  </w:r>
                </w:p>
              </w:tc>
              <w:tc>
                <w:tcPr>
                  <w:tcW w:w="656" w:type="dxa"/>
                  <w:shd w:val="clear" w:color="auto" w:fill="auto"/>
                  <w:noWrap w:val="0"/>
                  <w:vAlign w:val="center"/>
                </w:tcPr>
                <w:p w14:paraId="5FD7482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cs="Times New Roman"/>
                      <w:color w:val="000000"/>
                      <w:spacing w:val="6"/>
                      <w:sz w:val="21"/>
                      <w:szCs w:val="21"/>
                      <w:highlight w:val="none"/>
                      <w:lang w:val="en-US" w:eastAsia="zh-CN"/>
                    </w:rPr>
                    <w:t>台</w:t>
                  </w:r>
                </w:p>
              </w:tc>
              <w:tc>
                <w:tcPr>
                  <w:tcW w:w="756" w:type="dxa"/>
                  <w:shd w:val="clear" w:color="auto" w:fill="auto"/>
                  <w:noWrap w:val="0"/>
                  <w:vAlign w:val="center"/>
                </w:tcPr>
                <w:p w14:paraId="66AA415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10"/>
                      <w:kern w:val="2"/>
                      <w:sz w:val="21"/>
                      <w:szCs w:val="21"/>
                      <w:highlight w:val="none"/>
                      <w:lang w:val="en-US" w:eastAsia="zh-CN" w:bidi="ar-SA"/>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shd w:val="clear" w:color="auto" w:fill="auto"/>
                  <w:noWrap w:val="0"/>
                  <w:vAlign w:val="center"/>
                </w:tcPr>
                <w:p w14:paraId="686461CE">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shd w:val="clear" w:color="auto" w:fill="auto"/>
                  <w:noWrap w:val="0"/>
                  <w:vAlign w:val="center"/>
                </w:tcPr>
                <w:p w14:paraId="7E00EFD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05BF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78C29A9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7</w:t>
                  </w:r>
                </w:p>
              </w:tc>
              <w:tc>
                <w:tcPr>
                  <w:tcW w:w="1997" w:type="dxa"/>
                  <w:gridSpan w:val="2"/>
                  <w:shd w:val="clear" w:color="auto" w:fill="auto"/>
                  <w:noWrap w:val="0"/>
                  <w:vAlign w:val="center"/>
                </w:tcPr>
                <w:p w14:paraId="2DE0C1E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color w:val="000000"/>
                      <w:spacing w:val="-2"/>
                      <w:sz w:val="21"/>
                      <w:szCs w:val="21"/>
                      <w:highlight w:val="none"/>
                      <w:lang w:eastAsia="zh-CN"/>
                    </w:rPr>
                    <w:t>电熔窑</w:t>
                  </w:r>
                </w:p>
              </w:tc>
              <w:tc>
                <w:tcPr>
                  <w:tcW w:w="899" w:type="dxa"/>
                  <w:shd w:val="clear" w:color="auto" w:fill="auto"/>
                  <w:noWrap w:val="0"/>
                  <w:vAlign w:val="center"/>
                </w:tcPr>
                <w:p w14:paraId="455FB31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cs="Times New Roman"/>
                      <w:color w:val="000000"/>
                      <w:spacing w:val="4"/>
                      <w:sz w:val="21"/>
                      <w:szCs w:val="21"/>
                      <w:highlight w:val="none"/>
                      <w:lang w:val="en-US" w:eastAsia="zh-CN"/>
                    </w:rPr>
                    <w:t>2</w:t>
                  </w:r>
                  <w:r>
                    <w:rPr>
                      <w:rFonts w:hint="default" w:ascii="Times New Roman" w:hAnsi="Times New Roman" w:cs="Times New Roman"/>
                      <w:color w:val="000000"/>
                      <w:spacing w:val="4"/>
                      <w:sz w:val="21"/>
                      <w:szCs w:val="21"/>
                      <w:highlight w:val="none"/>
                    </w:rPr>
                    <w:t>t/d</w:t>
                  </w:r>
                </w:p>
              </w:tc>
              <w:tc>
                <w:tcPr>
                  <w:tcW w:w="656" w:type="dxa"/>
                  <w:shd w:val="clear" w:color="auto" w:fill="auto"/>
                  <w:noWrap w:val="0"/>
                  <w:vAlign w:val="center"/>
                </w:tcPr>
                <w:p w14:paraId="3D19023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6FBD604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030C7B9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shd w:val="clear" w:color="auto" w:fill="auto"/>
                  <w:noWrap w:val="0"/>
                  <w:vAlign w:val="center"/>
                </w:tcPr>
                <w:p w14:paraId="1F16EDC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3B2B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32EE7E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8</w:t>
                  </w:r>
                </w:p>
              </w:tc>
              <w:tc>
                <w:tcPr>
                  <w:tcW w:w="812" w:type="dxa"/>
                  <w:vMerge w:val="restart"/>
                  <w:shd w:val="clear" w:color="auto" w:fill="auto"/>
                  <w:noWrap w:val="0"/>
                  <w:vAlign w:val="center"/>
                </w:tcPr>
                <w:p w14:paraId="7B4AFFF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r>
                    <w:rPr>
                      <w:rFonts w:hint="default" w:ascii="Times New Roman" w:hAnsi="Times New Roman" w:cs="Times New Roman"/>
                      <w:spacing w:val="8"/>
                      <w:sz w:val="21"/>
                      <w:szCs w:val="21"/>
                      <w:lang w:eastAsia="zh-CN"/>
                    </w:rPr>
                    <w:t>玻璃成型系统</w:t>
                  </w:r>
                </w:p>
              </w:tc>
              <w:tc>
                <w:tcPr>
                  <w:tcW w:w="1185" w:type="dxa"/>
                  <w:shd w:val="clear" w:color="auto" w:fill="auto"/>
                  <w:noWrap w:val="0"/>
                  <w:vAlign w:val="center"/>
                </w:tcPr>
                <w:p w14:paraId="36BCF0A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2"/>
                      <w:kern w:val="2"/>
                      <w:sz w:val="21"/>
                      <w:szCs w:val="21"/>
                      <w:highlight w:val="none"/>
                      <w:lang w:val="en-US" w:eastAsia="zh-CN" w:bidi="ar-SA"/>
                    </w:rPr>
                  </w:pPr>
                  <w:r>
                    <w:rPr>
                      <w:rFonts w:hint="eastAsia" w:ascii="Times New Roman" w:hAnsi="Times New Roman" w:cs="Times New Roman"/>
                      <w:color w:val="000000"/>
                      <w:spacing w:val="-2"/>
                      <w:sz w:val="21"/>
                      <w:szCs w:val="21"/>
                      <w:highlight w:val="none"/>
                      <w:lang w:val="en-US" w:eastAsia="zh-CN"/>
                    </w:rPr>
                    <w:t>火焰抛光设备</w:t>
                  </w:r>
                </w:p>
              </w:tc>
              <w:tc>
                <w:tcPr>
                  <w:tcW w:w="899" w:type="dxa"/>
                  <w:shd w:val="clear" w:color="auto" w:fill="auto"/>
                  <w:noWrap w:val="0"/>
                  <w:vAlign w:val="center"/>
                </w:tcPr>
                <w:p w14:paraId="775EDA3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4"/>
                      <w:kern w:val="2"/>
                      <w:sz w:val="21"/>
                      <w:szCs w:val="21"/>
                      <w:highlight w:val="none"/>
                      <w:lang w:val="en-US" w:eastAsia="zh-CN" w:bidi="ar-SA"/>
                    </w:rPr>
                  </w:pPr>
                  <w:r>
                    <w:rPr>
                      <w:rFonts w:hint="eastAsia" w:ascii="Times New Roman" w:hAnsi="Times New Roman" w:cs="Times New Roman"/>
                      <w:color w:val="000000"/>
                      <w:spacing w:val="3"/>
                      <w:sz w:val="21"/>
                      <w:szCs w:val="21"/>
                      <w:highlight w:val="none"/>
                      <w:lang w:val="en-US" w:eastAsia="zh-CN"/>
                    </w:rPr>
                    <w:t>/</w:t>
                  </w:r>
                </w:p>
              </w:tc>
              <w:tc>
                <w:tcPr>
                  <w:tcW w:w="656" w:type="dxa"/>
                  <w:shd w:val="clear" w:color="auto" w:fill="auto"/>
                  <w:noWrap w:val="0"/>
                  <w:vAlign w:val="center"/>
                </w:tcPr>
                <w:p w14:paraId="7B84381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59A1641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0D6D6EA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0"/>
                      <w:sz w:val="21"/>
                      <w:szCs w:val="21"/>
                      <w:vertAlign w:val="baseline"/>
                      <w:lang w:val="en-US" w:eastAsia="zh-CN" w:bidi="ar-SA"/>
                    </w:rPr>
                  </w:pPr>
                </w:p>
              </w:tc>
              <w:tc>
                <w:tcPr>
                  <w:tcW w:w="2919" w:type="dxa"/>
                  <w:vMerge w:val="continue"/>
                  <w:shd w:val="clear" w:color="auto" w:fill="auto"/>
                  <w:noWrap w:val="0"/>
                  <w:vAlign w:val="center"/>
                </w:tcPr>
                <w:p w14:paraId="7EABA02D">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1E9D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862586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9</w:t>
                  </w:r>
                </w:p>
              </w:tc>
              <w:tc>
                <w:tcPr>
                  <w:tcW w:w="812" w:type="dxa"/>
                  <w:vMerge w:val="continue"/>
                  <w:shd w:val="clear" w:color="auto" w:fill="auto"/>
                  <w:noWrap w:val="0"/>
                  <w:vAlign w:val="center"/>
                </w:tcPr>
                <w:p w14:paraId="4C62D8A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rPr>
                  </w:pPr>
                </w:p>
              </w:tc>
              <w:tc>
                <w:tcPr>
                  <w:tcW w:w="1185" w:type="dxa"/>
                  <w:shd w:val="clear" w:color="auto" w:fill="auto"/>
                  <w:noWrap w:val="0"/>
                  <w:vAlign w:val="center"/>
                </w:tcPr>
                <w:p w14:paraId="62D646F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kern w:val="2"/>
                      <w:sz w:val="21"/>
                      <w:szCs w:val="21"/>
                      <w:highlight w:val="none"/>
                      <w:lang w:val="en-US" w:eastAsia="zh-CN" w:bidi="ar-SA"/>
                    </w:rPr>
                  </w:pPr>
                  <w:r>
                    <w:rPr>
                      <w:rFonts w:hint="eastAsia" w:ascii="Times New Roman" w:hAnsi="Times New Roman" w:cs="Times New Roman"/>
                      <w:color w:val="auto"/>
                      <w:spacing w:val="8"/>
                      <w:sz w:val="21"/>
                      <w:szCs w:val="21"/>
                      <w:highlight w:val="none"/>
                      <w:lang w:val="en-US" w:eastAsia="zh-CN"/>
                    </w:rPr>
                    <w:t>成型设备</w:t>
                  </w:r>
                </w:p>
              </w:tc>
              <w:tc>
                <w:tcPr>
                  <w:tcW w:w="899" w:type="dxa"/>
                  <w:shd w:val="clear" w:color="auto" w:fill="auto"/>
                  <w:noWrap w:val="0"/>
                  <w:vAlign w:val="center"/>
                </w:tcPr>
                <w:p w14:paraId="64F8038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highlight w:val="none"/>
                      <w:lang w:val="en-US" w:eastAsia="zh-CN" w:bidi="ar-SA"/>
                    </w:rPr>
                  </w:pPr>
                  <w:r>
                    <w:rPr>
                      <w:rFonts w:hint="default" w:ascii="Times New Roman" w:hAnsi="Times New Roman" w:cs="Times New Roman"/>
                      <w:color w:val="auto"/>
                      <w:spacing w:val="3"/>
                      <w:sz w:val="21"/>
                      <w:szCs w:val="21"/>
                      <w:highlight w:val="none"/>
                      <w:lang w:eastAsia="zh-CN"/>
                    </w:rPr>
                    <w:t>非标</w:t>
                  </w:r>
                </w:p>
              </w:tc>
              <w:tc>
                <w:tcPr>
                  <w:tcW w:w="656" w:type="dxa"/>
                  <w:shd w:val="clear" w:color="auto" w:fill="auto"/>
                  <w:noWrap w:val="0"/>
                  <w:vAlign w:val="center"/>
                </w:tcPr>
                <w:p w14:paraId="508E48B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6"/>
                      <w:kern w:val="2"/>
                      <w:sz w:val="21"/>
                      <w:szCs w:val="21"/>
                      <w:highlight w:val="none"/>
                      <w:lang w:val="en-US" w:eastAsia="zh-CN" w:bidi="ar-SA"/>
                    </w:rPr>
                  </w:pPr>
                  <w:r>
                    <w:rPr>
                      <w:rFonts w:hint="default" w:ascii="Times New Roman" w:hAnsi="Times New Roman" w:cs="Times New Roman"/>
                      <w:color w:val="auto"/>
                      <w:spacing w:val="6"/>
                      <w:sz w:val="21"/>
                      <w:szCs w:val="21"/>
                      <w:highlight w:val="none"/>
                      <w:lang w:val="en-US" w:eastAsia="zh-CN"/>
                    </w:rPr>
                    <w:t>套</w:t>
                  </w:r>
                </w:p>
              </w:tc>
              <w:tc>
                <w:tcPr>
                  <w:tcW w:w="756" w:type="dxa"/>
                  <w:shd w:val="clear" w:color="auto" w:fill="auto"/>
                  <w:noWrap w:val="0"/>
                  <w:vAlign w:val="center"/>
                </w:tcPr>
                <w:p w14:paraId="6EA4980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w:t>
                  </w:r>
                </w:p>
              </w:tc>
              <w:tc>
                <w:tcPr>
                  <w:tcW w:w="442" w:type="dxa"/>
                  <w:vMerge w:val="continue"/>
                  <w:shd w:val="clear" w:color="auto" w:fill="auto"/>
                  <w:noWrap w:val="0"/>
                  <w:vAlign w:val="center"/>
                </w:tcPr>
                <w:p w14:paraId="339C37E9">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FF"/>
                      <w:sz w:val="21"/>
                      <w:szCs w:val="21"/>
                      <w:highlight w:val="none"/>
                      <w:lang w:val="en-US" w:eastAsia="zh-CN"/>
                    </w:rPr>
                  </w:pPr>
                </w:p>
              </w:tc>
              <w:tc>
                <w:tcPr>
                  <w:tcW w:w="2919" w:type="dxa"/>
                  <w:vMerge w:val="continue"/>
                  <w:shd w:val="clear" w:color="auto" w:fill="auto"/>
                  <w:noWrap w:val="0"/>
                  <w:vAlign w:val="center"/>
                </w:tcPr>
                <w:p w14:paraId="0E1C2F7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FF"/>
                      <w:kern w:val="0"/>
                      <w:sz w:val="21"/>
                      <w:szCs w:val="21"/>
                      <w:highlight w:val="none"/>
                      <w:lang w:val="en-US" w:eastAsia="zh-CN" w:bidi="ar-SA"/>
                    </w:rPr>
                  </w:pPr>
                </w:p>
              </w:tc>
            </w:tr>
            <w:tr w14:paraId="7E36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37EB86D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10</w:t>
                  </w:r>
                </w:p>
              </w:tc>
              <w:tc>
                <w:tcPr>
                  <w:tcW w:w="1997" w:type="dxa"/>
                  <w:gridSpan w:val="2"/>
                  <w:shd w:val="clear" w:color="auto" w:fill="auto"/>
                  <w:noWrap w:val="0"/>
                  <w:vAlign w:val="center"/>
                </w:tcPr>
                <w:p w14:paraId="01F40AB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8"/>
                      <w:kern w:val="2"/>
                      <w:sz w:val="21"/>
                      <w:szCs w:val="21"/>
                      <w:highlight w:val="none"/>
                      <w:lang w:val="en-US" w:eastAsia="zh-CN" w:bidi="ar-SA"/>
                    </w:rPr>
                  </w:pPr>
                  <w:r>
                    <w:rPr>
                      <w:rFonts w:hint="default" w:ascii="Times New Roman" w:hAnsi="Times New Roman" w:cs="Times New Roman"/>
                      <w:color w:val="000000"/>
                      <w:spacing w:val="7"/>
                      <w:sz w:val="21"/>
                      <w:szCs w:val="21"/>
                      <w:highlight w:val="none"/>
                      <w:lang w:eastAsia="zh-CN"/>
                    </w:rPr>
                    <w:t>退火窑</w:t>
                  </w:r>
                </w:p>
              </w:tc>
              <w:tc>
                <w:tcPr>
                  <w:tcW w:w="899" w:type="dxa"/>
                  <w:shd w:val="clear" w:color="auto" w:fill="auto"/>
                  <w:noWrap w:val="0"/>
                  <w:vAlign w:val="center"/>
                </w:tcPr>
                <w:p w14:paraId="6D1A38A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3"/>
                      <w:kern w:val="2"/>
                      <w:sz w:val="21"/>
                      <w:szCs w:val="21"/>
                      <w:highlight w:val="none"/>
                      <w:lang w:val="en-US" w:eastAsia="zh-CN" w:bidi="ar-SA"/>
                    </w:rPr>
                  </w:pPr>
                  <w:r>
                    <w:rPr>
                      <w:rFonts w:hint="default" w:ascii="Times New Roman" w:hAnsi="Times New Roman" w:cs="Times New Roman"/>
                      <w:color w:val="000000"/>
                      <w:spacing w:val="3"/>
                      <w:sz w:val="21"/>
                      <w:szCs w:val="21"/>
                      <w:highlight w:val="none"/>
                      <w:lang w:eastAsia="zh-CN"/>
                    </w:rPr>
                    <w:t>非标</w:t>
                  </w:r>
                </w:p>
              </w:tc>
              <w:tc>
                <w:tcPr>
                  <w:tcW w:w="656" w:type="dxa"/>
                  <w:shd w:val="clear" w:color="auto" w:fill="auto"/>
                  <w:noWrap w:val="0"/>
                  <w:vAlign w:val="center"/>
                </w:tcPr>
                <w:p w14:paraId="7A4A5F7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5684C89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109FB835">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kern w:val="0"/>
                      <w:sz w:val="21"/>
                      <w:szCs w:val="21"/>
                      <w:highlight w:val="none"/>
                      <w:lang w:val="en-US" w:eastAsia="zh-CN" w:bidi="ar-SA"/>
                    </w:rPr>
                  </w:pPr>
                </w:p>
              </w:tc>
              <w:tc>
                <w:tcPr>
                  <w:tcW w:w="2919" w:type="dxa"/>
                  <w:vMerge w:val="continue"/>
                  <w:shd w:val="clear" w:color="auto" w:fill="auto"/>
                  <w:noWrap w:val="0"/>
                  <w:vAlign w:val="center"/>
                </w:tcPr>
                <w:p w14:paraId="6C61628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21"/>
                      <w:szCs w:val="21"/>
                      <w:vertAlign w:val="baseline"/>
                      <w:lang w:val="en-US" w:eastAsia="zh-CN" w:bidi="ar-SA"/>
                    </w:rPr>
                  </w:pPr>
                </w:p>
              </w:tc>
            </w:tr>
            <w:tr w14:paraId="7744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49C5827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11</w:t>
                  </w:r>
                </w:p>
              </w:tc>
              <w:tc>
                <w:tcPr>
                  <w:tcW w:w="1997" w:type="dxa"/>
                  <w:gridSpan w:val="2"/>
                  <w:shd w:val="clear" w:color="auto" w:fill="auto"/>
                  <w:noWrap w:val="0"/>
                  <w:vAlign w:val="center"/>
                </w:tcPr>
                <w:p w14:paraId="20DB1E3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spacing w:val="6"/>
                      <w:sz w:val="21"/>
                      <w:szCs w:val="21"/>
                      <w:lang w:eastAsia="zh-CN"/>
                    </w:rPr>
                    <w:t>冷却风机</w:t>
                  </w:r>
                </w:p>
              </w:tc>
              <w:tc>
                <w:tcPr>
                  <w:tcW w:w="899" w:type="dxa"/>
                  <w:shd w:val="clear" w:color="auto" w:fill="auto"/>
                  <w:noWrap w:val="0"/>
                  <w:vAlign w:val="center"/>
                </w:tcPr>
                <w:p w14:paraId="60581DD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en-US" w:bidi="ar-SA"/>
                    </w:rPr>
                  </w:pPr>
                  <w:r>
                    <w:rPr>
                      <w:rFonts w:hint="default" w:ascii="Times New Roman" w:hAnsi="Times New Roman" w:cs="Times New Roman"/>
                      <w:spacing w:val="2"/>
                      <w:sz w:val="21"/>
                      <w:szCs w:val="21"/>
                      <w:lang w:eastAsia="zh-CN"/>
                    </w:rPr>
                    <w:t>15</w:t>
                  </w:r>
                  <w:r>
                    <w:rPr>
                      <w:rFonts w:hint="default" w:ascii="Times New Roman" w:hAnsi="Times New Roman" w:cs="Times New Roman"/>
                      <w:sz w:val="21"/>
                      <w:szCs w:val="21"/>
                      <w:lang w:eastAsia="zh-CN"/>
                    </w:rPr>
                    <w:t>kw</w:t>
                  </w:r>
                  <w:r>
                    <w:rPr>
                      <w:rFonts w:hint="default" w:ascii="Times New Roman" w:hAnsi="Times New Roman" w:cs="Times New Roman"/>
                      <w:spacing w:val="2"/>
                      <w:sz w:val="21"/>
                      <w:szCs w:val="21"/>
                      <w:lang w:eastAsia="zh-CN"/>
                    </w:rPr>
                    <w:t>/台</w:t>
                  </w:r>
                </w:p>
              </w:tc>
              <w:tc>
                <w:tcPr>
                  <w:tcW w:w="656" w:type="dxa"/>
                  <w:shd w:val="clear" w:color="auto" w:fill="auto"/>
                  <w:noWrap w:val="0"/>
                  <w:vAlign w:val="center"/>
                </w:tcPr>
                <w:p w14:paraId="09BD71D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zCs w:val="21"/>
                      <w:highlight w:val="none"/>
                    </w:rPr>
                    <w:t>套</w:t>
                  </w:r>
                </w:p>
              </w:tc>
              <w:tc>
                <w:tcPr>
                  <w:tcW w:w="756" w:type="dxa"/>
                  <w:shd w:val="clear" w:color="auto" w:fill="auto"/>
                  <w:noWrap w:val="0"/>
                  <w:vAlign w:val="center"/>
                </w:tcPr>
                <w:p w14:paraId="3D85488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4"/>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5</w:t>
                  </w:r>
                </w:p>
              </w:tc>
              <w:tc>
                <w:tcPr>
                  <w:tcW w:w="442" w:type="dxa"/>
                  <w:vMerge w:val="continue"/>
                  <w:shd w:val="clear" w:color="auto" w:fill="auto"/>
                  <w:noWrap w:val="0"/>
                  <w:vAlign w:val="center"/>
                </w:tcPr>
                <w:p w14:paraId="4A3FB900">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sz w:val="21"/>
                      <w:szCs w:val="21"/>
                      <w:highlight w:val="none"/>
                      <w:lang w:val="en-US" w:eastAsia="zh-CN"/>
                    </w:rPr>
                  </w:pPr>
                </w:p>
              </w:tc>
              <w:tc>
                <w:tcPr>
                  <w:tcW w:w="2919" w:type="dxa"/>
                  <w:vMerge w:val="continue"/>
                  <w:shd w:val="clear" w:color="auto" w:fill="auto"/>
                  <w:noWrap w:val="0"/>
                  <w:vAlign w:val="center"/>
                </w:tcPr>
                <w:p w14:paraId="73AA21BE">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r>
            <w:tr w14:paraId="3CD6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E6FD7C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12</w:t>
                  </w:r>
                </w:p>
              </w:tc>
              <w:tc>
                <w:tcPr>
                  <w:tcW w:w="1997" w:type="dxa"/>
                  <w:gridSpan w:val="2"/>
                  <w:shd w:val="clear" w:color="auto" w:fill="auto"/>
                  <w:noWrap w:val="0"/>
                  <w:vAlign w:val="center"/>
                </w:tcPr>
                <w:p w14:paraId="5ABA1DE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切割机</w:t>
                  </w:r>
                </w:p>
              </w:tc>
              <w:tc>
                <w:tcPr>
                  <w:tcW w:w="899" w:type="dxa"/>
                  <w:shd w:val="clear" w:color="auto" w:fill="auto"/>
                  <w:noWrap w:val="0"/>
                  <w:vAlign w:val="center"/>
                </w:tcPr>
                <w:p w14:paraId="70DBE92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3"/>
                      <w:sz w:val="21"/>
                      <w:szCs w:val="21"/>
                      <w:highlight w:val="none"/>
                      <w:lang w:eastAsia="zh-CN"/>
                    </w:rPr>
                    <w:t>非标</w:t>
                  </w:r>
                </w:p>
              </w:tc>
              <w:tc>
                <w:tcPr>
                  <w:tcW w:w="656" w:type="dxa"/>
                  <w:shd w:val="clear" w:color="auto" w:fill="auto"/>
                  <w:noWrap w:val="0"/>
                  <w:vAlign w:val="center"/>
                </w:tcPr>
                <w:p w14:paraId="092C674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6"/>
                      <w:sz w:val="21"/>
                      <w:szCs w:val="21"/>
                      <w:highlight w:val="none"/>
                      <w:lang w:val="en-US" w:eastAsia="zh-CN"/>
                    </w:rPr>
                    <w:t>台</w:t>
                  </w:r>
                </w:p>
              </w:tc>
              <w:tc>
                <w:tcPr>
                  <w:tcW w:w="756" w:type="dxa"/>
                  <w:shd w:val="clear" w:color="auto" w:fill="auto"/>
                  <w:noWrap w:val="0"/>
                  <w:vAlign w:val="center"/>
                </w:tcPr>
                <w:p w14:paraId="6449701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4"/>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2</w:t>
                  </w:r>
                </w:p>
              </w:tc>
              <w:tc>
                <w:tcPr>
                  <w:tcW w:w="442" w:type="dxa"/>
                  <w:vMerge w:val="continue"/>
                  <w:shd w:val="clear" w:color="auto" w:fill="auto"/>
                  <w:noWrap w:val="0"/>
                  <w:vAlign w:val="center"/>
                </w:tcPr>
                <w:p w14:paraId="793877E8">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0"/>
                      <w:sz w:val="21"/>
                      <w:szCs w:val="21"/>
                      <w:vertAlign w:val="baseline"/>
                      <w:lang w:val="en-US" w:eastAsia="zh-CN" w:bidi="ar-SA"/>
                    </w:rPr>
                  </w:pPr>
                </w:p>
              </w:tc>
              <w:tc>
                <w:tcPr>
                  <w:tcW w:w="2919" w:type="dxa"/>
                  <w:vMerge w:val="continue"/>
                  <w:shd w:val="clear" w:color="auto" w:fill="auto"/>
                  <w:noWrap w:val="0"/>
                  <w:vAlign w:val="center"/>
                </w:tcPr>
                <w:p w14:paraId="1D396642">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p>
              </w:tc>
            </w:tr>
            <w:tr w14:paraId="2A031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E91562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13</w:t>
                  </w:r>
                </w:p>
              </w:tc>
              <w:tc>
                <w:tcPr>
                  <w:tcW w:w="1997" w:type="dxa"/>
                  <w:gridSpan w:val="2"/>
                  <w:shd w:val="clear" w:color="auto" w:fill="auto"/>
                  <w:noWrap w:val="0"/>
                  <w:vAlign w:val="center"/>
                </w:tcPr>
                <w:p w14:paraId="753A3F1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7"/>
                      <w:kern w:val="2"/>
                      <w:sz w:val="21"/>
                      <w:szCs w:val="21"/>
                      <w:lang w:val="en-US" w:eastAsia="zh-CN" w:bidi="ar-SA"/>
                    </w:rPr>
                  </w:pPr>
                  <w:r>
                    <w:rPr>
                      <w:rFonts w:hint="eastAsia" w:ascii="Times New Roman" w:hAnsi="Times New Roman" w:cs="Times New Roman"/>
                      <w:color w:val="auto"/>
                      <w:spacing w:val="7"/>
                      <w:sz w:val="21"/>
                      <w:szCs w:val="21"/>
                      <w:lang w:val="en-US" w:eastAsia="zh-CN"/>
                    </w:rPr>
                    <w:t>圆口机</w:t>
                  </w:r>
                </w:p>
              </w:tc>
              <w:tc>
                <w:tcPr>
                  <w:tcW w:w="899" w:type="dxa"/>
                  <w:shd w:val="clear" w:color="auto" w:fill="auto"/>
                  <w:noWrap w:val="0"/>
                  <w:vAlign w:val="center"/>
                </w:tcPr>
                <w:p w14:paraId="7A27D01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3"/>
                      <w:kern w:val="2"/>
                      <w:sz w:val="21"/>
                      <w:szCs w:val="21"/>
                      <w:lang w:val="en-US" w:eastAsia="zh-CN" w:bidi="ar-SA"/>
                    </w:rPr>
                  </w:pPr>
                  <w:r>
                    <w:rPr>
                      <w:rFonts w:hint="default" w:ascii="Times New Roman" w:hAnsi="Times New Roman" w:cs="Times New Roman"/>
                      <w:color w:val="auto"/>
                      <w:spacing w:val="3"/>
                      <w:sz w:val="21"/>
                      <w:szCs w:val="21"/>
                      <w:lang w:eastAsia="zh-CN"/>
                    </w:rPr>
                    <w:t>非标</w:t>
                  </w:r>
                </w:p>
              </w:tc>
              <w:tc>
                <w:tcPr>
                  <w:tcW w:w="656" w:type="dxa"/>
                  <w:shd w:val="clear" w:color="auto" w:fill="auto"/>
                  <w:noWrap w:val="0"/>
                  <w:vAlign w:val="center"/>
                </w:tcPr>
                <w:p w14:paraId="00E1B50C">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cs="Times New Roman"/>
                      <w:color w:val="auto"/>
                      <w:spacing w:val="-10"/>
                      <w:szCs w:val="21"/>
                      <w:highlight w:val="none"/>
                    </w:rPr>
                    <w:t>台</w:t>
                  </w:r>
                </w:p>
              </w:tc>
              <w:tc>
                <w:tcPr>
                  <w:tcW w:w="756" w:type="dxa"/>
                  <w:shd w:val="clear" w:color="auto" w:fill="auto"/>
                  <w:noWrap w:val="0"/>
                  <w:vAlign w:val="center"/>
                </w:tcPr>
                <w:p w14:paraId="7BD7B01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2</w:t>
                  </w:r>
                </w:p>
              </w:tc>
              <w:tc>
                <w:tcPr>
                  <w:tcW w:w="442" w:type="dxa"/>
                  <w:vMerge w:val="continue"/>
                  <w:shd w:val="clear" w:color="auto" w:fill="auto"/>
                  <w:noWrap w:val="0"/>
                  <w:vAlign w:val="center"/>
                </w:tcPr>
                <w:p w14:paraId="2FF9B2C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p>
              </w:tc>
              <w:tc>
                <w:tcPr>
                  <w:tcW w:w="2919" w:type="dxa"/>
                  <w:vMerge w:val="continue"/>
                  <w:shd w:val="clear" w:color="auto" w:fill="auto"/>
                  <w:noWrap w:val="0"/>
                  <w:vAlign w:val="center"/>
                </w:tcPr>
                <w:p w14:paraId="5ED89D1D">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p>
              </w:tc>
            </w:tr>
            <w:tr w14:paraId="75FE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3C522E6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14</w:t>
                  </w:r>
                </w:p>
              </w:tc>
              <w:tc>
                <w:tcPr>
                  <w:tcW w:w="1997" w:type="dxa"/>
                  <w:gridSpan w:val="2"/>
                  <w:shd w:val="clear" w:color="auto" w:fill="auto"/>
                  <w:noWrap w:val="0"/>
                  <w:vAlign w:val="center"/>
                </w:tcPr>
                <w:p w14:paraId="1A6316F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sz w:val="21"/>
                      <w:szCs w:val="21"/>
                      <w:lang w:eastAsia="zh-CN"/>
                    </w:rPr>
                    <w:t>码垛机器人</w:t>
                  </w:r>
                </w:p>
              </w:tc>
              <w:tc>
                <w:tcPr>
                  <w:tcW w:w="899" w:type="dxa"/>
                  <w:shd w:val="clear" w:color="auto" w:fill="auto"/>
                  <w:noWrap w:val="0"/>
                  <w:vAlign w:val="center"/>
                </w:tcPr>
                <w:p w14:paraId="073BA59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en-US" w:bidi="ar-SA"/>
                    </w:rPr>
                  </w:pPr>
                  <w:r>
                    <w:rPr>
                      <w:rFonts w:hint="default" w:ascii="Times New Roman" w:hAnsi="Times New Roman" w:cs="Times New Roman"/>
                      <w:sz w:val="21"/>
                      <w:szCs w:val="21"/>
                      <w:lang w:eastAsia="zh-CN"/>
                    </w:rPr>
                    <w:t>非标</w:t>
                  </w:r>
                </w:p>
              </w:tc>
              <w:tc>
                <w:tcPr>
                  <w:tcW w:w="656" w:type="dxa"/>
                  <w:shd w:val="clear" w:color="auto" w:fill="auto"/>
                  <w:noWrap w:val="0"/>
                  <w:vAlign w:val="center"/>
                </w:tcPr>
                <w:p w14:paraId="1AB7720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台</w:t>
                  </w:r>
                </w:p>
              </w:tc>
              <w:tc>
                <w:tcPr>
                  <w:tcW w:w="756" w:type="dxa"/>
                  <w:shd w:val="clear" w:color="auto" w:fill="auto"/>
                  <w:noWrap w:val="0"/>
                  <w:vAlign w:val="center"/>
                </w:tcPr>
                <w:p w14:paraId="51D7F20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4"/>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2</w:t>
                  </w:r>
                </w:p>
              </w:tc>
              <w:tc>
                <w:tcPr>
                  <w:tcW w:w="442" w:type="dxa"/>
                  <w:vMerge w:val="continue"/>
                  <w:shd w:val="clear" w:color="auto" w:fill="auto"/>
                  <w:noWrap w:val="0"/>
                  <w:vAlign w:val="center"/>
                </w:tcPr>
                <w:p w14:paraId="45E65C8A">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shd w:val="clear" w:color="auto" w:fill="auto"/>
                  <w:noWrap w:val="0"/>
                  <w:vAlign w:val="center"/>
                </w:tcPr>
                <w:p w14:paraId="32FF26F8">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vertAlign w:val="baseline"/>
                      <w:lang w:val="en-US" w:eastAsia="zh-CN" w:bidi="ar-SA"/>
                    </w:rPr>
                  </w:pPr>
                </w:p>
              </w:tc>
            </w:tr>
            <w:tr w14:paraId="2C9F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C49B01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15</w:t>
                  </w:r>
                </w:p>
              </w:tc>
              <w:tc>
                <w:tcPr>
                  <w:tcW w:w="1997" w:type="dxa"/>
                  <w:gridSpan w:val="2"/>
                  <w:shd w:val="clear" w:color="auto" w:fill="auto"/>
                  <w:noWrap w:val="0"/>
                  <w:vAlign w:val="center"/>
                </w:tcPr>
                <w:p w14:paraId="3D4FB4A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spacing w:val="6"/>
                      <w:sz w:val="21"/>
                      <w:szCs w:val="21"/>
                      <w:lang w:eastAsia="zh-CN"/>
                    </w:rPr>
                    <w:t>堆垛机</w:t>
                  </w:r>
                </w:p>
              </w:tc>
              <w:tc>
                <w:tcPr>
                  <w:tcW w:w="899" w:type="dxa"/>
                  <w:shd w:val="clear" w:color="auto" w:fill="auto"/>
                  <w:noWrap w:val="0"/>
                  <w:vAlign w:val="center"/>
                </w:tcPr>
                <w:p w14:paraId="3794448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kern w:val="2"/>
                      <w:sz w:val="21"/>
                      <w:szCs w:val="21"/>
                      <w:lang w:val="en-US" w:eastAsia="en-US" w:bidi="ar-SA"/>
                    </w:rPr>
                  </w:pPr>
                  <w:r>
                    <w:rPr>
                      <w:rFonts w:hint="default" w:ascii="Times New Roman" w:hAnsi="Times New Roman" w:cs="Times New Roman"/>
                      <w:spacing w:val="3"/>
                      <w:sz w:val="21"/>
                      <w:szCs w:val="21"/>
                      <w:lang w:eastAsia="zh-CN"/>
                    </w:rPr>
                    <w:t>非标</w:t>
                  </w:r>
                </w:p>
              </w:tc>
              <w:tc>
                <w:tcPr>
                  <w:tcW w:w="656" w:type="dxa"/>
                  <w:shd w:val="clear" w:color="auto" w:fill="auto"/>
                  <w:noWrap w:val="0"/>
                  <w:vAlign w:val="center"/>
                </w:tcPr>
                <w:p w14:paraId="49419F6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台</w:t>
                  </w:r>
                </w:p>
              </w:tc>
              <w:tc>
                <w:tcPr>
                  <w:tcW w:w="756" w:type="dxa"/>
                  <w:shd w:val="clear" w:color="auto" w:fill="auto"/>
                  <w:noWrap w:val="0"/>
                  <w:vAlign w:val="center"/>
                </w:tcPr>
                <w:p w14:paraId="7AAEDD6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4"/>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56122C6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6"/>
                      <w:sz w:val="21"/>
                      <w:szCs w:val="21"/>
                      <w:highlight w:val="none"/>
                    </w:rPr>
                  </w:pPr>
                </w:p>
              </w:tc>
              <w:tc>
                <w:tcPr>
                  <w:tcW w:w="2919" w:type="dxa"/>
                  <w:vMerge w:val="continue"/>
                  <w:shd w:val="clear" w:color="auto" w:fill="auto"/>
                  <w:noWrap w:val="0"/>
                  <w:vAlign w:val="center"/>
                </w:tcPr>
                <w:p w14:paraId="4DCD5C47">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vertAlign w:val="baseline"/>
                      <w:lang w:val="en-US" w:eastAsia="zh-CN" w:bidi="ar-SA"/>
                    </w:rPr>
                  </w:pPr>
                </w:p>
              </w:tc>
            </w:tr>
            <w:tr w14:paraId="6816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9B1D0D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16</w:t>
                  </w:r>
                </w:p>
              </w:tc>
              <w:tc>
                <w:tcPr>
                  <w:tcW w:w="1997" w:type="dxa"/>
                  <w:gridSpan w:val="2"/>
                  <w:shd w:val="clear" w:color="auto" w:fill="auto"/>
                  <w:noWrap w:val="0"/>
                  <w:vAlign w:val="center"/>
                </w:tcPr>
                <w:p w14:paraId="3355132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spacing w:val="6"/>
                      <w:sz w:val="21"/>
                      <w:szCs w:val="21"/>
                      <w:lang w:eastAsia="zh-CN"/>
                    </w:rPr>
                    <w:t>气垫桌</w:t>
                  </w:r>
                </w:p>
              </w:tc>
              <w:tc>
                <w:tcPr>
                  <w:tcW w:w="899" w:type="dxa"/>
                  <w:shd w:val="clear" w:color="auto" w:fill="auto"/>
                  <w:noWrap w:val="0"/>
                  <w:vAlign w:val="center"/>
                </w:tcPr>
                <w:p w14:paraId="6984C4B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3038F9E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4"/>
                      <w:szCs w:val="21"/>
                      <w:highlight w:val="none"/>
                    </w:rPr>
                    <w:t>套</w:t>
                  </w:r>
                </w:p>
              </w:tc>
              <w:tc>
                <w:tcPr>
                  <w:tcW w:w="756" w:type="dxa"/>
                  <w:shd w:val="clear" w:color="auto" w:fill="auto"/>
                  <w:noWrap w:val="0"/>
                  <w:vAlign w:val="center"/>
                </w:tcPr>
                <w:p w14:paraId="6C011F5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17FA4DD3">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p>
              </w:tc>
              <w:tc>
                <w:tcPr>
                  <w:tcW w:w="2919" w:type="dxa"/>
                  <w:vMerge w:val="continue"/>
                  <w:shd w:val="clear" w:color="auto" w:fill="auto"/>
                  <w:noWrap w:val="0"/>
                  <w:vAlign w:val="center"/>
                </w:tcPr>
                <w:p w14:paraId="64D905E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vertAlign w:val="baseline"/>
                      <w:lang w:val="en-US" w:eastAsia="zh-CN" w:bidi="ar-SA"/>
                    </w:rPr>
                  </w:pPr>
                </w:p>
              </w:tc>
            </w:tr>
            <w:tr w14:paraId="331A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6B011F3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17</w:t>
                  </w:r>
                </w:p>
              </w:tc>
              <w:tc>
                <w:tcPr>
                  <w:tcW w:w="1997" w:type="dxa"/>
                  <w:gridSpan w:val="2"/>
                  <w:shd w:val="clear" w:color="auto" w:fill="auto"/>
                  <w:noWrap w:val="0"/>
                  <w:vAlign w:val="center"/>
                </w:tcPr>
                <w:p w14:paraId="2DBB2CB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eastAsia="zh-CN"/>
                    </w:rPr>
                  </w:pPr>
                  <w:r>
                    <w:rPr>
                      <w:rFonts w:hint="eastAsia" w:ascii="Times New Roman" w:hAnsi="Times New Roman" w:cs="Times New Roman"/>
                      <w:color w:val="000000"/>
                      <w:spacing w:val="6"/>
                      <w:sz w:val="21"/>
                      <w:szCs w:val="21"/>
                      <w:highlight w:val="none"/>
                      <w:lang w:val="en-US" w:eastAsia="zh-CN"/>
                    </w:rPr>
                    <w:t>吹风清扫设备</w:t>
                  </w:r>
                </w:p>
              </w:tc>
              <w:tc>
                <w:tcPr>
                  <w:tcW w:w="899" w:type="dxa"/>
                  <w:shd w:val="clear" w:color="auto" w:fill="auto"/>
                  <w:noWrap w:val="0"/>
                  <w:vAlign w:val="center"/>
                </w:tcPr>
                <w:p w14:paraId="00E08116">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10"/>
                      <w:szCs w:val="21"/>
                      <w:highlight w:val="none"/>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650010E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000000"/>
                      <w:spacing w:val="-4"/>
                      <w:szCs w:val="21"/>
                      <w:highlight w:val="none"/>
                    </w:rPr>
                  </w:pPr>
                  <w:r>
                    <w:rPr>
                      <w:rFonts w:hint="default" w:ascii="Times New Roman" w:hAnsi="Times New Roman" w:cs="Times New Roman"/>
                      <w:color w:val="000000"/>
                      <w:spacing w:val="6"/>
                      <w:sz w:val="21"/>
                      <w:szCs w:val="21"/>
                      <w:highlight w:val="none"/>
                      <w:lang w:val="en-US" w:eastAsia="zh-CN"/>
                    </w:rPr>
                    <w:t>套</w:t>
                  </w:r>
                </w:p>
              </w:tc>
              <w:tc>
                <w:tcPr>
                  <w:tcW w:w="756" w:type="dxa"/>
                  <w:shd w:val="clear" w:color="auto" w:fill="auto"/>
                  <w:noWrap w:val="0"/>
                  <w:vAlign w:val="center"/>
                </w:tcPr>
                <w:p w14:paraId="48D6610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2</w:t>
                  </w:r>
                </w:p>
              </w:tc>
              <w:tc>
                <w:tcPr>
                  <w:tcW w:w="442" w:type="dxa"/>
                  <w:vMerge w:val="continue"/>
                  <w:shd w:val="clear" w:color="auto" w:fill="auto"/>
                  <w:noWrap w:val="0"/>
                  <w:vAlign w:val="center"/>
                </w:tcPr>
                <w:p w14:paraId="0C84BE71">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p>
              </w:tc>
              <w:tc>
                <w:tcPr>
                  <w:tcW w:w="2919" w:type="dxa"/>
                  <w:vMerge w:val="continue"/>
                  <w:shd w:val="clear" w:color="auto" w:fill="auto"/>
                  <w:noWrap w:val="0"/>
                  <w:vAlign w:val="center"/>
                </w:tcPr>
                <w:p w14:paraId="13A7CD38">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color w:val="000000"/>
                      <w:spacing w:val="6"/>
                      <w:sz w:val="21"/>
                      <w:szCs w:val="21"/>
                      <w:highlight w:val="none"/>
                      <w:lang w:val="en-US" w:eastAsia="zh-CN"/>
                    </w:rPr>
                  </w:pPr>
                </w:p>
              </w:tc>
            </w:tr>
            <w:tr w14:paraId="6509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1B7F76F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18</w:t>
                  </w:r>
                </w:p>
              </w:tc>
              <w:tc>
                <w:tcPr>
                  <w:tcW w:w="1997" w:type="dxa"/>
                  <w:gridSpan w:val="2"/>
                  <w:shd w:val="clear" w:color="auto" w:fill="auto"/>
                  <w:noWrap w:val="0"/>
                  <w:vAlign w:val="center"/>
                </w:tcPr>
                <w:p w14:paraId="1B8657E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color w:val="000000"/>
                      <w:spacing w:val="6"/>
                      <w:sz w:val="21"/>
                      <w:szCs w:val="21"/>
                      <w:highlight w:val="none"/>
                      <w:lang w:val="en-US" w:eastAsia="zh-CN"/>
                    </w:rPr>
                    <w:t>空压机</w:t>
                  </w:r>
                </w:p>
              </w:tc>
              <w:tc>
                <w:tcPr>
                  <w:tcW w:w="899" w:type="dxa"/>
                  <w:shd w:val="clear" w:color="auto" w:fill="auto"/>
                  <w:noWrap w:val="0"/>
                  <w:vAlign w:val="center"/>
                </w:tcPr>
                <w:p w14:paraId="77654D8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10"/>
                      <w:kern w:val="2"/>
                      <w:sz w:val="21"/>
                      <w:szCs w:val="21"/>
                      <w:highlight w:val="none"/>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7B99FFA6">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spacing w:val="-10"/>
                      <w:kern w:val="2"/>
                      <w:sz w:val="21"/>
                      <w:szCs w:val="21"/>
                      <w:highlight w:val="none"/>
                      <w:lang w:val="en-US" w:eastAsia="zh-CN" w:bidi="ar-SA"/>
                    </w:rPr>
                  </w:pPr>
                  <w:r>
                    <w:rPr>
                      <w:rFonts w:hint="default" w:ascii="Times New Roman" w:hAnsi="Times New Roman" w:cs="Times New Roman"/>
                      <w:color w:val="000000"/>
                      <w:szCs w:val="21"/>
                      <w:highlight w:val="none"/>
                      <w:lang w:val="en-US" w:eastAsia="zh-CN"/>
                    </w:rPr>
                    <w:t>套</w:t>
                  </w:r>
                </w:p>
              </w:tc>
              <w:tc>
                <w:tcPr>
                  <w:tcW w:w="756" w:type="dxa"/>
                  <w:shd w:val="clear" w:color="auto" w:fill="auto"/>
                  <w:noWrap w:val="0"/>
                  <w:vAlign w:val="center"/>
                </w:tcPr>
                <w:p w14:paraId="465E715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000000"/>
                      <w:spacing w:val="-1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1</w:t>
                  </w:r>
                </w:p>
              </w:tc>
              <w:tc>
                <w:tcPr>
                  <w:tcW w:w="442" w:type="dxa"/>
                  <w:vMerge w:val="continue"/>
                  <w:shd w:val="clear" w:color="auto" w:fill="auto"/>
                  <w:noWrap w:val="0"/>
                  <w:vAlign w:val="center"/>
                </w:tcPr>
                <w:p w14:paraId="314B9774">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p>
              </w:tc>
              <w:tc>
                <w:tcPr>
                  <w:tcW w:w="2919" w:type="dxa"/>
                  <w:vMerge w:val="continue"/>
                  <w:shd w:val="clear" w:color="auto" w:fill="auto"/>
                  <w:noWrap w:val="0"/>
                  <w:vAlign w:val="center"/>
                </w:tcPr>
                <w:p w14:paraId="7F486CCF">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0"/>
                      <w:sz w:val="21"/>
                      <w:szCs w:val="21"/>
                      <w:lang w:val="en-US" w:eastAsia="zh-CN" w:bidi="ar-SA"/>
                    </w:rPr>
                  </w:pPr>
                </w:p>
              </w:tc>
            </w:tr>
            <w:tr w14:paraId="0B55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24A3AAB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19</w:t>
                  </w:r>
                </w:p>
              </w:tc>
              <w:tc>
                <w:tcPr>
                  <w:tcW w:w="1997" w:type="dxa"/>
                  <w:gridSpan w:val="2"/>
                  <w:shd w:val="clear" w:color="auto" w:fill="auto"/>
                  <w:noWrap w:val="0"/>
                  <w:vAlign w:val="center"/>
                </w:tcPr>
                <w:p w14:paraId="41B5D98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6"/>
                      <w:sz w:val="21"/>
                      <w:szCs w:val="21"/>
                      <w:highlight w:val="none"/>
                      <w:lang w:eastAsia="zh-CN"/>
                    </w:rPr>
                    <w:t>循环水系统</w:t>
                  </w:r>
                </w:p>
              </w:tc>
              <w:tc>
                <w:tcPr>
                  <w:tcW w:w="899" w:type="dxa"/>
                  <w:shd w:val="clear" w:color="auto" w:fill="auto"/>
                  <w:noWrap w:val="0"/>
                  <w:vAlign w:val="center"/>
                </w:tcPr>
                <w:p w14:paraId="1EA1306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1F8A06F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zCs w:val="21"/>
                      <w:highlight w:val="none"/>
                      <w:lang w:val="en-US" w:eastAsia="zh-CN"/>
                    </w:rPr>
                    <w:t>套</w:t>
                  </w:r>
                </w:p>
              </w:tc>
              <w:tc>
                <w:tcPr>
                  <w:tcW w:w="756" w:type="dxa"/>
                  <w:shd w:val="clear" w:color="auto" w:fill="auto"/>
                  <w:noWrap w:val="0"/>
                  <w:vAlign w:val="center"/>
                </w:tcPr>
                <w:p w14:paraId="3B9E345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1</w:t>
                  </w:r>
                </w:p>
              </w:tc>
              <w:tc>
                <w:tcPr>
                  <w:tcW w:w="442" w:type="dxa"/>
                  <w:vMerge w:val="continue"/>
                  <w:shd w:val="clear" w:color="auto" w:fill="auto"/>
                  <w:noWrap w:val="0"/>
                  <w:vAlign w:val="center"/>
                </w:tcPr>
                <w:p w14:paraId="11D84D98">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vertAlign w:val="baseline"/>
                      <w:lang w:val="en-US" w:eastAsia="zh-CN" w:bidi="ar-SA"/>
                    </w:rPr>
                  </w:pPr>
                </w:p>
              </w:tc>
              <w:tc>
                <w:tcPr>
                  <w:tcW w:w="2919" w:type="dxa"/>
                  <w:vMerge w:val="continue"/>
                  <w:shd w:val="clear" w:color="auto" w:fill="auto"/>
                  <w:noWrap w:val="0"/>
                  <w:vAlign w:val="center"/>
                </w:tcPr>
                <w:p w14:paraId="361DC8C5">
                  <w:pPr>
                    <w:pStyle w:val="44"/>
                    <w:keepNext/>
                    <w:keepLines/>
                    <w:pageBreakBefore w:val="0"/>
                    <w:widowControl w:val="0"/>
                    <w:suppressLineNumbers w:val="0"/>
                    <w:suppressAutoHyphen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p>
              </w:tc>
            </w:tr>
            <w:tr w14:paraId="0C4E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6" w:type="dxa"/>
                  <w:shd w:val="clear" w:color="auto" w:fill="auto"/>
                  <w:noWrap w:val="0"/>
                  <w:vAlign w:val="center"/>
                </w:tcPr>
                <w:p w14:paraId="70944AA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kern w:val="2"/>
                      <w:sz w:val="21"/>
                      <w:szCs w:val="21"/>
                      <w:lang w:val="en-US" w:eastAsia="zh-CN" w:bidi="ar-SA"/>
                    </w:rPr>
                    <w:t>20</w:t>
                  </w:r>
                </w:p>
              </w:tc>
              <w:tc>
                <w:tcPr>
                  <w:tcW w:w="1997" w:type="dxa"/>
                  <w:gridSpan w:val="2"/>
                  <w:shd w:val="clear" w:color="auto" w:fill="auto"/>
                  <w:noWrap w:val="0"/>
                  <w:vAlign w:val="center"/>
                </w:tcPr>
                <w:p w14:paraId="50174F8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cs="Times New Roman"/>
                      <w:b w:val="0"/>
                      <w:bCs w:val="0"/>
                      <w:sz w:val="21"/>
                      <w:szCs w:val="21"/>
                      <w:lang w:val="en-US" w:eastAsia="zh-CN"/>
                    </w:rPr>
                    <w:t>布袋除尘器</w:t>
                  </w:r>
                </w:p>
              </w:tc>
              <w:tc>
                <w:tcPr>
                  <w:tcW w:w="899" w:type="dxa"/>
                  <w:shd w:val="clear" w:color="auto" w:fill="auto"/>
                  <w:noWrap w:val="0"/>
                  <w:vAlign w:val="center"/>
                </w:tcPr>
                <w:p w14:paraId="2F25534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w:t>
                  </w:r>
                </w:p>
              </w:tc>
              <w:tc>
                <w:tcPr>
                  <w:tcW w:w="656" w:type="dxa"/>
                  <w:shd w:val="clear" w:color="auto" w:fill="auto"/>
                  <w:noWrap w:val="0"/>
                  <w:vAlign w:val="center"/>
                </w:tcPr>
                <w:p w14:paraId="4B2EE4F0">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cs="Times New Roman"/>
                      <w:color w:val="000000"/>
                      <w:spacing w:val="-10"/>
                      <w:szCs w:val="21"/>
                      <w:highlight w:val="none"/>
                    </w:rPr>
                    <w:t>台</w:t>
                  </w:r>
                </w:p>
              </w:tc>
              <w:tc>
                <w:tcPr>
                  <w:tcW w:w="756" w:type="dxa"/>
                  <w:shd w:val="clear" w:color="auto" w:fill="auto"/>
                  <w:noWrap w:val="0"/>
                  <w:vAlign w:val="center"/>
                </w:tcPr>
                <w:p w14:paraId="51601BC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color w:val="000000"/>
                      <w:spacing w:val="-10"/>
                      <w:sz w:val="21"/>
                      <w:szCs w:val="21"/>
                      <w:highlight w:val="none"/>
                      <w:lang w:val="en-US" w:eastAsia="zh-CN"/>
                    </w:rPr>
                    <w:t>1</w:t>
                  </w:r>
                </w:p>
              </w:tc>
              <w:tc>
                <w:tcPr>
                  <w:tcW w:w="442" w:type="dxa"/>
                  <w:vMerge w:val="continue"/>
                  <w:shd w:val="clear" w:color="auto" w:fill="auto"/>
                  <w:noWrap w:val="0"/>
                  <w:vAlign w:val="center"/>
                </w:tcPr>
                <w:p w14:paraId="007961C3">
                  <w:pPr>
                    <w:pStyle w:val="20"/>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vertAlign w:val="baseline"/>
                      <w:lang w:val="en-US" w:eastAsia="zh-CN" w:bidi="ar-SA"/>
                    </w:rPr>
                  </w:pPr>
                </w:p>
              </w:tc>
              <w:tc>
                <w:tcPr>
                  <w:tcW w:w="2919" w:type="dxa"/>
                  <w:vMerge w:val="continue"/>
                  <w:shd w:val="clear" w:color="auto" w:fill="auto"/>
                  <w:noWrap w:val="0"/>
                  <w:vAlign w:val="center"/>
                </w:tcPr>
                <w:p w14:paraId="36EC1EEF">
                  <w:pPr>
                    <w:pStyle w:val="44"/>
                    <w:keepNext/>
                    <w:keepLines/>
                    <w:pageBreakBefore w:val="0"/>
                    <w:widowControl w:val="0"/>
                    <w:suppressLineNumbers w:val="0"/>
                    <w:suppressAutoHyphen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kern w:val="2"/>
                      <w:sz w:val="21"/>
                      <w:szCs w:val="21"/>
                      <w:lang w:val="en-US" w:eastAsia="zh-CN" w:bidi="ar-SA"/>
                    </w:rPr>
                  </w:pPr>
                </w:p>
              </w:tc>
            </w:tr>
          </w:tbl>
          <w:p w14:paraId="63F36E45">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eastAsia="宋体" w:cs="Times New Roman"/>
                <w:b/>
                <w:sz w:val="24"/>
                <w:szCs w:val="24"/>
                <w:lang w:val="en-US" w:eastAsia="zh-CN"/>
              </w:rPr>
            </w:pPr>
            <w:r>
              <w:rPr>
                <w:rFonts w:hint="eastAsia"/>
                <w:b/>
                <w:bCs/>
                <w:color w:val="auto"/>
                <w:sz w:val="24"/>
                <w:szCs w:val="24"/>
                <w:lang w:val="en-US" w:eastAsia="zh-CN"/>
              </w:rPr>
              <w:t>5</w:t>
            </w:r>
            <w:r>
              <w:rPr>
                <w:rFonts w:hint="eastAsia" w:cs="宋体"/>
                <w:b/>
                <w:bCs/>
                <w:color w:val="auto"/>
                <w:sz w:val="24"/>
                <w:szCs w:val="24"/>
              </w:rPr>
              <w:t>、主要原辅材料及年消耗量</w:t>
            </w:r>
          </w:p>
          <w:p w14:paraId="18832A5A">
            <w:pPr>
              <w:keepNext/>
              <w:keepLines/>
              <w:pageBreakBefore w:val="0"/>
              <w:widowControl w:val="0"/>
              <w:suppressLineNumbers w:val="0"/>
              <w:shd w:val="clear"/>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宋体"/>
                <w:color w:val="auto"/>
                <w:sz w:val="24"/>
                <w:szCs w:val="24"/>
              </w:rPr>
            </w:pPr>
            <w:r>
              <w:rPr>
                <w:rFonts w:hint="eastAsia" w:cs="宋体"/>
                <w:color w:val="auto"/>
                <w:sz w:val="24"/>
                <w:szCs w:val="24"/>
                <w:lang w:val="en-US" w:eastAsia="zh-CN"/>
              </w:rPr>
              <w:t>项目主要原、辅材料</w:t>
            </w:r>
            <w:r>
              <w:rPr>
                <w:rFonts w:hint="eastAsia" w:cs="宋体"/>
                <w:color w:val="auto"/>
                <w:sz w:val="24"/>
                <w:szCs w:val="24"/>
              </w:rPr>
              <w:t>详见下表。</w:t>
            </w:r>
          </w:p>
          <w:p w14:paraId="2B29597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表</w:t>
            </w:r>
            <w:r>
              <w:rPr>
                <w:rFonts w:hint="default" w:ascii="Times New Roman" w:hAnsi="Times New Roman" w:eastAsia="宋体" w:cs="Times New Roman"/>
                <w:b/>
                <w:sz w:val="24"/>
                <w:szCs w:val="24"/>
                <w:lang w:val="en-US" w:eastAsia="zh-CN"/>
              </w:rPr>
              <w:t>2-</w:t>
            </w:r>
            <w:r>
              <w:rPr>
                <w:rFonts w:hint="eastAsia" w:cs="Times New Roman"/>
                <w:b/>
                <w:sz w:val="24"/>
                <w:szCs w:val="24"/>
                <w:lang w:val="en-US" w:eastAsia="zh-CN"/>
              </w:rPr>
              <w:t>7</w:t>
            </w:r>
            <w:r>
              <w:rPr>
                <w:rFonts w:hint="default" w:ascii="Times New Roman" w:hAnsi="Times New Roman" w:eastAsia="宋体" w:cs="Times New Roman"/>
                <w:b/>
                <w:sz w:val="24"/>
                <w:szCs w:val="24"/>
                <w:lang w:val="en-US" w:eastAsia="zh-CN"/>
              </w:rPr>
              <w:t xml:space="preserve"> </w:t>
            </w:r>
            <w:r>
              <w:rPr>
                <w:rFonts w:hint="eastAsia" w:ascii="Times New Roman" w:hAnsi="Times New Roman" w:eastAsia="宋体" w:cs="Times New Roman"/>
                <w:b/>
                <w:sz w:val="24"/>
                <w:szCs w:val="24"/>
                <w:lang w:val="en-US" w:eastAsia="zh-CN"/>
              </w:rPr>
              <w:t>本项目主要原辅材料及能源消耗</w:t>
            </w:r>
          </w:p>
          <w:tbl>
            <w:tblPr>
              <w:tblStyle w:val="3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133"/>
              <w:gridCol w:w="1008"/>
              <w:gridCol w:w="1068"/>
              <w:gridCol w:w="2700"/>
              <w:gridCol w:w="1527"/>
            </w:tblGrid>
            <w:tr w14:paraId="787A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6"/>
                  <w:tcBorders>
                    <w:top w:val="single" w:color="000000" w:sz="4" w:space="0"/>
                    <w:left w:val="single" w:color="000000" w:sz="4" w:space="0"/>
                    <w:right w:val="single" w:color="000000" w:sz="4" w:space="0"/>
                  </w:tcBorders>
                  <w:shd w:val="clear" w:color="auto" w:fill="auto"/>
                  <w:noWrap/>
                  <w:vAlign w:val="center"/>
                </w:tcPr>
                <w:p w14:paraId="5F3AE52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高硼硅防火玻璃项目原料</w:t>
                  </w:r>
                </w:p>
              </w:tc>
            </w:tr>
            <w:tr w14:paraId="76E9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E6C79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产品名称</w:t>
                  </w: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F669E1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原料名称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96B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用量t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91F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最大暂存量t</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EA5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运输、贮存情况</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772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备注</w:t>
                  </w:r>
                </w:p>
              </w:tc>
            </w:tr>
            <w:tr w14:paraId="6602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restart"/>
                  <w:tcBorders>
                    <w:top w:val="single" w:color="auto" w:sz="4" w:space="0"/>
                    <w:left w:val="single" w:color="auto" w:sz="4" w:space="0"/>
                    <w:right w:val="single" w:color="auto" w:sz="4" w:space="0"/>
                  </w:tcBorders>
                  <w:shd w:val="clear" w:color="auto" w:fill="auto"/>
                  <w:noWrap/>
                  <w:vAlign w:val="center"/>
                </w:tcPr>
                <w:p w14:paraId="7FECFB4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防火玻璃</w:t>
                  </w: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47F6A25">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石英砂</w:t>
                  </w:r>
                </w:p>
              </w:tc>
              <w:tc>
                <w:tcPr>
                  <w:tcW w:w="620" w:type="pct"/>
                  <w:vMerge w:val="restart"/>
                  <w:tcBorders>
                    <w:top w:val="single" w:color="000000" w:sz="4" w:space="0"/>
                    <w:left w:val="single" w:color="000000" w:sz="4" w:space="0"/>
                    <w:right w:val="single" w:color="000000" w:sz="4" w:space="0"/>
                  </w:tcBorders>
                  <w:shd w:val="clear" w:color="auto" w:fill="auto"/>
                  <w:noWrap/>
                  <w:vAlign w:val="center"/>
                </w:tcPr>
                <w:p w14:paraId="4498017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0D4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2603" w:type="pct"/>
                  <w:gridSpan w:val="2"/>
                  <w:vMerge w:val="restart"/>
                  <w:tcBorders>
                    <w:top w:val="single" w:color="000000" w:sz="4" w:space="0"/>
                    <w:left w:val="single" w:color="000000" w:sz="4" w:space="0"/>
                    <w:right w:val="single" w:color="000000" w:sz="4" w:space="0"/>
                  </w:tcBorders>
                  <w:shd w:val="clear" w:color="auto" w:fill="auto"/>
                  <w:noWrap/>
                  <w:vAlign w:val="center"/>
                </w:tcPr>
                <w:p w14:paraId="718F90C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r>
                    <w:rPr>
                      <w:rFonts w:hint="eastAsia" w:ascii="Times New Roman" w:hAnsi="Times New Roman" w:cs="Times New Roman"/>
                      <w:spacing w:val="6"/>
                      <w:sz w:val="21"/>
                      <w:szCs w:val="21"/>
                      <w:lang w:val="en-US" w:eastAsia="zh-CN"/>
                    </w:rPr>
                    <w:t>*</w:t>
                  </w:r>
                </w:p>
              </w:tc>
            </w:tr>
            <w:tr w14:paraId="376F7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7360D06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0274C5">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硼砂</w:t>
                  </w:r>
                </w:p>
              </w:tc>
              <w:tc>
                <w:tcPr>
                  <w:tcW w:w="620" w:type="pct"/>
                  <w:vMerge w:val="continue"/>
                  <w:tcBorders>
                    <w:left w:val="single" w:color="000000" w:sz="4" w:space="0"/>
                    <w:right w:val="single" w:color="000000" w:sz="4" w:space="0"/>
                  </w:tcBorders>
                  <w:shd w:val="clear" w:color="auto" w:fill="auto"/>
                  <w:noWrap/>
                  <w:vAlign w:val="center"/>
                </w:tcPr>
                <w:p w14:paraId="117F17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C51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125</w:t>
                  </w:r>
                </w:p>
              </w:tc>
              <w:tc>
                <w:tcPr>
                  <w:tcW w:w="2603" w:type="pct"/>
                  <w:gridSpan w:val="2"/>
                  <w:vMerge w:val="continue"/>
                  <w:tcBorders>
                    <w:left w:val="single" w:color="000000" w:sz="4" w:space="0"/>
                    <w:right w:val="single" w:color="000000" w:sz="4" w:space="0"/>
                  </w:tcBorders>
                  <w:shd w:val="clear" w:color="auto" w:fill="auto"/>
                  <w:noWrap/>
                  <w:vAlign w:val="center"/>
                </w:tcPr>
                <w:p w14:paraId="10B1124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6AA0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06B94B9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B933A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硼酸</w:t>
                  </w:r>
                </w:p>
              </w:tc>
              <w:tc>
                <w:tcPr>
                  <w:tcW w:w="620" w:type="pct"/>
                  <w:vMerge w:val="continue"/>
                  <w:tcBorders>
                    <w:left w:val="single" w:color="000000" w:sz="4" w:space="0"/>
                    <w:right w:val="single" w:color="000000" w:sz="4" w:space="0"/>
                  </w:tcBorders>
                  <w:shd w:val="clear" w:color="auto" w:fill="auto"/>
                  <w:noWrap/>
                  <w:vAlign w:val="center"/>
                </w:tcPr>
                <w:p w14:paraId="6E0C8E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C3D5">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50</w:t>
                  </w:r>
                </w:p>
              </w:tc>
              <w:tc>
                <w:tcPr>
                  <w:tcW w:w="2603" w:type="pct"/>
                  <w:gridSpan w:val="2"/>
                  <w:vMerge w:val="continue"/>
                  <w:tcBorders>
                    <w:left w:val="single" w:color="000000" w:sz="4" w:space="0"/>
                    <w:right w:val="single" w:color="000000" w:sz="4" w:space="0"/>
                  </w:tcBorders>
                  <w:shd w:val="clear" w:color="auto" w:fill="auto"/>
                  <w:noWrap/>
                  <w:vAlign w:val="center"/>
                </w:tcPr>
                <w:p w14:paraId="73F563F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4D6D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4AB1FB6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D4E426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氢氧化铝</w:t>
                  </w:r>
                </w:p>
              </w:tc>
              <w:tc>
                <w:tcPr>
                  <w:tcW w:w="620" w:type="pct"/>
                  <w:vMerge w:val="continue"/>
                  <w:tcBorders>
                    <w:left w:val="single" w:color="000000" w:sz="4" w:space="0"/>
                    <w:right w:val="single" w:color="000000" w:sz="4" w:space="0"/>
                  </w:tcBorders>
                  <w:shd w:val="clear" w:color="auto" w:fill="auto"/>
                  <w:noWrap/>
                  <w:vAlign w:val="center"/>
                </w:tcPr>
                <w:p w14:paraId="5921AD3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3A3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w:t>
                  </w:r>
                </w:p>
              </w:tc>
              <w:tc>
                <w:tcPr>
                  <w:tcW w:w="2603" w:type="pct"/>
                  <w:gridSpan w:val="2"/>
                  <w:vMerge w:val="continue"/>
                  <w:tcBorders>
                    <w:left w:val="single" w:color="000000" w:sz="4" w:space="0"/>
                    <w:right w:val="single" w:color="000000" w:sz="4" w:space="0"/>
                  </w:tcBorders>
                  <w:shd w:val="clear" w:color="auto" w:fill="auto"/>
                  <w:noWrap/>
                  <w:vAlign w:val="center"/>
                </w:tcPr>
                <w:p w14:paraId="3D6EC19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844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6639A19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E83B16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食盐</w:t>
                  </w:r>
                </w:p>
              </w:tc>
              <w:tc>
                <w:tcPr>
                  <w:tcW w:w="620" w:type="pct"/>
                  <w:vMerge w:val="continue"/>
                  <w:tcBorders>
                    <w:left w:val="single" w:color="000000" w:sz="4" w:space="0"/>
                    <w:right w:val="single" w:color="000000" w:sz="4" w:space="0"/>
                  </w:tcBorders>
                  <w:shd w:val="clear" w:color="auto" w:fill="auto"/>
                  <w:noWrap/>
                  <w:vAlign w:val="center"/>
                </w:tcPr>
                <w:p w14:paraId="6E5CB3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2EF9">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1.25</w:t>
                  </w:r>
                </w:p>
              </w:tc>
              <w:tc>
                <w:tcPr>
                  <w:tcW w:w="2603" w:type="pct"/>
                  <w:gridSpan w:val="2"/>
                  <w:vMerge w:val="continue"/>
                  <w:tcBorders>
                    <w:left w:val="single" w:color="000000" w:sz="4" w:space="0"/>
                    <w:right w:val="single" w:color="000000" w:sz="4" w:space="0"/>
                  </w:tcBorders>
                  <w:shd w:val="clear" w:color="auto" w:fill="auto"/>
                  <w:noWrap/>
                  <w:vAlign w:val="center"/>
                </w:tcPr>
                <w:p w14:paraId="393EFD3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502B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4C02DF5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B8D15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碎玻璃</w:t>
                  </w:r>
                </w:p>
              </w:tc>
              <w:tc>
                <w:tcPr>
                  <w:tcW w:w="620" w:type="pct"/>
                  <w:vMerge w:val="continue"/>
                  <w:tcBorders>
                    <w:left w:val="single" w:color="000000" w:sz="4" w:space="0"/>
                    <w:right w:val="single" w:color="000000" w:sz="4" w:space="0"/>
                  </w:tcBorders>
                  <w:shd w:val="clear" w:color="auto" w:fill="auto"/>
                  <w:noWrap/>
                  <w:vAlign w:val="center"/>
                </w:tcPr>
                <w:p w14:paraId="66B51B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048D6">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250</w:t>
                  </w:r>
                </w:p>
              </w:tc>
              <w:tc>
                <w:tcPr>
                  <w:tcW w:w="2603" w:type="pct"/>
                  <w:gridSpan w:val="2"/>
                  <w:vMerge w:val="continue"/>
                  <w:tcBorders>
                    <w:left w:val="single" w:color="000000" w:sz="4" w:space="0"/>
                    <w:right w:val="single" w:color="000000" w:sz="4" w:space="0"/>
                  </w:tcBorders>
                  <w:shd w:val="clear" w:color="auto" w:fill="auto"/>
                  <w:noWrap/>
                  <w:vAlign w:val="center"/>
                </w:tcPr>
                <w:p w14:paraId="06773FB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467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0A4AD76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841CBE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隔离纸</w:t>
                  </w:r>
                </w:p>
              </w:tc>
              <w:tc>
                <w:tcPr>
                  <w:tcW w:w="620" w:type="pct"/>
                  <w:vMerge w:val="continue"/>
                  <w:tcBorders>
                    <w:left w:val="single" w:color="000000" w:sz="4" w:space="0"/>
                    <w:right w:val="single" w:color="000000" w:sz="4" w:space="0"/>
                  </w:tcBorders>
                  <w:shd w:val="clear" w:color="auto" w:fill="auto"/>
                  <w:noWrap/>
                  <w:vAlign w:val="center"/>
                </w:tcPr>
                <w:p w14:paraId="393BD85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027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30</w:t>
                  </w:r>
                </w:p>
              </w:tc>
              <w:tc>
                <w:tcPr>
                  <w:tcW w:w="2603" w:type="pct"/>
                  <w:gridSpan w:val="2"/>
                  <w:vMerge w:val="continue"/>
                  <w:tcBorders>
                    <w:left w:val="single" w:color="000000" w:sz="4" w:space="0"/>
                    <w:right w:val="single" w:color="000000" w:sz="4" w:space="0"/>
                  </w:tcBorders>
                  <w:shd w:val="clear" w:color="auto" w:fill="auto"/>
                  <w:noWrap/>
                  <w:vAlign w:val="center"/>
                </w:tcPr>
                <w:p w14:paraId="6D60B7A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7FC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bottom w:val="single" w:color="auto" w:sz="4" w:space="0"/>
                    <w:right w:val="single" w:color="auto" w:sz="4" w:space="0"/>
                  </w:tcBorders>
                  <w:shd w:val="clear" w:color="auto" w:fill="auto"/>
                  <w:noWrap/>
                  <w:vAlign w:val="center"/>
                </w:tcPr>
                <w:p w14:paraId="7A3CCC7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CD630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矿物油</w:t>
                  </w:r>
                </w:p>
              </w:tc>
              <w:tc>
                <w:tcPr>
                  <w:tcW w:w="620" w:type="pct"/>
                  <w:vMerge w:val="continue"/>
                  <w:tcBorders>
                    <w:left w:val="single" w:color="000000" w:sz="4" w:space="0"/>
                    <w:bottom w:val="single" w:color="000000" w:sz="4" w:space="0"/>
                    <w:right w:val="single" w:color="000000" w:sz="4" w:space="0"/>
                  </w:tcBorders>
                  <w:shd w:val="clear" w:color="auto" w:fill="auto"/>
                  <w:noWrap/>
                  <w:vAlign w:val="center"/>
                </w:tcPr>
                <w:p w14:paraId="5F9A562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4A8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0.25</w:t>
                  </w:r>
                </w:p>
              </w:tc>
              <w:tc>
                <w:tcPr>
                  <w:tcW w:w="2603" w:type="pct"/>
                  <w:gridSpan w:val="2"/>
                  <w:vMerge w:val="continue"/>
                  <w:tcBorders>
                    <w:left w:val="single" w:color="000000" w:sz="4" w:space="0"/>
                    <w:bottom w:val="single" w:color="000000" w:sz="4" w:space="0"/>
                    <w:right w:val="single" w:color="000000" w:sz="4" w:space="0"/>
                  </w:tcBorders>
                  <w:shd w:val="clear" w:color="auto" w:fill="auto"/>
                  <w:noWrap/>
                  <w:vAlign w:val="center"/>
                </w:tcPr>
                <w:p w14:paraId="70A2ADB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19E4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70A7BDC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高硼硅光热玻璃项目原料</w:t>
                  </w:r>
                </w:p>
              </w:tc>
            </w:tr>
            <w:tr w14:paraId="31C2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D027B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产品名称</w:t>
                  </w: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CDC2A3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原料名称</w:t>
                  </w: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A7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用量t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264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最大暂存量t</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C2A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运输、贮存情况</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383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备注</w:t>
                  </w:r>
                </w:p>
              </w:tc>
            </w:tr>
            <w:tr w14:paraId="3DF1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restart"/>
                  <w:tcBorders>
                    <w:top w:val="single" w:color="auto" w:sz="4" w:space="0"/>
                    <w:left w:val="single" w:color="auto" w:sz="4" w:space="0"/>
                    <w:right w:val="single" w:color="auto" w:sz="4" w:space="0"/>
                  </w:tcBorders>
                  <w:shd w:val="clear" w:color="auto" w:fill="auto"/>
                  <w:noWrap/>
                  <w:vAlign w:val="center"/>
                </w:tcPr>
                <w:p w14:paraId="1417AF6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光热玻璃</w:t>
                  </w: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2FD8B8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石英砂</w:t>
                  </w:r>
                </w:p>
              </w:tc>
              <w:tc>
                <w:tcPr>
                  <w:tcW w:w="620" w:type="pct"/>
                  <w:vMerge w:val="restart"/>
                  <w:tcBorders>
                    <w:top w:val="single" w:color="000000" w:sz="4" w:space="0"/>
                    <w:left w:val="single" w:color="000000" w:sz="4" w:space="0"/>
                    <w:right w:val="single" w:color="000000" w:sz="4" w:space="0"/>
                  </w:tcBorders>
                  <w:shd w:val="clear" w:color="auto" w:fill="auto"/>
                  <w:noWrap/>
                  <w:vAlign w:val="center"/>
                </w:tcPr>
                <w:p w14:paraId="562AD33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B196">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375</w:t>
                  </w:r>
                </w:p>
              </w:tc>
              <w:tc>
                <w:tcPr>
                  <w:tcW w:w="2603" w:type="pct"/>
                  <w:gridSpan w:val="2"/>
                  <w:vMerge w:val="restart"/>
                  <w:tcBorders>
                    <w:top w:val="single" w:color="000000" w:sz="4" w:space="0"/>
                    <w:left w:val="single" w:color="000000" w:sz="4" w:space="0"/>
                    <w:right w:val="single" w:color="000000" w:sz="4" w:space="0"/>
                  </w:tcBorders>
                  <w:shd w:val="clear" w:color="auto" w:fill="auto"/>
                  <w:noWrap/>
                  <w:vAlign w:val="center"/>
                </w:tcPr>
                <w:p w14:paraId="1484FCB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r>
                    <w:rPr>
                      <w:rFonts w:hint="eastAsia" w:ascii="Times New Roman" w:hAnsi="Times New Roman" w:cs="Times New Roman"/>
                      <w:spacing w:val="6"/>
                      <w:sz w:val="21"/>
                      <w:szCs w:val="21"/>
                      <w:lang w:val="en-US" w:eastAsia="zh-CN"/>
                    </w:rPr>
                    <w:t>*</w:t>
                  </w:r>
                </w:p>
              </w:tc>
            </w:tr>
            <w:tr w14:paraId="29E0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3DB6E62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F6099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硼砂</w:t>
                  </w:r>
                </w:p>
              </w:tc>
              <w:tc>
                <w:tcPr>
                  <w:tcW w:w="620" w:type="pct"/>
                  <w:vMerge w:val="continue"/>
                  <w:tcBorders>
                    <w:left w:val="single" w:color="000000" w:sz="4" w:space="0"/>
                    <w:right w:val="single" w:color="000000" w:sz="4" w:space="0"/>
                  </w:tcBorders>
                  <w:shd w:val="clear" w:color="auto" w:fill="auto"/>
                  <w:noWrap/>
                  <w:vAlign w:val="center"/>
                </w:tcPr>
                <w:p w14:paraId="3432DD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146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95</w:t>
                  </w:r>
                </w:p>
              </w:tc>
              <w:tc>
                <w:tcPr>
                  <w:tcW w:w="2603" w:type="pct"/>
                  <w:gridSpan w:val="2"/>
                  <w:vMerge w:val="continue"/>
                  <w:tcBorders>
                    <w:left w:val="single" w:color="000000" w:sz="4" w:space="0"/>
                    <w:right w:val="single" w:color="000000" w:sz="4" w:space="0"/>
                  </w:tcBorders>
                  <w:shd w:val="clear" w:color="auto" w:fill="auto"/>
                  <w:noWrap/>
                  <w:vAlign w:val="center"/>
                </w:tcPr>
                <w:p w14:paraId="4E9F95F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3F87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0227ADA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F6D635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硼酸</w:t>
                  </w:r>
                </w:p>
              </w:tc>
              <w:tc>
                <w:tcPr>
                  <w:tcW w:w="620" w:type="pct"/>
                  <w:vMerge w:val="continue"/>
                  <w:tcBorders>
                    <w:left w:val="single" w:color="000000" w:sz="4" w:space="0"/>
                    <w:right w:val="single" w:color="000000" w:sz="4" w:space="0"/>
                  </w:tcBorders>
                  <w:shd w:val="clear" w:color="auto" w:fill="auto"/>
                  <w:noWrap/>
                  <w:vAlign w:val="center"/>
                </w:tcPr>
                <w:p w14:paraId="073878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5A9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w:t>
                  </w:r>
                </w:p>
              </w:tc>
              <w:tc>
                <w:tcPr>
                  <w:tcW w:w="2603" w:type="pct"/>
                  <w:gridSpan w:val="2"/>
                  <w:vMerge w:val="continue"/>
                  <w:tcBorders>
                    <w:left w:val="single" w:color="000000" w:sz="4" w:space="0"/>
                    <w:right w:val="single" w:color="000000" w:sz="4" w:space="0"/>
                  </w:tcBorders>
                  <w:shd w:val="clear" w:color="auto" w:fill="auto"/>
                  <w:noWrap/>
                  <w:vAlign w:val="center"/>
                </w:tcPr>
                <w:p w14:paraId="528FD4C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E3B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6A4A669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A5786C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氢氧化铝</w:t>
                  </w:r>
                </w:p>
              </w:tc>
              <w:tc>
                <w:tcPr>
                  <w:tcW w:w="620" w:type="pct"/>
                  <w:vMerge w:val="continue"/>
                  <w:tcBorders>
                    <w:left w:val="single" w:color="000000" w:sz="4" w:space="0"/>
                    <w:right w:val="single" w:color="000000" w:sz="4" w:space="0"/>
                  </w:tcBorders>
                  <w:shd w:val="clear" w:color="auto" w:fill="auto"/>
                  <w:noWrap/>
                  <w:vAlign w:val="center"/>
                </w:tcPr>
                <w:p w14:paraId="73F8B2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043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2603" w:type="pct"/>
                  <w:gridSpan w:val="2"/>
                  <w:vMerge w:val="continue"/>
                  <w:tcBorders>
                    <w:left w:val="single" w:color="000000" w:sz="4" w:space="0"/>
                    <w:right w:val="single" w:color="000000" w:sz="4" w:space="0"/>
                  </w:tcBorders>
                  <w:shd w:val="clear" w:color="auto" w:fill="auto"/>
                  <w:noWrap/>
                  <w:vAlign w:val="center"/>
                </w:tcPr>
                <w:p w14:paraId="05FA108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0FA0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189CF9C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6F2E16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食盐</w:t>
                  </w:r>
                </w:p>
              </w:tc>
              <w:tc>
                <w:tcPr>
                  <w:tcW w:w="620" w:type="pct"/>
                  <w:vMerge w:val="continue"/>
                  <w:tcBorders>
                    <w:left w:val="single" w:color="000000" w:sz="4" w:space="0"/>
                    <w:right w:val="single" w:color="000000" w:sz="4" w:space="0"/>
                  </w:tcBorders>
                  <w:shd w:val="clear" w:color="auto" w:fill="auto"/>
                  <w:noWrap/>
                  <w:vAlign w:val="center"/>
                </w:tcPr>
                <w:p w14:paraId="00BD66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E07">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1.25</w:t>
                  </w:r>
                </w:p>
              </w:tc>
              <w:tc>
                <w:tcPr>
                  <w:tcW w:w="2603" w:type="pct"/>
                  <w:gridSpan w:val="2"/>
                  <w:vMerge w:val="continue"/>
                  <w:tcBorders>
                    <w:left w:val="single" w:color="000000" w:sz="4" w:space="0"/>
                    <w:right w:val="single" w:color="000000" w:sz="4" w:space="0"/>
                  </w:tcBorders>
                  <w:shd w:val="clear" w:color="auto" w:fill="auto"/>
                  <w:noWrap/>
                  <w:vAlign w:val="center"/>
                </w:tcPr>
                <w:p w14:paraId="2B11E6E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0AD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1E2BEE6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4F95B30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碎玻璃</w:t>
                  </w:r>
                </w:p>
              </w:tc>
              <w:tc>
                <w:tcPr>
                  <w:tcW w:w="620" w:type="pct"/>
                  <w:vMerge w:val="continue"/>
                  <w:tcBorders>
                    <w:left w:val="single" w:color="000000" w:sz="4" w:space="0"/>
                    <w:right w:val="single" w:color="000000" w:sz="4" w:space="0"/>
                  </w:tcBorders>
                  <w:shd w:val="clear" w:color="auto" w:fill="auto"/>
                  <w:noWrap/>
                  <w:vAlign w:val="center"/>
                </w:tcPr>
                <w:p w14:paraId="4D1785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10A8B1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200</w:t>
                  </w:r>
                </w:p>
              </w:tc>
              <w:tc>
                <w:tcPr>
                  <w:tcW w:w="2603" w:type="pct"/>
                  <w:gridSpan w:val="2"/>
                  <w:vMerge w:val="continue"/>
                  <w:tcBorders>
                    <w:left w:val="single" w:color="000000" w:sz="4" w:space="0"/>
                    <w:right w:val="single" w:color="000000" w:sz="4" w:space="0"/>
                  </w:tcBorders>
                  <w:shd w:val="clear" w:color="auto" w:fill="auto"/>
                  <w:noWrap/>
                  <w:vAlign w:val="center"/>
                </w:tcPr>
                <w:p w14:paraId="7393EE8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2870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09697A8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25DBB48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隔离纸</w:t>
                  </w:r>
                </w:p>
              </w:tc>
              <w:tc>
                <w:tcPr>
                  <w:tcW w:w="620" w:type="pct"/>
                  <w:vMerge w:val="continue"/>
                  <w:tcBorders>
                    <w:left w:val="single" w:color="000000" w:sz="4" w:space="0"/>
                    <w:right w:val="single" w:color="000000" w:sz="4" w:space="0"/>
                  </w:tcBorders>
                  <w:shd w:val="clear" w:color="auto" w:fill="auto"/>
                  <w:noWrap/>
                  <w:vAlign w:val="center"/>
                </w:tcPr>
                <w:p w14:paraId="1B9E8540">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D199FE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2603" w:type="pct"/>
                  <w:gridSpan w:val="2"/>
                  <w:vMerge w:val="continue"/>
                  <w:tcBorders>
                    <w:left w:val="single" w:color="000000" w:sz="4" w:space="0"/>
                    <w:right w:val="single" w:color="000000" w:sz="4" w:space="0"/>
                  </w:tcBorders>
                  <w:shd w:val="clear" w:color="auto" w:fill="auto"/>
                  <w:noWrap/>
                  <w:vAlign w:val="center"/>
                </w:tcPr>
                <w:p w14:paraId="703A731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1AC6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bottom w:val="single" w:color="auto" w:sz="4" w:space="0"/>
                    <w:right w:val="single" w:color="auto" w:sz="4" w:space="0"/>
                  </w:tcBorders>
                  <w:shd w:val="clear" w:color="auto" w:fill="auto"/>
                  <w:noWrap/>
                  <w:vAlign w:val="center"/>
                </w:tcPr>
                <w:p w14:paraId="46EA20D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000000" w:sz="4" w:space="0"/>
                    <w:left w:val="single" w:color="auto" w:sz="4" w:space="0"/>
                    <w:bottom w:val="single" w:color="auto" w:sz="4" w:space="0"/>
                    <w:right w:val="single" w:color="000000" w:sz="4" w:space="0"/>
                  </w:tcBorders>
                  <w:shd w:val="clear" w:color="auto" w:fill="auto"/>
                  <w:noWrap/>
                  <w:vAlign w:val="center"/>
                </w:tcPr>
                <w:p w14:paraId="749BD06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矿物油</w:t>
                  </w:r>
                </w:p>
              </w:tc>
              <w:tc>
                <w:tcPr>
                  <w:tcW w:w="620" w:type="pct"/>
                  <w:vMerge w:val="continue"/>
                  <w:tcBorders>
                    <w:left w:val="single" w:color="000000" w:sz="4" w:space="0"/>
                    <w:bottom w:val="single" w:color="auto" w:sz="4" w:space="0"/>
                    <w:right w:val="single" w:color="000000" w:sz="4" w:space="0"/>
                  </w:tcBorders>
                  <w:shd w:val="clear" w:color="auto" w:fill="auto"/>
                  <w:noWrap/>
                  <w:vAlign w:val="center"/>
                </w:tcPr>
                <w:p w14:paraId="7FF0606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8BE41A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0.25</w:t>
                  </w:r>
                </w:p>
              </w:tc>
              <w:tc>
                <w:tcPr>
                  <w:tcW w:w="2603" w:type="pct"/>
                  <w:gridSpan w:val="2"/>
                  <w:vMerge w:val="continue"/>
                  <w:tcBorders>
                    <w:left w:val="single" w:color="000000" w:sz="4" w:space="0"/>
                    <w:bottom w:val="single" w:color="auto" w:sz="4" w:space="0"/>
                    <w:right w:val="single" w:color="000000" w:sz="4" w:space="0"/>
                  </w:tcBorders>
                  <w:shd w:val="clear" w:color="auto" w:fill="auto"/>
                  <w:noWrap/>
                  <w:vAlign w:val="center"/>
                </w:tcPr>
                <w:p w14:paraId="6D0280E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6B54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33CE5B8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高硼硅玻璃制品原料</w:t>
                  </w:r>
                </w:p>
              </w:tc>
            </w:tr>
            <w:tr w14:paraId="6202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831DA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产品名称</w:t>
                  </w: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BC484F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原料名称</w:t>
                  </w:r>
                </w:p>
              </w:tc>
              <w:tc>
                <w:tcPr>
                  <w:tcW w:w="62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55CB5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用量t</w:t>
                  </w: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4D7E3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最大暂存量t</w:t>
                  </w:r>
                </w:p>
              </w:tc>
              <w:tc>
                <w:tcPr>
                  <w:tcW w:w="166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341CE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b/>
                      <w:bCs/>
                      <w:spacing w:val="6"/>
                      <w:sz w:val="21"/>
                      <w:szCs w:val="21"/>
                      <w:lang w:val="en-US" w:eastAsia="zh-CN"/>
                    </w:rPr>
                    <w:t>运输、贮存情况</w:t>
                  </w: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C4D8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备注</w:t>
                  </w:r>
                </w:p>
              </w:tc>
            </w:tr>
            <w:tr w14:paraId="6454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restart"/>
                  <w:tcBorders>
                    <w:top w:val="single" w:color="auto" w:sz="4" w:space="0"/>
                    <w:left w:val="single" w:color="auto" w:sz="4" w:space="0"/>
                    <w:right w:val="single" w:color="auto" w:sz="4" w:space="0"/>
                  </w:tcBorders>
                  <w:shd w:val="clear" w:color="auto" w:fill="auto"/>
                  <w:noWrap/>
                  <w:vAlign w:val="center"/>
                </w:tcPr>
                <w:p w14:paraId="1E94ED5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玻璃制品</w:t>
                  </w: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64424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石英砂</w:t>
                  </w:r>
                </w:p>
              </w:tc>
              <w:tc>
                <w:tcPr>
                  <w:tcW w:w="620" w:type="pct"/>
                  <w:vMerge w:val="restart"/>
                  <w:tcBorders>
                    <w:top w:val="single" w:color="auto" w:sz="4" w:space="0"/>
                    <w:left w:val="single" w:color="auto" w:sz="4" w:space="0"/>
                    <w:right w:val="single" w:color="auto" w:sz="4" w:space="0"/>
                  </w:tcBorders>
                  <w:shd w:val="clear" w:color="auto" w:fill="auto"/>
                  <w:noWrap/>
                  <w:vAlign w:val="center"/>
                </w:tcPr>
                <w:p w14:paraId="30B1694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w:t>
                  </w: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56D6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2603" w:type="pct"/>
                  <w:gridSpan w:val="2"/>
                  <w:vMerge w:val="restart"/>
                  <w:tcBorders>
                    <w:top w:val="single" w:color="auto" w:sz="4" w:space="0"/>
                    <w:left w:val="single" w:color="auto" w:sz="4" w:space="0"/>
                    <w:right w:val="single" w:color="auto" w:sz="4" w:space="0"/>
                  </w:tcBorders>
                  <w:shd w:val="clear" w:color="auto" w:fill="auto"/>
                  <w:noWrap/>
                  <w:vAlign w:val="center"/>
                </w:tcPr>
                <w:p w14:paraId="45CB579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r>
                    <w:rPr>
                      <w:rFonts w:hint="eastAsia" w:ascii="Times New Roman" w:hAnsi="Times New Roman" w:cs="Times New Roman"/>
                      <w:spacing w:val="6"/>
                      <w:sz w:val="21"/>
                      <w:szCs w:val="21"/>
                      <w:lang w:val="en-US" w:eastAsia="zh-CN"/>
                    </w:rPr>
                    <w:t>*</w:t>
                  </w:r>
                </w:p>
              </w:tc>
            </w:tr>
            <w:tr w14:paraId="25B2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2913731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4B653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硼砂</w:t>
                  </w:r>
                </w:p>
              </w:tc>
              <w:tc>
                <w:tcPr>
                  <w:tcW w:w="620" w:type="pct"/>
                  <w:vMerge w:val="continue"/>
                  <w:tcBorders>
                    <w:left w:val="single" w:color="auto" w:sz="4" w:space="0"/>
                    <w:right w:val="single" w:color="auto" w:sz="4" w:space="0"/>
                  </w:tcBorders>
                  <w:shd w:val="clear" w:color="auto" w:fill="auto"/>
                  <w:noWrap/>
                  <w:vAlign w:val="center"/>
                </w:tcPr>
                <w:p w14:paraId="44E4E6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631D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2603" w:type="pct"/>
                  <w:gridSpan w:val="2"/>
                  <w:vMerge w:val="continue"/>
                  <w:tcBorders>
                    <w:left w:val="single" w:color="auto" w:sz="4" w:space="0"/>
                    <w:right w:val="single" w:color="auto" w:sz="4" w:space="0"/>
                  </w:tcBorders>
                  <w:shd w:val="clear" w:color="auto" w:fill="auto"/>
                  <w:noWrap/>
                  <w:vAlign w:val="center"/>
                </w:tcPr>
                <w:p w14:paraId="6775285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3C37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2BCDD564">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1720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硼酸</w:t>
                  </w:r>
                </w:p>
              </w:tc>
              <w:tc>
                <w:tcPr>
                  <w:tcW w:w="620" w:type="pct"/>
                  <w:vMerge w:val="continue"/>
                  <w:tcBorders>
                    <w:left w:val="single" w:color="auto" w:sz="4" w:space="0"/>
                    <w:right w:val="single" w:color="auto" w:sz="4" w:space="0"/>
                  </w:tcBorders>
                  <w:shd w:val="clear" w:color="auto" w:fill="auto"/>
                  <w:noWrap/>
                  <w:vAlign w:val="center"/>
                </w:tcPr>
                <w:p w14:paraId="568210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66DBC">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w:t>
                  </w:r>
                </w:p>
              </w:tc>
              <w:tc>
                <w:tcPr>
                  <w:tcW w:w="2603" w:type="pct"/>
                  <w:gridSpan w:val="2"/>
                  <w:vMerge w:val="continue"/>
                  <w:tcBorders>
                    <w:left w:val="single" w:color="auto" w:sz="4" w:space="0"/>
                    <w:right w:val="single" w:color="auto" w:sz="4" w:space="0"/>
                  </w:tcBorders>
                  <w:shd w:val="clear" w:color="auto" w:fill="auto"/>
                  <w:noWrap/>
                  <w:vAlign w:val="center"/>
                </w:tcPr>
                <w:p w14:paraId="252FACE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011D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08A335D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FB2EA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氢氧化铝</w:t>
                  </w:r>
                </w:p>
              </w:tc>
              <w:tc>
                <w:tcPr>
                  <w:tcW w:w="620" w:type="pct"/>
                  <w:vMerge w:val="continue"/>
                  <w:tcBorders>
                    <w:left w:val="single" w:color="auto" w:sz="4" w:space="0"/>
                    <w:right w:val="single" w:color="auto" w:sz="4" w:space="0"/>
                  </w:tcBorders>
                  <w:shd w:val="clear" w:color="auto" w:fill="auto"/>
                  <w:noWrap/>
                  <w:vAlign w:val="center"/>
                </w:tcPr>
                <w:p w14:paraId="0886B2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ECE49B">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w:t>
                  </w:r>
                </w:p>
              </w:tc>
              <w:tc>
                <w:tcPr>
                  <w:tcW w:w="2603" w:type="pct"/>
                  <w:gridSpan w:val="2"/>
                  <w:vMerge w:val="continue"/>
                  <w:tcBorders>
                    <w:left w:val="single" w:color="auto" w:sz="4" w:space="0"/>
                    <w:right w:val="single" w:color="auto" w:sz="4" w:space="0"/>
                  </w:tcBorders>
                  <w:shd w:val="clear" w:color="auto" w:fill="auto"/>
                  <w:noWrap/>
                  <w:vAlign w:val="center"/>
                </w:tcPr>
                <w:p w14:paraId="3086016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7F56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4101296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F7BC9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食盐</w:t>
                  </w:r>
                </w:p>
              </w:tc>
              <w:tc>
                <w:tcPr>
                  <w:tcW w:w="620" w:type="pct"/>
                  <w:vMerge w:val="continue"/>
                  <w:tcBorders>
                    <w:left w:val="single" w:color="auto" w:sz="4" w:space="0"/>
                    <w:right w:val="single" w:color="auto" w:sz="4" w:space="0"/>
                  </w:tcBorders>
                  <w:shd w:val="clear" w:color="auto" w:fill="auto"/>
                  <w:noWrap/>
                  <w:vAlign w:val="center"/>
                </w:tcPr>
                <w:p w14:paraId="1E362C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BA3D9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0.25</w:t>
                  </w:r>
                </w:p>
              </w:tc>
              <w:tc>
                <w:tcPr>
                  <w:tcW w:w="2603" w:type="pct"/>
                  <w:gridSpan w:val="2"/>
                  <w:vMerge w:val="continue"/>
                  <w:tcBorders>
                    <w:left w:val="single" w:color="auto" w:sz="4" w:space="0"/>
                    <w:right w:val="single" w:color="auto" w:sz="4" w:space="0"/>
                  </w:tcBorders>
                  <w:shd w:val="clear" w:color="auto" w:fill="auto"/>
                  <w:noWrap/>
                  <w:vAlign w:val="center"/>
                </w:tcPr>
                <w:p w14:paraId="453A37C3">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340D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02D29AA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2B7CA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碎玻璃</w:t>
                  </w:r>
                </w:p>
              </w:tc>
              <w:tc>
                <w:tcPr>
                  <w:tcW w:w="620" w:type="pct"/>
                  <w:vMerge w:val="continue"/>
                  <w:tcBorders>
                    <w:left w:val="single" w:color="auto" w:sz="4" w:space="0"/>
                    <w:right w:val="single" w:color="auto" w:sz="4" w:space="0"/>
                  </w:tcBorders>
                  <w:shd w:val="clear" w:color="auto" w:fill="auto"/>
                  <w:noWrap/>
                  <w:vAlign w:val="center"/>
                </w:tcPr>
                <w:p w14:paraId="49A673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C146EC">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7.5</w:t>
                  </w:r>
                </w:p>
              </w:tc>
              <w:tc>
                <w:tcPr>
                  <w:tcW w:w="2603" w:type="pct"/>
                  <w:gridSpan w:val="2"/>
                  <w:vMerge w:val="continue"/>
                  <w:tcBorders>
                    <w:left w:val="single" w:color="auto" w:sz="4" w:space="0"/>
                    <w:right w:val="single" w:color="auto" w:sz="4" w:space="0"/>
                  </w:tcBorders>
                  <w:shd w:val="clear" w:color="auto" w:fill="auto"/>
                  <w:noWrap/>
                  <w:vAlign w:val="center"/>
                </w:tcPr>
                <w:p w14:paraId="5270F88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2820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0" w:type="pct"/>
                  <w:vMerge w:val="continue"/>
                  <w:tcBorders>
                    <w:left w:val="single" w:color="auto" w:sz="4" w:space="0"/>
                    <w:right w:val="single" w:color="auto" w:sz="4" w:space="0"/>
                  </w:tcBorders>
                  <w:shd w:val="clear" w:color="auto" w:fill="auto"/>
                  <w:noWrap/>
                  <w:vAlign w:val="center"/>
                </w:tcPr>
                <w:p w14:paraId="3665AE7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3ACD10">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隔离纸</w:t>
                  </w:r>
                </w:p>
              </w:tc>
              <w:tc>
                <w:tcPr>
                  <w:tcW w:w="620" w:type="pct"/>
                  <w:vMerge w:val="continue"/>
                  <w:tcBorders>
                    <w:left w:val="single" w:color="auto" w:sz="4" w:space="0"/>
                    <w:right w:val="single" w:color="auto" w:sz="4" w:space="0"/>
                  </w:tcBorders>
                  <w:shd w:val="clear" w:color="auto" w:fill="auto"/>
                  <w:noWrap/>
                  <w:vAlign w:val="center"/>
                </w:tcPr>
                <w:p w14:paraId="119E1D1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4E8EEC">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2</w:t>
                  </w:r>
                </w:p>
              </w:tc>
              <w:tc>
                <w:tcPr>
                  <w:tcW w:w="2603" w:type="pct"/>
                  <w:gridSpan w:val="2"/>
                  <w:vMerge w:val="continue"/>
                  <w:tcBorders>
                    <w:left w:val="single" w:color="auto" w:sz="4" w:space="0"/>
                    <w:right w:val="single" w:color="auto" w:sz="4" w:space="0"/>
                  </w:tcBorders>
                  <w:shd w:val="clear" w:color="auto" w:fill="auto"/>
                  <w:noWrap/>
                  <w:vAlign w:val="center"/>
                </w:tcPr>
                <w:p w14:paraId="7181B53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r w14:paraId="5A47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20" w:type="pct"/>
                  <w:vMerge w:val="continue"/>
                  <w:tcBorders>
                    <w:left w:val="single" w:color="auto" w:sz="4" w:space="0"/>
                    <w:bottom w:val="single" w:color="auto" w:sz="4" w:space="0"/>
                    <w:right w:val="single" w:color="auto" w:sz="4" w:space="0"/>
                  </w:tcBorders>
                  <w:shd w:val="clear" w:color="auto" w:fill="auto"/>
                  <w:noWrap/>
                  <w:vAlign w:val="center"/>
                </w:tcPr>
                <w:p w14:paraId="43F259A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p>
              </w:tc>
              <w:tc>
                <w:tcPr>
                  <w:tcW w:w="6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363A0D">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矿物油</w:t>
                  </w:r>
                </w:p>
              </w:tc>
              <w:tc>
                <w:tcPr>
                  <w:tcW w:w="620" w:type="pct"/>
                  <w:vMerge w:val="continue"/>
                  <w:tcBorders>
                    <w:left w:val="single" w:color="auto" w:sz="4" w:space="0"/>
                    <w:bottom w:val="single" w:color="auto" w:sz="4" w:space="0"/>
                    <w:right w:val="single" w:color="auto" w:sz="4" w:space="0"/>
                  </w:tcBorders>
                  <w:shd w:val="clear" w:color="auto" w:fill="auto"/>
                  <w:noWrap/>
                  <w:vAlign w:val="center"/>
                </w:tcPr>
                <w:p w14:paraId="7F25EB9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FF633">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.1</w:t>
                  </w:r>
                  <w:r>
                    <w:rPr>
                      <w:rFonts w:hint="eastAsia" w:ascii="Times New Roman" w:hAnsi="Times New Roman" w:cs="Times New Roman"/>
                      <w:i w:val="0"/>
                      <w:iCs w:val="0"/>
                      <w:color w:val="000000"/>
                      <w:kern w:val="0"/>
                      <w:sz w:val="21"/>
                      <w:szCs w:val="21"/>
                      <w:u w:val="none"/>
                      <w:lang w:val="en-US" w:eastAsia="zh-CN" w:bidi="ar"/>
                    </w:rPr>
                    <w:t>5</w:t>
                  </w:r>
                </w:p>
              </w:tc>
              <w:tc>
                <w:tcPr>
                  <w:tcW w:w="2603" w:type="pct"/>
                  <w:gridSpan w:val="2"/>
                  <w:vMerge w:val="continue"/>
                  <w:tcBorders>
                    <w:left w:val="single" w:color="auto" w:sz="4" w:space="0"/>
                    <w:bottom w:val="single" w:color="auto" w:sz="4" w:space="0"/>
                    <w:right w:val="single" w:color="auto" w:sz="4" w:space="0"/>
                  </w:tcBorders>
                  <w:shd w:val="clear" w:color="auto" w:fill="auto"/>
                  <w:noWrap/>
                  <w:vAlign w:val="center"/>
                </w:tcPr>
                <w:p w14:paraId="6199260B">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ascii="Times New Roman" w:hAnsi="Times New Roman" w:cs="Times New Roman"/>
                      <w:spacing w:val="6"/>
                      <w:sz w:val="21"/>
                      <w:szCs w:val="21"/>
                      <w:lang w:val="en-US" w:eastAsia="zh-CN"/>
                    </w:rPr>
                  </w:pPr>
                </w:p>
              </w:tc>
            </w:tr>
          </w:tbl>
          <w:p w14:paraId="45B41621">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left"/>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主要原辅材料介绍： </w:t>
            </w:r>
          </w:p>
          <w:p w14:paraId="023E28E2">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bCs/>
                <w:color w:val="000000"/>
                <w:kern w:val="0"/>
                <w:sz w:val="24"/>
                <w:szCs w:val="24"/>
                <w:lang w:val="en-US" w:eastAsia="zh-CN" w:bidi="ar"/>
              </w:rPr>
            </w:pPr>
            <w:r>
              <w:rPr>
                <w:rFonts w:hint="eastAsia" w:ascii="Times New Roman" w:hAnsi="Times New Roman" w:eastAsia="宋体" w:cs="Times New Roman"/>
                <w:b/>
                <w:sz w:val="24"/>
                <w:szCs w:val="24"/>
                <w:lang w:val="en-US" w:eastAsia="zh-CN"/>
              </w:rPr>
              <w:t>表</w:t>
            </w:r>
            <w:r>
              <w:rPr>
                <w:rFonts w:hint="default" w:ascii="Times New Roman" w:hAnsi="Times New Roman" w:eastAsia="宋体" w:cs="Times New Roman"/>
                <w:b/>
                <w:sz w:val="24"/>
                <w:szCs w:val="24"/>
                <w:lang w:val="en-US" w:eastAsia="zh-CN"/>
              </w:rPr>
              <w:t>2-</w:t>
            </w:r>
            <w:r>
              <w:rPr>
                <w:rFonts w:hint="eastAsia" w:cs="Times New Roman"/>
                <w:b/>
                <w:sz w:val="24"/>
                <w:szCs w:val="24"/>
                <w:lang w:val="en-US" w:eastAsia="zh-CN"/>
              </w:rPr>
              <w:t>9</w:t>
            </w:r>
            <w:r>
              <w:rPr>
                <w:rFonts w:hint="default" w:ascii="Times New Roman" w:hAnsi="Times New Roman" w:eastAsia="宋体" w:cs="Times New Roman"/>
                <w:b/>
                <w:sz w:val="24"/>
                <w:szCs w:val="24"/>
                <w:lang w:val="en-US" w:eastAsia="zh-CN"/>
              </w:rPr>
              <w:t xml:space="preserve"> </w:t>
            </w:r>
            <w:r>
              <w:rPr>
                <w:rFonts w:hint="eastAsia" w:cs="Times New Roman"/>
                <w:b/>
                <w:sz w:val="24"/>
                <w:szCs w:val="24"/>
                <w:lang w:val="en-US" w:eastAsia="zh-CN"/>
              </w:rPr>
              <w:t>原辅料理化特性表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31"/>
              <w:gridCol w:w="4559"/>
              <w:gridCol w:w="1620"/>
            </w:tblGrid>
            <w:tr w14:paraId="14BD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29" w:type="pct"/>
                  <w:noWrap w:val="0"/>
                  <w:vAlign w:val="center"/>
                </w:tcPr>
                <w:p w14:paraId="326CE26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序号</w:t>
                  </w:r>
                </w:p>
              </w:tc>
              <w:tc>
                <w:tcPr>
                  <w:tcW w:w="759" w:type="pct"/>
                  <w:noWrap w:val="0"/>
                  <w:vAlign w:val="center"/>
                </w:tcPr>
                <w:p w14:paraId="1764C13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物质名称</w:t>
                  </w:r>
                </w:p>
              </w:tc>
              <w:tc>
                <w:tcPr>
                  <w:tcW w:w="2811" w:type="pct"/>
                  <w:noWrap w:val="0"/>
                  <w:vAlign w:val="center"/>
                </w:tcPr>
                <w:p w14:paraId="0313144F">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理化特性</w:t>
                  </w:r>
                </w:p>
              </w:tc>
              <w:tc>
                <w:tcPr>
                  <w:tcW w:w="999" w:type="pct"/>
                  <w:noWrap w:val="0"/>
                  <w:vAlign w:val="center"/>
                </w:tcPr>
                <w:p w14:paraId="4244631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pacing w:val="6"/>
                      <w:sz w:val="21"/>
                      <w:szCs w:val="21"/>
                      <w:lang w:val="en-US" w:eastAsia="zh-CN"/>
                    </w:rPr>
                  </w:pPr>
                  <w:r>
                    <w:rPr>
                      <w:rFonts w:hint="default" w:ascii="Times New Roman" w:hAnsi="Times New Roman" w:cs="Times New Roman"/>
                      <w:b/>
                      <w:bCs/>
                      <w:spacing w:val="6"/>
                      <w:sz w:val="21"/>
                      <w:szCs w:val="21"/>
                      <w:lang w:val="en-US" w:eastAsia="zh-CN"/>
                    </w:rPr>
                    <w:t>毒理性质</w:t>
                  </w:r>
                </w:p>
              </w:tc>
            </w:tr>
            <w:tr w14:paraId="344D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9" w:type="pct"/>
                  <w:noWrap w:val="0"/>
                  <w:vAlign w:val="center"/>
                </w:tcPr>
                <w:p w14:paraId="451C1C31">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1</w:t>
                  </w:r>
                </w:p>
              </w:tc>
              <w:tc>
                <w:tcPr>
                  <w:tcW w:w="759" w:type="pct"/>
                  <w:noWrap w:val="0"/>
                  <w:vAlign w:val="center"/>
                </w:tcPr>
                <w:p w14:paraId="0352676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氢氧化铝</w:t>
                  </w:r>
                </w:p>
              </w:tc>
              <w:tc>
                <w:tcPr>
                  <w:tcW w:w="2811" w:type="pct"/>
                  <w:noWrap w:val="0"/>
                  <w:vAlign w:val="center"/>
                </w:tcPr>
                <w:p w14:paraId="40675C62">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氢氧化铝（Aluminium hydroxide），化学式Al（OH）</w:t>
                  </w:r>
                  <w:r>
                    <w:rPr>
                      <w:rFonts w:hint="default" w:ascii="Times New Roman" w:hAnsi="Times New Roman" w:cs="Times New Roman"/>
                      <w:spacing w:val="6"/>
                      <w:sz w:val="21"/>
                      <w:szCs w:val="21"/>
                      <w:vertAlign w:val="subscript"/>
                      <w:lang w:val="en-US" w:eastAsia="zh-CN"/>
                    </w:rPr>
                    <w:t>3</w:t>
                  </w:r>
                  <w:r>
                    <w:rPr>
                      <w:rFonts w:hint="default" w:ascii="Times New Roman" w:hAnsi="Times New Roman" w:cs="Times New Roman"/>
                      <w:spacing w:val="6"/>
                      <w:sz w:val="21"/>
                      <w:szCs w:val="21"/>
                      <w:lang w:val="en-US" w:eastAsia="zh-CN"/>
                    </w:rPr>
                    <w:t>，是铝的氢氧化物。白色固体，熔点300℃（失去水），密度2.4，分子量78。</w:t>
                  </w:r>
                </w:p>
              </w:tc>
              <w:tc>
                <w:tcPr>
                  <w:tcW w:w="999" w:type="pct"/>
                  <w:noWrap w:val="0"/>
                  <w:vAlign w:val="center"/>
                </w:tcPr>
                <w:p w14:paraId="431ED7BE">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LD</w:t>
                  </w:r>
                  <w:r>
                    <w:rPr>
                      <w:rFonts w:hint="default" w:ascii="Times New Roman" w:hAnsi="Times New Roman" w:cs="Times New Roman"/>
                      <w:spacing w:val="6"/>
                      <w:sz w:val="21"/>
                      <w:szCs w:val="21"/>
                      <w:vertAlign w:val="subscript"/>
                      <w:lang w:val="en-US" w:eastAsia="zh-CN"/>
                    </w:rPr>
                    <w:t>50</w:t>
                  </w:r>
                  <w:r>
                    <w:rPr>
                      <w:rFonts w:hint="default" w:ascii="Times New Roman" w:hAnsi="Times New Roman" w:cs="Times New Roman"/>
                      <w:spacing w:val="6"/>
                      <w:sz w:val="21"/>
                      <w:szCs w:val="21"/>
                      <w:lang w:val="en-US" w:eastAsia="zh-CN"/>
                    </w:rPr>
                    <w:t>：无资料</w:t>
                  </w:r>
                </w:p>
                <w:p w14:paraId="78088B0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LC</w:t>
                  </w:r>
                  <w:r>
                    <w:rPr>
                      <w:rFonts w:hint="default" w:ascii="Times New Roman" w:hAnsi="Times New Roman" w:cs="Times New Roman"/>
                      <w:spacing w:val="6"/>
                      <w:sz w:val="21"/>
                      <w:szCs w:val="21"/>
                      <w:vertAlign w:val="subscript"/>
                      <w:lang w:val="en-US" w:eastAsia="zh-CN"/>
                    </w:rPr>
                    <w:t>50</w:t>
                  </w:r>
                  <w:r>
                    <w:rPr>
                      <w:rFonts w:hint="default" w:ascii="Times New Roman" w:hAnsi="Times New Roman" w:cs="Times New Roman"/>
                      <w:spacing w:val="6"/>
                      <w:sz w:val="21"/>
                      <w:szCs w:val="21"/>
                      <w:lang w:val="en-US" w:eastAsia="zh-CN"/>
                    </w:rPr>
                    <w:t>：无资料</w:t>
                  </w:r>
                </w:p>
              </w:tc>
            </w:tr>
            <w:tr w14:paraId="25A3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9" w:type="pct"/>
                  <w:noWrap w:val="0"/>
                  <w:vAlign w:val="center"/>
                </w:tcPr>
                <w:p w14:paraId="3D76DF77">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2</w:t>
                  </w:r>
                </w:p>
              </w:tc>
              <w:tc>
                <w:tcPr>
                  <w:tcW w:w="759" w:type="pct"/>
                  <w:noWrap w:val="0"/>
                  <w:vAlign w:val="center"/>
                </w:tcPr>
                <w:p w14:paraId="1B1B41B6">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硼酸</w:t>
                  </w:r>
                </w:p>
              </w:tc>
              <w:tc>
                <w:tcPr>
                  <w:tcW w:w="2811" w:type="pct"/>
                  <w:noWrap w:val="0"/>
                  <w:vAlign w:val="center"/>
                </w:tcPr>
                <w:p w14:paraId="4FE2803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溶解性：硼酸能溶于冷水、沸水、乙醇、甘油和乙醚，微溶于丙酮。</w:t>
                  </w:r>
                </w:p>
                <w:p w14:paraId="68372F3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毒性：硼酸有毒，内服严重时导致死亡，致死最低量：成人口服640mg/kg，皮肤8.6g/kg，静脉内29mg/kg；婴儿口服200mg/kg。刺激性：硼酸对皮肤有刺激性，空气中最高容许浓度为10mg/m</w:t>
                  </w:r>
                  <w:r>
                    <w:rPr>
                      <w:rFonts w:hint="default" w:ascii="Times New Roman" w:hAnsi="Times New Roman" w:cs="Times New Roman"/>
                      <w:spacing w:val="6"/>
                      <w:sz w:val="21"/>
                      <w:szCs w:val="21"/>
                      <w:vertAlign w:val="superscript"/>
                      <w:lang w:val="en-US" w:eastAsia="zh-CN"/>
                    </w:rPr>
                    <w:t>3</w:t>
                  </w:r>
                </w:p>
              </w:tc>
              <w:tc>
                <w:tcPr>
                  <w:tcW w:w="999" w:type="pct"/>
                  <w:noWrap w:val="0"/>
                  <w:vAlign w:val="center"/>
                </w:tcPr>
                <w:p w14:paraId="7FFF7CD9">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口服-大鼠LD</w:t>
                  </w:r>
                  <w:r>
                    <w:rPr>
                      <w:rFonts w:hint="default" w:ascii="Times New Roman" w:hAnsi="Times New Roman" w:cs="Times New Roman"/>
                      <w:spacing w:val="6"/>
                      <w:sz w:val="21"/>
                      <w:szCs w:val="21"/>
                      <w:vertAlign w:val="subscript"/>
                      <w:lang w:val="en-US" w:eastAsia="zh-CN"/>
                    </w:rPr>
                    <w:t>50</w:t>
                  </w:r>
                  <w:r>
                    <w:rPr>
                      <w:rFonts w:hint="default" w:ascii="Times New Roman" w:hAnsi="Times New Roman" w:cs="Times New Roman"/>
                      <w:spacing w:val="6"/>
                      <w:sz w:val="21"/>
                      <w:szCs w:val="21"/>
                      <w:lang w:val="en-US" w:eastAsia="zh-CN"/>
                    </w:rPr>
                    <w:t>：2660毫克/公斤；口服-小鼠LD</w:t>
                  </w:r>
                  <w:r>
                    <w:rPr>
                      <w:rFonts w:hint="default" w:ascii="Times New Roman" w:hAnsi="Times New Roman" w:cs="Times New Roman"/>
                      <w:spacing w:val="6"/>
                      <w:sz w:val="21"/>
                      <w:szCs w:val="21"/>
                      <w:vertAlign w:val="subscript"/>
                      <w:lang w:val="en-US" w:eastAsia="zh-CN"/>
                    </w:rPr>
                    <w:t>50</w:t>
                  </w:r>
                  <w:r>
                    <w:rPr>
                      <w:rFonts w:hint="default" w:ascii="Times New Roman" w:hAnsi="Times New Roman" w:cs="Times New Roman"/>
                      <w:spacing w:val="6"/>
                      <w:sz w:val="21"/>
                      <w:szCs w:val="21"/>
                      <w:lang w:val="en-US" w:eastAsia="zh-CN"/>
                    </w:rPr>
                    <w:t>：3450毫克/公斤</w:t>
                  </w:r>
                </w:p>
              </w:tc>
            </w:tr>
            <w:tr w14:paraId="2C87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9" w:type="pct"/>
                  <w:noWrap w:val="0"/>
                  <w:vAlign w:val="center"/>
                </w:tcPr>
                <w:p w14:paraId="0524B1CA">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3</w:t>
                  </w:r>
                </w:p>
              </w:tc>
              <w:tc>
                <w:tcPr>
                  <w:tcW w:w="759" w:type="pct"/>
                  <w:noWrap w:val="0"/>
                  <w:vAlign w:val="center"/>
                </w:tcPr>
                <w:p w14:paraId="0CEBE5E8">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硼砂</w:t>
                  </w:r>
                </w:p>
              </w:tc>
              <w:tc>
                <w:tcPr>
                  <w:tcW w:w="2811" w:type="pct"/>
                  <w:noWrap w:val="0"/>
                  <w:vAlign w:val="center"/>
                </w:tcPr>
                <w:p w14:paraId="625FD02C">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化学式：硼砂的化学式为Na</w:t>
                  </w:r>
                  <w:r>
                    <w:rPr>
                      <w:rFonts w:hint="default" w:ascii="Times New Roman" w:hAnsi="Times New Roman" w:cs="Times New Roman"/>
                      <w:spacing w:val="6"/>
                      <w:sz w:val="21"/>
                      <w:szCs w:val="21"/>
                      <w:vertAlign w:val="subscript"/>
                      <w:lang w:val="en-US" w:eastAsia="zh-CN"/>
                    </w:rPr>
                    <w:t>2</w:t>
                  </w:r>
                  <w:r>
                    <w:rPr>
                      <w:rFonts w:hint="default" w:ascii="Times New Roman" w:hAnsi="Times New Roman" w:cs="Times New Roman"/>
                      <w:spacing w:val="6"/>
                      <w:sz w:val="21"/>
                      <w:szCs w:val="21"/>
                      <w:lang w:val="en-US" w:eastAsia="zh-CN"/>
                    </w:rPr>
                    <w:t>B</w:t>
                  </w:r>
                  <w:r>
                    <w:rPr>
                      <w:rFonts w:hint="default" w:ascii="Times New Roman" w:hAnsi="Times New Roman" w:cs="Times New Roman"/>
                      <w:spacing w:val="6"/>
                      <w:sz w:val="21"/>
                      <w:szCs w:val="21"/>
                      <w:vertAlign w:val="subscript"/>
                      <w:lang w:val="en-US" w:eastAsia="zh-CN"/>
                    </w:rPr>
                    <w:t>4</w:t>
                  </w:r>
                  <w:r>
                    <w:rPr>
                      <w:rFonts w:hint="default" w:ascii="Times New Roman" w:hAnsi="Times New Roman" w:cs="Times New Roman"/>
                      <w:spacing w:val="6"/>
                      <w:sz w:val="21"/>
                      <w:szCs w:val="21"/>
                      <w:lang w:val="en-US" w:eastAsia="zh-CN"/>
                    </w:rPr>
                    <w:t>O</w:t>
                  </w:r>
                  <w:r>
                    <w:rPr>
                      <w:rFonts w:hint="default" w:ascii="Times New Roman" w:hAnsi="Times New Roman" w:cs="Times New Roman"/>
                      <w:spacing w:val="6"/>
                      <w:sz w:val="21"/>
                      <w:szCs w:val="21"/>
                      <w:vertAlign w:val="subscript"/>
                      <w:lang w:val="en-US" w:eastAsia="zh-CN"/>
                    </w:rPr>
                    <w:t>7</w:t>
                  </w:r>
                  <w:r>
                    <w:rPr>
                      <w:rFonts w:hint="default" w:ascii="Times New Roman" w:hAnsi="Times New Roman" w:cs="Times New Roman"/>
                      <w:spacing w:val="6"/>
                      <w:sz w:val="21"/>
                      <w:szCs w:val="21"/>
                      <w:lang w:val="en-US" w:eastAsia="zh-CN"/>
                    </w:rPr>
                    <w:t>·10H</w:t>
                  </w:r>
                  <w:r>
                    <w:rPr>
                      <w:rFonts w:hint="default" w:ascii="Times New Roman" w:hAnsi="Times New Roman" w:cs="Times New Roman"/>
                      <w:spacing w:val="6"/>
                      <w:sz w:val="21"/>
                      <w:szCs w:val="21"/>
                      <w:vertAlign w:val="subscript"/>
                      <w:lang w:val="en-US" w:eastAsia="zh-CN"/>
                    </w:rPr>
                    <w:t>2</w:t>
                  </w:r>
                  <w:r>
                    <w:rPr>
                      <w:rFonts w:hint="default" w:ascii="Times New Roman" w:hAnsi="Times New Roman" w:cs="Times New Roman"/>
                      <w:spacing w:val="6"/>
                      <w:sz w:val="21"/>
                      <w:szCs w:val="21"/>
                      <w:lang w:val="en-US" w:eastAsia="zh-CN"/>
                    </w:rPr>
                    <w:t>O，其中包含钠、硼和氧元素，是一种硼酸盐矿物。分子量：硼砂的分子量为381.37。</w:t>
                  </w:r>
                </w:p>
                <w:p w14:paraId="037C86D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密度：在25°C时，硼砂的密度为1.73g/mL（液态）。熔点：硼砂的熔点较高，可达1750°C。溶解度：硼砂在冷水中的溶解度较低，但在热水中溶解度显著增加。例如，50°C时，硼砂的溶解度为10.6克/100克水。</w:t>
                  </w:r>
                </w:p>
              </w:tc>
              <w:tc>
                <w:tcPr>
                  <w:tcW w:w="999" w:type="pct"/>
                  <w:noWrap w:val="0"/>
                  <w:vAlign w:val="center"/>
                </w:tcPr>
                <w:p w14:paraId="27F05245">
                  <w:pPr>
                    <w:pStyle w:val="9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cs="Times New Roman"/>
                      <w:spacing w:val="6"/>
                      <w:sz w:val="21"/>
                      <w:szCs w:val="21"/>
                      <w:lang w:val="en-US" w:eastAsia="zh-CN"/>
                    </w:rPr>
                  </w:pPr>
                  <w:r>
                    <w:rPr>
                      <w:rFonts w:hint="default" w:ascii="Times New Roman" w:hAnsi="Times New Roman" w:cs="Times New Roman"/>
                      <w:spacing w:val="6"/>
                      <w:sz w:val="21"/>
                      <w:szCs w:val="21"/>
                      <w:lang w:val="en-US" w:eastAsia="zh-CN"/>
                    </w:rPr>
                    <w:t>口服-大鼠LD</w:t>
                  </w:r>
                  <w:r>
                    <w:rPr>
                      <w:rFonts w:hint="default" w:ascii="Times New Roman" w:hAnsi="Times New Roman" w:cs="Times New Roman"/>
                      <w:spacing w:val="6"/>
                      <w:sz w:val="21"/>
                      <w:szCs w:val="21"/>
                      <w:vertAlign w:val="subscript"/>
                      <w:lang w:val="en-US" w:eastAsia="zh-CN"/>
                    </w:rPr>
                    <w:t>50</w:t>
                  </w:r>
                  <w:r>
                    <w:rPr>
                      <w:rFonts w:hint="default" w:ascii="Times New Roman" w:hAnsi="Times New Roman" w:cs="Times New Roman"/>
                      <w:spacing w:val="6"/>
                      <w:sz w:val="21"/>
                      <w:szCs w:val="21"/>
                      <w:lang w:val="en-US" w:eastAsia="zh-CN"/>
                    </w:rPr>
                    <w:t>：2660毫克/公斤；口服-小鼠LD</w:t>
                  </w:r>
                  <w:r>
                    <w:rPr>
                      <w:rFonts w:hint="default" w:ascii="Times New Roman" w:hAnsi="Times New Roman" w:cs="Times New Roman"/>
                      <w:spacing w:val="6"/>
                      <w:sz w:val="21"/>
                      <w:szCs w:val="21"/>
                      <w:vertAlign w:val="subscript"/>
                      <w:lang w:val="en-US" w:eastAsia="zh-CN"/>
                    </w:rPr>
                    <w:t>50</w:t>
                  </w:r>
                  <w:r>
                    <w:rPr>
                      <w:rFonts w:hint="default" w:ascii="Times New Roman" w:hAnsi="Times New Roman" w:cs="Times New Roman"/>
                      <w:spacing w:val="6"/>
                      <w:sz w:val="21"/>
                      <w:szCs w:val="21"/>
                      <w:lang w:val="en-US" w:eastAsia="zh-CN"/>
                    </w:rPr>
                    <w:t>：2000毫克/公斤</w:t>
                  </w:r>
                </w:p>
              </w:tc>
            </w:tr>
          </w:tbl>
          <w:p w14:paraId="684FCEC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textAlignment w:val="auto"/>
              <w:rPr>
                <w:rFonts w:hint="default"/>
                <w:b/>
                <w:bCs/>
                <w:sz w:val="24"/>
                <w:szCs w:val="24"/>
              </w:rPr>
            </w:pPr>
            <w:r>
              <w:rPr>
                <w:rFonts w:hint="eastAsia"/>
                <w:b/>
                <w:bCs/>
                <w:sz w:val="24"/>
                <w:szCs w:val="24"/>
                <w:lang w:val="en-US" w:eastAsia="zh-CN"/>
              </w:rPr>
              <w:t>6</w:t>
            </w:r>
            <w:r>
              <w:rPr>
                <w:rFonts w:hint="eastAsia" w:cs="宋体"/>
                <w:b/>
                <w:bCs/>
                <w:sz w:val="24"/>
                <w:szCs w:val="24"/>
              </w:rPr>
              <w:t>、公用工程</w:t>
            </w:r>
          </w:p>
          <w:p w14:paraId="4BC8A46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sz w:val="24"/>
                <w:szCs w:val="24"/>
              </w:rPr>
            </w:pPr>
            <w:r>
              <w:rPr>
                <w:rFonts w:hint="eastAsia" w:cs="宋体"/>
                <w:sz w:val="24"/>
                <w:szCs w:val="24"/>
                <w:lang w:val="en-US" w:eastAsia="zh-CN"/>
              </w:rPr>
              <w:t>本</w:t>
            </w:r>
            <w:r>
              <w:rPr>
                <w:rFonts w:hint="eastAsia" w:cs="宋体"/>
                <w:sz w:val="24"/>
                <w:szCs w:val="24"/>
              </w:rPr>
              <w:t>项目用水环节主要为生活用水</w:t>
            </w:r>
            <w:r>
              <w:rPr>
                <w:rFonts w:hint="eastAsia" w:cs="宋体"/>
                <w:sz w:val="24"/>
                <w:szCs w:val="24"/>
                <w:lang w:eastAsia="zh-CN"/>
              </w:rPr>
              <w:t>、生产用水，生产用水主要是冷却用水。</w:t>
            </w:r>
          </w:p>
          <w:p w14:paraId="2C2876DE">
            <w:pPr>
              <w:pStyle w:val="27"/>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①生活用水</w:t>
            </w:r>
          </w:p>
          <w:p w14:paraId="0C1BBE87">
            <w:pPr>
              <w:pStyle w:val="81"/>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Cs/>
                <w:sz w:val="24"/>
                <w:szCs w:val="24"/>
                <w:lang w:eastAsia="zh-CN"/>
              </w:rPr>
            </w:pPr>
            <w:r>
              <w:rPr>
                <w:rFonts w:hint="default" w:ascii="Times New Roman" w:hAnsi="Times New Roman" w:cs="Times New Roman"/>
                <w:sz w:val="24"/>
                <w:szCs w:val="24"/>
              </w:rPr>
              <w:t>厂区职工</w:t>
            </w:r>
            <w:r>
              <w:rPr>
                <w:rFonts w:hint="default" w:ascii="Times New Roman" w:hAnsi="Times New Roman" w:cs="Times New Roman"/>
                <w:sz w:val="24"/>
                <w:szCs w:val="24"/>
                <w:lang w:val="en-US" w:eastAsia="zh-CN"/>
              </w:rPr>
              <w:t>60</w:t>
            </w:r>
            <w:r>
              <w:rPr>
                <w:rFonts w:hint="default" w:ascii="Times New Roman" w:hAnsi="Times New Roman" w:cs="Times New Roman"/>
                <w:sz w:val="24"/>
                <w:szCs w:val="24"/>
              </w:rPr>
              <w:t>人，根据《安徽省行业用水定额》（DB34/T 679-20</w:t>
            </w:r>
            <w:r>
              <w:rPr>
                <w:rFonts w:hint="default" w:ascii="Times New Roman" w:hAnsi="Times New Roman" w:cs="Times New Roman"/>
                <w:sz w:val="24"/>
                <w:szCs w:val="24"/>
                <w:lang w:val="en-US" w:eastAsia="zh-CN"/>
              </w:rPr>
              <w:t>25</w:t>
            </w:r>
            <w:r>
              <w:rPr>
                <w:rFonts w:hint="default" w:ascii="Times New Roman" w:hAnsi="Times New Roman" w:cs="Times New Roman"/>
                <w:sz w:val="24"/>
                <w:szCs w:val="24"/>
              </w:rPr>
              <w:t>）中的相关规定</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生活用水定额为38</w:t>
            </w:r>
            <w:r>
              <w:rPr>
                <w:rFonts w:hint="default" w:ascii="Times New Roman" w:hAnsi="Times New Roman" w:cs="Times New Roman"/>
                <w:bCs/>
                <w:sz w:val="24"/>
                <w:szCs w:val="24"/>
                <w:lang w:eastAsia="zh-CN"/>
              </w:rPr>
              <w:t>m</w:t>
            </w:r>
            <w:r>
              <w:rPr>
                <w:rFonts w:hint="default" w:ascii="Times New Roman" w:hAnsi="Times New Roman" w:cs="Times New Roman"/>
                <w:bCs/>
                <w:sz w:val="24"/>
                <w:szCs w:val="24"/>
                <w:vertAlign w:val="superscript"/>
                <w:lang w:eastAsia="zh-CN"/>
              </w:rPr>
              <w:t>3</w:t>
            </w:r>
            <w:r>
              <w:rPr>
                <w:rFonts w:hint="default" w:ascii="Times New Roman" w:hAnsi="Times New Roman" w:cs="Times New Roman"/>
                <w:sz w:val="24"/>
                <w:szCs w:val="24"/>
              </w:rPr>
              <w:t>/人·</w:t>
            </w:r>
            <w:r>
              <w:rPr>
                <w:rFonts w:hint="default" w:ascii="Times New Roman" w:hAnsi="Times New Roman" w:cs="Times New Roman"/>
                <w:sz w:val="24"/>
                <w:szCs w:val="24"/>
                <w:lang w:val="en-US" w:eastAsia="zh-CN"/>
              </w:rPr>
              <w:t>a</w:t>
            </w:r>
            <w:r>
              <w:rPr>
                <w:rFonts w:hint="default" w:ascii="Times New Roman" w:hAnsi="Times New Roman" w:cs="Times New Roman"/>
                <w:sz w:val="24"/>
                <w:szCs w:val="24"/>
              </w:rPr>
              <w:t>，则生活用水量为</w:t>
            </w:r>
            <w:r>
              <w:rPr>
                <w:rFonts w:hint="default" w:ascii="Times New Roman" w:hAnsi="Times New Roman" w:cs="Times New Roman"/>
                <w:sz w:val="24"/>
                <w:szCs w:val="24"/>
                <w:lang w:val="en-US" w:eastAsia="zh-CN"/>
              </w:rPr>
              <w:t>2280</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/a（</w:t>
            </w:r>
            <w:r>
              <w:rPr>
                <w:rFonts w:hint="default" w:ascii="Times New Roman" w:hAnsi="Times New Roman" w:cs="Times New Roman"/>
                <w:sz w:val="24"/>
                <w:szCs w:val="24"/>
                <w:lang w:val="en-US" w:eastAsia="zh-CN"/>
              </w:rPr>
              <w:t>6.247</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default" w:ascii="Times New Roman" w:hAnsi="Times New Roman" w:cs="Times New Roman"/>
                <w:sz w:val="24"/>
                <w:szCs w:val="24"/>
              </w:rPr>
              <w:t>/d），</w:t>
            </w:r>
            <w:r>
              <w:rPr>
                <w:rFonts w:hint="default" w:ascii="Times New Roman" w:hAnsi="Times New Roman" w:cs="Times New Roman"/>
                <w:bCs/>
                <w:sz w:val="24"/>
                <w:szCs w:val="24"/>
                <w:lang w:eastAsia="zh-CN"/>
              </w:rPr>
              <w:t>生活污水排放量按80%计算，即</w:t>
            </w:r>
            <w:r>
              <w:rPr>
                <w:rFonts w:hint="default" w:ascii="Times New Roman" w:hAnsi="Times New Roman" w:cs="Times New Roman"/>
                <w:bCs/>
                <w:sz w:val="24"/>
                <w:szCs w:val="24"/>
                <w:lang w:val="en-US" w:eastAsia="zh-CN"/>
              </w:rPr>
              <w:t>1824</w:t>
            </w:r>
            <w:r>
              <w:rPr>
                <w:rFonts w:hint="default" w:ascii="Times New Roman" w:hAnsi="Times New Roman" w:cs="Times New Roman"/>
                <w:bCs/>
                <w:sz w:val="24"/>
                <w:szCs w:val="24"/>
                <w:lang w:eastAsia="zh-CN"/>
              </w:rPr>
              <w:t>m</w:t>
            </w:r>
            <w:r>
              <w:rPr>
                <w:rFonts w:hint="default" w:ascii="Times New Roman" w:hAnsi="Times New Roman" w:cs="Times New Roman"/>
                <w:bCs/>
                <w:sz w:val="24"/>
                <w:szCs w:val="24"/>
                <w:vertAlign w:val="superscript"/>
                <w:lang w:eastAsia="zh-CN"/>
              </w:rPr>
              <w:t>3</w:t>
            </w:r>
            <w:r>
              <w:rPr>
                <w:rFonts w:hint="default" w:ascii="Times New Roman" w:hAnsi="Times New Roman" w:cs="Times New Roman"/>
                <w:bCs/>
                <w:sz w:val="24"/>
                <w:szCs w:val="24"/>
                <w:lang w:eastAsia="zh-CN"/>
              </w:rPr>
              <w:t>/a（</w:t>
            </w:r>
            <w:r>
              <w:rPr>
                <w:rFonts w:hint="default" w:ascii="Times New Roman" w:hAnsi="Times New Roman" w:cs="Times New Roman"/>
                <w:bCs/>
                <w:sz w:val="24"/>
                <w:szCs w:val="24"/>
                <w:lang w:val="en-US" w:eastAsia="zh-CN"/>
              </w:rPr>
              <w:t>4.997</w:t>
            </w:r>
            <w:r>
              <w:rPr>
                <w:rFonts w:hint="default" w:ascii="Times New Roman" w:hAnsi="Times New Roman" w:cs="Times New Roman"/>
                <w:bCs/>
                <w:sz w:val="24"/>
                <w:szCs w:val="24"/>
                <w:lang w:eastAsia="zh-CN"/>
              </w:rPr>
              <w:t>m</w:t>
            </w:r>
            <w:r>
              <w:rPr>
                <w:rFonts w:hint="default" w:ascii="Times New Roman" w:hAnsi="Times New Roman" w:cs="Times New Roman"/>
                <w:bCs/>
                <w:sz w:val="24"/>
                <w:szCs w:val="24"/>
                <w:vertAlign w:val="superscript"/>
                <w:lang w:eastAsia="zh-CN"/>
              </w:rPr>
              <w:t>3</w:t>
            </w:r>
            <w:r>
              <w:rPr>
                <w:rFonts w:hint="default" w:ascii="Times New Roman" w:hAnsi="Times New Roman" w:cs="Times New Roman"/>
                <w:bCs/>
                <w:sz w:val="24"/>
                <w:szCs w:val="24"/>
                <w:lang w:eastAsia="zh-CN"/>
              </w:rPr>
              <w:t>/d）。</w:t>
            </w:r>
          </w:p>
          <w:p w14:paraId="6246966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②</w:t>
            </w:r>
            <w:r>
              <w:rPr>
                <w:rFonts w:hint="eastAsia" w:cs="Times New Roman"/>
                <w:b w:val="0"/>
                <w:bCs/>
                <w:color w:val="auto"/>
                <w:sz w:val="24"/>
                <w:szCs w:val="24"/>
                <w:lang w:val="en-US" w:eastAsia="zh-CN"/>
              </w:rPr>
              <w:t>循环</w:t>
            </w:r>
            <w:r>
              <w:rPr>
                <w:rFonts w:hint="default" w:ascii="Times New Roman" w:hAnsi="Times New Roman" w:cs="Times New Roman"/>
                <w:b w:val="0"/>
                <w:bCs/>
                <w:color w:val="auto"/>
                <w:sz w:val="24"/>
                <w:szCs w:val="24"/>
                <w:lang w:val="en-US" w:eastAsia="zh-CN"/>
              </w:rPr>
              <w:t>冷却用水</w:t>
            </w:r>
          </w:p>
          <w:p w14:paraId="51B68C59">
            <w:pPr>
              <w:pStyle w:val="93"/>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Cs/>
                <w:color w:val="auto"/>
                <w:highlight w:val="none"/>
                <w:lang w:val="en-US" w:eastAsia="zh-CN"/>
              </w:rPr>
            </w:pPr>
            <w:r>
              <w:rPr>
                <w:rFonts w:hint="default" w:ascii="Times New Roman" w:hAnsi="Times New Roman" w:cs="Times New Roman"/>
                <w:color w:val="auto"/>
                <w:highlight w:val="none"/>
              </w:rPr>
              <w:t>项目生产过程中需使用纯水对</w:t>
            </w:r>
            <w:r>
              <w:rPr>
                <w:rFonts w:hint="eastAsia" w:cs="Times New Roman"/>
                <w:color w:val="auto"/>
                <w:highlight w:val="none"/>
                <w:lang w:val="en-US" w:eastAsia="zh-CN"/>
              </w:rPr>
              <w:t>电熔窑及成型设备</w:t>
            </w:r>
            <w:r>
              <w:rPr>
                <w:rFonts w:hint="default" w:ascii="Times New Roman" w:hAnsi="Times New Roman" w:cs="Times New Roman"/>
                <w:color w:val="auto"/>
                <w:highlight w:val="none"/>
              </w:rPr>
              <w:t>进行</w:t>
            </w:r>
            <w:r>
              <w:rPr>
                <w:rFonts w:hint="eastAsia" w:cs="Times New Roman"/>
                <w:color w:val="auto"/>
                <w:highlight w:val="none"/>
                <w:lang w:val="en-US" w:eastAsia="zh-CN"/>
              </w:rPr>
              <w:t>间接</w:t>
            </w:r>
            <w:r>
              <w:rPr>
                <w:rFonts w:hint="default" w:ascii="Times New Roman" w:hAnsi="Times New Roman" w:cs="Times New Roman"/>
                <w:color w:val="auto"/>
                <w:highlight w:val="none"/>
              </w:rPr>
              <w:t>冷却降温，</w:t>
            </w:r>
            <w:r>
              <w:rPr>
                <w:rFonts w:hint="default" w:ascii="Times New Roman" w:hAnsi="Times New Roman" w:cs="Times New Roman"/>
                <w:bCs/>
                <w:color w:val="auto"/>
                <w:highlight w:val="none"/>
              </w:rPr>
              <w:t>根据建设单位提供信息，</w:t>
            </w:r>
            <w:r>
              <w:rPr>
                <w:rFonts w:hint="default" w:ascii="Times New Roman" w:hAnsi="Times New Roman" w:cs="Times New Roman"/>
                <w:bCs/>
                <w:color w:val="auto"/>
                <w:highlight w:val="none"/>
                <w:lang w:val="en-US" w:eastAsia="zh-CN"/>
              </w:rPr>
              <w:t>1#、2#、3#生产车间均配置</w:t>
            </w:r>
            <w:r>
              <w:rPr>
                <w:rFonts w:hint="default" w:ascii="Times New Roman" w:hAnsi="Times New Roman" w:cs="Times New Roman"/>
                <w:bCs/>
                <w:color w:val="auto"/>
                <w:highlight w:val="none"/>
              </w:rPr>
              <w:t>一个循环冷却水池</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水池</w:t>
            </w:r>
            <w:r>
              <w:rPr>
                <w:rFonts w:hint="default" w:ascii="Times New Roman" w:hAnsi="Times New Roman" w:cs="Times New Roman"/>
                <w:bCs/>
                <w:color w:val="auto"/>
                <w:highlight w:val="none"/>
                <w:lang w:val="en-US" w:eastAsia="zh-CN"/>
              </w:rPr>
              <w:t>容积为170m</w:t>
            </w:r>
            <w:r>
              <w:rPr>
                <w:rFonts w:hint="default" w:ascii="Times New Roman" w:hAnsi="Times New Roman" w:cs="Times New Roman"/>
                <w:bCs/>
                <w:color w:val="auto"/>
                <w:highlight w:val="none"/>
                <w:vertAlign w:val="superscript"/>
                <w:lang w:val="en-US" w:eastAsia="zh-CN"/>
              </w:rPr>
              <w:t>3</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w:t>
            </w:r>
            <w:r>
              <w:rPr>
                <w:rFonts w:hint="eastAsia" w:cs="Times New Roman"/>
                <w:bCs/>
                <w:color w:val="auto"/>
                <w:highlight w:val="none"/>
                <w:lang w:val="en-US" w:eastAsia="zh-CN"/>
              </w:rPr>
              <w:t>单个</w:t>
            </w:r>
            <w:r>
              <w:rPr>
                <w:rFonts w:hint="default" w:ascii="Times New Roman" w:hAnsi="Times New Roman" w:cs="Times New Roman"/>
                <w:bCs/>
                <w:color w:val="auto"/>
                <w:highlight w:val="none"/>
              </w:rPr>
              <w:t>循环水泵流量为50m</w:t>
            </w:r>
            <w:r>
              <w:rPr>
                <w:rFonts w:hint="default" w:ascii="Times New Roman" w:hAnsi="Times New Roman" w:cs="Times New Roman"/>
                <w:bCs/>
                <w:color w:val="auto"/>
                <w:highlight w:val="none"/>
                <w:vertAlign w:val="superscript"/>
                <w:lang w:val="en-US" w:eastAsia="zh-CN"/>
              </w:rPr>
              <w:t>3</w:t>
            </w:r>
            <w:r>
              <w:rPr>
                <w:rFonts w:hint="default" w:ascii="Times New Roman" w:hAnsi="Times New Roman" w:cs="Times New Roman"/>
                <w:bCs/>
                <w:color w:val="auto"/>
                <w:highlight w:val="none"/>
              </w:rPr>
              <w:t>/h，</w:t>
            </w:r>
            <w:r>
              <w:rPr>
                <w:rFonts w:hint="default" w:ascii="Times New Roman" w:hAnsi="Times New Roman" w:cs="Times New Roman"/>
                <w:bCs/>
                <w:color w:val="auto"/>
                <w:highlight w:val="none"/>
                <w:lang w:val="en-US" w:eastAsia="zh-CN"/>
              </w:rPr>
              <w:t>冷却水循环使用</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定期外排。</w:t>
            </w:r>
            <w:r>
              <w:rPr>
                <w:rFonts w:hint="eastAsia" w:cs="Times New Roman"/>
                <w:bCs/>
                <w:color w:val="auto"/>
                <w:highlight w:val="none"/>
                <w:lang w:val="en-US" w:eastAsia="zh-CN"/>
              </w:rPr>
              <w:t>循环水蒸发量根据《工业循环冷却水处理设计规范》(GB/T50050-2017）进行计算：</w:t>
            </w:r>
          </w:p>
          <w:p w14:paraId="1A294EDB">
            <w:pPr>
              <w:pStyle w:val="93"/>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highlight w:val="none"/>
              </w:rPr>
            </w:pPr>
            <w:r>
              <w:rPr>
                <w:rFonts w:hint="default" w:ascii="Times New Roman" w:hAnsi="Times New Roman" w:cs="Times New Roman"/>
                <w:bCs/>
                <w:color w:val="auto"/>
                <w:highlight w:val="none"/>
                <w:lang w:val="en-US" w:eastAsia="zh-CN"/>
              </w:rPr>
              <w:t>厂内设置3个</w:t>
            </w:r>
            <w:r>
              <w:rPr>
                <w:rFonts w:hint="default" w:ascii="Times New Roman" w:hAnsi="Times New Roman" w:cs="Times New Roman"/>
                <w:bCs/>
                <w:color w:val="auto"/>
                <w:highlight w:val="none"/>
              </w:rPr>
              <w:t>循环冷却水池</w:t>
            </w:r>
            <w:r>
              <w:rPr>
                <w:rFonts w:hint="eastAsia" w:ascii="Times New Roman" w:hAnsi="Times New Roman" w:cs="Times New Roman"/>
                <w:bCs/>
                <w:color w:val="auto"/>
                <w:highlight w:val="none"/>
                <w:lang w:val="en-US" w:eastAsia="zh-CN"/>
              </w:rPr>
              <w:t>分别年工作时间为365d、350d、300d</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即</w:t>
            </w:r>
            <w:r>
              <w:rPr>
                <w:rFonts w:hint="eastAsia" w:cs="Times New Roman"/>
                <w:bCs/>
                <w:color w:val="auto"/>
                <w:highlight w:val="none"/>
                <w:lang w:val="en-US" w:eastAsia="zh-CN"/>
              </w:rPr>
              <w:t>三个</w:t>
            </w:r>
            <w:r>
              <w:rPr>
                <w:rFonts w:hint="default" w:ascii="Times New Roman" w:hAnsi="Times New Roman" w:cs="Times New Roman"/>
                <w:bCs/>
                <w:color w:val="auto"/>
                <w:highlight w:val="none"/>
              </w:rPr>
              <w:t>循环冷却水池</w:t>
            </w:r>
            <w:r>
              <w:rPr>
                <w:rFonts w:hint="eastAsia" w:cs="Times New Roman"/>
                <w:bCs/>
                <w:color w:val="auto"/>
                <w:highlight w:val="none"/>
                <w:lang w:val="en-US" w:eastAsia="zh-CN"/>
              </w:rPr>
              <w:t>分别</w:t>
            </w:r>
            <w:r>
              <w:rPr>
                <w:rFonts w:hint="default" w:ascii="Times New Roman" w:hAnsi="Times New Roman" w:cs="Times New Roman"/>
                <w:bCs/>
                <w:color w:val="auto"/>
                <w:highlight w:val="none"/>
              </w:rPr>
              <w:t>补充</w:t>
            </w:r>
            <w:r>
              <w:rPr>
                <w:rFonts w:hint="default" w:ascii="Times New Roman" w:hAnsi="Times New Roman" w:cs="Times New Roman"/>
                <w:bCs/>
                <w:color w:val="auto"/>
                <w:highlight w:val="none"/>
                <w:lang w:val="en-US" w:eastAsia="zh-CN"/>
              </w:rPr>
              <w:t>损耗水量</w:t>
            </w:r>
            <w:r>
              <w:rPr>
                <w:rFonts w:hint="default" w:ascii="Times New Roman" w:hAnsi="Times New Roman" w:cs="Times New Roman"/>
                <w:bCs/>
                <w:color w:val="auto"/>
                <w:highlight w:val="none"/>
              </w:rPr>
              <w:t>为</w:t>
            </w:r>
            <w:r>
              <w:rPr>
                <w:rFonts w:hint="eastAsia" w:cs="Times New Roman"/>
                <w:bCs/>
                <w:color w:val="auto"/>
                <w:highlight w:val="none"/>
                <w:lang w:val="en-US" w:eastAsia="zh-CN"/>
              </w:rPr>
              <w:t>3504</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r>
              <w:rPr>
                <w:rFonts w:hint="default" w:ascii="Times New Roman" w:hAnsi="Times New Roman" w:cs="Times New Roman"/>
                <w:bCs/>
                <w:color w:val="auto"/>
                <w:highlight w:val="none"/>
              </w:rPr>
              <w:t>/a</w:t>
            </w:r>
            <w:r>
              <w:rPr>
                <w:rFonts w:hint="eastAsia" w:cs="Times New Roman"/>
                <w:bCs/>
                <w:color w:val="auto"/>
                <w:highlight w:val="none"/>
                <w:lang w:eastAsia="zh-CN"/>
              </w:rPr>
              <w:t>、</w:t>
            </w:r>
            <w:r>
              <w:rPr>
                <w:rFonts w:hint="eastAsia" w:cs="Times New Roman"/>
                <w:bCs/>
                <w:color w:val="auto"/>
                <w:highlight w:val="none"/>
                <w:lang w:val="en-US" w:eastAsia="zh-CN"/>
              </w:rPr>
              <w:t>3360</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r>
              <w:rPr>
                <w:rFonts w:hint="default" w:ascii="Times New Roman" w:hAnsi="Times New Roman" w:cs="Times New Roman"/>
                <w:bCs/>
                <w:color w:val="auto"/>
                <w:highlight w:val="none"/>
              </w:rPr>
              <w:t>/a</w:t>
            </w:r>
            <w:r>
              <w:rPr>
                <w:rFonts w:hint="eastAsia" w:cs="Times New Roman"/>
                <w:bCs/>
                <w:color w:val="auto"/>
                <w:highlight w:val="none"/>
                <w:lang w:eastAsia="zh-CN"/>
              </w:rPr>
              <w:t>、</w:t>
            </w:r>
            <w:r>
              <w:rPr>
                <w:rFonts w:hint="eastAsia" w:cs="Times New Roman"/>
                <w:bCs/>
                <w:color w:val="auto"/>
                <w:highlight w:val="none"/>
                <w:lang w:val="en-US" w:eastAsia="zh-CN"/>
              </w:rPr>
              <w:t>2880</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r>
              <w:rPr>
                <w:rFonts w:hint="default" w:ascii="Times New Roman" w:hAnsi="Times New Roman" w:cs="Times New Roman"/>
                <w:bCs/>
                <w:color w:val="auto"/>
                <w:highlight w:val="none"/>
              </w:rPr>
              <w:t>/a</w:t>
            </w:r>
            <w:r>
              <w:rPr>
                <w:rFonts w:hint="eastAsia" w:cs="Times New Roman"/>
                <w:bCs/>
                <w:color w:val="auto"/>
                <w:highlight w:val="none"/>
                <w:lang w:eastAsia="zh-CN"/>
              </w:rPr>
              <w:t>，</w:t>
            </w:r>
            <w:r>
              <w:rPr>
                <w:rFonts w:hint="eastAsia" w:cs="Times New Roman"/>
                <w:bCs/>
                <w:color w:val="auto"/>
                <w:highlight w:val="none"/>
                <w:lang w:val="en-US" w:eastAsia="zh-CN"/>
              </w:rPr>
              <w:t>合计9744</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r>
              <w:rPr>
                <w:rFonts w:hint="default" w:ascii="Times New Roman" w:hAnsi="Times New Roman" w:cs="Times New Roman"/>
                <w:bCs/>
                <w:color w:val="auto"/>
                <w:highlight w:val="none"/>
              </w:rPr>
              <w:t>/a</w:t>
            </w:r>
            <w:r>
              <w:rPr>
                <w:rFonts w:hint="eastAsia" w:ascii="Times New Roman" w:hAnsi="Times New Roman" w:cs="Times New Roman"/>
                <w:bCs/>
                <w:color w:val="auto"/>
                <w:highlight w:val="none"/>
                <w:lang w:eastAsia="zh-CN"/>
              </w:rPr>
              <w:t>。</w:t>
            </w:r>
            <w:r>
              <w:rPr>
                <w:rFonts w:hint="eastAsia" w:ascii="Times New Roman" w:hAnsi="Times New Roman" w:cs="Times New Roman"/>
                <w:bCs/>
                <w:color w:val="auto"/>
                <w:highlight w:val="none"/>
                <w:lang w:val="en-US" w:eastAsia="zh-CN"/>
              </w:rPr>
              <w:t>考虑项目用水为纯水，</w:t>
            </w:r>
            <w:r>
              <w:rPr>
                <w:rFonts w:hint="default" w:ascii="Times New Roman" w:hAnsi="Times New Roman" w:cs="Times New Roman"/>
                <w:bCs/>
                <w:color w:val="auto"/>
                <w:highlight w:val="none"/>
                <w:lang w:val="en-US" w:eastAsia="zh-CN"/>
              </w:rPr>
              <w:t>冷却水</w:t>
            </w:r>
            <w:r>
              <w:rPr>
                <w:rFonts w:hint="eastAsia" w:cs="Times New Roman"/>
                <w:bCs/>
                <w:color w:val="auto"/>
                <w:highlight w:val="none"/>
                <w:lang w:val="en-US" w:eastAsia="zh-CN"/>
              </w:rPr>
              <w:t>半年排放一次，三个水池年均排放两次，年排放量均为320.8</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r>
              <w:rPr>
                <w:rFonts w:hint="eastAsia" w:cs="Times New Roman"/>
                <w:bCs/>
                <w:color w:val="auto"/>
                <w:highlight w:val="none"/>
                <w:vertAlign w:val="baseline"/>
                <w:lang w:eastAsia="zh-CN"/>
              </w:rPr>
              <w:t>，</w:t>
            </w:r>
            <w:r>
              <w:rPr>
                <w:rFonts w:hint="eastAsia" w:cs="Times New Roman"/>
                <w:bCs/>
                <w:color w:val="auto"/>
                <w:highlight w:val="none"/>
                <w:vertAlign w:val="baseline"/>
                <w:lang w:val="en-US" w:eastAsia="zh-CN"/>
              </w:rPr>
              <w:t>合计962.4</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r>
              <w:rPr>
                <w:rFonts w:hint="default" w:ascii="Times New Roman" w:hAnsi="Times New Roman" w:cs="Times New Roman"/>
                <w:bCs/>
                <w:color w:val="auto"/>
                <w:highlight w:val="none"/>
              </w:rPr>
              <w:t>/a</w:t>
            </w:r>
            <w:r>
              <w:rPr>
                <w:rFonts w:hint="eastAsia" w:cs="Times New Roman"/>
                <w:bCs/>
                <w:color w:val="auto"/>
                <w:highlight w:val="none"/>
                <w:lang w:eastAsia="zh-CN"/>
              </w:rPr>
              <w:t>。</w:t>
            </w:r>
            <w:r>
              <w:rPr>
                <w:rFonts w:hint="eastAsia" w:cs="Times New Roman"/>
                <w:bCs/>
                <w:color w:val="auto"/>
                <w:highlight w:val="none"/>
                <w:lang w:val="en-US" w:eastAsia="zh-CN"/>
              </w:rPr>
              <w:t>综上，本项目</w:t>
            </w:r>
            <w:r>
              <w:rPr>
                <w:rFonts w:hint="default" w:ascii="Times New Roman" w:hAnsi="Times New Roman" w:cs="Times New Roman"/>
                <w:bCs/>
                <w:color w:val="auto"/>
                <w:highlight w:val="none"/>
              </w:rPr>
              <w:t>循环冷却水池</w:t>
            </w:r>
            <w:r>
              <w:rPr>
                <w:rFonts w:hint="eastAsia" w:cs="Times New Roman"/>
                <w:bCs/>
                <w:color w:val="auto"/>
                <w:highlight w:val="none"/>
                <w:lang w:val="en-US" w:eastAsia="zh-CN"/>
              </w:rPr>
              <w:t>需</w:t>
            </w:r>
            <w:r>
              <w:rPr>
                <w:rFonts w:hint="eastAsia" w:cs="Times New Roman"/>
                <w:b w:val="0"/>
                <w:bCs/>
                <w:color w:val="auto"/>
                <w:sz w:val="24"/>
                <w:szCs w:val="24"/>
                <w:lang w:val="en-US" w:eastAsia="zh-CN"/>
              </w:rPr>
              <w:t>补充纯水量为</w:t>
            </w:r>
            <w:r>
              <w:rPr>
                <w:rFonts w:hint="eastAsia" w:cs="Times New Roman"/>
                <w:bCs/>
                <w:color w:val="auto"/>
                <w:highlight w:val="none"/>
                <w:lang w:val="en-US" w:eastAsia="zh-CN"/>
              </w:rPr>
              <w:t>10706.4</w:t>
            </w:r>
            <w:r>
              <w:rPr>
                <w:rFonts w:hint="default" w:ascii="Times New Roman" w:hAnsi="Times New Roman" w:cs="Times New Roman"/>
                <w:bCs/>
                <w:color w:val="auto"/>
                <w:highlight w:val="none"/>
              </w:rPr>
              <w:t>m</w:t>
            </w:r>
            <w:r>
              <w:rPr>
                <w:rFonts w:hint="default" w:ascii="Times New Roman" w:hAnsi="Times New Roman" w:cs="Times New Roman"/>
                <w:bCs/>
                <w:color w:val="auto"/>
                <w:highlight w:val="none"/>
                <w:vertAlign w:val="superscript"/>
              </w:rPr>
              <w:t>3</w:t>
            </w:r>
            <w:r>
              <w:rPr>
                <w:rFonts w:hint="default" w:ascii="Times New Roman" w:hAnsi="Times New Roman" w:cs="Times New Roman"/>
                <w:bCs/>
                <w:color w:val="auto"/>
                <w:highlight w:val="none"/>
              </w:rPr>
              <w:t>/a</w:t>
            </w:r>
            <w:r>
              <w:rPr>
                <w:rFonts w:hint="eastAsia" w:cs="Times New Roman"/>
                <w:bCs/>
                <w:color w:val="auto"/>
                <w:highlight w:val="none"/>
                <w:lang w:eastAsia="zh-CN"/>
              </w:rPr>
              <w:t>。</w:t>
            </w:r>
          </w:p>
          <w:p w14:paraId="2C6154D1">
            <w:pPr>
              <w:pStyle w:val="93"/>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highlight w:val="none"/>
              </w:rPr>
              <w:t>本项目</w:t>
            </w:r>
            <w:r>
              <w:rPr>
                <w:rFonts w:hint="eastAsia" w:ascii="Times New Roman" w:hAnsi="Times New Roman" w:cs="Times New Roman"/>
                <w:color w:val="auto"/>
                <w:highlight w:val="none"/>
                <w:lang w:val="en-US" w:eastAsia="zh-CN"/>
              </w:rPr>
              <w:t>设置</w:t>
            </w:r>
            <w:r>
              <w:rPr>
                <w:rFonts w:hint="eastAsia" w:cs="Times New Roman"/>
                <w:color w:val="auto"/>
                <w:highlight w:val="none"/>
                <w:lang w:val="en-US" w:eastAsia="zh-CN"/>
              </w:rPr>
              <w:t>RO</w:t>
            </w:r>
            <w:r>
              <w:rPr>
                <w:rFonts w:hint="default" w:ascii="Times New Roman" w:hAnsi="Times New Roman" w:cs="Times New Roman"/>
                <w:color w:val="auto"/>
                <w:highlight w:val="none"/>
              </w:rPr>
              <w:t>反渗透装置自制纯水，制水效率约为60%，则</w:t>
            </w:r>
            <w:r>
              <w:rPr>
                <w:rFonts w:hint="default" w:ascii="Times New Roman" w:hAnsi="Times New Roman" w:cs="Times New Roman"/>
                <w:color w:val="auto"/>
                <w:highlight w:val="none"/>
                <w:lang w:val="en-US" w:eastAsia="zh-CN"/>
              </w:rPr>
              <w:t>制取纯水需要的</w:t>
            </w:r>
            <w:r>
              <w:rPr>
                <w:rFonts w:hint="default" w:ascii="Times New Roman" w:hAnsi="Times New Roman" w:cs="Times New Roman"/>
                <w:color w:val="auto"/>
                <w:highlight w:val="none"/>
              </w:rPr>
              <w:t>新鲜水用量约为</w:t>
            </w:r>
            <w:r>
              <w:rPr>
                <w:rFonts w:hint="eastAsia" w:cs="Times New Roman"/>
                <w:color w:val="auto"/>
                <w:highlight w:val="none"/>
                <w:lang w:val="en-US" w:eastAsia="zh-CN"/>
              </w:rPr>
              <w:t>17844</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纯水制取产生的浓水量约为</w:t>
            </w:r>
            <w:r>
              <w:rPr>
                <w:rFonts w:hint="eastAsia" w:cs="Times New Roman"/>
                <w:color w:val="auto"/>
                <w:highlight w:val="none"/>
                <w:lang w:val="en-US" w:eastAsia="zh-CN"/>
              </w:rPr>
              <w:t>7137.6</w:t>
            </w:r>
            <w:r>
              <w:rPr>
                <w:rFonts w:hint="default" w:ascii="Times New Roman" w:hAnsi="Times New Roman" w:cs="Times New Roman"/>
                <w:color w:val="auto"/>
                <w:highlight w:val="none"/>
              </w:rPr>
              <w:t>m</w:t>
            </w:r>
            <w:r>
              <w:rPr>
                <w:rFonts w:hint="default" w:ascii="Times New Roman" w:hAnsi="Times New Roman" w:cs="Times New Roman"/>
                <w:color w:val="auto"/>
                <w:highlight w:val="none"/>
                <w:vertAlign w:val="superscript"/>
              </w:rPr>
              <w:t>3</w:t>
            </w:r>
            <w:r>
              <w:rPr>
                <w:rFonts w:hint="default" w:ascii="Times New Roman" w:hAnsi="Times New Roman" w:cs="Times New Roman"/>
                <w:color w:val="auto"/>
                <w:highlight w:val="none"/>
              </w:rPr>
              <w:t>/a。</w:t>
            </w:r>
          </w:p>
          <w:p w14:paraId="76D36408">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AU" w:eastAsia="zh-CN"/>
              </w:rPr>
            </w:pPr>
            <w:r>
              <w:rPr>
                <w:rFonts w:hint="default" w:ascii="Times New Roman" w:hAnsi="Times New Roman" w:cs="Times New Roman"/>
                <w:color w:val="auto"/>
                <w:sz w:val="24"/>
                <w:szCs w:val="24"/>
                <w:lang w:val="en-US" w:eastAsia="zh-CN"/>
              </w:rPr>
              <w:t>综上，</w:t>
            </w:r>
            <w:r>
              <w:rPr>
                <w:rFonts w:hint="eastAsia" w:cs="Times New Roman"/>
                <w:color w:val="auto"/>
                <w:sz w:val="24"/>
                <w:szCs w:val="24"/>
                <w:lang w:val="en-US" w:eastAsia="zh-CN"/>
              </w:rPr>
              <w:t>本</w:t>
            </w:r>
            <w:r>
              <w:rPr>
                <w:rFonts w:hint="default" w:ascii="Times New Roman" w:hAnsi="Times New Roman" w:cs="Times New Roman"/>
                <w:color w:val="auto"/>
                <w:sz w:val="24"/>
                <w:szCs w:val="24"/>
              </w:rPr>
              <w:t>项目总新鲜用水量为</w:t>
            </w:r>
            <w:r>
              <w:rPr>
                <w:rFonts w:hint="eastAsia" w:cs="Times New Roman"/>
                <w:color w:val="auto"/>
                <w:sz w:val="24"/>
                <w:szCs w:val="24"/>
                <w:lang w:val="en-US" w:eastAsia="zh-CN"/>
              </w:rPr>
              <w:t>20124</w:t>
            </w:r>
            <w:r>
              <w:rPr>
                <w:rFonts w:hint="default" w:ascii="Times New Roman" w:hAnsi="Times New Roman" w:cs="Times New Roman"/>
                <w:color w:val="auto"/>
                <w:sz w:val="24"/>
                <w:szCs w:val="24"/>
              </w:rPr>
              <w:t>m</w:t>
            </w:r>
            <w:r>
              <w:rPr>
                <w:rFonts w:hint="default" w:ascii="Times New Roman" w:hAnsi="Times New Roman" w:cs="Times New Roman"/>
                <w:color w:val="auto"/>
                <w:sz w:val="24"/>
                <w:szCs w:val="24"/>
                <w:vertAlign w:val="superscript"/>
              </w:rPr>
              <w:t>3</w:t>
            </w:r>
            <w:r>
              <w:rPr>
                <w:rFonts w:hint="default" w:ascii="Times New Roman" w:hAnsi="Times New Roman" w:cs="Times New Roman"/>
                <w:color w:val="auto"/>
                <w:sz w:val="24"/>
                <w:szCs w:val="24"/>
              </w:rPr>
              <w:t>/a，</w:t>
            </w:r>
            <w:r>
              <w:rPr>
                <w:rFonts w:hint="default" w:ascii="Times New Roman" w:hAnsi="Times New Roman" w:cs="Times New Roman"/>
                <w:color w:val="auto"/>
                <w:sz w:val="24"/>
                <w:szCs w:val="24"/>
                <w:lang w:val="en-US" w:eastAsia="zh-CN"/>
              </w:rPr>
              <w:t>废水</w:t>
            </w:r>
            <w:r>
              <w:rPr>
                <w:rFonts w:hint="default" w:ascii="Times New Roman" w:hAnsi="Times New Roman" w:cs="Times New Roman"/>
                <w:color w:val="auto"/>
                <w:sz w:val="24"/>
                <w:szCs w:val="24"/>
              </w:rPr>
              <w:t>量</w:t>
            </w:r>
            <w:r>
              <w:rPr>
                <w:rFonts w:hint="eastAsia" w:cs="Times New Roman"/>
                <w:color w:val="auto"/>
                <w:sz w:val="24"/>
                <w:szCs w:val="24"/>
                <w:lang w:val="en-US" w:eastAsia="zh-CN"/>
              </w:rPr>
              <w:t>为</w:t>
            </w:r>
            <w:r>
              <w:rPr>
                <w:rFonts w:hint="eastAsia" w:cs="Times New Roman"/>
                <w:bCs/>
                <w:color w:val="auto"/>
                <w:sz w:val="24"/>
                <w:szCs w:val="24"/>
                <w:highlight w:val="none"/>
                <w:lang w:val="en-US" w:eastAsia="zh-CN"/>
              </w:rPr>
              <w:t>9924</w:t>
            </w:r>
            <w:r>
              <w:rPr>
                <w:rFonts w:hint="default" w:ascii="Times New Roman" w:hAnsi="Times New Roman" w:cs="Times New Roman"/>
                <w:bCs/>
                <w:color w:val="auto"/>
                <w:sz w:val="24"/>
                <w:szCs w:val="24"/>
                <w:highlight w:val="none"/>
              </w:rPr>
              <w:t>m</w:t>
            </w:r>
            <w:r>
              <w:rPr>
                <w:rFonts w:hint="default" w:ascii="Times New Roman" w:hAnsi="Times New Roman" w:cs="Times New Roman"/>
                <w:bCs/>
                <w:color w:val="auto"/>
                <w:sz w:val="24"/>
                <w:szCs w:val="24"/>
                <w:highlight w:val="none"/>
                <w:vertAlign w:val="superscript"/>
              </w:rPr>
              <w:t>3</w:t>
            </w:r>
            <w:r>
              <w:rPr>
                <w:rFonts w:hint="default" w:ascii="Times New Roman" w:hAnsi="Times New Roman" w:cs="Times New Roman"/>
                <w:bCs/>
                <w:color w:val="auto"/>
                <w:sz w:val="24"/>
                <w:szCs w:val="24"/>
                <w:highlight w:val="none"/>
              </w:rPr>
              <w:t>/a</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经化粪池预处理生活污水与定期排放的</w:t>
            </w:r>
            <w:r>
              <w:rPr>
                <w:rFonts w:hint="eastAsia" w:cs="Times New Roman"/>
                <w:color w:val="auto"/>
                <w:sz w:val="24"/>
                <w:szCs w:val="24"/>
                <w:lang w:val="en-US" w:eastAsia="zh-CN"/>
              </w:rPr>
              <w:t>循环冷却定期排污水</w:t>
            </w:r>
            <w:r>
              <w:rPr>
                <w:rFonts w:hint="default" w:ascii="Times New Roman" w:hAnsi="Times New Roman" w:cs="Times New Roman"/>
                <w:color w:val="auto"/>
                <w:sz w:val="24"/>
                <w:szCs w:val="24"/>
                <w:lang w:val="en-US" w:eastAsia="zh-CN"/>
              </w:rPr>
              <w:t>，汇同纯水制备浓水接管进入淮北蓝海水处理有限公司进一步处理，处理达标后部分作为平山电厂冷却循环水，剩余部分排入萧濉新河</w:t>
            </w:r>
            <w:r>
              <w:rPr>
                <w:rFonts w:hint="eastAsia" w:cs="Times New Roman"/>
                <w:color w:val="auto"/>
                <w:sz w:val="24"/>
                <w:szCs w:val="24"/>
                <w:lang w:val="en-US" w:eastAsia="zh-CN"/>
              </w:rPr>
              <w:t>。</w:t>
            </w:r>
          </w:p>
          <w:p w14:paraId="553331F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7</w:t>
            </w:r>
            <w:r>
              <w:rPr>
                <w:rFonts w:hint="default" w:ascii="Times New Roman" w:hAnsi="Times New Roman" w:cs="Times New Roman"/>
                <w:b/>
                <w:bCs/>
                <w:sz w:val="24"/>
                <w:szCs w:val="24"/>
              </w:rPr>
              <w:t>、平面布置合理性</w:t>
            </w:r>
          </w:p>
          <w:p w14:paraId="3D5A441D">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建设项目本着节约用地原则，合理布局厂房内功能区，根据使用功能的要求，建设内容包括光热玻璃生产线位于1#生产车间，防火玻璃生产线位于2#生产车间，</w:t>
            </w:r>
            <w:r>
              <w:rPr>
                <w:rFonts w:hint="eastAsia" w:cs="Times New Roman"/>
                <w:sz w:val="24"/>
                <w:szCs w:val="24"/>
                <w:lang w:val="en-US" w:eastAsia="zh-CN"/>
              </w:rPr>
              <w:t>玻璃制品</w:t>
            </w:r>
            <w:r>
              <w:rPr>
                <w:rFonts w:hint="default" w:ascii="Times New Roman" w:hAnsi="Times New Roman" w:cs="Times New Roman"/>
                <w:sz w:val="24"/>
                <w:szCs w:val="24"/>
                <w:lang w:val="en-US" w:eastAsia="zh-CN"/>
              </w:rPr>
              <w:t>生产线位于</w:t>
            </w:r>
            <w:r>
              <w:rPr>
                <w:rFonts w:hint="eastAsia" w:cs="Times New Roman"/>
                <w:sz w:val="24"/>
                <w:szCs w:val="24"/>
                <w:lang w:val="en-US" w:eastAsia="zh-CN"/>
              </w:rPr>
              <w:t>3</w:t>
            </w:r>
            <w:r>
              <w:rPr>
                <w:rFonts w:hint="default" w:ascii="Times New Roman" w:hAnsi="Times New Roman" w:cs="Times New Roman"/>
                <w:sz w:val="24"/>
                <w:szCs w:val="24"/>
                <w:lang w:val="en-US" w:eastAsia="zh-CN"/>
              </w:rPr>
              <w:t>#生产车间，车间内布设原料区、生产区、成品区。生产车间内按照“原料—加工—产品”布局、物流运输路线设置原料区、生产区、成品区，厂内生产区与办公区隔开，办公区位于主导风向侧风向。详见附图。</w:t>
            </w:r>
          </w:p>
          <w:p w14:paraId="0017BD3E">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总体来说，项目结合现有道路建设，既满足加工的工艺流程，又满足成品进出以及水、电、道路等方面的要求，各功能区分区明确，布局合理、工艺流程布置顺畅可行。因此，本项目总平面布置基本合理可行。</w:t>
            </w:r>
          </w:p>
          <w:p w14:paraId="4D125D5A">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lef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8</w:t>
            </w:r>
            <w:r>
              <w:rPr>
                <w:rFonts w:hint="default" w:ascii="Times New Roman" w:hAnsi="Times New Roman" w:cs="Times New Roman"/>
                <w:b/>
                <w:bCs/>
                <w:sz w:val="24"/>
                <w:szCs w:val="24"/>
              </w:rPr>
              <w:t>、劳动定员</w:t>
            </w:r>
          </w:p>
          <w:p w14:paraId="283A31DF">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宋体" w:eastAsia="宋体"/>
                <w:lang w:val="en-US" w:eastAsia="zh-CN"/>
              </w:rPr>
            </w:pPr>
            <w:r>
              <w:rPr>
                <w:rFonts w:hint="default" w:ascii="Times New Roman" w:hAnsi="Times New Roman" w:eastAsia="宋体" w:cs="Times New Roman"/>
                <w:sz w:val="24"/>
                <w:szCs w:val="24"/>
                <w:lang w:val="en-US" w:eastAsia="zh-CN"/>
              </w:rPr>
              <w:t>本项目</w:t>
            </w:r>
            <w:r>
              <w:rPr>
                <w:rFonts w:hint="default" w:ascii="Times New Roman" w:hAnsi="Times New Roman" w:eastAsia="宋体" w:cs="Times New Roman"/>
                <w:color w:val="auto"/>
                <w:sz w:val="24"/>
                <w:lang w:val="en-US" w:eastAsia="zh-CN"/>
              </w:rPr>
              <w:t>新增劳动定员</w:t>
            </w:r>
            <w:r>
              <w:rPr>
                <w:rFonts w:hint="default" w:ascii="Times New Roman" w:hAnsi="Times New Roman" w:cs="Times New Roman"/>
                <w:color w:val="auto"/>
                <w:sz w:val="24"/>
                <w:lang w:val="en-US" w:eastAsia="zh-CN"/>
              </w:rPr>
              <w:t>60</w:t>
            </w:r>
            <w:r>
              <w:rPr>
                <w:rFonts w:hint="default" w:ascii="Times New Roman" w:hAnsi="Times New Roman" w:eastAsia="宋体" w:cs="Times New Roman"/>
                <w:color w:val="auto"/>
                <w:sz w:val="24"/>
                <w:lang w:val="en-US" w:eastAsia="zh-CN"/>
              </w:rPr>
              <w:t>人</w:t>
            </w:r>
            <w:r>
              <w:rPr>
                <w:rFonts w:hint="default" w:ascii="Times New Roman" w:hAnsi="Times New Roman" w:cs="Times New Roman"/>
                <w:sz w:val="24"/>
                <w:szCs w:val="24"/>
                <w:lang w:val="en-US" w:eastAsia="zh-CN"/>
              </w:rPr>
              <w:t>，</w:t>
            </w:r>
            <w:r>
              <w:rPr>
                <w:rFonts w:hint="eastAsia" w:cs="Times New Roman"/>
                <w:color w:val="auto"/>
                <w:sz w:val="24"/>
                <w:szCs w:val="24"/>
                <w:lang w:val="en-US" w:eastAsia="zh-CN"/>
              </w:rPr>
              <w:t>高硼硅防火玻璃生产线设置两台电熔窑，</w:t>
            </w:r>
            <w:r>
              <w:rPr>
                <w:rFonts w:hint="eastAsia" w:ascii="Times New Roman" w:hAnsi="Times New Roman" w:cs="Times New Roman"/>
                <w:color w:val="auto"/>
                <w:sz w:val="24"/>
                <w:szCs w:val="24"/>
                <w:lang w:val="en-US" w:eastAsia="zh-CN"/>
              </w:rPr>
              <w:t>年工作365天，三班制，每班8h/d。</w:t>
            </w:r>
            <w:r>
              <w:rPr>
                <w:rFonts w:hint="eastAsia" w:cs="Times New Roman"/>
                <w:color w:val="auto"/>
                <w:sz w:val="24"/>
                <w:szCs w:val="24"/>
                <w:lang w:val="en-US" w:eastAsia="zh-CN"/>
              </w:rPr>
              <w:t>高硼硅光热玻璃生产线设置两台电熔窑，</w:t>
            </w:r>
            <w:r>
              <w:rPr>
                <w:rFonts w:hint="eastAsia" w:ascii="Times New Roman" w:hAnsi="Times New Roman" w:cs="Times New Roman"/>
                <w:color w:val="auto"/>
                <w:sz w:val="24"/>
                <w:szCs w:val="24"/>
                <w:lang w:val="en-US" w:eastAsia="zh-CN"/>
              </w:rPr>
              <w:t>年工作</w:t>
            </w:r>
            <w:r>
              <w:rPr>
                <w:rFonts w:hint="eastAsia" w:cs="Times New Roman"/>
                <w:color w:val="auto"/>
                <w:sz w:val="24"/>
                <w:szCs w:val="24"/>
                <w:lang w:val="en-US" w:eastAsia="zh-CN"/>
              </w:rPr>
              <w:t>350</w:t>
            </w:r>
            <w:r>
              <w:rPr>
                <w:rFonts w:hint="eastAsia" w:ascii="Times New Roman" w:hAnsi="Times New Roman" w:cs="Times New Roman"/>
                <w:color w:val="auto"/>
                <w:sz w:val="24"/>
                <w:szCs w:val="24"/>
                <w:lang w:val="en-US" w:eastAsia="zh-CN"/>
              </w:rPr>
              <w:t>天，三班制，每班8h/d</w:t>
            </w:r>
            <w:r>
              <w:rPr>
                <w:rFonts w:hint="eastAsia" w:cs="Times New Roman"/>
                <w:color w:val="auto"/>
                <w:sz w:val="24"/>
                <w:szCs w:val="24"/>
                <w:lang w:val="en-US" w:eastAsia="zh-CN"/>
              </w:rPr>
              <w:t>。高硼硅玻璃制品生产线设置1台电熔窑，</w:t>
            </w:r>
            <w:r>
              <w:rPr>
                <w:rFonts w:hint="eastAsia" w:ascii="Times New Roman" w:hAnsi="Times New Roman" w:cs="Times New Roman"/>
                <w:color w:val="auto"/>
                <w:sz w:val="24"/>
                <w:szCs w:val="24"/>
                <w:lang w:val="en-US" w:eastAsia="zh-CN"/>
              </w:rPr>
              <w:t>年工作</w:t>
            </w:r>
            <w:r>
              <w:rPr>
                <w:rFonts w:hint="eastAsia" w:cs="Times New Roman"/>
                <w:color w:val="auto"/>
                <w:sz w:val="24"/>
                <w:szCs w:val="24"/>
                <w:lang w:val="en-US" w:eastAsia="zh-CN"/>
              </w:rPr>
              <w:t>300</w:t>
            </w:r>
            <w:r>
              <w:rPr>
                <w:rFonts w:hint="eastAsia" w:ascii="Times New Roman" w:hAnsi="Times New Roman" w:cs="Times New Roman"/>
                <w:color w:val="auto"/>
                <w:sz w:val="24"/>
                <w:szCs w:val="24"/>
                <w:lang w:val="en-US" w:eastAsia="zh-CN"/>
              </w:rPr>
              <w:t>天，三班制，每班8h/d</w:t>
            </w:r>
            <w:r>
              <w:rPr>
                <w:rFonts w:hint="default" w:ascii="Times New Roman" w:hAnsi="Times New Roman" w:cs="Times New Roman"/>
                <w:sz w:val="24"/>
                <w:szCs w:val="24"/>
                <w:lang w:val="en-US" w:eastAsia="zh-CN"/>
              </w:rPr>
              <w:t>，不含食宿</w:t>
            </w:r>
            <w:r>
              <w:rPr>
                <w:rFonts w:hint="default" w:ascii="Times New Roman" w:hAnsi="Times New Roman" w:eastAsia="宋体" w:cs="Times New Roman"/>
                <w:sz w:val="24"/>
                <w:szCs w:val="24"/>
                <w:lang w:val="en-US" w:eastAsia="zh-CN"/>
              </w:rPr>
              <w:t>。</w:t>
            </w:r>
          </w:p>
        </w:tc>
      </w:tr>
      <w:tr w14:paraId="6AC83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3" w:type="dxa"/>
            <w:tcBorders>
              <w:top w:val="single" w:color="auto" w:sz="8" w:space="0"/>
              <w:bottom w:val="single" w:color="auto" w:sz="8" w:space="0"/>
            </w:tcBorders>
            <w:vAlign w:val="center"/>
          </w:tcPr>
          <w:p w14:paraId="0BC0A5AF">
            <w:pPr>
              <w:pStyle w:val="28"/>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rPr>
                <w:rFonts w:hint="eastAsia"/>
                <w:b/>
                <w:bCs/>
              </w:rPr>
            </w:pPr>
            <w:bookmarkStart w:id="6" w:name="_Toc18978"/>
            <w:r>
              <w:rPr>
                <w:rFonts w:hint="eastAsia"/>
                <w:b/>
                <w:bCs/>
              </w:rPr>
              <w:t>工艺流程和产排污环节</w:t>
            </w:r>
          </w:p>
        </w:tc>
        <w:tc>
          <w:tcPr>
            <w:tcW w:w="8362" w:type="dxa"/>
            <w:tcBorders>
              <w:top w:val="single" w:color="auto" w:sz="8" w:space="0"/>
              <w:bottom w:val="single" w:color="auto" w:sz="8" w:space="0"/>
              <w:right w:val="single" w:color="auto" w:sz="4" w:space="0"/>
            </w:tcBorders>
          </w:tcPr>
          <w:p w14:paraId="5B0EE3D1">
            <w:pPr>
              <w:keepNext w:val="0"/>
              <w:keepLines w:val="0"/>
              <w:numPr>
                <w:ilvl w:val="0"/>
                <w:numId w:val="2"/>
              </w:numPr>
              <w:suppressLineNumbers w:val="0"/>
              <w:spacing w:before="0" w:beforeAutospacing="0" w:after="0" w:afterAutospacing="0" w:line="360" w:lineRule="auto"/>
              <w:ind w:left="0" w:right="0"/>
              <w:jc w:val="left"/>
              <w:rPr>
                <w:rFonts w:hint="default"/>
                <w:sz w:val="24"/>
                <w:szCs w:val="24"/>
              </w:rPr>
            </w:pPr>
            <w:r>
              <w:rPr>
                <w:rFonts w:hint="eastAsia" w:cs="宋体"/>
                <w:b/>
                <w:bCs/>
                <w:sz w:val="24"/>
                <w:szCs w:val="24"/>
              </w:rPr>
              <w:t>施工期</w:t>
            </w:r>
            <w:r>
              <w:rPr>
                <w:rFonts w:hint="default"/>
                <w:sz w:val="24"/>
                <w:szCs w:val="24"/>
              </w:rPr>
              <w:t xml:space="preserve">  </w:t>
            </w:r>
          </w:p>
          <w:p w14:paraId="77D8165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b/>
                <w:bCs/>
                <w:sz w:val="24"/>
                <w:szCs w:val="24"/>
              </w:rPr>
            </w:pPr>
            <w:r>
              <w:rPr>
                <w:rFonts w:hint="eastAsia" w:ascii="Times New Roman" w:hAnsi="Times New Roman" w:eastAsia="宋体" w:cs="宋体"/>
                <w:color w:val="auto"/>
                <w:sz w:val="24"/>
                <w:szCs w:val="24"/>
                <w:lang w:val="en-US" w:eastAsia="zh-CN"/>
              </w:rPr>
              <w:t>本项目施工期仅对厂房内部结构进行改造，设备安装和调试，不改变厂房总体面积，施工期土建工程主要为车间及办公室内装修，装修委托专业单位施工，施工过程严格按照各项环保要求实施，且施工工期较短，各项污染随着施工结束而结束，对周边环境影响较小。因此，本环评不对施工期进行分析。</w:t>
            </w:r>
          </w:p>
          <w:p w14:paraId="1EC55EC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hanging="482" w:hangingChars="200"/>
              <w:textAlignment w:val="auto"/>
              <w:rPr>
                <w:rFonts w:hint="default"/>
                <w:b/>
                <w:bCs/>
                <w:sz w:val="24"/>
                <w:szCs w:val="24"/>
              </w:rPr>
            </w:pPr>
            <w:r>
              <w:rPr>
                <w:rFonts w:hint="eastAsia" w:cs="宋体"/>
                <w:b/>
                <w:bCs/>
                <w:sz w:val="24"/>
                <w:szCs w:val="24"/>
              </w:rPr>
              <w:t>二、营运期</w:t>
            </w:r>
          </w:p>
          <w:p w14:paraId="50BEFF0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lang w:val="en-US"/>
              </w:rPr>
            </w:pPr>
            <w:r>
              <w:rPr>
                <w:rFonts w:hint="eastAsia" w:cs="宋体"/>
                <w:color w:val="auto"/>
                <w:sz w:val="24"/>
                <w:szCs w:val="24"/>
                <w:lang w:val="en-US" w:eastAsia="zh-CN"/>
              </w:rPr>
              <w:t>本项目共设三种产品，分别为高硼硅防火玻璃、高硼硅光热玻璃、高硼硅玻璃制品，高硼硅防火玻璃、高硼硅光热玻璃两种产品的生产工艺与原料均一致，只是成型工段后产品形态有差别，高硼硅防火玻璃的产品形态为平面状态，高硼硅光热玻璃及高硼硅玻璃制品的产品形态为圆管状态，故产品在成型工艺上不同。高硼硅光热玻璃及高硼硅玻璃制品的区别在于是否圆口。生产线不停机，检修过程中产生废保温材料。</w:t>
            </w:r>
          </w:p>
          <w:p w14:paraId="3F8BF4EE">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623E97C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7B83060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52874AF9">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6C6D90F9">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451B5F60">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46FE1CD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50121E0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1C58D2F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59FE1DE5">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26DF0805">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70929D3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008A709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68784CC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523E735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036BA36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55910CE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58461BE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4C05913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2F7E58D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3BE59B6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27E343F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2FABBA4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p>
          <w:p w14:paraId="1DC3A38E">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jc w:val="both"/>
              <w:textAlignment w:val="auto"/>
              <w:rPr>
                <w:rFonts w:hint="eastAsia" w:cs="宋体"/>
                <w:color w:val="auto"/>
                <w:sz w:val="24"/>
                <w:szCs w:val="24"/>
                <w:lang w:val="en-US" w:eastAsia="zh-CN"/>
              </w:rPr>
            </w:pPr>
          </w:p>
          <w:p w14:paraId="37A1C179">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firstLine="480" w:firstLineChars="200"/>
              <w:jc w:val="both"/>
              <w:textAlignment w:val="auto"/>
              <w:rPr>
                <w:rFonts w:hint="eastAsia" w:cs="宋体"/>
                <w:color w:val="auto"/>
                <w:sz w:val="24"/>
                <w:szCs w:val="24"/>
                <w:lang w:val="en-US" w:eastAsia="zh-CN"/>
              </w:rPr>
            </w:pPr>
            <w:r>
              <w:rPr>
                <w:rFonts w:hint="eastAsia" w:cs="宋体"/>
                <w:color w:val="auto"/>
                <w:sz w:val="24"/>
                <w:szCs w:val="24"/>
                <w:lang w:val="en-US" w:eastAsia="zh-CN"/>
              </w:rPr>
              <w:t>（1）高硼硅防火玻璃生产工艺流程如下：</w:t>
            </w:r>
          </w:p>
          <w:p w14:paraId="40E4C578">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rightChars="0"/>
              <w:jc w:val="center"/>
              <w:textAlignment w:val="auto"/>
              <w:rPr>
                <w:rFonts w:hint="eastAsia" w:cs="宋体"/>
                <w:color w:val="auto"/>
                <w:sz w:val="24"/>
                <w:szCs w:val="24"/>
                <w:lang w:val="en-US" w:eastAsia="zh-CN"/>
              </w:rPr>
            </w:pPr>
            <w:r>
              <w:rPr>
                <w:rFonts w:hint="default"/>
              </w:rPr>
              <w:drawing>
                <wp:inline distT="0" distB="0" distL="114300" distR="114300">
                  <wp:extent cx="4105275" cy="7153275"/>
                  <wp:effectExtent l="0" t="0" r="9525" b="9525"/>
                  <wp:docPr id="2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8"/>
                          <pic:cNvPicPr>
                            <a:picLocks noChangeAspect="1"/>
                          </pic:cNvPicPr>
                        </pic:nvPicPr>
                        <pic:blipFill>
                          <a:blip r:embed="rId8"/>
                          <a:stretch>
                            <a:fillRect/>
                          </a:stretch>
                        </pic:blipFill>
                        <pic:spPr>
                          <a:xfrm>
                            <a:off x="0" y="0"/>
                            <a:ext cx="4105275" cy="7153275"/>
                          </a:xfrm>
                          <a:prstGeom prst="rect">
                            <a:avLst/>
                          </a:prstGeom>
                          <a:noFill/>
                          <a:ln>
                            <a:noFill/>
                          </a:ln>
                        </pic:spPr>
                      </pic:pic>
                    </a:graphicData>
                  </a:graphic>
                </wp:inline>
              </w:drawing>
            </w:r>
          </w:p>
          <w:p w14:paraId="1C99D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eastAsia="宋体"/>
                <w:b/>
                <w:bCs/>
                <w:color w:val="000000"/>
                <w:sz w:val="24"/>
                <w:szCs w:val="24"/>
                <w:lang w:val="en-US" w:eastAsia="zh-CN"/>
              </w:rPr>
            </w:pPr>
            <w:r>
              <w:rPr>
                <w:rFonts w:hint="eastAsia" w:cs="宋体"/>
                <w:b/>
                <w:bCs/>
                <w:color w:val="000000"/>
                <w:sz w:val="24"/>
                <w:szCs w:val="24"/>
              </w:rPr>
              <w:t>图</w:t>
            </w:r>
            <w:r>
              <w:rPr>
                <w:rFonts w:hint="default"/>
                <w:b/>
                <w:bCs/>
                <w:color w:val="000000"/>
                <w:sz w:val="24"/>
                <w:szCs w:val="24"/>
              </w:rPr>
              <w:t>2-</w:t>
            </w:r>
            <w:r>
              <w:rPr>
                <w:rFonts w:hint="eastAsia"/>
                <w:b/>
                <w:bCs/>
                <w:color w:val="000000"/>
                <w:sz w:val="24"/>
                <w:szCs w:val="24"/>
                <w:lang w:val="en-US" w:eastAsia="zh-CN"/>
              </w:rPr>
              <w:t>2</w:t>
            </w:r>
            <w:r>
              <w:rPr>
                <w:rFonts w:hint="default"/>
                <w:b/>
                <w:bCs/>
                <w:color w:val="000000"/>
                <w:sz w:val="24"/>
                <w:szCs w:val="24"/>
              </w:rPr>
              <w:t xml:space="preserve"> 生产</w:t>
            </w:r>
            <w:r>
              <w:rPr>
                <w:rFonts w:hint="eastAsia" w:cs="宋体"/>
                <w:b/>
                <w:bCs/>
                <w:color w:val="000000"/>
                <w:sz w:val="24"/>
                <w:szCs w:val="24"/>
              </w:rPr>
              <w:t>工艺流程及产污环节</w:t>
            </w:r>
            <w:r>
              <w:rPr>
                <w:rFonts w:hint="eastAsia" w:cs="宋体"/>
                <w:b/>
                <w:bCs/>
                <w:color w:val="000000"/>
                <w:sz w:val="24"/>
                <w:szCs w:val="24"/>
                <w:lang w:val="en-US" w:eastAsia="zh-CN"/>
              </w:rPr>
              <w:t>图</w:t>
            </w:r>
          </w:p>
          <w:p w14:paraId="48E119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宋体"/>
                <w:b/>
                <w:bCs/>
                <w:color w:val="000000"/>
                <w:sz w:val="24"/>
                <w:szCs w:val="24"/>
              </w:rPr>
            </w:pPr>
            <w:r>
              <w:rPr>
                <w:rFonts w:hint="eastAsia" w:cs="宋体"/>
                <w:b/>
                <w:bCs/>
                <w:color w:val="000000"/>
                <w:sz w:val="24"/>
                <w:szCs w:val="24"/>
              </w:rPr>
              <w:t>（</w:t>
            </w:r>
            <w:r>
              <w:rPr>
                <w:rFonts w:hint="default"/>
                <w:b/>
                <w:bCs/>
                <w:color w:val="000000"/>
                <w:sz w:val="24"/>
                <w:szCs w:val="24"/>
              </w:rPr>
              <w:t>G—</w:t>
            </w:r>
            <w:r>
              <w:rPr>
                <w:rFonts w:hint="eastAsia"/>
                <w:b/>
                <w:bCs/>
                <w:color w:val="000000"/>
                <w:sz w:val="24"/>
                <w:szCs w:val="24"/>
                <w:lang w:val="en-US" w:eastAsia="zh-CN"/>
              </w:rPr>
              <w:t>废气</w:t>
            </w:r>
            <w:r>
              <w:rPr>
                <w:rFonts w:hint="eastAsia" w:cs="宋体"/>
                <w:b/>
                <w:bCs/>
                <w:color w:val="000000"/>
                <w:sz w:val="24"/>
                <w:szCs w:val="24"/>
              </w:rPr>
              <w:t>、</w:t>
            </w:r>
            <w:r>
              <w:rPr>
                <w:rFonts w:hint="default"/>
                <w:b/>
                <w:bCs/>
                <w:color w:val="000000"/>
                <w:sz w:val="24"/>
                <w:szCs w:val="24"/>
              </w:rPr>
              <w:t>S—</w:t>
            </w:r>
            <w:r>
              <w:rPr>
                <w:rFonts w:hint="eastAsia" w:cs="宋体"/>
                <w:b/>
                <w:bCs/>
                <w:color w:val="000000"/>
                <w:sz w:val="24"/>
                <w:szCs w:val="24"/>
              </w:rPr>
              <w:t>固废、</w:t>
            </w:r>
            <w:r>
              <w:rPr>
                <w:rFonts w:hint="default"/>
                <w:b/>
                <w:bCs/>
                <w:color w:val="000000"/>
                <w:sz w:val="24"/>
                <w:szCs w:val="24"/>
              </w:rPr>
              <w:t>N—</w:t>
            </w:r>
            <w:r>
              <w:rPr>
                <w:rFonts w:hint="eastAsia" w:cs="宋体"/>
                <w:b/>
                <w:bCs/>
                <w:color w:val="000000"/>
                <w:sz w:val="24"/>
                <w:szCs w:val="24"/>
              </w:rPr>
              <w:t>噪声、</w:t>
            </w:r>
            <w:r>
              <w:rPr>
                <w:rFonts w:hint="eastAsia"/>
                <w:b/>
                <w:bCs/>
                <w:color w:val="000000"/>
                <w:sz w:val="24"/>
                <w:szCs w:val="24"/>
                <w:lang w:val="en-US" w:eastAsia="zh-CN"/>
              </w:rPr>
              <w:t>W</w:t>
            </w:r>
            <w:r>
              <w:rPr>
                <w:rFonts w:hint="default"/>
                <w:b/>
                <w:bCs/>
                <w:color w:val="000000"/>
                <w:sz w:val="24"/>
                <w:szCs w:val="24"/>
              </w:rPr>
              <w:t>—</w:t>
            </w:r>
            <w:r>
              <w:rPr>
                <w:rFonts w:hint="eastAsia"/>
                <w:b/>
                <w:bCs/>
                <w:color w:val="000000"/>
                <w:sz w:val="24"/>
                <w:szCs w:val="24"/>
                <w:lang w:val="en-US" w:eastAsia="zh-CN"/>
              </w:rPr>
              <w:t>废水</w:t>
            </w:r>
            <w:r>
              <w:rPr>
                <w:rFonts w:hint="eastAsia" w:cs="宋体"/>
                <w:b/>
                <w:bCs/>
                <w:color w:val="000000"/>
                <w:sz w:val="24"/>
                <w:szCs w:val="24"/>
              </w:rPr>
              <w:t>）</w:t>
            </w:r>
          </w:p>
          <w:p w14:paraId="56D5F61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工艺流程简述：</w:t>
            </w:r>
          </w:p>
          <w:p w14:paraId="3EA1E1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（1）</w:t>
            </w:r>
            <w:r>
              <w:rPr>
                <w:rFonts w:hint="eastAsia" w:ascii="Times New Roman" w:hAnsi="Times New Roman" w:cs="Times New Roman"/>
                <w:b/>
                <w:bCs/>
                <w:color w:val="auto"/>
                <w:sz w:val="24"/>
                <w:szCs w:val="24"/>
                <w:u w:val="none" w:color="auto"/>
                <w:lang w:val="en-US" w:eastAsia="zh-CN"/>
              </w:rPr>
              <w:t>配料、</w:t>
            </w:r>
            <w:r>
              <w:rPr>
                <w:rFonts w:hint="default" w:ascii="Times New Roman" w:hAnsi="Times New Roman" w:eastAsia="宋体" w:cs="Times New Roman"/>
                <w:b/>
                <w:bCs/>
                <w:color w:val="auto"/>
                <w:sz w:val="24"/>
                <w:szCs w:val="24"/>
                <w:u w:val="none" w:color="auto"/>
                <w:lang w:val="en-US" w:eastAsia="zh-CN"/>
              </w:rPr>
              <w:t>混料</w:t>
            </w:r>
          </w:p>
          <w:p w14:paraId="5A4CDB8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本项目</w:t>
            </w:r>
            <w:r>
              <w:rPr>
                <w:rFonts w:hint="eastAsia" w:cs="Times New Roman"/>
                <w:color w:val="auto"/>
                <w:sz w:val="24"/>
                <w:szCs w:val="24"/>
                <w:u w:val="none" w:color="auto"/>
                <w:lang w:val="en-US" w:eastAsia="zh-CN"/>
              </w:rPr>
              <w:t>配料工序是将石英砂</w:t>
            </w:r>
            <w:r>
              <w:rPr>
                <w:rFonts w:hint="default" w:ascii="Times New Roman" w:hAnsi="Times New Roman" w:eastAsia="宋体" w:cs="Times New Roman"/>
                <w:color w:val="auto"/>
                <w:sz w:val="24"/>
                <w:szCs w:val="24"/>
                <w:u w:val="none" w:color="auto"/>
                <w:lang w:val="en-US" w:eastAsia="zh-CN"/>
              </w:rPr>
              <w:t>、硼砂、硼酸、氢氧化铝、</w:t>
            </w:r>
            <w:r>
              <w:rPr>
                <w:rFonts w:hint="eastAsia" w:cs="Times New Roman"/>
                <w:color w:val="auto"/>
                <w:sz w:val="24"/>
                <w:szCs w:val="24"/>
                <w:u w:val="none" w:color="auto"/>
                <w:lang w:val="en-US" w:eastAsia="zh-CN"/>
              </w:rPr>
              <w:t>食盐、碎玻璃</w:t>
            </w:r>
            <w:r>
              <w:rPr>
                <w:rFonts w:hint="default" w:ascii="Times New Roman" w:hAnsi="Times New Roman" w:eastAsia="宋体" w:cs="Times New Roman"/>
                <w:color w:val="auto"/>
                <w:sz w:val="24"/>
                <w:szCs w:val="24"/>
                <w:u w:val="none" w:color="auto"/>
                <w:lang w:val="en-US" w:eastAsia="zh-CN"/>
              </w:rPr>
              <w:t>等原辅料</w:t>
            </w:r>
            <w:r>
              <w:rPr>
                <w:rFonts w:hint="eastAsia" w:cs="Times New Roman"/>
                <w:color w:val="auto"/>
                <w:sz w:val="24"/>
                <w:szCs w:val="24"/>
                <w:u w:val="none" w:color="auto"/>
                <w:lang w:val="en-US" w:eastAsia="zh-CN"/>
              </w:rPr>
              <w:t>采用行车运送至生产线料仓入料口位置，人工将原辅料投加入料仓。</w:t>
            </w:r>
            <w:r>
              <w:rPr>
                <w:rFonts w:hint="default" w:ascii="Times New Roman" w:hAnsi="Times New Roman" w:eastAsia="宋体" w:cs="Times New Roman"/>
                <w:color w:val="auto"/>
                <w:sz w:val="24"/>
                <w:szCs w:val="24"/>
                <w:u w:val="none" w:color="auto"/>
                <w:lang w:val="en-US" w:eastAsia="zh-CN"/>
              </w:rPr>
              <w:t>配料</w:t>
            </w:r>
            <w:r>
              <w:rPr>
                <w:rFonts w:hint="eastAsia" w:cs="Times New Roman"/>
                <w:color w:val="auto"/>
                <w:sz w:val="24"/>
                <w:szCs w:val="24"/>
                <w:u w:val="none" w:color="auto"/>
                <w:lang w:val="en-US" w:eastAsia="zh-CN"/>
              </w:rPr>
              <w:t>、混料</w:t>
            </w:r>
            <w:r>
              <w:rPr>
                <w:rFonts w:hint="default" w:ascii="Times New Roman" w:hAnsi="Times New Roman" w:eastAsia="宋体" w:cs="Times New Roman"/>
                <w:color w:val="auto"/>
                <w:sz w:val="24"/>
                <w:szCs w:val="24"/>
                <w:u w:val="none" w:color="auto"/>
                <w:lang w:val="en-US" w:eastAsia="zh-CN"/>
              </w:rPr>
              <w:t>间四周封闭</w:t>
            </w:r>
            <w:r>
              <w:rPr>
                <w:rFonts w:hint="eastAsia" w:ascii="Times New Roman" w:hAnsi="Times New Roman" w:cs="Times New Roman"/>
                <w:color w:val="auto"/>
                <w:sz w:val="24"/>
                <w:szCs w:val="24"/>
                <w:u w:val="none" w:color="auto"/>
                <w:lang w:val="en-US" w:eastAsia="zh-CN"/>
              </w:rPr>
              <w:t>，通过</w:t>
            </w:r>
            <w:r>
              <w:rPr>
                <w:rFonts w:hint="eastAsia" w:cs="Times New Roman"/>
                <w:color w:val="auto"/>
                <w:sz w:val="24"/>
                <w:szCs w:val="24"/>
                <w:u w:val="none" w:color="auto"/>
                <w:lang w:val="en-US" w:eastAsia="zh-CN"/>
              </w:rPr>
              <w:t>绞龙将料仓内的原辅料</w:t>
            </w:r>
            <w:r>
              <w:rPr>
                <w:rFonts w:hint="eastAsia" w:ascii="Times New Roman" w:hAnsi="Times New Roman" w:cs="Times New Roman"/>
                <w:color w:val="auto"/>
                <w:sz w:val="24"/>
                <w:szCs w:val="24"/>
                <w:u w:val="none" w:color="auto"/>
                <w:lang w:val="en-US" w:eastAsia="zh-CN"/>
              </w:rPr>
              <w:t>输送</w:t>
            </w:r>
            <w:r>
              <w:rPr>
                <w:rFonts w:hint="default" w:ascii="Times New Roman" w:hAnsi="Times New Roman" w:eastAsia="宋体" w:cs="Times New Roman"/>
                <w:color w:val="auto"/>
                <w:sz w:val="24"/>
                <w:szCs w:val="24"/>
                <w:u w:val="none" w:color="auto"/>
                <w:lang w:val="en-US" w:eastAsia="zh-CN"/>
              </w:rPr>
              <w:t>到计量称，从计量称下来用密封传输皮带传动到混料机，</w:t>
            </w:r>
            <w:r>
              <w:rPr>
                <w:rFonts w:hint="eastAsia" w:cs="Times New Roman"/>
                <w:color w:val="auto"/>
                <w:sz w:val="24"/>
                <w:szCs w:val="24"/>
                <w:u w:val="none" w:color="auto"/>
                <w:lang w:val="en-US" w:eastAsia="zh-CN"/>
              </w:rPr>
              <w:t>混料过程中设备密闭。</w:t>
            </w:r>
          </w:p>
          <w:p w14:paraId="5D0EB32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该工序产生配料、混料粉尘G</w:t>
            </w:r>
            <w:r>
              <w:rPr>
                <w:rFonts w:hint="eastAsia" w:ascii="Times New Roman" w:hAnsi="Times New Roman" w:eastAsia="宋体" w:cs="Times New Roman"/>
                <w:color w:val="auto"/>
                <w:sz w:val="24"/>
                <w:szCs w:val="24"/>
                <w:u w:val="none" w:color="auto"/>
                <w:vertAlign w:val="subscript"/>
                <w:lang w:val="en-US" w:eastAsia="zh-CN"/>
              </w:rPr>
              <w:t>1-1</w:t>
            </w:r>
            <w:r>
              <w:rPr>
                <w:rFonts w:hint="eastAsia" w:ascii="Times New Roman" w:hAnsi="Times New Roman" w:eastAsia="宋体" w:cs="Times New Roman"/>
                <w:color w:val="auto"/>
                <w:sz w:val="24"/>
                <w:szCs w:val="24"/>
                <w:u w:val="none" w:color="auto"/>
                <w:lang w:val="en-US" w:eastAsia="zh-CN"/>
              </w:rPr>
              <w:t>（主要污染物为颗粒物）、</w:t>
            </w:r>
            <w:r>
              <w:rPr>
                <w:rFonts w:hint="default" w:ascii="Times New Roman" w:hAnsi="Times New Roman" w:eastAsia="宋体" w:cs="Times New Roman"/>
                <w:color w:val="auto"/>
                <w:sz w:val="24"/>
                <w:szCs w:val="24"/>
                <w:u w:val="none" w:color="auto"/>
                <w:lang w:val="en-US" w:eastAsia="zh-CN"/>
              </w:rPr>
              <w:t>废包装袋</w:t>
            </w:r>
            <w:r>
              <w:rPr>
                <w:rFonts w:hint="eastAsia" w:ascii="Times New Roman" w:hAnsi="Times New Roman" w:eastAsia="宋体" w:cs="Times New Roman"/>
                <w:color w:val="auto"/>
                <w:sz w:val="24"/>
                <w:szCs w:val="24"/>
                <w:u w:val="none" w:color="auto"/>
                <w:lang w:val="en-US" w:eastAsia="zh-CN"/>
              </w:rPr>
              <w:t>（S</w:t>
            </w:r>
            <w:r>
              <w:rPr>
                <w:rFonts w:hint="eastAsia" w:ascii="Times New Roman" w:hAnsi="Times New Roman" w:eastAsia="宋体" w:cs="Times New Roman"/>
                <w:color w:val="auto"/>
                <w:sz w:val="24"/>
                <w:szCs w:val="24"/>
                <w:u w:val="none" w:color="auto"/>
                <w:vertAlign w:val="subscript"/>
                <w:lang w:val="en-US" w:eastAsia="zh-CN"/>
              </w:rPr>
              <w:t>1-1</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7B82B51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（2）</w:t>
            </w:r>
            <w:r>
              <w:rPr>
                <w:rFonts w:hint="eastAsia" w:cs="Times New Roman"/>
                <w:b/>
                <w:bCs/>
                <w:color w:val="auto"/>
                <w:sz w:val="24"/>
                <w:szCs w:val="24"/>
                <w:u w:val="none" w:color="auto"/>
                <w:lang w:val="en-US" w:eastAsia="zh-CN"/>
              </w:rPr>
              <w:t>布料</w:t>
            </w:r>
          </w:p>
          <w:p w14:paraId="624FBBD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原辅料</w:t>
            </w:r>
            <w:r>
              <w:rPr>
                <w:rFonts w:hint="default" w:ascii="Times New Roman" w:hAnsi="Times New Roman" w:eastAsia="宋体" w:cs="Times New Roman"/>
                <w:color w:val="auto"/>
                <w:sz w:val="24"/>
                <w:szCs w:val="24"/>
                <w:u w:val="none" w:color="auto"/>
                <w:lang w:val="en-US" w:eastAsia="zh-CN"/>
              </w:rPr>
              <w:t>从混料机经密封传输皮带给到</w:t>
            </w:r>
            <w:r>
              <w:rPr>
                <w:rFonts w:hint="eastAsia" w:cs="Times New Roman"/>
                <w:color w:val="auto"/>
                <w:sz w:val="24"/>
                <w:szCs w:val="24"/>
                <w:u w:val="none" w:color="auto"/>
                <w:lang w:val="en-US" w:eastAsia="zh-CN"/>
              </w:rPr>
              <w:t>提升机</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提升机</w:t>
            </w:r>
            <w:r>
              <w:rPr>
                <w:rFonts w:hint="default" w:ascii="Times New Roman" w:hAnsi="Times New Roman" w:eastAsia="宋体" w:cs="Times New Roman"/>
                <w:color w:val="auto"/>
                <w:sz w:val="24"/>
                <w:szCs w:val="24"/>
                <w:u w:val="none" w:color="auto"/>
                <w:lang w:val="en-US" w:eastAsia="zh-CN"/>
              </w:rPr>
              <w:t>给到</w:t>
            </w:r>
            <w:r>
              <w:rPr>
                <w:rFonts w:hint="eastAsia" w:cs="Times New Roman"/>
                <w:color w:val="auto"/>
                <w:sz w:val="24"/>
                <w:szCs w:val="24"/>
                <w:u w:val="none" w:color="auto"/>
                <w:lang w:val="en-US" w:eastAsia="zh-CN"/>
              </w:rPr>
              <w:t>原料</w:t>
            </w:r>
            <w:r>
              <w:rPr>
                <w:rFonts w:hint="eastAsia"/>
                <w:sz w:val="24"/>
                <w:szCs w:val="24"/>
                <w:lang w:val="en-US" w:eastAsia="zh-CN"/>
              </w:rPr>
              <w:t>暂存</w:t>
            </w:r>
            <w:r>
              <w:rPr>
                <w:rFonts w:hint="default" w:ascii="Times New Roman" w:hAnsi="Times New Roman" w:eastAsia="宋体" w:cs="Times New Roman"/>
                <w:color w:val="auto"/>
                <w:sz w:val="24"/>
                <w:szCs w:val="24"/>
                <w:u w:val="none" w:color="auto"/>
                <w:lang w:val="en-US" w:eastAsia="zh-CN"/>
              </w:rPr>
              <w:t>仓，</w:t>
            </w:r>
            <w:r>
              <w:rPr>
                <w:rFonts w:hint="eastAsia"/>
                <w:sz w:val="24"/>
                <w:szCs w:val="24"/>
                <w:lang w:val="en-US" w:eastAsia="zh-CN"/>
              </w:rPr>
              <w:t>暂存</w:t>
            </w:r>
            <w:r>
              <w:rPr>
                <w:rFonts w:hint="default" w:ascii="Times New Roman" w:hAnsi="Times New Roman" w:eastAsia="宋体" w:cs="Times New Roman"/>
                <w:color w:val="auto"/>
                <w:sz w:val="24"/>
                <w:szCs w:val="24"/>
                <w:u w:val="none" w:color="auto"/>
                <w:lang w:val="en-US" w:eastAsia="zh-CN"/>
              </w:rPr>
              <w:t>仓</w:t>
            </w:r>
            <w:r>
              <w:rPr>
                <w:rFonts w:hint="eastAsia" w:cs="Times New Roman"/>
                <w:color w:val="auto"/>
                <w:sz w:val="24"/>
                <w:szCs w:val="24"/>
                <w:u w:val="none" w:color="auto"/>
                <w:lang w:val="en-US" w:eastAsia="zh-CN"/>
              </w:rPr>
              <w:t>内的原辅材料通过自动布料机输送至电熔窑</w:t>
            </w:r>
            <w:r>
              <w:rPr>
                <w:rFonts w:hint="default" w:ascii="Times New Roman" w:hAnsi="Times New Roman" w:eastAsia="宋体" w:cs="Times New Roman"/>
                <w:color w:val="auto"/>
                <w:sz w:val="24"/>
                <w:szCs w:val="24"/>
                <w:u w:val="none" w:color="auto"/>
                <w:lang w:val="en-US" w:eastAsia="zh-CN"/>
              </w:rPr>
              <w:t>。</w:t>
            </w:r>
          </w:p>
          <w:p w14:paraId="15035C9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布料</w:t>
            </w:r>
            <w:r>
              <w:rPr>
                <w:rFonts w:hint="eastAsia" w:ascii="Times New Roman" w:hAnsi="Times New Roman" w:eastAsia="宋体" w:cs="Times New Roman"/>
                <w:color w:val="auto"/>
                <w:sz w:val="24"/>
                <w:szCs w:val="24"/>
                <w:u w:val="none" w:color="auto"/>
                <w:lang w:val="en-US" w:eastAsia="zh-CN"/>
              </w:rPr>
              <w:t>粉尘G</w:t>
            </w:r>
            <w:r>
              <w:rPr>
                <w:rFonts w:hint="eastAsia" w:ascii="Times New Roman" w:hAnsi="Times New Roman" w:eastAsia="宋体" w:cs="Times New Roman"/>
                <w:color w:val="auto"/>
                <w:sz w:val="24"/>
                <w:szCs w:val="24"/>
                <w:u w:val="none" w:color="auto"/>
                <w:vertAlign w:val="subscript"/>
                <w:lang w:val="en-US" w:eastAsia="zh-CN"/>
              </w:rPr>
              <w:t>1-</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lang w:val="en-US" w:eastAsia="zh-CN"/>
              </w:rPr>
              <w:t>（主要污染物为颗粒物）、设备运行噪声N</w:t>
            </w:r>
            <w:r>
              <w:rPr>
                <w:rFonts w:hint="eastAsia" w:cs="Times New Roman"/>
                <w:color w:val="auto"/>
                <w:sz w:val="24"/>
                <w:szCs w:val="24"/>
                <w:u w:val="none" w:color="auto"/>
                <w:lang w:val="en-US" w:eastAsia="zh-CN"/>
              </w:rPr>
              <w:t>。</w:t>
            </w:r>
          </w:p>
          <w:p w14:paraId="56B2651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w:t>
            </w:r>
            <w:r>
              <w:rPr>
                <w:rFonts w:hint="default" w:ascii="Times New Roman" w:hAnsi="Times New Roman" w:eastAsia="宋体" w:cs="Times New Roman"/>
                <w:b/>
                <w:bCs/>
                <w:color w:val="auto"/>
                <w:sz w:val="24"/>
                <w:szCs w:val="24"/>
                <w:u w:val="none" w:color="auto"/>
                <w:lang w:val="en-US" w:eastAsia="zh-CN"/>
              </w:rPr>
              <w:t>熔化</w:t>
            </w:r>
          </w:p>
          <w:p w14:paraId="6DAD7AA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rPr>
            </w:pPr>
            <w:r>
              <w:rPr>
                <w:rFonts w:hint="default" w:ascii="Times New Roman" w:hAnsi="Times New Roman" w:eastAsia="宋体" w:cs="Times New Roman"/>
                <w:color w:val="auto"/>
                <w:sz w:val="24"/>
                <w:szCs w:val="24"/>
                <w:u w:val="none" w:color="auto"/>
                <w:lang w:val="en-US" w:eastAsia="zh-CN"/>
              </w:rPr>
              <w:t>混合均匀的混合料在熔窑内进行高温加热（熔化温度约1</w:t>
            </w:r>
            <w:r>
              <w:rPr>
                <w:rFonts w:hint="eastAsia"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lang w:val="en-US" w:eastAsia="zh-CN"/>
              </w:rPr>
              <w:t>00</w:t>
            </w:r>
            <w:r>
              <w:rPr>
                <w:rFonts w:hint="eastAsia" w:ascii="Times New Roman" w:hAnsi="Times New Roman" w:eastAsia="宋体" w:cs="Times New Roman"/>
                <w:color w:val="auto"/>
                <w:sz w:val="24"/>
                <w:szCs w:val="24"/>
                <w:u w:val="none" w:color="auto"/>
                <w:lang w:val="en-US" w:eastAsia="zh-CN"/>
              </w:rPr>
              <w:t>-1600</w:t>
            </w: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电熔窑</w:t>
            </w:r>
            <w:r>
              <w:rPr>
                <w:rFonts w:hint="default" w:ascii="Times New Roman" w:hAnsi="Times New Roman" w:eastAsia="宋体" w:cs="Times New Roman"/>
                <w:color w:val="auto"/>
                <w:sz w:val="24"/>
                <w:szCs w:val="24"/>
                <w:u w:val="none" w:color="auto"/>
                <w:lang w:val="en-US" w:eastAsia="zh-CN"/>
              </w:rPr>
              <w:t>上部为熔化区，下部为澄清均化区，采用多边形结构，以减少散热面积和液流死角，有效地降低澄清和均化的能耗。料道玻璃液采用钼电极加热，主料道和分料道空间采用硅碳棒电加热。经过一系列的化学物理反应，形成均匀、无气泡并符合成型要求的液态玻璃。这个过程大致分为五个阶段：硅酸盐形成、玻璃成型、澄清、均化、冷却成型。</w:t>
            </w:r>
            <w:r>
              <w:rPr>
                <w:rFonts w:hint="eastAsia" w:cs="Times New Roman"/>
                <w:color w:val="auto"/>
                <w:sz w:val="24"/>
                <w:szCs w:val="24"/>
                <w:u w:val="none" w:color="auto"/>
                <w:lang w:val="en-US" w:eastAsia="zh-CN"/>
              </w:rPr>
              <w:t>熔化过程中需要采用纯水对电熔窑进行间接降温，此部分废水循环使用，定期排放。</w:t>
            </w:r>
          </w:p>
          <w:p w14:paraId="3EFA8C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熔窑中均化池和料道采用密闭结构，可有效减轻玻璃液表层硼挥发现象。内层采用多组钼电极加热，外层空间采用多组硅碳棒或硅钼棒加热，可灵活调节料道内玻璃液温度。</w:t>
            </w:r>
            <w:r>
              <w:rPr>
                <w:rFonts w:hint="eastAsia" w:cs="Times New Roman"/>
                <w:color w:val="auto"/>
                <w:sz w:val="24"/>
                <w:szCs w:val="24"/>
                <w:u w:val="none" w:color="auto"/>
                <w:lang w:val="en-US" w:eastAsia="zh-CN"/>
              </w:rPr>
              <w:t>本项目冷却采用纯水冷却，间接冷却。</w:t>
            </w:r>
          </w:p>
          <w:p w14:paraId="50B345A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该工序产生熔化废气G</w:t>
            </w:r>
            <w:r>
              <w:rPr>
                <w:rFonts w:hint="eastAsia" w:ascii="Times New Roman" w:hAnsi="Times New Roman" w:eastAsia="宋体" w:cs="Times New Roman"/>
                <w:color w:val="auto"/>
                <w:sz w:val="24"/>
                <w:szCs w:val="24"/>
                <w:u w:val="none" w:color="auto"/>
                <w:vertAlign w:val="subscript"/>
                <w:lang w:val="en-US" w:eastAsia="zh-CN"/>
              </w:rPr>
              <w:t>1-</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lang w:val="en-US" w:eastAsia="zh-CN"/>
              </w:rPr>
              <w:t>（主要污染物为颗粒物）、</w:t>
            </w:r>
            <w:r>
              <w:rPr>
                <w:rFonts w:hint="eastAsia" w:cs="Times New Roman"/>
                <w:color w:val="auto"/>
                <w:sz w:val="24"/>
                <w:szCs w:val="24"/>
                <w:u w:val="none" w:color="auto"/>
                <w:lang w:val="en-US" w:eastAsia="zh-CN"/>
              </w:rPr>
              <w:t>循环冷却定期排污水W</w:t>
            </w:r>
            <w:r>
              <w:rPr>
                <w:rFonts w:hint="eastAsia" w:cs="Times New Roman"/>
                <w:color w:val="auto"/>
                <w:sz w:val="24"/>
                <w:szCs w:val="24"/>
                <w:u w:val="none" w:color="auto"/>
                <w:vertAlign w:val="subscript"/>
                <w:lang w:val="en-US" w:eastAsia="zh-CN"/>
              </w:rPr>
              <w:t>1-1</w:t>
            </w:r>
            <w:r>
              <w:rPr>
                <w:rFonts w:hint="eastAsia"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20517F8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4</w:t>
            </w:r>
            <w:r>
              <w:rPr>
                <w:rFonts w:hint="default" w:ascii="Times New Roman" w:hAnsi="Times New Roman" w:cs="Times New Roman"/>
                <w:b/>
                <w:bCs/>
                <w:color w:val="auto"/>
                <w:sz w:val="24"/>
                <w:szCs w:val="24"/>
                <w:u w:val="none" w:color="auto"/>
                <w:lang w:val="en-US" w:eastAsia="zh-CN"/>
              </w:rPr>
              <w:t>）</w:t>
            </w:r>
            <w:r>
              <w:rPr>
                <w:rFonts w:hint="default" w:ascii="Times New Roman" w:hAnsi="Times New Roman" w:eastAsia="宋体" w:cs="Times New Roman"/>
                <w:b/>
                <w:bCs/>
                <w:color w:val="auto"/>
                <w:sz w:val="24"/>
                <w:szCs w:val="24"/>
                <w:u w:val="none" w:color="auto"/>
                <w:lang w:val="en-US" w:eastAsia="zh-CN"/>
              </w:rPr>
              <w:t>成型工段</w:t>
            </w:r>
          </w:p>
          <w:p w14:paraId="6478069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①火焰抛光</w:t>
            </w:r>
          </w:p>
          <w:p w14:paraId="2E919F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玻璃成型不是一个将整个产品均匀加热的过程，而是需要对特定部位进行瞬时的加热和冷却，操作工需要极高的灵活性和控制度。</w:t>
            </w:r>
            <w:r>
              <w:rPr>
                <w:rFonts w:hint="default" w:ascii="Times New Roman" w:hAnsi="Times New Roman" w:cs="Times New Roman"/>
                <w:color w:val="auto"/>
                <w:sz w:val="24"/>
                <w:szCs w:val="24"/>
                <w:u w:val="none" w:color="auto"/>
                <w:lang w:val="en-US" w:eastAsia="zh-CN"/>
              </w:rPr>
              <w:t>故此工段需要天然气加热，在供料道上方的两侧或顶部，安装有天然气燃烧</w:t>
            </w:r>
            <w:r>
              <w:rPr>
                <w:rFonts w:hint="eastAsia" w:cs="Times New Roman"/>
                <w:color w:val="auto"/>
                <w:sz w:val="24"/>
                <w:szCs w:val="24"/>
                <w:u w:val="none" w:color="auto"/>
                <w:lang w:val="en-US" w:eastAsia="zh-CN"/>
              </w:rPr>
              <w:t>喷枪</w:t>
            </w:r>
            <w:r>
              <w:rPr>
                <w:rFonts w:hint="default"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天然气火焰的温度可以达到2000°C以上，能够快速将高硼硅玻璃（软化点约820°C）的局部加热到所需的工作粘度</w:t>
            </w:r>
            <w:r>
              <w:rPr>
                <w:rFonts w:hint="eastAsia"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lang w:val="en-US" w:eastAsia="zh-CN"/>
              </w:rPr>
              <w:t>玻璃液经过天然气燃烧后</w:t>
            </w:r>
            <w:r>
              <w:rPr>
                <w:rFonts w:hint="default" w:ascii="Times New Roman" w:hAnsi="Times New Roman" w:eastAsia="宋体" w:cs="Times New Roman"/>
                <w:color w:val="auto"/>
                <w:sz w:val="24"/>
                <w:szCs w:val="24"/>
                <w:u w:val="none" w:color="auto"/>
                <w:lang w:val="en-US" w:eastAsia="zh-CN"/>
              </w:rPr>
              <w:t>能有效去除玻璃表面的微量氧化物，使玻璃表面更加光亮，实现一种</w:t>
            </w:r>
            <w:r>
              <w:rPr>
                <w:rFonts w:hint="eastAsia"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火焰抛光</w:t>
            </w:r>
            <w:r>
              <w:rPr>
                <w:rFonts w:hint="eastAsia"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的效果，修复微小的划痕，使产品晶莹剔透。</w:t>
            </w:r>
          </w:p>
          <w:p w14:paraId="0DBD9CF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该工序产生</w:t>
            </w:r>
            <w:r>
              <w:rPr>
                <w:rFonts w:hint="default" w:ascii="Times New Roman" w:hAnsi="Times New Roman" w:cs="Times New Roman"/>
                <w:color w:val="auto"/>
                <w:sz w:val="24"/>
                <w:szCs w:val="24"/>
                <w:u w:val="none" w:color="auto"/>
                <w:lang w:val="en-US" w:eastAsia="zh-CN"/>
              </w:rPr>
              <w:t>天然气燃烧</w:t>
            </w:r>
            <w:r>
              <w:rPr>
                <w:rFonts w:hint="default" w:ascii="Times New Roman" w:hAnsi="Times New Roman" w:eastAsia="宋体" w:cs="Times New Roman"/>
                <w:color w:val="auto"/>
                <w:sz w:val="24"/>
                <w:szCs w:val="24"/>
                <w:u w:val="none" w:color="auto"/>
                <w:lang w:val="en-US" w:eastAsia="zh-CN"/>
              </w:rPr>
              <w:t>废气G</w:t>
            </w:r>
            <w:r>
              <w:rPr>
                <w:rFonts w:hint="default" w:ascii="Times New Roman" w:hAnsi="Times New Roman" w:eastAsia="宋体" w:cs="Times New Roman"/>
                <w:color w:val="auto"/>
                <w:sz w:val="24"/>
                <w:szCs w:val="24"/>
                <w:u w:val="none" w:color="auto"/>
                <w:vertAlign w:val="subscript"/>
                <w:lang w:val="en-US" w:eastAsia="zh-CN"/>
              </w:rPr>
              <w:t>1-</w:t>
            </w:r>
            <w:r>
              <w:rPr>
                <w:rFonts w:hint="eastAsia" w:cs="Times New Roman"/>
                <w:color w:val="auto"/>
                <w:sz w:val="24"/>
                <w:szCs w:val="24"/>
                <w:u w:val="none" w:color="auto"/>
                <w:vertAlign w:val="subscript"/>
                <w:lang w:val="en-US" w:eastAsia="zh-CN"/>
              </w:rPr>
              <w:t>4</w:t>
            </w:r>
            <w:r>
              <w:rPr>
                <w:rFonts w:hint="default" w:ascii="Times New Roman" w:hAnsi="Times New Roman" w:eastAsia="宋体" w:cs="Times New Roman"/>
                <w:color w:val="auto"/>
                <w:sz w:val="24"/>
                <w:szCs w:val="24"/>
                <w:u w:val="none" w:color="auto"/>
                <w:lang w:val="en-US" w:eastAsia="zh-CN"/>
              </w:rPr>
              <w:t>（主要污染物为颗粒物、SO</w:t>
            </w:r>
            <w:r>
              <w:rPr>
                <w:rFonts w:hint="default" w:ascii="Times New Roman" w:hAnsi="Times New Roman" w:eastAsia="宋体" w:cs="Times New Roman"/>
                <w:color w:val="auto"/>
                <w:sz w:val="24"/>
                <w:szCs w:val="24"/>
                <w:u w:val="none" w:color="auto"/>
                <w:vertAlign w:val="subscript"/>
                <w:lang w:val="en-US" w:eastAsia="zh-CN"/>
              </w:rPr>
              <w:t>2</w:t>
            </w:r>
            <w:r>
              <w:rPr>
                <w:rFonts w:hint="default" w:ascii="Times New Roman" w:hAnsi="Times New Roman" w:eastAsia="宋体" w:cs="Times New Roman"/>
                <w:color w:val="auto"/>
                <w:sz w:val="24"/>
                <w:szCs w:val="24"/>
                <w:u w:val="none" w:color="auto"/>
                <w:lang w:val="en-US" w:eastAsia="zh-CN"/>
              </w:rPr>
              <w:t>、NOx）、设备运行噪声N</w:t>
            </w:r>
            <w:r>
              <w:rPr>
                <w:rFonts w:hint="default" w:ascii="Times New Roman" w:hAnsi="Times New Roman" w:cs="Times New Roman"/>
                <w:color w:val="auto"/>
                <w:sz w:val="24"/>
                <w:szCs w:val="24"/>
                <w:u w:val="none" w:color="auto"/>
                <w:lang w:val="en-US" w:eastAsia="zh-CN"/>
              </w:rPr>
              <w:t>。</w:t>
            </w:r>
          </w:p>
          <w:p w14:paraId="40C5B3C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②</w:t>
            </w:r>
            <w:r>
              <w:rPr>
                <w:rFonts w:hint="eastAsia" w:ascii="Times New Roman" w:hAnsi="Times New Roman" w:eastAsia="宋体" w:cs="Times New Roman"/>
                <w:color w:val="auto"/>
                <w:sz w:val="24"/>
                <w:szCs w:val="24"/>
                <w:u w:val="none" w:color="auto"/>
                <w:lang w:val="en-US" w:eastAsia="zh-CN"/>
              </w:rPr>
              <w:t>成型</w:t>
            </w:r>
          </w:p>
          <w:p w14:paraId="1A8741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火焰抛光后的流液由调节闸板控制流量后流入成型</w:t>
            </w:r>
            <w:r>
              <w:rPr>
                <w:rFonts w:hint="eastAsia" w:cs="Times New Roman"/>
                <w:color w:val="auto"/>
                <w:sz w:val="24"/>
                <w:szCs w:val="24"/>
                <w:u w:val="none" w:color="auto"/>
                <w:lang w:val="en-US" w:eastAsia="zh-CN"/>
              </w:rPr>
              <w:t>设备</w:t>
            </w:r>
            <w:r>
              <w:rPr>
                <w:rFonts w:hint="default" w:ascii="Times New Roman" w:hAnsi="Times New Roman" w:eastAsia="宋体" w:cs="Times New Roman"/>
                <w:color w:val="auto"/>
                <w:sz w:val="24"/>
                <w:szCs w:val="24"/>
                <w:u w:val="none" w:color="auto"/>
                <w:lang w:val="en-US" w:eastAsia="zh-CN"/>
              </w:rPr>
              <w:t>，玻璃液摊平展开，再通过机械</w:t>
            </w:r>
            <w:r>
              <w:rPr>
                <w:rFonts w:hint="eastAsia" w:cs="Times New Roman"/>
                <w:color w:val="auto"/>
                <w:sz w:val="24"/>
                <w:szCs w:val="24"/>
                <w:u w:val="none" w:color="auto"/>
                <w:lang w:val="en-US" w:eastAsia="zh-CN"/>
              </w:rPr>
              <w:t>辊</w:t>
            </w:r>
            <w:r>
              <w:rPr>
                <w:rFonts w:hint="default" w:ascii="Times New Roman" w:hAnsi="Times New Roman" w:eastAsia="宋体" w:cs="Times New Roman"/>
                <w:color w:val="auto"/>
                <w:sz w:val="24"/>
                <w:szCs w:val="24"/>
                <w:u w:val="none" w:color="auto"/>
                <w:lang w:val="en-US" w:eastAsia="zh-CN"/>
              </w:rPr>
              <w:t>的控制，形成符合宽度</w:t>
            </w:r>
            <w:r>
              <w:rPr>
                <w:rFonts w:hint="default" w:ascii="Times New Roman" w:hAnsi="Times New Roman" w:eastAsia="宋体" w:cs="Times New Roman"/>
                <w:b w:val="0"/>
                <w:bCs w:val="0"/>
                <w:color w:val="auto"/>
                <w:sz w:val="24"/>
                <w:szCs w:val="24"/>
                <w:u w:val="none" w:color="auto"/>
                <w:lang w:val="en-US" w:eastAsia="zh-CN"/>
              </w:rPr>
              <w:t>（</w:t>
            </w:r>
            <w:r>
              <w:rPr>
                <w:rFonts w:hint="eastAsia" w:cs="Times New Roman"/>
                <w:b w:val="0"/>
                <w:bCs w:val="0"/>
                <w:color w:val="auto"/>
                <w:sz w:val="24"/>
                <w:szCs w:val="24"/>
                <w:u w:val="none" w:color="auto"/>
                <w:lang w:val="en-US" w:eastAsia="zh-CN"/>
              </w:rPr>
              <w:t>约</w:t>
            </w:r>
            <w:r>
              <w:rPr>
                <w:rFonts w:hint="default" w:ascii="Times New Roman" w:hAnsi="Times New Roman" w:eastAsia="宋体" w:cs="Times New Roman"/>
                <w:b w:val="0"/>
                <w:bCs w:val="0"/>
                <w:color w:val="auto"/>
                <w:sz w:val="24"/>
                <w:szCs w:val="24"/>
                <w:u w:val="none" w:color="auto"/>
                <w:lang w:val="en-US" w:eastAsia="zh-CN"/>
              </w:rPr>
              <w:t>1500mm</w:t>
            </w:r>
            <w:r>
              <w:rPr>
                <w:rFonts w:hint="eastAsia" w:cs="Times New Roman"/>
                <w:b w:val="0"/>
                <w:bCs w:val="0"/>
                <w:color w:val="auto"/>
                <w:sz w:val="24"/>
                <w:szCs w:val="24"/>
                <w:u w:val="none" w:color="auto"/>
                <w:lang w:val="en-US" w:eastAsia="zh-CN"/>
              </w:rPr>
              <w:t>左右</w:t>
            </w:r>
            <w:r>
              <w:rPr>
                <w:rFonts w:hint="default" w:ascii="Times New Roman" w:hAnsi="Times New Roman" w:eastAsia="宋体" w:cs="Times New Roman"/>
                <w:b w:val="0"/>
                <w:bCs w:val="0"/>
                <w:color w:val="auto"/>
                <w:sz w:val="24"/>
                <w:szCs w:val="24"/>
                <w:u w:val="none" w:color="auto"/>
                <w:lang w:val="en-US" w:eastAsia="zh-CN"/>
              </w:rPr>
              <w:t>）和厚度（</w:t>
            </w:r>
            <w:r>
              <w:rPr>
                <w:rFonts w:hint="eastAsia" w:cs="Times New Roman"/>
                <w:b w:val="0"/>
                <w:bCs w:val="0"/>
                <w:color w:val="auto"/>
                <w:sz w:val="24"/>
                <w:szCs w:val="24"/>
                <w:u w:val="none" w:color="auto"/>
                <w:lang w:val="en-US" w:eastAsia="zh-CN"/>
              </w:rPr>
              <w:t>约</w:t>
            </w:r>
            <w:r>
              <w:rPr>
                <w:rFonts w:hint="default" w:ascii="Times New Roman" w:hAnsi="Times New Roman" w:cs="Times New Roman"/>
                <w:b w:val="0"/>
                <w:bCs w:val="0"/>
                <w:color w:val="auto"/>
                <w:sz w:val="24"/>
                <w:szCs w:val="24"/>
                <w:u w:val="none" w:color="auto"/>
                <w:lang w:val="en-US" w:eastAsia="zh-CN"/>
              </w:rPr>
              <w:t>5-30</w:t>
            </w:r>
            <w:r>
              <w:rPr>
                <w:rFonts w:hint="default" w:ascii="Times New Roman" w:hAnsi="Times New Roman" w:eastAsia="宋体" w:cs="Times New Roman"/>
                <w:b w:val="0"/>
                <w:bCs w:val="0"/>
                <w:color w:val="auto"/>
                <w:sz w:val="24"/>
                <w:szCs w:val="24"/>
                <w:u w:val="none" w:color="auto"/>
                <w:lang w:val="en-US" w:eastAsia="zh-CN"/>
              </w:rPr>
              <w:t>mm</w:t>
            </w:r>
            <w:r>
              <w:rPr>
                <w:rFonts w:hint="eastAsia" w:cs="Times New Roman"/>
                <w:b w:val="0"/>
                <w:bCs w:val="0"/>
                <w:color w:val="auto"/>
                <w:sz w:val="24"/>
                <w:szCs w:val="24"/>
                <w:u w:val="none" w:color="auto"/>
                <w:lang w:val="en-US" w:eastAsia="zh-CN"/>
              </w:rPr>
              <w:t>左右</w:t>
            </w:r>
            <w:r>
              <w:rPr>
                <w:rFonts w:hint="default" w:ascii="Times New Roman" w:hAnsi="Times New Roman" w:eastAsia="宋体" w:cs="Times New Roman"/>
                <w:b w:val="0"/>
                <w:bCs w:val="0"/>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要求的玻璃带。防火玻璃的表现形式为平面状态，生产过程中只需要调整机械辊</w:t>
            </w:r>
            <w:r>
              <w:rPr>
                <w:rFonts w:hint="eastAsia" w:cs="Times New Roman"/>
                <w:color w:val="auto"/>
                <w:sz w:val="24"/>
                <w:szCs w:val="24"/>
                <w:u w:val="none" w:color="auto"/>
                <w:lang w:val="en-US" w:eastAsia="zh-CN"/>
              </w:rPr>
              <w:t>来调整玻璃的厚度</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成型过程中</w:t>
            </w:r>
            <w:r>
              <w:rPr>
                <w:rFonts w:hint="default" w:ascii="Times New Roman" w:hAnsi="Times New Roman" w:eastAsia="宋体" w:cs="Times New Roman"/>
                <w:color w:val="auto"/>
                <w:sz w:val="24"/>
                <w:szCs w:val="24"/>
                <w:u w:val="none" w:color="auto"/>
                <w:lang w:val="en-US" w:eastAsia="zh-CN"/>
              </w:rPr>
              <w:t>无需使用脱模剂。本</w:t>
            </w:r>
            <w:r>
              <w:rPr>
                <w:rFonts w:hint="eastAsia" w:cs="Times New Roman"/>
                <w:color w:val="auto"/>
                <w:sz w:val="24"/>
                <w:szCs w:val="24"/>
                <w:u w:val="none" w:color="auto"/>
                <w:lang w:val="en-US" w:eastAsia="zh-CN"/>
              </w:rPr>
              <w:t>工序成型设备</w:t>
            </w:r>
            <w:r>
              <w:rPr>
                <w:rFonts w:hint="default" w:ascii="Times New Roman" w:hAnsi="Times New Roman" w:eastAsia="宋体" w:cs="Times New Roman"/>
                <w:color w:val="auto"/>
                <w:sz w:val="24"/>
                <w:szCs w:val="24"/>
                <w:u w:val="none" w:color="auto"/>
                <w:lang w:val="en-US" w:eastAsia="zh-CN"/>
              </w:rPr>
              <w:t>冷却采用纯水间接冷却。</w:t>
            </w:r>
          </w:p>
          <w:p w14:paraId="390ADCB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循环冷却定期排污水W</w:t>
            </w:r>
            <w:r>
              <w:rPr>
                <w:rFonts w:hint="eastAsia" w:cs="Times New Roman"/>
                <w:color w:val="auto"/>
                <w:sz w:val="24"/>
                <w:szCs w:val="24"/>
                <w:u w:val="none" w:color="auto"/>
                <w:vertAlign w:val="subscript"/>
                <w:lang w:val="en-US" w:eastAsia="zh-CN"/>
              </w:rPr>
              <w:t>1-2</w:t>
            </w:r>
            <w:r>
              <w:rPr>
                <w:rFonts w:hint="eastAsia"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2404CE8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5</w:t>
            </w:r>
            <w:r>
              <w:rPr>
                <w:rFonts w:hint="eastAsia" w:ascii="Times New Roman" w:hAnsi="Times New Roman" w:eastAsia="宋体" w:cs="Times New Roman"/>
                <w:b/>
                <w:bCs/>
                <w:color w:val="auto"/>
                <w:sz w:val="24"/>
                <w:szCs w:val="24"/>
                <w:u w:val="none" w:color="auto"/>
                <w:lang w:val="en-US" w:eastAsia="zh-CN"/>
              </w:rPr>
              <w:t>）</w:t>
            </w:r>
            <w:r>
              <w:rPr>
                <w:rFonts w:hint="default" w:ascii="Times New Roman" w:hAnsi="Times New Roman" w:eastAsia="宋体" w:cs="Times New Roman"/>
                <w:b/>
                <w:bCs/>
                <w:color w:val="auto"/>
                <w:sz w:val="24"/>
                <w:szCs w:val="24"/>
                <w:u w:val="none" w:color="auto"/>
                <w:lang w:val="en-US" w:eastAsia="zh-CN"/>
              </w:rPr>
              <w:t>退火</w:t>
            </w:r>
          </w:p>
          <w:p w14:paraId="3ED16DF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玻璃带进入退火窑内按一定的温度曲线被加热、均热、保温、</w:t>
            </w:r>
            <w:r>
              <w:rPr>
                <w:rFonts w:hint="eastAsia" w:ascii="Times New Roman" w:hAnsi="Times New Roman" w:eastAsia="宋体" w:cs="Times New Roman"/>
                <w:color w:val="auto"/>
                <w:sz w:val="24"/>
                <w:szCs w:val="24"/>
                <w:u w:val="none" w:color="auto"/>
                <w:lang w:val="en-US" w:eastAsia="zh-CN"/>
              </w:rPr>
              <w:t>自然</w:t>
            </w:r>
            <w:r>
              <w:rPr>
                <w:rFonts w:hint="default" w:ascii="Times New Roman" w:hAnsi="Times New Roman" w:eastAsia="宋体" w:cs="Times New Roman"/>
                <w:color w:val="auto"/>
                <w:sz w:val="24"/>
                <w:szCs w:val="24"/>
                <w:u w:val="none" w:color="auto"/>
                <w:lang w:val="en-US" w:eastAsia="zh-CN"/>
              </w:rPr>
              <w:t>冷却等，使成形冷却过程中产生的应力降低，以达到符合切割和质量要求的数值，然后进入冷端切裁区。</w:t>
            </w:r>
            <w:r>
              <w:rPr>
                <w:rFonts w:hint="eastAsia" w:cs="Times New Roman"/>
                <w:color w:val="auto"/>
                <w:sz w:val="24"/>
                <w:szCs w:val="24"/>
                <w:u w:val="none" w:color="auto"/>
                <w:lang w:val="en-US" w:eastAsia="zh-CN"/>
              </w:rPr>
              <w:t>退火窑采用电加热。</w:t>
            </w:r>
          </w:p>
          <w:p w14:paraId="7D08CDD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该工序产生设备运行噪声N</w:t>
            </w:r>
            <w:r>
              <w:rPr>
                <w:rFonts w:hint="eastAsia" w:cs="Times New Roman"/>
                <w:color w:val="auto"/>
                <w:sz w:val="24"/>
                <w:szCs w:val="24"/>
                <w:u w:val="none" w:color="auto"/>
                <w:lang w:val="en-US" w:eastAsia="zh-CN"/>
              </w:rPr>
              <w:t>。</w:t>
            </w:r>
          </w:p>
          <w:p w14:paraId="0E7647DB">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（6</w:t>
            </w:r>
            <w:r>
              <w:rPr>
                <w:rFonts w:hint="eastAsia" w:ascii="Times New Roman" w:hAnsi="Times New Roman" w:eastAsia="宋体" w:cs="Times New Roman"/>
                <w:b/>
                <w:bCs/>
                <w:color w:val="auto"/>
                <w:sz w:val="24"/>
                <w:szCs w:val="24"/>
                <w:u w:val="none" w:color="auto"/>
                <w:lang w:val="en-US" w:eastAsia="zh-CN"/>
              </w:rPr>
              <w:t>）裁切</w:t>
            </w:r>
          </w:p>
          <w:p w14:paraId="4C068E0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玻璃带进入冷端裁切区，</w:t>
            </w:r>
            <w:r>
              <w:rPr>
                <w:rFonts w:hint="eastAsia" w:cs="Times New Roman"/>
                <w:color w:val="auto"/>
                <w:sz w:val="24"/>
                <w:szCs w:val="24"/>
                <w:u w:val="none" w:color="auto"/>
                <w:lang w:val="en-US" w:eastAsia="zh-CN"/>
              </w:rPr>
              <w:t>采用横切机、纵切机</w:t>
            </w:r>
            <w:r>
              <w:rPr>
                <w:rFonts w:hint="default" w:ascii="Times New Roman" w:hAnsi="Times New Roman" w:eastAsia="宋体" w:cs="Times New Roman"/>
                <w:color w:val="auto"/>
                <w:sz w:val="24"/>
                <w:szCs w:val="24"/>
                <w:u w:val="none" w:color="auto"/>
                <w:lang w:val="en-US" w:eastAsia="zh-CN"/>
              </w:rPr>
              <w:t>实现自动切割、裁断等操作。裁断后的玻璃板进入加速分离辊道分离。进入裁边工序，裁边宽度可视切裁的规格加以调节。裁边后的玻璃板通过纵掰纵分系统分离，裁边玻璃落板进入碎玻璃仓</w:t>
            </w:r>
            <w:r>
              <w:rPr>
                <w:rFonts w:hint="eastAsia" w:ascii="Times New Roman" w:hAnsi="Times New Roman" w:eastAsia="宋体" w:cs="Times New Roman"/>
                <w:color w:val="auto"/>
                <w:sz w:val="24"/>
                <w:szCs w:val="24"/>
                <w:u w:val="none" w:color="auto"/>
                <w:lang w:val="en-US" w:eastAsia="zh-CN"/>
              </w:rPr>
              <w:t>。</w:t>
            </w:r>
          </w:p>
          <w:p w14:paraId="5875561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该工序产生裁切废气G</w:t>
            </w:r>
            <w:r>
              <w:rPr>
                <w:rFonts w:hint="eastAsia" w:ascii="Times New Roman" w:hAnsi="Times New Roman" w:eastAsia="宋体" w:cs="Times New Roman"/>
                <w:color w:val="auto"/>
                <w:sz w:val="24"/>
                <w:szCs w:val="24"/>
                <w:u w:val="none" w:color="auto"/>
                <w:vertAlign w:val="subscript"/>
                <w:lang w:val="en-US" w:eastAsia="zh-CN"/>
              </w:rPr>
              <w:t>1-</w:t>
            </w:r>
            <w:r>
              <w:rPr>
                <w:rFonts w:hint="eastAsia" w:cs="Times New Roman"/>
                <w:color w:val="auto"/>
                <w:sz w:val="24"/>
                <w:szCs w:val="24"/>
                <w:u w:val="none" w:color="auto"/>
                <w:vertAlign w:val="subscript"/>
                <w:lang w:val="en-US" w:eastAsia="zh-CN"/>
              </w:rPr>
              <w:t>5</w:t>
            </w:r>
            <w:r>
              <w:rPr>
                <w:rFonts w:hint="eastAsia" w:ascii="Times New Roman" w:hAnsi="Times New Roman" w:eastAsia="宋体" w:cs="Times New Roman"/>
                <w:color w:val="auto"/>
                <w:sz w:val="24"/>
                <w:szCs w:val="24"/>
                <w:u w:val="none" w:color="auto"/>
                <w:lang w:val="en-US" w:eastAsia="zh-CN"/>
              </w:rPr>
              <w:t>（主要污染物为颗粒物）、废边角料S</w:t>
            </w:r>
            <w:r>
              <w:rPr>
                <w:rFonts w:hint="eastAsia" w:ascii="Times New Roman" w:hAnsi="Times New Roman" w:eastAsia="宋体" w:cs="Times New Roman"/>
                <w:color w:val="auto"/>
                <w:sz w:val="24"/>
                <w:szCs w:val="24"/>
                <w:u w:val="none" w:color="auto"/>
                <w:vertAlign w:val="subscript"/>
                <w:lang w:val="en-US" w:eastAsia="zh-CN"/>
              </w:rPr>
              <w:t>1-2</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1B9987E1">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7</w:t>
            </w:r>
            <w:r>
              <w:rPr>
                <w:rFonts w:hint="eastAsia" w:ascii="Times New Roman" w:hAnsi="Times New Roman" w:eastAsia="宋体" w:cs="Times New Roman"/>
                <w:b/>
                <w:bCs/>
                <w:color w:val="auto"/>
                <w:sz w:val="24"/>
                <w:szCs w:val="24"/>
                <w:u w:val="none" w:color="auto"/>
                <w:lang w:val="en-US" w:eastAsia="zh-CN"/>
              </w:rPr>
              <w:t>）检验、吹风清扫</w:t>
            </w:r>
          </w:p>
          <w:p w14:paraId="6B9711F5">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裁切后的玻璃板需要进行检验，不合格品进入</w:t>
            </w:r>
            <w:r>
              <w:rPr>
                <w:rFonts w:hint="eastAsia" w:cs="Times New Roman"/>
                <w:color w:val="auto"/>
                <w:sz w:val="24"/>
                <w:szCs w:val="24"/>
                <w:u w:val="none" w:color="auto"/>
                <w:lang w:val="en-US" w:eastAsia="zh-CN"/>
              </w:rPr>
              <w:t>配料、</w:t>
            </w:r>
            <w:r>
              <w:rPr>
                <w:rFonts w:hint="eastAsia" w:ascii="Times New Roman" w:hAnsi="Times New Roman" w:eastAsia="宋体" w:cs="Times New Roman"/>
                <w:color w:val="auto"/>
                <w:sz w:val="24"/>
                <w:szCs w:val="24"/>
                <w:u w:val="none" w:color="auto"/>
                <w:lang w:val="en-US" w:eastAsia="zh-CN"/>
              </w:rPr>
              <w:t>混料工序回用，</w:t>
            </w:r>
            <w:r>
              <w:rPr>
                <w:rFonts w:hint="default" w:ascii="Times New Roman" w:hAnsi="Times New Roman" w:eastAsia="宋体" w:cs="Times New Roman"/>
                <w:color w:val="auto"/>
                <w:sz w:val="24"/>
                <w:szCs w:val="24"/>
                <w:u w:val="none" w:color="auto"/>
                <w:lang w:val="en-US" w:eastAsia="zh-CN"/>
              </w:rPr>
              <w:t>合格</w:t>
            </w:r>
            <w:r>
              <w:rPr>
                <w:rFonts w:hint="eastAsia" w:ascii="Times New Roman" w:hAnsi="Times New Roman" w:eastAsia="宋体" w:cs="Times New Roman"/>
                <w:color w:val="auto"/>
                <w:sz w:val="24"/>
                <w:szCs w:val="24"/>
                <w:u w:val="none" w:color="auto"/>
                <w:lang w:val="en-US" w:eastAsia="zh-CN"/>
              </w:rPr>
              <w:t>品</w:t>
            </w:r>
            <w:r>
              <w:rPr>
                <w:rFonts w:hint="default" w:ascii="Times New Roman" w:hAnsi="Times New Roman" w:eastAsia="宋体" w:cs="Times New Roman"/>
                <w:color w:val="auto"/>
                <w:sz w:val="24"/>
                <w:szCs w:val="24"/>
                <w:u w:val="none" w:color="auto"/>
                <w:lang w:val="en-US" w:eastAsia="zh-CN"/>
              </w:rPr>
              <w:t>经吹风清扫清除表面的屑渣后</w:t>
            </w:r>
            <w:r>
              <w:rPr>
                <w:rFonts w:hint="eastAsia" w:cs="Times New Roman"/>
                <w:color w:val="auto"/>
                <w:sz w:val="24"/>
                <w:szCs w:val="24"/>
                <w:u w:val="none" w:color="auto"/>
                <w:lang w:val="en-US" w:eastAsia="zh-CN"/>
              </w:rPr>
              <w:t>进入下一步工序</w:t>
            </w:r>
            <w:r>
              <w:rPr>
                <w:rFonts w:hint="eastAsia" w:ascii="Times New Roman" w:hAnsi="Times New Roman" w:eastAsia="宋体" w:cs="Times New Roman"/>
                <w:color w:val="auto"/>
                <w:sz w:val="24"/>
                <w:szCs w:val="24"/>
                <w:u w:val="none" w:color="auto"/>
                <w:lang w:val="en-US" w:eastAsia="zh-CN"/>
              </w:rPr>
              <w:t>。</w:t>
            </w:r>
          </w:p>
          <w:p w14:paraId="7D212B4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该工序产生清扫废气G</w:t>
            </w:r>
            <w:r>
              <w:rPr>
                <w:rFonts w:hint="eastAsia" w:ascii="Times New Roman" w:hAnsi="Times New Roman" w:eastAsia="宋体" w:cs="Times New Roman"/>
                <w:color w:val="auto"/>
                <w:sz w:val="24"/>
                <w:szCs w:val="24"/>
                <w:u w:val="none" w:color="auto"/>
                <w:vertAlign w:val="subscript"/>
                <w:lang w:val="en-US" w:eastAsia="zh-CN"/>
              </w:rPr>
              <w:t>1-</w:t>
            </w:r>
            <w:r>
              <w:rPr>
                <w:rFonts w:hint="eastAsia" w:cs="Times New Roman"/>
                <w:color w:val="auto"/>
                <w:sz w:val="24"/>
                <w:szCs w:val="24"/>
                <w:u w:val="none" w:color="auto"/>
                <w:vertAlign w:val="subscript"/>
                <w:lang w:val="en-US" w:eastAsia="zh-CN"/>
              </w:rPr>
              <w:t>6</w:t>
            </w:r>
            <w:r>
              <w:rPr>
                <w:rFonts w:hint="eastAsia" w:ascii="Times New Roman" w:hAnsi="Times New Roman" w:eastAsia="宋体" w:cs="Times New Roman"/>
                <w:color w:val="auto"/>
                <w:sz w:val="24"/>
                <w:szCs w:val="24"/>
                <w:u w:val="none" w:color="auto"/>
                <w:lang w:val="en-US" w:eastAsia="zh-CN"/>
              </w:rPr>
              <w:t>（主要污染物为颗粒物）、不合格品S</w:t>
            </w:r>
            <w:r>
              <w:rPr>
                <w:rFonts w:hint="eastAsia" w:ascii="Times New Roman" w:hAnsi="Times New Roman" w:eastAsia="宋体" w:cs="Times New Roman"/>
                <w:color w:val="auto"/>
                <w:sz w:val="24"/>
                <w:szCs w:val="24"/>
                <w:u w:val="none" w:color="auto"/>
                <w:vertAlign w:val="subscript"/>
                <w:lang w:val="en-US" w:eastAsia="zh-CN"/>
              </w:rPr>
              <w:t>1-3</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0899D364">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8</w:t>
            </w:r>
            <w:r>
              <w:rPr>
                <w:rFonts w:hint="eastAsia" w:ascii="Times New Roman" w:hAnsi="Times New Roman" w:eastAsia="宋体" w:cs="Times New Roman"/>
                <w:b/>
                <w:bCs/>
                <w:color w:val="auto"/>
                <w:sz w:val="24"/>
                <w:szCs w:val="24"/>
                <w:u w:val="none" w:color="auto"/>
                <w:lang w:val="en-US" w:eastAsia="zh-CN"/>
              </w:rPr>
              <w:t>）放隔离纸、装箱</w:t>
            </w:r>
          </w:p>
          <w:p w14:paraId="2E7A25D4">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
                <w:bCs/>
                <w:color w:val="auto"/>
                <w:sz w:val="24"/>
                <w:szCs w:val="24"/>
                <w:u w:val="none" w:color="auto"/>
                <w:lang w:val="en-US" w:eastAsia="zh-CN"/>
              </w:rPr>
            </w:pPr>
            <w:r>
              <w:rPr>
                <w:rFonts w:hint="eastAsia" w:cs="Times New Roman"/>
                <w:color w:val="auto"/>
                <w:sz w:val="24"/>
                <w:szCs w:val="24"/>
                <w:u w:val="none" w:color="auto"/>
                <w:lang w:val="en-US" w:eastAsia="zh-CN"/>
              </w:rPr>
              <w:t>为</w:t>
            </w:r>
            <w:r>
              <w:rPr>
                <w:rFonts w:hint="eastAsia" w:ascii="Times New Roman" w:hAnsi="Times New Roman" w:eastAsia="宋体" w:cs="Times New Roman"/>
                <w:color w:val="auto"/>
                <w:sz w:val="24"/>
                <w:szCs w:val="24"/>
                <w:u w:val="none" w:color="auto"/>
                <w:lang w:val="en-US" w:eastAsia="zh-CN"/>
              </w:rPr>
              <w:t>防止后期玻璃粘连，</w:t>
            </w:r>
            <w:r>
              <w:rPr>
                <w:rFonts w:hint="eastAsia" w:cs="Times New Roman"/>
                <w:color w:val="auto"/>
                <w:sz w:val="24"/>
                <w:szCs w:val="24"/>
                <w:u w:val="none" w:color="auto"/>
                <w:lang w:val="en-US" w:eastAsia="zh-CN"/>
              </w:rPr>
              <w:t>需要在两块玻璃之前</w:t>
            </w:r>
            <w:r>
              <w:rPr>
                <w:rFonts w:hint="eastAsia" w:ascii="Times New Roman" w:hAnsi="Times New Roman" w:eastAsia="宋体" w:cs="Times New Roman"/>
                <w:color w:val="auto"/>
                <w:sz w:val="24"/>
                <w:szCs w:val="24"/>
                <w:u w:val="none" w:color="auto"/>
                <w:lang w:val="en-US" w:eastAsia="zh-CN"/>
              </w:rPr>
              <w:t>放隔离纸起到保护玻璃的作用，</w:t>
            </w:r>
            <w:r>
              <w:rPr>
                <w:rFonts w:hint="eastAsia" w:cs="Times New Roman"/>
                <w:color w:val="auto"/>
                <w:sz w:val="24"/>
                <w:szCs w:val="24"/>
                <w:u w:val="none" w:color="auto"/>
                <w:lang w:val="en-US" w:eastAsia="zh-CN"/>
              </w:rPr>
              <w:t>放置隔离纸后</w:t>
            </w:r>
            <w:r>
              <w:rPr>
                <w:rFonts w:hint="default" w:ascii="Times New Roman" w:hAnsi="Times New Roman" w:eastAsia="宋体" w:cs="Times New Roman"/>
                <w:color w:val="auto"/>
                <w:sz w:val="24"/>
                <w:szCs w:val="24"/>
                <w:u w:val="none" w:color="auto"/>
                <w:lang w:val="en-US" w:eastAsia="zh-CN"/>
              </w:rPr>
              <w:t>装箱，再由叉车运至成品库。</w:t>
            </w:r>
          </w:p>
          <w:p w14:paraId="0103092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cs="宋体"/>
                <w:color w:val="auto"/>
                <w:sz w:val="24"/>
                <w:szCs w:val="24"/>
                <w:lang w:val="en-US" w:eastAsia="zh-CN"/>
              </w:rPr>
            </w:pPr>
            <w:r>
              <w:rPr>
                <w:rFonts w:hint="eastAsia" w:ascii="Times New Roman" w:hAnsi="Times New Roman" w:eastAsia="宋体" w:cs="Times New Roman"/>
                <w:color w:val="auto"/>
                <w:sz w:val="24"/>
                <w:szCs w:val="24"/>
                <w:u w:val="none" w:color="auto"/>
                <w:lang w:val="en-US" w:eastAsia="zh-CN"/>
              </w:rPr>
              <w:t>该工序产生设备运行噪声N</w:t>
            </w:r>
            <w:r>
              <w:rPr>
                <w:rFonts w:hint="eastAsia" w:cs="Times New Roman"/>
                <w:color w:val="auto"/>
                <w:sz w:val="24"/>
                <w:szCs w:val="24"/>
                <w:u w:val="none" w:color="auto"/>
                <w:lang w:val="en-US" w:eastAsia="zh-CN"/>
              </w:rPr>
              <w:t>。</w:t>
            </w:r>
          </w:p>
          <w:p w14:paraId="0796A8CD">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24B120C6">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2384C7B2">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7EE8815A">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26EBA44F">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1DD2CC66">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70367FAE">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54E4722A">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2660F54E">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5FD34837">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08C2E9A2">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4A18C728">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28627277">
            <w:pPr>
              <w:keepNext w:val="0"/>
              <w:keepLines w:val="0"/>
              <w:suppressLineNumbers w:val="0"/>
              <w:spacing w:before="0" w:beforeAutospacing="0" w:after="0" w:afterAutospacing="0" w:line="360" w:lineRule="auto"/>
              <w:ind w:left="0" w:right="0"/>
              <w:jc w:val="left"/>
              <w:rPr>
                <w:rFonts w:hint="eastAsia" w:cs="宋体"/>
                <w:color w:val="auto"/>
                <w:sz w:val="24"/>
                <w:szCs w:val="24"/>
                <w:lang w:val="en-US" w:eastAsia="zh-CN"/>
              </w:rPr>
            </w:pPr>
          </w:p>
          <w:p w14:paraId="532DEA66">
            <w:pPr>
              <w:keepNext w:val="0"/>
              <w:keepLines w:val="0"/>
              <w:suppressLineNumbers w:val="0"/>
              <w:spacing w:before="0" w:beforeAutospacing="0" w:after="0" w:afterAutospacing="0" w:line="360" w:lineRule="auto"/>
              <w:ind w:left="0" w:right="0"/>
              <w:jc w:val="left"/>
              <w:rPr>
                <w:rFonts w:hint="eastAsia" w:cs="宋体"/>
                <w:color w:val="auto"/>
                <w:sz w:val="24"/>
                <w:szCs w:val="24"/>
                <w:lang w:val="en-US" w:eastAsia="zh-CN"/>
              </w:rPr>
            </w:pPr>
          </w:p>
          <w:p w14:paraId="6151D2B6">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13F31631">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31362B02">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1F706080">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235101CB">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707401BF">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42DFAA7F">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4C985C9B">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033611D7">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36A862F0">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76CCB671">
            <w:pPr>
              <w:keepNext w:val="0"/>
              <w:keepLines w:val="0"/>
              <w:suppressLineNumbers w:val="0"/>
              <w:spacing w:before="0" w:beforeAutospacing="0" w:after="0" w:afterAutospacing="0" w:line="360" w:lineRule="auto"/>
              <w:ind w:left="0" w:right="0" w:firstLine="480" w:firstLineChars="200"/>
              <w:jc w:val="left"/>
              <w:rPr>
                <w:rFonts w:hint="eastAsia" w:cs="宋体"/>
                <w:color w:val="auto"/>
                <w:sz w:val="24"/>
                <w:szCs w:val="24"/>
                <w:lang w:val="en-US" w:eastAsia="zh-CN"/>
              </w:rPr>
            </w:pPr>
          </w:p>
          <w:p w14:paraId="7AE2BA89">
            <w:pPr>
              <w:keepNext w:val="0"/>
              <w:keepLines w:val="0"/>
              <w:suppressLineNumbers w:val="0"/>
              <w:spacing w:before="0" w:beforeAutospacing="0" w:after="0" w:afterAutospacing="0" w:line="360" w:lineRule="auto"/>
              <w:ind w:left="0" w:right="0" w:firstLine="480" w:firstLineChars="200"/>
              <w:jc w:val="left"/>
              <w:rPr>
                <w:rFonts w:hint="default" w:cs="宋体"/>
                <w:color w:val="auto"/>
                <w:sz w:val="24"/>
                <w:szCs w:val="24"/>
                <w:lang w:val="en-US" w:eastAsia="zh-CN"/>
              </w:rPr>
            </w:pPr>
            <w:r>
              <w:rPr>
                <w:rFonts w:hint="eastAsia" w:cs="宋体"/>
                <w:color w:val="auto"/>
                <w:sz w:val="24"/>
                <w:szCs w:val="24"/>
                <w:lang w:val="en-US" w:eastAsia="zh-CN"/>
              </w:rPr>
              <w:t>（2）高硼硅光热玻璃生产工艺流程如下：</w:t>
            </w:r>
          </w:p>
          <w:p w14:paraId="41117B9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cs="宋体"/>
                <w:color w:val="auto"/>
                <w:sz w:val="24"/>
                <w:szCs w:val="24"/>
                <w:lang w:val="en-US" w:eastAsia="zh-CN"/>
              </w:rPr>
            </w:pPr>
            <w:r>
              <w:rPr>
                <w:rFonts w:hint="default"/>
              </w:rPr>
              <w:drawing>
                <wp:inline distT="0" distB="0" distL="114300" distR="114300">
                  <wp:extent cx="4124325" cy="7162800"/>
                  <wp:effectExtent l="0" t="0" r="9525" b="0"/>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pic:cNvPicPr>
                            <a:picLocks noChangeAspect="1"/>
                          </pic:cNvPicPr>
                        </pic:nvPicPr>
                        <pic:blipFill>
                          <a:blip r:embed="rId9"/>
                          <a:stretch>
                            <a:fillRect/>
                          </a:stretch>
                        </pic:blipFill>
                        <pic:spPr>
                          <a:xfrm>
                            <a:off x="0" y="0"/>
                            <a:ext cx="4124325" cy="7162800"/>
                          </a:xfrm>
                          <a:prstGeom prst="rect">
                            <a:avLst/>
                          </a:prstGeom>
                          <a:noFill/>
                          <a:ln>
                            <a:noFill/>
                          </a:ln>
                        </pic:spPr>
                      </pic:pic>
                    </a:graphicData>
                  </a:graphic>
                </wp:inline>
              </w:drawing>
            </w:r>
          </w:p>
          <w:p w14:paraId="25E783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eastAsia="宋体"/>
                <w:b/>
                <w:bCs/>
                <w:color w:val="000000"/>
                <w:sz w:val="24"/>
                <w:szCs w:val="24"/>
                <w:lang w:val="en-US" w:eastAsia="zh-CN"/>
              </w:rPr>
            </w:pPr>
            <w:r>
              <w:rPr>
                <w:rFonts w:hint="eastAsia" w:cs="宋体"/>
                <w:b/>
                <w:bCs/>
                <w:color w:val="000000"/>
                <w:sz w:val="24"/>
                <w:szCs w:val="24"/>
              </w:rPr>
              <w:t>图</w:t>
            </w:r>
            <w:r>
              <w:rPr>
                <w:rFonts w:hint="default"/>
                <w:b/>
                <w:bCs/>
                <w:color w:val="000000"/>
                <w:sz w:val="24"/>
                <w:szCs w:val="24"/>
              </w:rPr>
              <w:t>2-</w:t>
            </w:r>
            <w:r>
              <w:rPr>
                <w:rFonts w:hint="eastAsia"/>
                <w:b/>
                <w:bCs/>
                <w:color w:val="000000"/>
                <w:sz w:val="24"/>
                <w:szCs w:val="24"/>
                <w:lang w:val="en-US" w:eastAsia="zh-CN"/>
              </w:rPr>
              <w:t>3</w:t>
            </w:r>
            <w:r>
              <w:rPr>
                <w:rFonts w:hint="default"/>
                <w:b/>
                <w:bCs/>
                <w:color w:val="000000"/>
                <w:sz w:val="24"/>
                <w:szCs w:val="24"/>
              </w:rPr>
              <w:t xml:space="preserve"> 生产</w:t>
            </w:r>
            <w:r>
              <w:rPr>
                <w:rFonts w:hint="eastAsia" w:cs="宋体"/>
                <w:b/>
                <w:bCs/>
                <w:color w:val="000000"/>
                <w:sz w:val="24"/>
                <w:szCs w:val="24"/>
              </w:rPr>
              <w:t>工艺流程及产污环节</w:t>
            </w:r>
            <w:r>
              <w:rPr>
                <w:rFonts w:hint="eastAsia" w:cs="宋体"/>
                <w:b/>
                <w:bCs/>
                <w:color w:val="000000"/>
                <w:sz w:val="24"/>
                <w:szCs w:val="24"/>
                <w:lang w:val="en-US" w:eastAsia="zh-CN"/>
              </w:rPr>
              <w:t>图</w:t>
            </w:r>
          </w:p>
          <w:p w14:paraId="28395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宋体"/>
                <w:b/>
                <w:bCs/>
                <w:color w:val="000000"/>
                <w:sz w:val="24"/>
                <w:szCs w:val="24"/>
              </w:rPr>
            </w:pPr>
            <w:r>
              <w:rPr>
                <w:rFonts w:hint="eastAsia" w:cs="宋体"/>
                <w:b/>
                <w:bCs/>
                <w:color w:val="000000"/>
                <w:sz w:val="24"/>
                <w:szCs w:val="24"/>
              </w:rPr>
              <w:t>（</w:t>
            </w:r>
            <w:r>
              <w:rPr>
                <w:rFonts w:hint="default"/>
                <w:b/>
                <w:bCs/>
                <w:color w:val="000000"/>
                <w:sz w:val="24"/>
                <w:szCs w:val="24"/>
              </w:rPr>
              <w:t>G—</w:t>
            </w:r>
            <w:r>
              <w:rPr>
                <w:rFonts w:hint="eastAsia"/>
                <w:b/>
                <w:bCs/>
                <w:color w:val="000000"/>
                <w:sz w:val="24"/>
                <w:szCs w:val="24"/>
                <w:lang w:val="en-US" w:eastAsia="zh-CN"/>
              </w:rPr>
              <w:t>废气</w:t>
            </w:r>
            <w:r>
              <w:rPr>
                <w:rFonts w:hint="eastAsia" w:cs="宋体"/>
                <w:b/>
                <w:bCs/>
                <w:color w:val="000000"/>
                <w:sz w:val="24"/>
                <w:szCs w:val="24"/>
              </w:rPr>
              <w:t>、</w:t>
            </w:r>
            <w:r>
              <w:rPr>
                <w:rFonts w:hint="default"/>
                <w:b/>
                <w:bCs/>
                <w:color w:val="000000"/>
                <w:sz w:val="24"/>
                <w:szCs w:val="24"/>
              </w:rPr>
              <w:t>S—</w:t>
            </w:r>
            <w:r>
              <w:rPr>
                <w:rFonts w:hint="eastAsia" w:cs="宋体"/>
                <w:b/>
                <w:bCs/>
                <w:color w:val="000000"/>
                <w:sz w:val="24"/>
                <w:szCs w:val="24"/>
              </w:rPr>
              <w:t>固废、</w:t>
            </w:r>
            <w:r>
              <w:rPr>
                <w:rFonts w:hint="default"/>
                <w:b/>
                <w:bCs/>
                <w:color w:val="000000"/>
                <w:sz w:val="24"/>
                <w:szCs w:val="24"/>
              </w:rPr>
              <w:t>N—</w:t>
            </w:r>
            <w:r>
              <w:rPr>
                <w:rFonts w:hint="eastAsia" w:cs="宋体"/>
                <w:b/>
                <w:bCs/>
                <w:color w:val="000000"/>
                <w:sz w:val="24"/>
                <w:szCs w:val="24"/>
              </w:rPr>
              <w:t>噪声、</w:t>
            </w:r>
            <w:r>
              <w:rPr>
                <w:rFonts w:hint="eastAsia"/>
                <w:b/>
                <w:bCs/>
                <w:color w:val="000000"/>
                <w:sz w:val="24"/>
                <w:szCs w:val="24"/>
                <w:lang w:val="en-US" w:eastAsia="zh-CN"/>
              </w:rPr>
              <w:t>W</w:t>
            </w:r>
            <w:r>
              <w:rPr>
                <w:rFonts w:hint="default"/>
                <w:b/>
                <w:bCs/>
                <w:color w:val="000000"/>
                <w:sz w:val="24"/>
                <w:szCs w:val="24"/>
              </w:rPr>
              <w:t>—</w:t>
            </w:r>
            <w:r>
              <w:rPr>
                <w:rFonts w:hint="eastAsia"/>
                <w:b/>
                <w:bCs/>
                <w:color w:val="000000"/>
                <w:sz w:val="24"/>
                <w:szCs w:val="24"/>
                <w:lang w:val="en-US" w:eastAsia="zh-CN"/>
              </w:rPr>
              <w:t>废水</w:t>
            </w:r>
            <w:r>
              <w:rPr>
                <w:rFonts w:hint="eastAsia" w:cs="宋体"/>
                <w:b/>
                <w:bCs/>
                <w:color w:val="000000"/>
                <w:sz w:val="24"/>
                <w:szCs w:val="24"/>
              </w:rPr>
              <w:t>）</w:t>
            </w:r>
          </w:p>
          <w:p w14:paraId="2EEBFB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工艺流程简述：</w:t>
            </w:r>
          </w:p>
          <w:p w14:paraId="6EA4ECD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（1）</w:t>
            </w:r>
            <w:r>
              <w:rPr>
                <w:rFonts w:hint="eastAsia" w:ascii="Times New Roman" w:hAnsi="Times New Roman" w:cs="Times New Roman"/>
                <w:b/>
                <w:bCs/>
                <w:color w:val="auto"/>
                <w:sz w:val="24"/>
                <w:szCs w:val="24"/>
                <w:u w:val="none" w:color="auto"/>
                <w:lang w:val="en-US" w:eastAsia="zh-CN"/>
              </w:rPr>
              <w:t>配料、</w:t>
            </w:r>
            <w:r>
              <w:rPr>
                <w:rFonts w:hint="default" w:ascii="Times New Roman" w:hAnsi="Times New Roman" w:eastAsia="宋体" w:cs="Times New Roman"/>
                <w:b/>
                <w:bCs/>
                <w:color w:val="auto"/>
                <w:sz w:val="24"/>
                <w:szCs w:val="24"/>
                <w:u w:val="none" w:color="auto"/>
                <w:lang w:val="en-US" w:eastAsia="zh-CN"/>
              </w:rPr>
              <w:t>混料</w:t>
            </w:r>
          </w:p>
          <w:p w14:paraId="3C0FC8F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本项目</w:t>
            </w:r>
            <w:r>
              <w:rPr>
                <w:rFonts w:hint="eastAsia" w:cs="Times New Roman"/>
                <w:color w:val="auto"/>
                <w:sz w:val="24"/>
                <w:szCs w:val="24"/>
                <w:u w:val="none" w:color="auto"/>
                <w:lang w:val="en-US" w:eastAsia="zh-CN"/>
              </w:rPr>
              <w:t>配料工序是将石英砂</w:t>
            </w:r>
            <w:r>
              <w:rPr>
                <w:rFonts w:hint="default" w:ascii="Times New Roman" w:hAnsi="Times New Roman" w:eastAsia="宋体" w:cs="Times New Roman"/>
                <w:color w:val="auto"/>
                <w:sz w:val="24"/>
                <w:szCs w:val="24"/>
                <w:u w:val="none" w:color="auto"/>
                <w:lang w:val="en-US" w:eastAsia="zh-CN"/>
              </w:rPr>
              <w:t>、硼砂、硼酸、氢氧化铝、</w:t>
            </w:r>
            <w:r>
              <w:rPr>
                <w:rFonts w:hint="eastAsia" w:cs="Times New Roman"/>
                <w:color w:val="auto"/>
                <w:sz w:val="24"/>
                <w:szCs w:val="24"/>
                <w:u w:val="none" w:color="auto"/>
                <w:lang w:val="en-US" w:eastAsia="zh-CN"/>
              </w:rPr>
              <w:t>食盐、碎玻璃</w:t>
            </w:r>
            <w:r>
              <w:rPr>
                <w:rFonts w:hint="default" w:ascii="Times New Roman" w:hAnsi="Times New Roman" w:eastAsia="宋体" w:cs="Times New Roman"/>
                <w:color w:val="auto"/>
                <w:sz w:val="24"/>
                <w:szCs w:val="24"/>
                <w:u w:val="none" w:color="auto"/>
                <w:lang w:val="en-US" w:eastAsia="zh-CN"/>
              </w:rPr>
              <w:t>等原辅料</w:t>
            </w:r>
            <w:r>
              <w:rPr>
                <w:rFonts w:hint="eastAsia" w:cs="Times New Roman"/>
                <w:color w:val="auto"/>
                <w:sz w:val="24"/>
                <w:szCs w:val="24"/>
                <w:u w:val="none" w:color="auto"/>
                <w:lang w:val="en-US" w:eastAsia="zh-CN"/>
              </w:rPr>
              <w:t>采用行车运送至生产线料仓入料口位置，人工将原辅料投加入料仓。</w:t>
            </w:r>
            <w:r>
              <w:rPr>
                <w:rFonts w:hint="default" w:ascii="Times New Roman" w:hAnsi="Times New Roman" w:eastAsia="宋体" w:cs="Times New Roman"/>
                <w:color w:val="auto"/>
                <w:sz w:val="24"/>
                <w:szCs w:val="24"/>
                <w:u w:val="none" w:color="auto"/>
                <w:lang w:val="en-US" w:eastAsia="zh-CN"/>
              </w:rPr>
              <w:t>配料</w:t>
            </w:r>
            <w:r>
              <w:rPr>
                <w:rFonts w:hint="eastAsia" w:cs="Times New Roman"/>
                <w:color w:val="auto"/>
                <w:sz w:val="24"/>
                <w:szCs w:val="24"/>
                <w:u w:val="none" w:color="auto"/>
                <w:lang w:val="en-US" w:eastAsia="zh-CN"/>
              </w:rPr>
              <w:t>、混料</w:t>
            </w:r>
            <w:r>
              <w:rPr>
                <w:rFonts w:hint="default" w:ascii="Times New Roman" w:hAnsi="Times New Roman" w:eastAsia="宋体" w:cs="Times New Roman"/>
                <w:color w:val="auto"/>
                <w:sz w:val="24"/>
                <w:szCs w:val="24"/>
                <w:u w:val="none" w:color="auto"/>
                <w:lang w:val="en-US" w:eastAsia="zh-CN"/>
              </w:rPr>
              <w:t>间四周封闭</w:t>
            </w:r>
            <w:r>
              <w:rPr>
                <w:rFonts w:hint="eastAsia" w:ascii="Times New Roman" w:hAnsi="Times New Roman" w:cs="Times New Roman"/>
                <w:color w:val="auto"/>
                <w:sz w:val="24"/>
                <w:szCs w:val="24"/>
                <w:u w:val="none" w:color="auto"/>
                <w:lang w:val="en-US" w:eastAsia="zh-CN"/>
              </w:rPr>
              <w:t>，通过</w:t>
            </w:r>
            <w:r>
              <w:rPr>
                <w:rFonts w:hint="eastAsia" w:cs="Times New Roman"/>
                <w:color w:val="auto"/>
                <w:sz w:val="24"/>
                <w:szCs w:val="24"/>
                <w:u w:val="none" w:color="auto"/>
                <w:lang w:val="en-US" w:eastAsia="zh-CN"/>
              </w:rPr>
              <w:t>绞龙将料仓内的原辅料</w:t>
            </w:r>
            <w:r>
              <w:rPr>
                <w:rFonts w:hint="eastAsia" w:ascii="Times New Roman" w:hAnsi="Times New Roman" w:cs="Times New Roman"/>
                <w:color w:val="auto"/>
                <w:sz w:val="24"/>
                <w:szCs w:val="24"/>
                <w:u w:val="none" w:color="auto"/>
                <w:lang w:val="en-US" w:eastAsia="zh-CN"/>
              </w:rPr>
              <w:t>输送</w:t>
            </w:r>
            <w:r>
              <w:rPr>
                <w:rFonts w:hint="default" w:ascii="Times New Roman" w:hAnsi="Times New Roman" w:eastAsia="宋体" w:cs="Times New Roman"/>
                <w:color w:val="auto"/>
                <w:sz w:val="24"/>
                <w:szCs w:val="24"/>
                <w:u w:val="none" w:color="auto"/>
                <w:lang w:val="en-US" w:eastAsia="zh-CN"/>
              </w:rPr>
              <w:t>到计量称，从计量称下来用密封传输皮带传动到混料机，</w:t>
            </w:r>
            <w:r>
              <w:rPr>
                <w:rFonts w:hint="eastAsia" w:cs="Times New Roman"/>
                <w:color w:val="auto"/>
                <w:sz w:val="24"/>
                <w:szCs w:val="24"/>
                <w:u w:val="none" w:color="auto"/>
                <w:lang w:val="en-US" w:eastAsia="zh-CN"/>
              </w:rPr>
              <w:t>混料过程中设备密闭。</w:t>
            </w:r>
          </w:p>
          <w:p w14:paraId="5C899E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该工序产生配料、混料粉尘G</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vertAlign w:val="subscript"/>
                <w:lang w:val="en-US" w:eastAsia="zh-CN"/>
              </w:rPr>
              <w:t>-1</w:t>
            </w:r>
            <w:r>
              <w:rPr>
                <w:rFonts w:hint="eastAsia" w:ascii="Times New Roman" w:hAnsi="Times New Roman" w:eastAsia="宋体" w:cs="Times New Roman"/>
                <w:color w:val="auto"/>
                <w:sz w:val="24"/>
                <w:szCs w:val="24"/>
                <w:u w:val="none" w:color="auto"/>
                <w:lang w:val="en-US" w:eastAsia="zh-CN"/>
              </w:rPr>
              <w:t>（主要污染物为颗粒物）、</w:t>
            </w:r>
            <w:r>
              <w:rPr>
                <w:rFonts w:hint="default" w:ascii="Times New Roman" w:hAnsi="Times New Roman" w:eastAsia="宋体" w:cs="Times New Roman"/>
                <w:color w:val="auto"/>
                <w:sz w:val="24"/>
                <w:szCs w:val="24"/>
                <w:u w:val="none" w:color="auto"/>
                <w:lang w:val="en-US" w:eastAsia="zh-CN"/>
              </w:rPr>
              <w:t>废包装袋</w:t>
            </w:r>
            <w:r>
              <w:rPr>
                <w:rFonts w:hint="eastAsia" w:ascii="Times New Roman" w:hAnsi="Times New Roman" w:eastAsia="宋体" w:cs="Times New Roman"/>
                <w:color w:val="auto"/>
                <w:sz w:val="24"/>
                <w:szCs w:val="24"/>
                <w:u w:val="none" w:color="auto"/>
                <w:lang w:val="en-US" w:eastAsia="zh-CN"/>
              </w:rPr>
              <w:t>（S</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vertAlign w:val="subscript"/>
                <w:lang w:val="en-US" w:eastAsia="zh-CN"/>
              </w:rPr>
              <w:t>-1</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4C19C64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（2）</w:t>
            </w:r>
            <w:r>
              <w:rPr>
                <w:rFonts w:hint="eastAsia" w:cs="Times New Roman"/>
                <w:b/>
                <w:bCs/>
                <w:color w:val="auto"/>
                <w:sz w:val="24"/>
                <w:szCs w:val="24"/>
                <w:u w:val="none" w:color="auto"/>
                <w:lang w:val="en-US" w:eastAsia="zh-CN"/>
              </w:rPr>
              <w:t>布料</w:t>
            </w:r>
          </w:p>
          <w:p w14:paraId="308C812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原辅料</w:t>
            </w:r>
            <w:r>
              <w:rPr>
                <w:rFonts w:hint="default" w:ascii="Times New Roman" w:hAnsi="Times New Roman" w:eastAsia="宋体" w:cs="Times New Roman"/>
                <w:color w:val="auto"/>
                <w:sz w:val="24"/>
                <w:szCs w:val="24"/>
                <w:u w:val="none" w:color="auto"/>
                <w:lang w:val="en-US" w:eastAsia="zh-CN"/>
              </w:rPr>
              <w:t>从混料机经密封传输皮带给到</w:t>
            </w:r>
            <w:r>
              <w:rPr>
                <w:rFonts w:hint="eastAsia" w:cs="Times New Roman"/>
                <w:color w:val="auto"/>
                <w:sz w:val="24"/>
                <w:szCs w:val="24"/>
                <w:u w:val="none" w:color="auto"/>
                <w:lang w:val="en-US" w:eastAsia="zh-CN"/>
              </w:rPr>
              <w:t>提升机</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提升机</w:t>
            </w:r>
            <w:r>
              <w:rPr>
                <w:rFonts w:hint="default" w:ascii="Times New Roman" w:hAnsi="Times New Roman" w:eastAsia="宋体" w:cs="Times New Roman"/>
                <w:color w:val="auto"/>
                <w:sz w:val="24"/>
                <w:szCs w:val="24"/>
                <w:u w:val="none" w:color="auto"/>
                <w:lang w:val="en-US" w:eastAsia="zh-CN"/>
              </w:rPr>
              <w:t>给到</w:t>
            </w:r>
            <w:r>
              <w:rPr>
                <w:rFonts w:hint="eastAsia" w:cs="Times New Roman"/>
                <w:color w:val="auto"/>
                <w:sz w:val="24"/>
                <w:szCs w:val="24"/>
                <w:u w:val="none" w:color="auto"/>
                <w:lang w:val="en-US" w:eastAsia="zh-CN"/>
              </w:rPr>
              <w:t>原料</w:t>
            </w:r>
            <w:r>
              <w:rPr>
                <w:rFonts w:hint="eastAsia"/>
                <w:sz w:val="24"/>
                <w:szCs w:val="24"/>
                <w:lang w:val="en-US" w:eastAsia="zh-CN"/>
              </w:rPr>
              <w:t>暂存</w:t>
            </w:r>
            <w:r>
              <w:rPr>
                <w:rFonts w:hint="default" w:ascii="Times New Roman" w:hAnsi="Times New Roman" w:eastAsia="宋体" w:cs="Times New Roman"/>
                <w:color w:val="auto"/>
                <w:sz w:val="24"/>
                <w:szCs w:val="24"/>
                <w:u w:val="none" w:color="auto"/>
                <w:lang w:val="en-US" w:eastAsia="zh-CN"/>
              </w:rPr>
              <w:t>仓，</w:t>
            </w:r>
            <w:r>
              <w:rPr>
                <w:rFonts w:hint="eastAsia"/>
                <w:sz w:val="24"/>
                <w:szCs w:val="24"/>
                <w:lang w:val="en-US" w:eastAsia="zh-CN"/>
              </w:rPr>
              <w:t>暂存</w:t>
            </w:r>
            <w:r>
              <w:rPr>
                <w:rFonts w:hint="default" w:ascii="Times New Roman" w:hAnsi="Times New Roman" w:eastAsia="宋体" w:cs="Times New Roman"/>
                <w:color w:val="auto"/>
                <w:sz w:val="24"/>
                <w:szCs w:val="24"/>
                <w:u w:val="none" w:color="auto"/>
                <w:lang w:val="en-US" w:eastAsia="zh-CN"/>
              </w:rPr>
              <w:t>仓</w:t>
            </w:r>
            <w:r>
              <w:rPr>
                <w:rFonts w:hint="eastAsia" w:cs="Times New Roman"/>
                <w:color w:val="auto"/>
                <w:sz w:val="24"/>
                <w:szCs w:val="24"/>
                <w:u w:val="none" w:color="auto"/>
                <w:lang w:val="en-US" w:eastAsia="zh-CN"/>
              </w:rPr>
              <w:t>内的原辅材料通过自动布料机输送至电熔窑</w:t>
            </w:r>
            <w:r>
              <w:rPr>
                <w:rFonts w:hint="default" w:ascii="Times New Roman" w:hAnsi="Times New Roman" w:eastAsia="宋体" w:cs="Times New Roman"/>
                <w:color w:val="auto"/>
                <w:sz w:val="24"/>
                <w:szCs w:val="24"/>
                <w:u w:val="none" w:color="auto"/>
                <w:lang w:val="en-US" w:eastAsia="zh-CN"/>
              </w:rPr>
              <w:t>。</w:t>
            </w:r>
          </w:p>
          <w:p w14:paraId="5A2FF38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布料</w:t>
            </w:r>
            <w:r>
              <w:rPr>
                <w:rFonts w:hint="eastAsia" w:ascii="Times New Roman" w:hAnsi="Times New Roman" w:eastAsia="宋体" w:cs="Times New Roman"/>
                <w:color w:val="auto"/>
                <w:sz w:val="24"/>
                <w:szCs w:val="24"/>
                <w:u w:val="none" w:color="auto"/>
                <w:lang w:val="en-US" w:eastAsia="zh-CN"/>
              </w:rPr>
              <w:t>粉尘G</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lang w:val="en-US" w:eastAsia="zh-CN"/>
              </w:rPr>
              <w:t>（主要污染物为颗粒物）、设备运行噪声N</w:t>
            </w:r>
            <w:r>
              <w:rPr>
                <w:rFonts w:hint="eastAsia" w:cs="Times New Roman"/>
                <w:color w:val="auto"/>
                <w:sz w:val="24"/>
                <w:szCs w:val="24"/>
                <w:u w:val="none" w:color="auto"/>
                <w:lang w:val="en-US" w:eastAsia="zh-CN"/>
              </w:rPr>
              <w:t>。</w:t>
            </w:r>
          </w:p>
          <w:p w14:paraId="231F408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w:t>
            </w:r>
            <w:r>
              <w:rPr>
                <w:rFonts w:hint="default" w:ascii="Times New Roman" w:hAnsi="Times New Roman" w:eastAsia="宋体" w:cs="Times New Roman"/>
                <w:b/>
                <w:bCs/>
                <w:color w:val="auto"/>
                <w:sz w:val="24"/>
                <w:szCs w:val="24"/>
                <w:u w:val="none" w:color="auto"/>
                <w:lang w:val="en-US" w:eastAsia="zh-CN"/>
              </w:rPr>
              <w:t>熔化</w:t>
            </w:r>
          </w:p>
          <w:p w14:paraId="2B1C039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rPr>
            </w:pPr>
            <w:r>
              <w:rPr>
                <w:rFonts w:hint="default" w:ascii="Times New Roman" w:hAnsi="Times New Roman" w:eastAsia="宋体" w:cs="Times New Roman"/>
                <w:color w:val="auto"/>
                <w:sz w:val="24"/>
                <w:szCs w:val="24"/>
                <w:u w:val="none" w:color="auto"/>
                <w:lang w:val="en-US" w:eastAsia="zh-CN"/>
              </w:rPr>
              <w:t>混合均匀的混合料在熔窑内进行高温加热（熔化温度约1</w:t>
            </w:r>
            <w:r>
              <w:rPr>
                <w:rFonts w:hint="eastAsia"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lang w:val="en-US" w:eastAsia="zh-CN"/>
              </w:rPr>
              <w:t>00</w:t>
            </w:r>
            <w:r>
              <w:rPr>
                <w:rFonts w:hint="eastAsia" w:ascii="Times New Roman" w:hAnsi="Times New Roman" w:eastAsia="宋体" w:cs="Times New Roman"/>
                <w:color w:val="auto"/>
                <w:sz w:val="24"/>
                <w:szCs w:val="24"/>
                <w:u w:val="none" w:color="auto"/>
                <w:lang w:val="en-US" w:eastAsia="zh-CN"/>
              </w:rPr>
              <w:t>-1600</w:t>
            </w: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电熔窑</w:t>
            </w:r>
            <w:r>
              <w:rPr>
                <w:rFonts w:hint="default" w:ascii="Times New Roman" w:hAnsi="Times New Roman" w:eastAsia="宋体" w:cs="Times New Roman"/>
                <w:color w:val="auto"/>
                <w:sz w:val="24"/>
                <w:szCs w:val="24"/>
                <w:u w:val="none" w:color="auto"/>
                <w:lang w:val="en-US" w:eastAsia="zh-CN"/>
              </w:rPr>
              <w:t>上部为熔化区，下部为澄清均化区，采用多边形结构，以减少散热面积和液流死角，有效地降低澄清和均化的能耗。料道玻璃液采用钼电极加热，主料道和分料道空间采用硅碳棒电加热。经过一系列的化学物理反应，形成均匀、无气泡并符合成型要求的液态玻璃。这个过程大致分为五个阶段：硅酸盐形成、玻璃成型、澄清、均化、冷却成型。</w:t>
            </w:r>
            <w:r>
              <w:rPr>
                <w:rFonts w:hint="eastAsia" w:cs="Times New Roman"/>
                <w:color w:val="auto"/>
                <w:sz w:val="24"/>
                <w:szCs w:val="24"/>
                <w:u w:val="none" w:color="auto"/>
                <w:lang w:val="en-US" w:eastAsia="zh-CN"/>
              </w:rPr>
              <w:t>熔化过程中需要采用纯水对电熔窑进行间接降温，此部分废水循环使用，定期排放。</w:t>
            </w:r>
          </w:p>
          <w:p w14:paraId="75721DA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该工序产生熔化废气G</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lang w:val="en-US" w:eastAsia="zh-CN"/>
              </w:rPr>
              <w:t>（主要污染物为颗粒物）、</w:t>
            </w:r>
            <w:r>
              <w:rPr>
                <w:rFonts w:hint="eastAsia" w:cs="Times New Roman"/>
                <w:color w:val="auto"/>
                <w:sz w:val="24"/>
                <w:szCs w:val="24"/>
                <w:u w:val="none" w:color="auto"/>
                <w:lang w:val="en-US" w:eastAsia="zh-CN"/>
              </w:rPr>
              <w:t>循环冷却定期排污水W</w:t>
            </w:r>
            <w:r>
              <w:rPr>
                <w:rFonts w:hint="eastAsia" w:cs="Times New Roman"/>
                <w:color w:val="auto"/>
                <w:sz w:val="24"/>
                <w:szCs w:val="24"/>
                <w:u w:val="none" w:color="auto"/>
                <w:vertAlign w:val="subscript"/>
                <w:lang w:val="en-US" w:eastAsia="zh-CN"/>
              </w:rPr>
              <w:t>1-1</w:t>
            </w:r>
            <w:r>
              <w:rPr>
                <w:rFonts w:hint="eastAsia"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2A58BCD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4</w:t>
            </w:r>
            <w:r>
              <w:rPr>
                <w:rFonts w:hint="default" w:ascii="Times New Roman" w:hAnsi="Times New Roman" w:eastAsia="宋体" w:cs="Times New Roman"/>
                <w:b/>
                <w:bCs/>
                <w:color w:val="auto"/>
                <w:sz w:val="24"/>
                <w:szCs w:val="24"/>
                <w:u w:val="none" w:color="auto"/>
                <w:lang w:val="en-US" w:eastAsia="zh-CN"/>
              </w:rPr>
              <w:t>）成型工段</w:t>
            </w:r>
          </w:p>
          <w:p w14:paraId="32B061E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①火焰抛光</w:t>
            </w:r>
          </w:p>
          <w:p w14:paraId="4F1AF1B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玻璃成型不是一个将整个产品均匀加热的过程，而是需要对特定部位进行瞬时的加热和冷却，操作工需要极高的灵活性和控制度。</w:t>
            </w:r>
            <w:r>
              <w:rPr>
                <w:rFonts w:hint="eastAsia" w:cs="Times New Roman"/>
                <w:color w:val="auto"/>
                <w:sz w:val="24"/>
                <w:szCs w:val="24"/>
                <w:u w:val="none" w:color="auto"/>
                <w:lang w:val="en-US" w:eastAsia="zh-CN"/>
              </w:rPr>
              <w:t>故此工段需要天然气配合加热，在供料道上方的两侧或顶部，安装有一排精密的天然气燃烧喷嘴。</w:t>
            </w:r>
            <w:r>
              <w:rPr>
                <w:rFonts w:hint="default" w:ascii="Times New Roman" w:hAnsi="Times New Roman" w:eastAsia="宋体" w:cs="Times New Roman"/>
                <w:color w:val="auto"/>
                <w:sz w:val="24"/>
                <w:szCs w:val="24"/>
                <w:u w:val="none" w:color="auto"/>
                <w:lang w:val="en-US" w:eastAsia="zh-CN"/>
              </w:rPr>
              <w:t>天然气火焰的温度可以轻松达到2000°C以上，能够快速将高硼硅玻璃（软化点约820°C）的局部加热到所需的工作粘度，保证生产效率。</w:t>
            </w:r>
            <w:r>
              <w:rPr>
                <w:rFonts w:hint="eastAsia" w:cs="Times New Roman"/>
                <w:color w:val="auto"/>
                <w:sz w:val="24"/>
                <w:szCs w:val="24"/>
                <w:u w:val="none" w:color="auto"/>
                <w:lang w:val="en-US" w:eastAsia="zh-CN"/>
              </w:rPr>
              <w:t>且玻璃液经过天然气燃烧后</w:t>
            </w:r>
            <w:r>
              <w:rPr>
                <w:rFonts w:hint="default" w:ascii="Times New Roman" w:hAnsi="Times New Roman" w:eastAsia="宋体" w:cs="Times New Roman"/>
                <w:color w:val="auto"/>
                <w:sz w:val="24"/>
                <w:szCs w:val="24"/>
                <w:u w:val="none" w:color="auto"/>
                <w:lang w:val="en-US" w:eastAsia="zh-CN"/>
              </w:rPr>
              <w:t>能有效去除玻璃表面的微量氧化物，使玻璃表面更加光亮，实现一种</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火焰抛光</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的效果，修复微小的划痕，使产品晶莹剔透。</w:t>
            </w:r>
          </w:p>
          <w:p w14:paraId="419D2F4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天然气燃烧</w:t>
            </w:r>
            <w:r>
              <w:rPr>
                <w:rFonts w:hint="eastAsia" w:ascii="Times New Roman" w:hAnsi="Times New Roman" w:eastAsia="宋体" w:cs="Times New Roman"/>
                <w:color w:val="auto"/>
                <w:sz w:val="24"/>
                <w:szCs w:val="24"/>
                <w:u w:val="none" w:color="auto"/>
                <w:lang w:val="en-US" w:eastAsia="zh-CN"/>
              </w:rPr>
              <w:t>废气G</w:t>
            </w:r>
            <w:r>
              <w:rPr>
                <w:rFonts w:hint="eastAsia" w:ascii="Times New Roman" w:hAnsi="Times New Roman" w:eastAsia="宋体" w:cs="Times New Roman"/>
                <w:color w:val="auto"/>
                <w:sz w:val="24"/>
                <w:szCs w:val="24"/>
                <w:u w:val="none" w:color="auto"/>
                <w:vertAlign w:val="subscript"/>
                <w:lang w:val="en-US" w:eastAsia="zh-CN"/>
              </w:rPr>
              <w:t>2-</w:t>
            </w:r>
            <w:r>
              <w:rPr>
                <w:rFonts w:hint="eastAsia" w:cs="Times New Roman"/>
                <w:color w:val="auto"/>
                <w:sz w:val="24"/>
                <w:szCs w:val="24"/>
                <w:u w:val="none" w:color="auto"/>
                <w:vertAlign w:val="subscript"/>
                <w:lang w:val="en-US" w:eastAsia="zh-CN"/>
              </w:rPr>
              <w:t>4</w:t>
            </w:r>
            <w:r>
              <w:rPr>
                <w:rFonts w:hint="eastAsia" w:ascii="Times New Roman" w:hAnsi="Times New Roman" w:eastAsia="宋体" w:cs="Times New Roman"/>
                <w:color w:val="auto"/>
                <w:sz w:val="24"/>
                <w:szCs w:val="24"/>
                <w:u w:val="none" w:color="auto"/>
                <w:lang w:val="en-US" w:eastAsia="zh-CN"/>
              </w:rPr>
              <w:t>（主要污染物为颗粒物、SO</w:t>
            </w:r>
            <w:r>
              <w:rPr>
                <w:rFonts w:hint="eastAsia" w:ascii="Times New Roman" w:hAnsi="Times New Roman" w:eastAsia="宋体"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lang w:val="en-US" w:eastAsia="zh-CN"/>
              </w:rPr>
              <w:t>、NOx）、设备运行噪声N</w:t>
            </w:r>
            <w:r>
              <w:rPr>
                <w:rFonts w:hint="eastAsia" w:cs="Times New Roman"/>
                <w:color w:val="auto"/>
                <w:sz w:val="24"/>
                <w:szCs w:val="24"/>
                <w:u w:val="none" w:color="auto"/>
                <w:lang w:val="en-US" w:eastAsia="zh-CN"/>
              </w:rPr>
              <w:t>。</w:t>
            </w:r>
          </w:p>
          <w:p w14:paraId="0FCFE5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②</w:t>
            </w:r>
            <w:r>
              <w:rPr>
                <w:rFonts w:hint="eastAsia" w:ascii="Times New Roman" w:hAnsi="Times New Roman" w:eastAsia="宋体" w:cs="Times New Roman"/>
                <w:color w:val="auto"/>
                <w:sz w:val="24"/>
                <w:szCs w:val="24"/>
                <w:u w:val="none" w:color="auto"/>
                <w:lang w:val="en-US" w:eastAsia="zh-CN"/>
              </w:rPr>
              <w:t>成型</w:t>
            </w:r>
          </w:p>
          <w:p w14:paraId="5D4E32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火焰抛光后的流液由调节闸板控制流量后流入成型系统，温度均匀的玻璃液流入拉管机顶部的料碗中。料碗底部有一个环形的开口，玻璃液由此向下流出，形成管状。在料碗中心，垂直安装着一根耐高温的通气芯轴。芯轴持续向流动的玻璃液内部输送洁净的压缩空气。这股气流被“包裹”在玻璃液内部，形成了玻璃管的中空腔体。玻璃液在自身重力作用下向下流动。在此过程中，通过高速、均匀的气流（通常是压缩空气）对玻璃管外壁进行快速冷却，使其粘度急剧增加，从塑性状态转变为弹性状态，形状从而被固定下来。下方是一对同步运行的牵引机。它通常由两条环形履带组成，履带表面有耐高温的柔软材料（如石棉布），通过气压压紧玻璃管</w:t>
            </w:r>
            <w:r>
              <w:rPr>
                <w:rFonts w:hint="eastAsia" w:ascii="Times New Roman" w:hAnsi="Times New Roman" w:eastAsia="宋体" w:cs="Times New Roman"/>
                <w:color w:val="auto"/>
                <w:sz w:val="24"/>
                <w:szCs w:val="24"/>
                <w:u w:val="none" w:color="auto"/>
                <w:lang w:val="en-US" w:eastAsia="zh-CN"/>
              </w:rPr>
              <w:t>，形成符合直径要求（5mm到500mm）的玻璃管</w:t>
            </w:r>
            <w:r>
              <w:rPr>
                <w:rFonts w:hint="default" w:ascii="Times New Roman" w:hAnsi="Times New Roman" w:eastAsia="宋体" w:cs="Times New Roman"/>
                <w:color w:val="auto"/>
                <w:sz w:val="24"/>
                <w:szCs w:val="24"/>
                <w:u w:val="none" w:color="auto"/>
                <w:lang w:val="en-US" w:eastAsia="zh-CN"/>
              </w:rPr>
              <w:t>。牵引机以恒定且可精确调节的速度向上拉引玻璃管</w:t>
            </w:r>
            <w:r>
              <w:rPr>
                <w:rFonts w:hint="eastAsia" w:ascii="Times New Roman" w:hAnsi="Times New Roman" w:eastAsia="宋体" w:cs="Times New Roman"/>
                <w:color w:val="auto"/>
                <w:sz w:val="24"/>
                <w:szCs w:val="24"/>
                <w:u w:val="none" w:color="auto"/>
                <w:lang w:val="en-US" w:eastAsia="zh-CN"/>
              </w:rPr>
              <w:t>，无需使用脱模剂。</w:t>
            </w:r>
          </w:p>
          <w:p w14:paraId="152DF6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循环冷却定期排污水W</w:t>
            </w:r>
            <w:r>
              <w:rPr>
                <w:rFonts w:hint="eastAsia" w:cs="Times New Roman"/>
                <w:color w:val="auto"/>
                <w:sz w:val="24"/>
                <w:szCs w:val="24"/>
                <w:u w:val="none" w:color="auto"/>
                <w:vertAlign w:val="subscript"/>
                <w:lang w:val="en-US" w:eastAsia="zh-CN"/>
              </w:rPr>
              <w:t>2-2</w:t>
            </w:r>
            <w:r>
              <w:rPr>
                <w:rFonts w:hint="eastAsia"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77C813B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5</w:t>
            </w:r>
            <w:r>
              <w:rPr>
                <w:rFonts w:hint="eastAsia" w:ascii="Times New Roman" w:hAnsi="Times New Roman" w:eastAsia="宋体" w:cs="Times New Roman"/>
                <w:b/>
                <w:bCs/>
                <w:color w:val="auto"/>
                <w:sz w:val="24"/>
                <w:szCs w:val="24"/>
                <w:u w:val="none" w:color="auto"/>
                <w:lang w:val="en-US" w:eastAsia="zh-CN"/>
              </w:rPr>
              <w:t>）</w:t>
            </w:r>
            <w:r>
              <w:rPr>
                <w:rFonts w:hint="default" w:ascii="Times New Roman" w:hAnsi="Times New Roman" w:eastAsia="宋体" w:cs="Times New Roman"/>
                <w:b/>
                <w:bCs/>
                <w:color w:val="auto"/>
                <w:sz w:val="24"/>
                <w:szCs w:val="24"/>
                <w:u w:val="none" w:color="auto"/>
                <w:lang w:val="en-US" w:eastAsia="zh-CN"/>
              </w:rPr>
              <w:t>退火</w:t>
            </w:r>
          </w:p>
          <w:p w14:paraId="52930A4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玻璃带进入退火窑内按一定的温度曲线被加热、均热、保温、</w:t>
            </w:r>
            <w:r>
              <w:rPr>
                <w:rFonts w:hint="eastAsia" w:ascii="Times New Roman" w:hAnsi="Times New Roman" w:eastAsia="宋体" w:cs="Times New Roman"/>
                <w:color w:val="auto"/>
                <w:sz w:val="24"/>
                <w:szCs w:val="24"/>
                <w:u w:val="none" w:color="auto"/>
                <w:lang w:val="en-US" w:eastAsia="zh-CN"/>
              </w:rPr>
              <w:t>自然</w:t>
            </w:r>
            <w:r>
              <w:rPr>
                <w:rFonts w:hint="default" w:ascii="Times New Roman" w:hAnsi="Times New Roman" w:eastAsia="宋体" w:cs="Times New Roman"/>
                <w:color w:val="auto"/>
                <w:sz w:val="24"/>
                <w:szCs w:val="24"/>
                <w:u w:val="none" w:color="auto"/>
                <w:lang w:val="en-US" w:eastAsia="zh-CN"/>
              </w:rPr>
              <w:t>冷却等，使成形冷却过程中产生的应力降低，以达到符合切割和质量要求的数值，然后进入冷端切裁区。</w:t>
            </w:r>
            <w:r>
              <w:rPr>
                <w:rFonts w:hint="eastAsia" w:cs="Times New Roman"/>
                <w:color w:val="auto"/>
                <w:sz w:val="24"/>
                <w:szCs w:val="24"/>
                <w:u w:val="none" w:color="auto"/>
                <w:lang w:val="en-US" w:eastAsia="zh-CN"/>
              </w:rPr>
              <w:t>退火窑采用电加热。</w:t>
            </w:r>
          </w:p>
          <w:p w14:paraId="52A8508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该工序产生设备运行噪声N</w:t>
            </w:r>
            <w:r>
              <w:rPr>
                <w:rFonts w:hint="eastAsia" w:cs="Times New Roman"/>
                <w:color w:val="auto"/>
                <w:sz w:val="24"/>
                <w:szCs w:val="24"/>
                <w:u w:val="none" w:color="auto"/>
                <w:lang w:val="en-US" w:eastAsia="zh-CN"/>
              </w:rPr>
              <w:t>。</w:t>
            </w:r>
          </w:p>
          <w:p w14:paraId="1976592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6</w:t>
            </w:r>
            <w:r>
              <w:rPr>
                <w:rFonts w:hint="eastAsia" w:ascii="Times New Roman" w:hAnsi="Times New Roman" w:eastAsia="宋体" w:cs="Times New Roman"/>
                <w:b/>
                <w:bCs/>
                <w:color w:val="auto"/>
                <w:sz w:val="24"/>
                <w:szCs w:val="24"/>
                <w:u w:val="none" w:color="auto"/>
                <w:lang w:val="en-US" w:eastAsia="zh-CN"/>
              </w:rPr>
              <w:t>）裁切</w:t>
            </w:r>
          </w:p>
          <w:p w14:paraId="38EC039D">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玻璃带进入冷端裁切区，</w:t>
            </w:r>
            <w:r>
              <w:rPr>
                <w:rFonts w:hint="eastAsia" w:cs="Times New Roman"/>
                <w:color w:val="auto"/>
                <w:sz w:val="24"/>
                <w:szCs w:val="24"/>
                <w:u w:val="none" w:color="auto"/>
                <w:lang w:val="en-US" w:eastAsia="zh-CN"/>
              </w:rPr>
              <w:t>采用横切机、纵切机</w:t>
            </w:r>
            <w:r>
              <w:rPr>
                <w:rFonts w:hint="default" w:ascii="Times New Roman" w:hAnsi="Times New Roman" w:eastAsia="宋体" w:cs="Times New Roman"/>
                <w:color w:val="auto"/>
                <w:sz w:val="24"/>
                <w:szCs w:val="24"/>
                <w:u w:val="none" w:color="auto"/>
                <w:lang w:val="en-US" w:eastAsia="zh-CN"/>
              </w:rPr>
              <w:t>实现自动切割、裁断等操作。裁断后的玻璃板进入加速分离辊道分离。进入裁边工序，裁边宽度可视切裁的规格加以调节。裁边后的玻璃板通过纵掰纵分系统分离，裁边玻璃落板进入碎玻璃仓</w:t>
            </w:r>
            <w:r>
              <w:rPr>
                <w:rFonts w:hint="eastAsia" w:ascii="Times New Roman" w:hAnsi="Times New Roman" w:eastAsia="宋体" w:cs="Times New Roman"/>
                <w:color w:val="auto"/>
                <w:sz w:val="24"/>
                <w:szCs w:val="24"/>
                <w:u w:val="none" w:color="auto"/>
                <w:lang w:val="en-US" w:eastAsia="zh-CN"/>
              </w:rPr>
              <w:t>。</w:t>
            </w:r>
          </w:p>
          <w:p w14:paraId="43F4EDF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该工序产生裁切废气G</w:t>
            </w:r>
            <w:r>
              <w:rPr>
                <w:rFonts w:hint="eastAsia" w:ascii="Times New Roman" w:hAnsi="Times New Roman" w:eastAsia="宋体" w:cs="Times New Roman"/>
                <w:color w:val="auto"/>
                <w:sz w:val="24"/>
                <w:szCs w:val="24"/>
                <w:u w:val="none" w:color="auto"/>
                <w:vertAlign w:val="subscript"/>
                <w:lang w:val="en-US" w:eastAsia="zh-CN"/>
              </w:rPr>
              <w:t>2-</w:t>
            </w:r>
            <w:r>
              <w:rPr>
                <w:rFonts w:hint="eastAsia" w:cs="Times New Roman"/>
                <w:color w:val="auto"/>
                <w:sz w:val="24"/>
                <w:szCs w:val="24"/>
                <w:u w:val="none" w:color="auto"/>
                <w:vertAlign w:val="subscript"/>
                <w:lang w:val="en-US" w:eastAsia="zh-CN"/>
              </w:rPr>
              <w:t>5</w:t>
            </w:r>
            <w:r>
              <w:rPr>
                <w:rFonts w:hint="eastAsia" w:ascii="Times New Roman" w:hAnsi="Times New Roman" w:eastAsia="宋体" w:cs="Times New Roman"/>
                <w:color w:val="auto"/>
                <w:sz w:val="24"/>
                <w:szCs w:val="24"/>
                <w:u w:val="none" w:color="auto"/>
                <w:lang w:val="en-US" w:eastAsia="zh-CN"/>
              </w:rPr>
              <w:t>（主要污染物为颗粒物）、废边角料S</w:t>
            </w:r>
            <w:r>
              <w:rPr>
                <w:rFonts w:hint="eastAsia" w:ascii="Times New Roman" w:hAnsi="Times New Roman" w:eastAsia="宋体" w:cs="Times New Roman"/>
                <w:color w:val="auto"/>
                <w:sz w:val="24"/>
                <w:szCs w:val="24"/>
                <w:u w:val="none" w:color="auto"/>
                <w:vertAlign w:val="subscript"/>
                <w:lang w:val="en-US" w:eastAsia="zh-CN"/>
              </w:rPr>
              <w:t>2-2</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514DA0C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7</w:t>
            </w:r>
            <w:r>
              <w:rPr>
                <w:rFonts w:hint="eastAsia" w:ascii="Times New Roman" w:hAnsi="Times New Roman" w:eastAsia="宋体" w:cs="Times New Roman"/>
                <w:b/>
                <w:bCs/>
                <w:color w:val="auto"/>
                <w:sz w:val="24"/>
                <w:szCs w:val="24"/>
                <w:u w:val="none" w:color="auto"/>
                <w:lang w:val="en-US" w:eastAsia="zh-CN"/>
              </w:rPr>
              <w:t>）检验、吹风清扫</w:t>
            </w:r>
          </w:p>
          <w:p w14:paraId="59EFCBD4">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裁切后的玻璃板需要进行检验，不合格品进入</w:t>
            </w:r>
            <w:r>
              <w:rPr>
                <w:rFonts w:hint="eastAsia" w:cs="Times New Roman"/>
                <w:color w:val="auto"/>
                <w:sz w:val="24"/>
                <w:szCs w:val="24"/>
                <w:u w:val="none" w:color="auto"/>
                <w:lang w:val="en-US" w:eastAsia="zh-CN"/>
              </w:rPr>
              <w:t>配料、</w:t>
            </w:r>
            <w:r>
              <w:rPr>
                <w:rFonts w:hint="eastAsia" w:ascii="Times New Roman" w:hAnsi="Times New Roman" w:eastAsia="宋体" w:cs="Times New Roman"/>
                <w:color w:val="auto"/>
                <w:sz w:val="24"/>
                <w:szCs w:val="24"/>
                <w:u w:val="none" w:color="auto"/>
                <w:lang w:val="en-US" w:eastAsia="zh-CN"/>
              </w:rPr>
              <w:t>混料工序回用，</w:t>
            </w:r>
            <w:r>
              <w:rPr>
                <w:rFonts w:hint="default" w:ascii="Times New Roman" w:hAnsi="Times New Roman" w:eastAsia="宋体" w:cs="Times New Roman"/>
                <w:color w:val="auto"/>
                <w:sz w:val="24"/>
                <w:szCs w:val="24"/>
                <w:u w:val="none" w:color="auto"/>
                <w:lang w:val="en-US" w:eastAsia="zh-CN"/>
              </w:rPr>
              <w:t>合格</w:t>
            </w:r>
            <w:r>
              <w:rPr>
                <w:rFonts w:hint="eastAsia" w:ascii="Times New Roman" w:hAnsi="Times New Roman" w:eastAsia="宋体" w:cs="Times New Roman"/>
                <w:color w:val="auto"/>
                <w:sz w:val="24"/>
                <w:szCs w:val="24"/>
                <w:u w:val="none" w:color="auto"/>
                <w:lang w:val="en-US" w:eastAsia="zh-CN"/>
              </w:rPr>
              <w:t>品</w:t>
            </w:r>
            <w:r>
              <w:rPr>
                <w:rFonts w:hint="default" w:ascii="Times New Roman" w:hAnsi="Times New Roman" w:eastAsia="宋体" w:cs="Times New Roman"/>
                <w:color w:val="auto"/>
                <w:sz w:val="24"/>
                <w:szCs w:val="24"/>
                <w:u w:val="none" w:color="auto"/>
                <w:lang w:val="en-US" w:eastAsia="zh-CN"/>
              </w:rPr>
              <w:t>经吹风清扫清除表面的屑渣后</w:t>
            </w:r>
            <w:r>
              <w:rPr>
                <w:rFonts w:hint="eastAsia" w:cs="Times New Roman"/>
                <w:color w:val="auto"/>
                <w:sz w:val="24"/>
                <w:szCs w:val="24"/>
                <w:u w:val="none" w:color="auto"/>
                <w:lang w:val="en-US" w:eastAsia="zh-CN"/>
              </w:rPr>
              <w:t>进入下一步工序</w:t>
            </w:r>
            <w:r>
              <w:rPr>
                <w:rFonts w:hint="eastAsia" w:ascii="Times New Roman" w:hAnsi="Times New Roman" w:eastAsia="宋体" w:cs="Times New Roman"/>
                <w:color w:val="auto"/>
                <w:sz w:val="24"/>
                <w:szCs w:val="24"/>
                <w:u w:val="none" w:color="auto"/>
                <w:lang w:val="en-US" w:eastAsia="zh-CN"/>
              </w:rPr>
              <w:t>。</w:t>
            </w:r>
          </w:p>
          <w:p w14:paraId="7EA2803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该工序产生清扫废气G</w:t>
            </w:r>
            <w:r>
              <w:rPr>
                <w:rFonts w:hint="eastAsia" w:ascii="Times New Roman" w:hAnsi="Times New Roman" w:eastAsia="宋体" w:cs="Times New Roman"/>
                <w:color w:val="auto"/>
                <w:sz w:val="24"/>
                <w:szCs w:val="24"/>
                <w:u w:val="none" w:color="auto"/>
                <w:vertAlign w:val="subscript"/>
                <w:lang w:val="en-US" w:eastAsia="zh-CN"/>
              </w:rPr>
              <w:t>2-</w:t>
            </w:r>
            <w:r>
              <w:rPr>
                <w:rFonts w:hint="eastAsia" w:cs="Times New Roman"/>
                <w:color w:val="auto"/>
                <w:sz w:val="24"/>
                <w:szCs w:val="24"/>
                <w:u w:val="none" w:color="auto"/>
                <w:vertAlign w:val="subscript"/>
                <w:lang w:val="en-US" w:eastAsia="zh-CN"/>
              </w:rPr>
              <w:t>6</w:t>
            </w:r>
            <w:r>
              <w:rPr>
                <w:rFonts w:hint="eastAsia" w:ascii="Times New Roman" w:hAnsi="Times New Roman" w:eastAsia="宋体" w:cs="Times New Roman"/>
                <w:color w:val="auto"/>
                <w:sz w:val="24"/>
                <w:szCs w:val="24"/>
                <w:u w:val="none" w:color="auto"/>
                <w:lang w:val="en-US" w:eastAsia="zh-CN"/>
              </w:rPr>
              <w:t>（主要污染物为颗粒物）、不合格品S</w:t>
            </w:r>
            <w:r>
              <w:rPr>
                <w:rFonts w:hint="eastAsia" w:ascii="Times New Roman" w:hAnsi="Times New Roman" w:eastAsia="宋体" w:cs="Times New Roman"/>
                <w:color w:val="auto"/>
                <w:sz w:val="24"/>
                <w:szCs w:val="24"/>
                <w:u w:val="none" w:color="auto"/>
                <w:vertAlign w:val="subscript"/>
                <w:lang w:val="en-US" w:eastAsia="zh-CN"/>
              </w:rPr>
              <w:t>2-3</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4E049339">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8</w:t>
            </w:r>
            <w:r>
              <w:rPr>
                <w:rFonts w:hint="eastAsia" w:ascii="Times New Roman" w:hAnsi="Times New Roman" w:eastAsia="宋体" w:cs="Times New Roman"/>
                <w:b/>
                <w:bCs/>
                <w:color w:val="auto"/>
                <w:sz w:val="24"/>
                <w:szCs w:val="24"/>
                <w:u w:val="none" w:color="auto"/>
                <w:lang w:val="en-US" w:eastAsia="zh-CN"/>
              </w:rPr>
              <w:t>）放隔离纸、装箱</w:t>
            </w:r>
          </w:p>
          <w:p w14:paraId="2440AB9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
                <w:bCs/>
                <w:color w:val="auto"/>
                <w:sz w:val="24"/>
                <w:szCs w:val="24"/>
                <w:u w:val="none" w:color="auto"/>
                <w:lang w:val="en-US" w:eastAsia="zh-CN"/>
              </w:rPr>
            </w:pPr>
            <w:r>
              <w:rPr>
                <w:rFonts w:hint="eastAsia" w:cs="Times New Roman"/>
                <w:color w:val="auto"/>
                <w:sz w:val="24"/>
                <w:szCs w:val="24"/>
                <w:u w:val="none" w:color="auto"/>
                <w:lang w:val="en-US" w:eastAsia="zh-CN"/>
              </w:rPr>
              <w:t>为</w:t>
            </w:r>
            <w:r>
              <w:rPr>
                <w:rFonts w:hint="eastAsia" w:ascii="Times New Roman" w:hAnsi="Times New Roman" w:eastAsia="宋体" w:cs="Times New Roman"/>
                <w:color w:val="auto"/>
                <w:sz w:val="24"/>
                <w:szCs w:val="24"/>
                <w:u w:val="none" w:color="auto"/>
                <w:lang w:val="en-US" w:eastAsia="zh-CN"/>
              </w:rPr>
              <w:t>防止后期玻璃粘连，</w:t>
            </w:r>
            <w:r>
              <w:rPr>
                <w:rFonts w:hint="eastAsia" w:cs="Times New Roman"/>
                <w:color w:val="auto"/>
                <w:sz w:val="24"/>
                <w:szCs w:val="24"/>
                <w:u w:val="none" w:color="auto"/>
                <w:lang w:val="en-US" w:eastAsia="zh-CN"/>
              </w:rPr>
              <w:t>需要在两块玻璃之前</w:t>
            </w:r>
            <w:r>
              <w:rPr>
                <w:rFonts w:hint="eastAsia" w:ascii="Times New Roman" w:hAnsi="Times New Roman" w:eastAsia="宋体" w:cs="Times New Roman"/>
                <w:color w:val="auto"/>
                <w:sz w:val="24"/>
                <w:szCs w:val="24"/>
                <w:u w:val="none" w:color="auto"/>
                <w:lang w:val="en-US" w:eastAsia="zh-CN"/>
              </w:rPr>
              <w:t>放隔离纸起到保护玻璃的作用，</w:t>
            </w:r>
            <w:r>
              <w:rPr>
                <w:rFonts w:hint="eastAsia" w:cs="Times New Roman"/>
                <w:color w:val="auto"/>
                <w:sz w:val="24"/>
                <w:szCs w:val="24"/>
                <w:u w:val="none" w:color="auto"/>
                <w:lang w:val="en-US" w:eastAsia="zh-CN"/>
              </w:rPr>
              <w:t>放置隔离纸后</w:t>
            </w:r>
            <w:r>
              <w:rPr>
                <w:rFonts w:hint="default" w:ascii="Times New Roman" w:hAnsi="Times New Roman" w:eastAsia="宋体" w:cs="Times New Roman"/>
                <w:color w:val="auto"/>
                <w:sz w:val="24"/>
                <w:szCs w:val="24"/>
                <w:u w:val="none" w:color="auto"/>
                <w:lang w:val="en-US" w:eastAsia="zh-CN"/>
              </w:rPr>
              <w:t>装箱，再由叉车运至成品库。</w:t>
            </w:r>
          </w:p>
          <w:p w14:paraId="7D7493D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cs="宋体"/>
                <w:color w:val="auto"/>
                <w:sz w:val="24"/>
                <w:szCs w:val="24"/>
                <w:lang w:val="en-US" w:eastAsia="zh-CN"/>
              </w:rPr>
            </w:pPr>
            <w:r>
              <w:rPr>
                <w:rFonts w:hint="eastAsia" w:ascii="Times New Roman" w:hAnsi="Times New Roman" w:eastAsia="宋体" w:cs="Times New Roman"/>
                <w:color w:val="auto"/>
                <w:sz w:val="24"/>
                <w:szCs w:val="24"/>
                <w:u w:val="none" w:color="auto"/>
                <w:lang w:val="en-US" w:eastAsia="zh-CN"/>
              </w:rPr>
              <w:t>该工序产生设备运行噪声N</w:t>
            </w:r>
            <w:r>
              <w:rPr>
                <w:rFonts w:hint="eastAsia" w:cs="Times New Roman"/>
                <w:color w:val="auto"/>
                <w:sz w:val="24"/>
                <w:szCs w:val="24"/>
                <w:u w:val="none" w:color="auto"/>
                <w:lang w:val="en-US" w:eastAsia="zh-CN"/>
              </w:rPr>
              <w:t>。</w:t>
            </w:r>
          </w:p>
          <w:p w14:paraId="08F0FE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193AB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5A836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082A09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6F2BE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0686F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7B2D6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74911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699A6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476B73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5BC694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eastAsia"/>
                <w:b/>
                <w:sz w:val="24"/>
                <w:szCs w:val="24"/>
                <w:lang w:val="en-US" w:eastAsia="zh-CN"/>
              </w:rPr>
            </w:pPr>
          </w:p>
          <w:p w14:paraId="59E693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rPr>
                <w:rFonts w:hint="eastAsia"/>
                <w:b w:val="0"/>
                <w:bCs/>
                <w:sz w:val="24"/>
                <w:szCs w:val="24"/>
                <w:lang w:val="en-US" w:eastAsia="zh-CN"/>
              </w:rPr>
            </w:pPr>
          </w:p>
          <w:p w14:paraId="1EAF6B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0E4CB3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31E76BB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4ED429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64E852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20698D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183EAF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38E0AC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27138F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5CFE61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eastAsia"/>
                <w:b w:val="0"/>
                <w:bCs/>
                <w:sz w:val="24"/>
                <w:szCs w:val="24"/>
                <w:lang w:val="en-US" w:eastAsia="zh-CN"/>
              </w:rPr>
            </w:pPr>
          </w:p>
          <w:p w14:paraId="33A88C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420" w:leftChars="200" w:right="0" w:rightChars="0"/>
              <w:jc w:val="both"/>
              <w:textAlignment w:val="auto"/>
              <w:rPr>
                <w:rFonts w:hint="default"/>
                <w:b w:val="0"/>
                <w:bCs/>
                <w:sz w:val="24"/>
                <w:szCs w:val="24"/>
                <w:lang w:val="en-US" w:eastAsia="zh-CN"/>
              </w:rPr>
            </w:pPr>
            <w:r>
              <w:rPr>
                <w:rFonts w:hint="eastAsia"/>
                <w:b w:val="0"/>
                <w:bCs/>
                <w:sz w:val="24"/>
                <w:szCs w:val="24"/>
                <w:lang w:val="en-US" w:eastAsia="zh-CN"/>
              </w:rPr>
              <w:t>（3）</w:t>
            </w:r>
            <w:r>
              <w:rPr>
                <w:rFonts w:hint="default"/>
                <w:b w:val="0"/>
                <w:bCs/>
                <w:sz w:val="24"/>
                <w:szCs w:val="24"/>
                <w:lang w:val="en-US" w:eastAsia="zh-CN"/>
              </w:rPr>
              <w:t>高硼硅玻璃制品生产工艺流程如下：</w:t>
            </w:r>
          </w:p>
          <w:p w14:paraId="370FF4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jc w:val="center"/>
              <w:textAlignment w:val="auto"/>
              <w:rPr>
                <w:rFonts w:hint="default"/>
                <w:b/>
                <w:sz w:val="24"/>
                <w:szCs w:val="24"/>
                <w:lang w:val="en-US" w:eastAsia="zh-CN"/>
              </w:rPr>
            </w:pPr>
            <w:r>
              <w:rPr>
                <w:rFonts w:hint="default"/>
              </w:rPr>
              <w:drawing>
                <wp:inline distT="0" distB="0" distL="114300" distR="114300">
                  <wp:extent cx="4114800" cy="7696200"/>
                  <wp:effectExtent l="0" t="0" r="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pic:cNvPicPr>
                        </pic:nvPicPr>
                        <pic:blipFill>
                          <a:blip r:embed="rId10"/>
                          <a:stretch>
                            <a:fillRect/>
                          </a:stretch>
                        </pic:blipFill>
                        <pic:spPr>
                          <a:xfrm>
                            <a:off x="0" y="0"/>
                            <a:ext cx="4114800" cy="7696200"/>
                          </a:xfrm>
                          <a:prstGeom prst="rect">
                            <a:avLst/>
                          </a:prstGeom>
                          <a:noFill/>
                          <a:ln>
                            <a:noFill/>
                          </a:ln>
                        </pic:spPr>
                      </pic:pic>
                    </a:graphicData>
                  </a:graphic>
                </wp:inline>
              </w:drawing>
            </w:r>
          </w:p>
          <w:p w14:paraId="0822B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eastAsia="宋体"/>
                <w:b/>
                <w:bCs/>
                <w:color w:val="000000"/>
                <w:sz w:val="24"/>
                <w:szCs w:val="24"/>
                <w:lang w:val="en-US" w:eastAsia="zh-CN"/>
              </w:rPr>
            </w:pPr>
            <w:r>
              <w:rPr>
                <w:rFonts w:hint="eastAsia" w:cs="宋体"/>
                <w:b/>
                <w:bCs/>
                <w:color w:val="000000"/>
                <w:sz w:val="24"/>
                <w:szCs w:val="24"/>
              </w:rPr>
              <w:t>图</w:t>
            </w:r>
            <w:r>
              <w:rPr>
                <w:rFonts w:hint="default"/>
                <w:b/>
                <w:bCs/>
                <w:color w:val="000000"/>
                <w:sz w:val="24"/>
                <w:szCs w:val="24"/>
              </w:rPr>
              <w:t>2-</w:t>
            </w:r>
            <w:r>
              <w:rPr>
                <w:rFonts w:hint="eastAsia"/>
                <w:b/>
                <w:bCs/>
                <w:color w:val="000000"/>
                <w:sz w:val="24"/>
                <w:szCs w:val="24"/>
                <w:lang w:val="en-US" w:eastAsia="zh-CN"/>
              </w:rPr>
              <w:t>4</w:t>
            </w:r>
            <w:r>
              <w:rPr>
                <w:rFonts w:hint="default"/>
                <w:b/>
                <w:bCs/>
                <w:color w:val="000000"/>
                <w:sz w:val="24"/>
                <w:szCs w:val="24"/>
              </w:rPr>
              <w:t xml:space="preserve"> 生产</w:t>
            </w:r>
            <w:r>
              <w:rPr>
                <w:rFonts w:hint="eastAsia" w:cs="宋体"/>
                <w:b/>
                <w:bCs/>
                <w:color w:val="000000"/>
                <w:sz w:val="24"/>
                <w:szCs w:val="24"/>
              </w:rPr>
              <w:t>工艺流程及产污环节</w:t>
            </w:r>
            <w:r>
              <w:rPr>
                <w:rFonts w:hint="eastAsia" w:cs="宋体"/>
                <w:b/>
                <w:bCs/>
                <w:color w:val="000000"/>
                <w:sz w:val="24"/>
                <w:szCs w:val="24"/>
                <w:lang w:val="en-US" w:eastAsia="zh-CN"/>
              </w:rPr>
              <w:t>图</w:t>
            </w:r>
          </w:p>
          <w:p w14:paraId="2B114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cs="宋体"/>
                <w:b/>
                <w:bCs/>
                <w:color w:val="000000"/>
                <w:sz w:val="24"/>
                <w:szCs w:val="24"/>
              </w:rPr>
            </w:pPr>
            <w:r>
              <w:rPr>
                <w:rFonts w:hint="eastAsia" w:cs="宋体"/>
                <w:b/>
                <w:bCs/>
                <w:color w:val="000000"/>
                <w:sz w:val="24"/>
                <w:szCs w:val="24"/>
              </w:rPr>
              <w:t>（</w:t>
            </w:r>
            <w:r>
              <w:rPr>
                <w:rFonts w:hint="default"/>
                <w:b/>
                <w:bCs/>
                <w:color w:val="000000"/>
                <w:sz w:val="24"/>
                <w:szCs w:val="24"/>
              </w:rPr>
              <w:t>G—</w:t>
            </w:r>
            <w:r>
              <w:rPr>
                <w:rFonts w:hint="eastAsia"/>
                <w:b/>
                <w:bCs/>
                <w:color w:val="000000"/>
                <w:sz w:val="24"/>
                <w:szCs w:val="24"/>
                <w:lang w:val="en-US" w:eastAsia="zh-CN"/>
              </w:rPr>
              <w:t>废气</w:t>
            </w:r>
            <w:r>
              <w:rPr>
                <w:rFonts w:hint="eastAsia" w:cs="宋体"/>
                <w:b/>
                <w:bCs/>
                <w:color w:val="000000"/>
                <w:sz w:val="24"/>
                <w:szCs w:val="24"/>
              </w:rPr>
              <w:t>、</w:t>
            </w:r>
            <w:r>
              <w:rPr>
                <w:rFonts w:hint="default"/>
                <w:b/>
                <w:bCs/>
                <w:color w:val="000000"/>
                <w:sz w:val="24"/>
                <w:szCs w:val="24"/>
              </w:rPr>
              <w:t>S—</w:t>
            </w:r>
            <w:r>
              <w:rPr>
                <w:rFonts w:hint="eastAsia" w:cs="宋体"/>
                <w:b/>
                <w:bCs/>
                <w:color w:val="000000"/>
                <w:sz w:val="24"/>
                <w:szCs w:val="24"/>
              </w:rPr>
              <w:t>固废、</w:t>
            </w:r>
            <w:r>
              <w:rPr>
                <w:rFonts w:hint="default"/>
                <w:b/>
                <w:bCs/>
                <w:color w:val="000000"/>
                <w:sz w:val="24"/>
                <w:szCs w:val="24"/>
              </w:rPr>
              <w:t>N—</w:t>
            </w:r>
            <w:r>
              <w:rPr>
                <w:rFonts w:hint="eastAsia" w:cs="宋体"/>
                <w:b/>
                <w:bCs/>
                <w:color w:val="000000"/>
                <w:sz w:val="24"/>
                <w:szCs w:val="24"/>
              </w:rPr>
              <w:t>噪声、</w:t>
            </w:r>
            <w:r>
              <w:rPr>
                <w:rFonts w:hint="eastAsia"/>
                <w:b/>
                <w:bCs/>
                <w:color w:val="000000"/>
                <w:sz w:val="24"/>
                <w:szCs w:val="24"/>
                <w:lang w:val="en-US" w:eastAsia="zh-CN"/>
              </w:rPr>
              <w:t>W</w:t>
            </w:r>
            <w:r>
              <w:rPr>
                <w:rFonts w:hint="default"/>
                <w:b/>
                <w:bCs/>
                <w:color w:val="000000"/>
                <w:sz w:val="24"/>
                <w:szCs w:val="24"/>
              </w:rPr>
              <w:t>—</w:t>
            </w:r>
            <w:r>
              <w:rPr>
                <w:rFonts w:hint="eastAsia"/>
                <w:b/>
                <w:bCs/>
                <w:color w:val="000000"/>
                <w:sz w:val="24"/>
                <w:szCs w:val="24"/>
                <w:lang w:val="en-US" w:eastAsia="zh-CN"/>
              </w:rPr>
              <w:t>废水</w:t>
            </w:r>
            <w:r>
              <w:rPr>
                <w:rFonts w:hint="eastAsia" w:cs="宋体"/>
                <w:b/>
                <w:bCs/>
                <w:color w:val="000000"/>
                <w:sz w:val="24"/>
                <w:szCs w:val="24"/>
              </w:rPr>
              <w:t>）</w:t>
            </w:r>
          </w:p>
          <w:p w14:paraId="4842BC5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工艺流程简述：</w:t>
            </w:r>
          </w:p>
          <w:p w14:paraId="7C8E285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（1）</w:t>
            </w:r>
            <w:r>
              <w:rPr>
                <w:rFonts w:hint="eastAsia" w:ascii="Times New Roman" w:hAnsi="Times New Roman" w:cs="Times New Roman"/>
                <w:b/>
                <w:bCs/>
                <w:color w:val="auto"/>
                <w:sz w:val="24"/>
                <w:szCs w:val="24"/>
                <w:u w:val="none" w:color="auto"/>
                <w:lang w:val="en-US" w:eastAsia="zh-CN"/>
              </w:rPr>
              <w:t>配料、</w:t>
            </w:r>
            <w:r>
              <w:rPr>
                <w:rFonts w:hint="default" w:ascii="Times New Roman" w:hAnsi="Times New Roman" w:eastAsia="宋体" w:cs="Times New Roman"/>
                <w:b/>
                <w:bCs/>
                <w:color w:val="auto"/>
                <w:sz w:val="24"/>
                <w:szCs w:val="24"/>
                <w:u w:val="none" w:color="auto"/>
                <w:lang w:val="en-US" w:eastAsia="zh-CN"/>
              </w:rPr>
              <w:t>混料</w:t>
            </w:r>
          </w:p>
          <w:p w14:paraId="2EAF512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本项目</w:t>
            </w:r>
            <w:r>
              <w:rPr>
                <w:rFonts w:hint="eastAsia" w:cs="Times New Roman"/>
                <w:color w:val="auto"/>
                <w:sz w:val="24"/>
                <w:szCs w:val="24"/>
                <w:u w:val="none" w:color="auto"/>
                <w:lang w:val="en-US" w:eastAsia="zh-CN"/>
              </w:rPr>
              <w:t>配料工序是将石英砂</w:t>
            </w:r>
            <w:r>
              <w:rPr>
                <w:rFonts w:hint="default" w:ascii="Times New Roman" w:hAnsi="Times New Roman" w:eastAsia="宋体" w:cs="Times New Roman"/>
                <w:color w:val="auto"/>
                <w:sz w:val="24"/>
                <w:szCs w:val="24"/>
                <w:u w:val="none" w:color="auto"/>
                <w:lang w:val="en-US" w:eastAsia="zh-CN"/>
              </w:rPr>
              <w:t>、硼砂、硼酸、氢氧化铝、</w:t>
            </w:r>
            <w:r>
              <w:rPr>
                <w:rFonts w:hint="eastAsia" w:cs="Times New Roman"/>
                <w:color w:val="auto"/>
                <w:sz w:val="24"/>
                <w:szCs w:val="24"/>
                <w:u w:val="none" w:color="auto"/>
                <w:lang w:val="en-US" w:eastAsia="zh-CN"/>
              </w:rPr>
              <w:t>食盐、碎玻璃</w:t>
            </w:r>
            <w:r>
              <w:rPr>
                <w:rFonts w:hint="default" w:ascii="Times New Roman" w:hAnsi="Times New Roman" w:eastAsia="宋体" w:cs="Times New Roman"/>
                <w:color w:val="auto"/>
                <w:sz w:val="24"/>
                <w:szCs w:val="24"/>
                <w:u w:val="none" w:color="auto"/>
                <w:lang w:val="en-US" w:eastAsia="zh-CN"/>
              </w:rPr>
              <w:t>等原辅料</w:t>
            </w:r>
            <w:r>
              <w:rPr>
                <w:rFonts w:hint="eastAsia" w:cs="Times New Roman"/>
                <w:color w:val="auto"/>
                <w:sz w:val="24"/>
                <w:szCs w:val="24"/>
                <w:u w:val="none" w:color="auto"/>
                <w:lang w:val="en-US" w:eastAsia="zh-CN"/>
              </w:rPr>
              <w:t>采用行车运送至生产线料仓入料口位置，人工将原辅料投加入料仓。</w:t>
            </w:r>
            <w:r>
              <w:rPr>
                <w:rFonts w:hint="default" w:ascii="Times New Roman" w:hAnsi="Times New Roman" w:eastAsia="宋体" w:cs="Times New Roman"/>
                <w:color w:val="auto"/>
                <w:sz w:val="24"/>
                <w:szCs w:val="24"/>
                <w:u w:val="none" w:color="auto"/>
                <w:lang w:val="en-US" w:eastAsia="zh-CN"/>
              </w:rPr>
              <w:t>配料</w:t>
            </w:r>
            <w:r>
              <w:rPr>
                <w:rFonts w:hint="eastAsia" w:cs="Times New Roman"/>
                <w:color w:val="auto"/>
                <w:sz w:val="24"/>
                <w:szCs w:val="24"/>
                <w:u w:val="none" w:color="auto"/>
                <w:lang w:val="en-US" w:eastAsia="zh-CN"/>
              </w:rPr>
              <w:t>、混料</w:t>
            </w:r>
            <w:r>
              <w:rPr>
                <w:rFonts w:hint="default" w:ascii="Times New Roman" w:hAnsi="Times New Roman" w:eastAsia="宋体" w:cs="Times New Roman"/>
                <w:color w:val="auto"/>
                <w:sz w:val="24"/>
                <w:szCs w:val="24"/>
                <w:u w:val="none" w:color="auto"/>
                <w:lang w:val="en-US" w:eastAsia="zh-CN"/>
              </w:rPr>
              <w:t>间四周封闭</w:t>
            </w:r>
            <w:r>
              <w:rPr>
                <w:rFonts w:hint="eastAsia" w:ascii="Times New Roman" w:hAnsi="Times New Roman" w:cs="Times New Roman"/>
                <w:color w:val="auto"/>
                <w:sz w:val="24"/>
                <w:szCs w:val="24"/>
                <w:u w:val="none" w:color="auto"/>
                <w:lang w:val="en-US" w:eastAsia="zh-CN"/>
              </w:rPr>
              <w:t>，通过</w:t>
            </w:r>
            <w:r>
              <w:rPr>
                <w:rFonts w:hint="eastAsia" w:cs="Times New Roman"/>
                <w:color w:val="auto"/>
                <w:sz w:val="24"/>
                <w:szCs w:val="24"/>
                <w:u w:val="none" w:color="auto"/>
                <w:lang w:val="en-US" w:eastAsia="zh-CN"/>
              </w:rPr>
              <w:t>绞龙将料仓内的原辅料</w:t>
            </w:r>
            <w:r>
              <w:rPr>
                <w:rFonts w:hint="eastAsia" w:ascii="Times New Roman" w:hAnsi="Times New Roman" w:cs="Times New Roman"/>
                <w:color w:val="auto"/>
                <w:sz w:val="24"/>
                <w:szCs w:val="24"/>
                <w:u w:val="none" w:color="auto"/>
                <w:lang w:val="en-US" w:eastAsia="zh-CN"/>
              </w:rPr>
              <w:t>输送</w:t>
            </w:r>
            <w:r>
              <w:rPr>
                <w:rFonts w:hint="default" w:ascii="Times New Roman" w:hAnsi="Times New Roman" w:eastAsia="宋体" w:cs="Times New Roman"/>
                <w:color w:val="auto"/>
                <w:sz w:val="24"/>
                <w:szCs w:val="24"/>
                <w:u w:val="none" w:color="auto"/>
                <w:lang w:val="en-US" w:eastAsia="zh-CN"/>
              </w:rPr>
              <w:t>到计量称，从计量称下来用密封传输皮带传动到混料机，</w:t>
            </w:r>
            <w:r>
              <w:rPr>
                <w:rFonts w:hint="eastAsia" w:cs="Times New Roman"/>
                <w:color w:val="auto"/>
                <w:sz w:val="24"/>
                <w:szCs w:val="24"/>
                <w:u w:val="none" w:color="auto"/>
                <w:lang w:val="en-US" w:eastAsia="zh-CN"/>
              </w:rPr>
              <w:t>混料过程中设备密闭。</w:t>
            </w:r>
          </w:p>
          <w:p w14:paraId="0FAA1F5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该工序产生配料、混料粉尘G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-1</w:t>
            </w:r>
            <w:r>
              <w:rPr>
                <w:rFonts w:hint="eastAsia" w:ascii="Times New Roman" w:hAnsi="Times New Roman" w:eastAsia="宋体" w:cs="Times New Roman"/>
                <w:color w:val="auto"/>
                <w:sz w:val="24"/>
                <w:szCs w:val="24"/>
                <w:u w:val="none" w:color="auto"/>
                <w:lang w:val="en-US" w:eastAsia="zh-CN"/>
              </w:rPr>
              <w:t>（主要污染物为颗粒物）、</w:t>
            </w:r>
            <w:r>
              <w:rPr>
                <w:rFonts w:hint="default" w:ascii="Times New Roman" w:hAnsi="Times New Roman" w:eastAsia="宋体" w:cs="Times New Roman"/>
                <w:color w:val="auto"/>
                <w:sz w:val="24"/>
                <w:szCs w:val="24"/>
                <w:u w:val="none" w:color="auto"/>
                <w:lang w:val="en-US" w:eastAsia="zh-CN"/>
              </w:rPr>
              <w:t>废包装袋</w:t>
            </w:r>
            <w:r>
              <w:rPr>
                <w:rFonts w:hint="eastAsia" w:ascii="Times New Roman" w:hAnsi="Times New Roman" w:eastAsia="宋体" w:cs="Times New Roman"/>
                <w:color w:val="auto"/>
                <w:sz w:val="24"/>
                <w:szCs w:val="24"/>
                <w:u w:val="none" w:color="auto"/>
                <w:lang w:val="en-US" w:eastAsia="zh-CN"/>
              </w:rPr>
              <w:t>（S</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-1</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208ABF3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（2）</w:t>
            </w:r>
            <w:r>
              <w:rPr>
                <w:rFonts w:hint="eastAsia" w:cs="Times New Roman"/>
                <w:b/>
                <w:bCs/>
                <w:color w:val="auto"/>
                <w:sz w:val="24"/>
                <w:szCs w:val="24"/>
                <w:u w:val="none" w:color="auto"/>
                <w:lang w:val="en-US" w:eastAsia="zh-CN"/>
              </w:rPr>
              <w:t>布料</w:t>
            </w:r>
          </w:p>
          <w:p w14:paraId="4F3699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原辅料</w:t>
            </w:r>
            <w:r>
              <w:rPr>
                <w:rFonts w:hint="default" w:ascii="Times New Roman" w:hAnsi="Times New Roman" w:eastAsia="宋体" w:cs="Times New Roman"/>
                <w:color w:val="auto"/>
                <w:sz w:val="24"/>
                <w:szCs w:val="24"/>
                <w:u w:val="none" w:color="auto"/>
                <w:lang w:val="en-US" w:eastAsia="zh-CN"/>
              </w:rPr>
              <w:t>从混料机经密封传输皮带给到</w:t>
            </w:r>
            <w:r>
              <w:rPr>
                <w:rFonts w:hint="eastAsia" w:cs="Times New Roman"/>
                <w:color w:val="auto"/>
                <w:sz w:val="24"/>
                <w:szCs w:val="24"/>
                <w:u w:val="none" w:color="auto"/>
                <w:lang w:val="en-US" w:eastAsia="zh-CN"/>
              </w:rPr>
              <w:t>提升机</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提升机</w:t>
            </w:r>
            <w:r>
              <w:rPr>
                <w:rFonts w:hint="default" w:ascii="Times New Roman" w:hAnsi="Times New Roman" w:eastAsia="宋体" w:cs="Times New Roman"/>
                <w:color w:val="auto"/>
                <w:sz w:val="24"/>
                <w:szCs w:val="24"/>
                <w:u w:val="none" w:color="auto"/>
                <w:lang w:val="en-US" w:eastAsia="zh-CN"/>
              </w:rPr>
              <w:t>给到</w:t>
            </w:r>
            <w:r>
              <w:rPr>
                <w:rFonts w:hint="eastAsia" w:cs="Times New Roman"/>
                <w:color w:val="auto"/>
                <w:sz w:val="24"/>
                <w:szCs w:val="24"/>
                <w:u w:val="none" w:color="auto"/>
                <w:lang w:val="en-US" w:eastAsia="zh-CN"/>
              </w:rPr>
              <w:t>原料</w:t>
            </w:r>
            <w:r>
              <w:rPr>
                <w:rFonts w:hint="eastAsia"/>
                <w:sz w:val="24"/>
                <w:szCs w:val="24"/>
                <w:lang w:val="en-US" w:eastAsia="zh-CN"/>
              </w:rPr>
              <w:t>暂存</w:t>
            </w:r>
            <w:r>
              <w:rPr>
                <w:rFonts w:hint="default" w:ascii="Times New Roman" w:hAnsi="Times New Roman" w:eastAsia="宋体" w:cs="Times New Roman"/>
                <w:color w:val="auto"/>
                <w:sz w:val="24"/>
                <w:szCs w:val="24"/>
                <w:u w:val="none" w:color="auto"/>
                <w:lang w:val="en-US" w:eastAsia="zh-CN"/>
              </w:rPr>
              <w:t>仓，</w:t>
            </w:r>
            <w:r>
              <w:rPr>
                <w:rFonts w:hint="eastAsia"/>
                <w:sz w:val="24"/>
                <w:szCs w:val="24"/>
                <w:lang w:val="en-US" w:eastAsia="zh-CN"/>
              </w:rPr>
              <w:t>暂存</w:t>
            </w:r>
            <w:r>
              <w:rPr>
                <w:rFonts w:hint="default" w:ascii="Times New Roman" w:hAnsi="Times New Roman" w:eastAsia="宋体" w:cs="Times New Roman"/>
                <w:color w:val="auto"/>
                <w:sz w:val="24"/>
                <w:szCs w:val="24"/>
                <w:u w:val="none" w:color="auto"/>
                <w:lang w:val="en-US" w:eastAsia="zh-CN"/>
              </w:rPr>
              <w:t>仓</w:t>
            </w:r>
            <w:r>
              <w:rPr>
                <w:rFonts w:hint="eastAsia" w:cs="Times New Roman"/>
                <w:color w:val="auto"/>
                <w:sz w:val="24"/>
                <w:szCs w:val="24"/>
                <w:u w:val="none" w:color="auto"/>
                <w:lang w:val="en-US" w:eastAsia="zh-CN"/>
              </w:rPr>
              <w:t>内的原辅材料通过自动布料机输送至电熔窑</w:t>
            </w:r>
            <w:r>
              <w:rPr>
                <w:rFonts w:hint="default" w:ascii="Times New Roman" w:hAnsi="Times New Roman" w:eastAsia="宋体" w:cs="Times New Roman"/>
                <w:color w:val="auto"/>
                <w:sz w:val="24"/>
                <w:szCs w:val="24"/>
                <w:u w:val="none" w:color="auto"/>
                <w:lang w:val="en-US" w:eastAsia="zh-CN"/>
              </w:rPr>
              <w:t>。</w:t>
            </w:r>
          </w:p>
          <w:p w14:paraId="06C526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布料</w:t>
            </w:r>
            <w:r>
              <w:rPr>
                <w:rFonts w:hint="eastAsia" w:ascii="Times New Roman" w:hAnsi="Times New Roman" w:eastAsia="宋体" w:cs="Times New Roman"/>
                <w:color w:val="auto"/>
                <w:sz w:val="24"/>
                <w:szCs w:val="24"/>
                <w:u w:val="none" w:color="auto"/>
                <w:lang w:val="en-US" w:eastAsia="zh-CN"/>
              </w:rPr>
              <w:t>粉尘G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lang w:val="en-US" w:eastAsia="zh-CN"/>
              </w:rPr>
              <w:t>（主要污染物为颗粒物）、设备运行噪声N</w:t>
            </w:r>
            <w:r>
              <w:rPr>
                <w:rFonts w:hint="eastAsia" w:cs="Times New Roman"/>
                <w:color w:val="auto"/>
                <w:sz w:val="24"/>
                <w:szCs w:val="24"/>
                <w:u w:val="none" w:color="auto"/>
                <w:lang w:val="en-US" w:eastAsia="zh-CN"/>
              </w:rPr>
              <w:t>。</w:t>
            </w:r>
          </w:p>
          <w:p w14:paraId="7CF4A3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w:t>
            </w:r>
            <w:r>
              <w:rPr>
                <w:rFonts w:hint="default" w:ascii="Times New Roman" w:hAnsi="Times New Roman" w:eastAsia="宋体" w:cs="Times New Roman"/>
                <w:b/>
                <w:bCs/>
                <w:color w:val="auto"/>
                <w:sz w:val="24"/>
                <w:szCs w:val="24"/>
                <w:u w:val="none" w:color="auto"/>
                <w:lang w:val="en-US" w:eastAsia="zh-CN"/>
              </w:rPr>
              <w:t>熔化</w:t>
            </w:r>
          </w:p>
          <w:p w14:paraId="6FF470E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混合均匀的混合料在熔窑内进行高温加热（熔化温度约1</w:t>
            </w:r>
            <w:r>
              <w:rPr>
                <w:rFonts w:hint="eastAsia" w:ascii="Times New Roman" w:hAnsi="Times New Roman" w:eastAsia="宋体" w:cs="Times New Roman"/>
                <w:color w:val="auto"/>
                <w:sz w:val="24"/>
                <w:szCs w:val="24"/>
                <w:u w:val="none" w:color="auto"/>
                <w:lang w:val="en-US" w:eastAsia="zh-CN"/>
              </w:rPr>
              <w:t>3</w:t>
            </w:r>
            <w:r>
              <w:rPr>
                <w:rFonts w:hint="default" w:ascii="Times New Roman" w:hAnsi="Times New Roman" w:eastAsia="宋体" w:cs="Times New Roman"/>
                <w:color w:val="auto"/>
                <w:sz w:val="24"/>
                <w:szCs w:val="24"/>
                <w:u w:val="none" w:color="auto"/>
                <w:lang w:val="en-US" w:eastAsia="zh-CN"/>
              </w:rPr>
              <w:t>00</w:t>
            </w:r>
            <w:r>
              <w:rPr>
                <w:rFonts w:hint="eastAsia" w:ascii="Times New Roman" w:hAnsi="Times New Roman" w:eastAsia="宋体" w:cs="Times New Roman"/>
                <w:color w:val="auto"/>
                <w:sz w:val="24"/>
                <w:szCs w:val="24"/>
                <w:u w:val="none" w:color="auto"/>
                <w:lang w:val="en-US" w:eastAsia="zh-CN"/>
              </w:rPr>
              <w:t>-1600</w:t>
            </w: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电熔窑</w:t>
            </w:r>
            <w:r>
              <w:rPr>
                <w:rFonts w:hint="default" w:ascii="Times New Roman" w:hAnsi="Times New Roman" w:eastAsia="宋体" w:cs="Times New Roman"/>
                <w:color w:val="auto"/>
                <w:sz w:val="24"/>
                <w:szCs w:val="24"/>
                <w:u w:val="none" w:color="auto"/>
                <w:lang w:val="en-US" w:eastAsia="zh-CN"/>
              </w:rPr>
              <w:t>上部为熔化区，下部为澄清均化区，采用多边形结构，以减少散热面积和液流死角，有效地降低澄清和均化的能耗。料道玻璃液采用钼电极加热，主料道和分料道空间采用硅碳棒电加热。经过一系列的化学物理反应，形成均匀、无气泡并符合成型要求的液态玻璃。这个过程大致分为五个阶段：硅酸盐形成、玻璃成型、澄清、均化、冷却成型。</w:t>
            </w:r>
            <w:r>
              <w:rPr>
                <w:rFonts w:hint="eastAsia" w:cs="Times New Roman"/>
                <w:color w:val="auto"/>
                <w:sz w:val="24"/>
                <w:szCs w:val="24"/>
                <w:u w:val="none" w:color="auto"/>
                <w:lang w:val="en-US" w:eastAsia="zh-CN"/>
              </w:rPr>
              <w:t>熔化过程中需要采用纯水对电熔窑进行间接降温，此部分废水循环使用，定期排放。</w:t>
            </w:r>
          </w:p>
          <w:p w14:paraId="27B2478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该工序产生熔化废气G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lang w:val="en-US" w:eastAsia="zh-CN"/>
              </w:rPr>
              <w:t>（主要污染物为颗粒物）、</w:t>
            </w:r>
            <w:r>
              <w:rPr>
                <w:rFonts w:hint="eastAsia" w:cs="Times New Roman"/>
                <w:color w:val="auto"/>
                <w:sz w:val="24"/>
                <w:szCs w:val="24"/>
                <w:u w:val="none" w:color="auto"/>
                <w:lang w:val="en-US" w:eastAsia="zh-CN"/>
              </w:rPr>
              <w:t>循环冷却定期排污水W</w:t>
            </w:r>
            <w:r>
              <w:rPr>
                <w:rFonts w:hint="eastAsia" w:cs="Times New Roman"/>
                <w:color w:val="auto"/>
                <w:sz w:val="24"/>
                <w:szCs w:val="24"/>
                <w:u w:val="none" w:color="auto"/>
                <w:vertAlign w:val="subscript"/>
                <w:lang w:val="en-US" w:eastAsia="zh-CN"/>
              </w:rPr>
              <w:t>3-1</w:t>
            </w:r>
            <w:r>
              <w:rPr>
                <w:rFonts w:hint="eastAsia"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5B227DA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4</w:t>
            </w:r>
            <w:r>
              <w:rPr>
                <w:rFonts w:hint="default" w:ascii="Times New Roman" w:hAnsi="Times New Roman" w:eastAsia="宋体" w:cs="Times New Roman"/>
                <w:b/>
                <w:bCs/>
                <w:color w:val="auto"/>
                <w:sz w:val="24"/>
                <w:szCs w:val="24"/>
                <w:u w:val="none" w:color="auto"/>
                <w:lang w:val="en-US" w:eastAsia="zh-CN"/>
              </w:rPr>
              <w:t>）成型工段</w:t>
            </w:r>
          </w:p>
          <w:p w14:paraId="1622C60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①火焰抛光</w:t>
            </w:r>
          </w:p>
          <w:p w14:paraId="408D32C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玻璃成型不是一个将整个产品均匀加热的过程，而是需要对特定部位进行瞬时的加热和冷却，操作工需要极高的灵活性和控制度。</w:t>
            </w:r>
            <w:r>
              <w:rPr>
                <w:rFonts w:hint="eastAsia" w:cs="Times New Roman"/>
                <w:color w:val="auto"/>
                <w:sz w:val="24"/>
                <w:szCs w:val="24"/>
                <w:u w:val="none" w:color="auto"/>
                <w:lang w:val="en-US" w:eastAsia="zh-CN"/>
              </w:rPr>
              <w:t>故此工段需要天然气配合加热，在供料道上方的两侧或顶部，安装有一排精密的天然气燃烧喷嘴。</w:t>
            </w:r>
            <w:r>
              <w:rPr>
                <w:rFonts w:hint="default" w:ascii="Times New Roman" w:hAnsi="Times New Roman" w:eastAsia="宋体" w:cs="Times New Roman"/>
                <w:color w:val="auto"/>
                <w:sz w:val="24"/>
                <w:szCs w:val="24"/>
                <w:u w:val="none" w:color="auto"/>
                <w:lang w:val="en-US" w:eastAsia="zh-CN"/>
              </w:rPr>
              <w:t>天然气火焰的温度可以轻松达到2000°C以上，能够快速将高硼硅玻璃（软化点约820°C）的局部加热到所需的工作粘度，保证生产效率。</w:t>
            </w:r>
            <w:r>
              <w:rPr>
                <w:rFonts w:hint="eastAsia" w:cs="Times New Roman"/>
                <w:color w:val="auto"/>
                <w:sz w:val="24"/>
                <w:szCs w:val="24"/>
                <w:u w:val="none" w:color="auto"/>
                <w:lang w:val="en-US" w:eastAsia="zh-CN"/>
              </w:rPr>
              <w:t>且玻璃液经过天然气燃烧后</w:t>
            </w:r>
            <w:r>
              <w:rPr>
                <w:rFonts w:hint="default" w:ascii="Times New Roman" w:hAnsi="Times New Roman" w:eastAsia="宋体" w:cs="Times New Roman"/>
                <w:color w:val="auto"/>
                <w:sz w:val="24"/>
                <w:szCs w:val="24"/>
                <w:u w:val="none" w:color="auto"/>
                <w:lang w:val="en-US" w:eastAsia="zh-CN"/>
              </w:rPr>
              <w:t>能有效去除玻璃表面的微量氧化物，使玻璃表面更加光亮，实现一种</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火焰抛光</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的效果，修复微小的划痕，使产品晶莹剔透。</w:t>
            </w:r>
          </w:p>
          <w:p w14:paraId="03C1674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天然气燃烧</w:t>
            </w:r>
            <w:r>
              <w:rPr>
                <w:rFonts w:hint="eastAsia" w:ascii="Times New Roman" w:hAnsi="Times New Roman" w:eastAsia="宋体" w:cs="Times New Roman"/>
                <w:color w:val="auto"/>
                <w:sz w:val="24"/>
                <w:szCs w:val="24"/>
                <w:u w:val="none" w:color="auto"/>
                <w:lang w:val="en-US" w:eastAsia="zh-CN"/>
              </w:rPr>
              <w:t>废气G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4</w:t>
            </w:r>
            <w:r>
              <w:rPr>
                <w:rFonts w:hint="eastAsia" w:ascii="Times New Roman" w:hAnsi="Times New Roman" w:eastAsia="宋体" w:cs="Times New Roman"/>
                <w:color w:val="auto"/>
                <w:sz w:val="24"/>
                <w:szCs w:val="24"/>
                <w:u w:val="none" w:color="auto"/>
                <w:lang w:val="en-US" w:eastAsia="zh-CN"/>
              </w:rPr>
              <w:t>（主要污染物为颗粒物、SO</w:t>
            </w:r>
            <w:r>
              <w:rPr>
                <w:rFonts w:hint="eastAsia" w:ascii="Times New Roman" w:hAnsi="Times New Roman" w:eastAsia="宋体"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lang w:val="en-US" w:eastAsia="zh-CN"/>
              </w:rPr>
              <w:t>、NOx）、设备运行噪声N</w:t>
            </w:r>
            <w:r>
              <w:rPr>
                <w:rFonts w:hint="eastAsia" w:cs="Times New Roman"/>
                <w:color w:val="auto"/>
                <w:sz w:val="24"/>
                <w:szCs w:val="24"/>
                <w:u w:val="none" w:color="auto"/>
                <w:lang w:val="en-US" w:eastAsia="zh-CN"/>
              </w:rPr>
              <w:t>。</w:t>
            </w:r>
          </w:p>
          <w:p w14:paraId="2D15746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②</w:t>
            </w:r>
            <w:r>
              <w:rPr>
                <w:rFonts w:hint="eastAsia" w:ascii="Times New Roman" w:hAnsi="Times New Roman" w:eastAsia="宋体" w:cs="Times New Roman"/>
                <w:color w:val="auto"/>
                <w:sz w:val="24"/>
                <w:szCs w:val="24"/>
                <w:u w:val="none" w:color="auto"/>
                <w:lang w:val="en-US" w:eastAsia="zh-CN"/>
              </w:rPr>
              <w:t>成型</w:t>
            </w:r>
          </w:p>
          <w:p w14:paraId="78203D0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火焰抛光后的流液由调节闸板控制流量后流入成型系统，温度均匀的玻璃液流入拉管机顶部的料碗中。料碗底部有一个环形的开口，玻璃液由此向下流出，形成管状。在料碗中心，垂直安装着一根耐高温的通气芯轴。芯轴持续向流动的玻璃液内部输送洁净的压缩空气。这股气流被“包裹”在玻璃液内部，形成了玻璃管的中空腔体。玻璃液在自身重力作用下向下流动。在此过程中，通过高速、均匀的气流（通常是压缩空气）对玻璃管外壁进行快速冷却，使其粘度急剧增加，从塑性状态转变为弹性状态，形状从而被固定下来。下方是一对同步运行的牵引机。它通常由两条环形履带组成，履带表面有耐高温的柔软材料（如石棉布），通过气压压紧玻璃管</w:t>
            </w:r>
            <w:r>
              <w:rPr>
                <w:rFonts w:hint="eastAsia" w:ascii="Times New Roman" w:hAnsi="Times New Roman" w:eastAsia="宋体" w:cs="Times New Roman"/>
                <w:color w:val="auto"/>
                <w:sz w:val="24"/>
                <w:szCs w:val="24"/>
                <w:u w:val="none" w:color="auto"/>
                <w:lang w:val="en-US" w:eastAsia="zh-CN"/>
              </w:rPr>
              <w:t>，形成符合直径要求（5mm到500mm）的玻璃管</w:t>
            </w:r>
            <w:r>
              <w:rPr>
                <w:rFonts w:hint="default" w:ascii="Times New Roman" w:hAnsi="Times New Roman" w:eastAsia="宋体" w:cs="Times New Roman"/>
                <w:color w:val="auto"/>
                <w:sz w:val="24"/>
                <w:szCs w:val="24"/>
                <w:u w:val="none" w:color="auto"/>
                <w:lang w:val="en-US" w:eastAsia="zh-CN"/>
              </w:rPr>
              <w:t>。牵引机以恒定且可精确调节的速度向上拉引玻璃管</w:t>
            </w:r>
            <w:r>
              <w:rPr>
                <w:rFonts w:hint="eastAsia" w:ascii="Times New Roman" w:hAnsi="Times New Roman" w:eastAsia="宋体" w:cs="Times New Roman"/>
                <w:color w:val="auto"/>
                <w:sz w:val="24"/>
                <w:szCs w:val="24"/>
                <w:u w:val="none" w:color="auto"/>
                <w:lang w:val="en-US" w:eastAsia="zh-CN"/>
              </w:rPr>
              <w:t>，无需使用脱模剂。</w:t>
            </w:r>
          </w:p>
          <w:p w14:paraId="33DAFEF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w:t>
            </w:r>
            <w:r>
              <w:rPr>
                <w:rFonts w:hint="eastAsia" w:cs="Times New Roman"/>
                <w:color w:val="auto"/>
                <w:sz w:val="24"/>
                <w:szCs w:val="24"/>
                <w:u w:val="none" w:color="auto"/>
                <w:lang w:val="en-US" w:eastAsia="zh-CN"/>
              </w:rPr>
              <w:t>循环冷却定期排污水W</w:t>
            </w:r>
            <w:r>
              <w:rPr>
                <w:rFonts w:hint="eastAsia" w:cs="Times New Roman"/>
                <w:color w:val="auto"/>
                <w:sz w:val="24"/>
                <w:szCs w:val="24"/>
                <w:u w:val="none" w:color="auto"/>
                <w:vertAlign w:val="subscript"/>
                <w:lang w:val="en-US" w:eastAsia="zh-CN"/>
              </w:rPr>
              <w:t>3-2</w:t>
            </w:r>
            <w:r>
              <w:rPr>
                <w:rFonts w:hint="eastAsia"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06334B8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5</w:t>
            </w:r>
            <w:r>
              <w:rPr>
                <w:rFonts w:hint="eastAsia" w:ascii="Times New Roman" w:hAnsi="Times New Roman" w:eastAsia="宋体" w:cs="Times New Roman"/>
                <w:b/>
                <w:bCs/>
                <w:color w:val="auto"/>
                <w:sz w:val="24"/>
                <w:szCs w:val="24"/>
                <w:u w:val="none" w:color="auto"/>
                <w:lang w:val="en-US" w:eastAsia="zh-CN"/>
              </w:rPr>
              <w:t>）</w:t>
            </w:r>
            <w:r>
              <w:rPr>
                <w:rFonts w:hint="default" w:ascii="Times New Roman" w:hAnsi="Times New Roman" w:eastAsia="宋体" w:cs="Times New Roman"/>
                <w:b/>
                <w:bCs/>
                <w:color w:val="auto"/>
                <w:sz w:val="24"/>
                <w:szCs w:val="24"/>
                <w:u w:val="none" w:color="auto"/>
                <w:lang w:val="en-US" w:eastAsia="zh-CN"/>
              </w:rPr>
              <w:t>退火</w:t>
            </w:r>
          </w:p>
          <w:p w14:paraId="0731E67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玻璃带进入退火窑内按一定的温度曲线被加热、均热、保温、</w:t>
            </w:r>
            <w:r>
              <w:rPr>
                <w:rFonts w:hint="eastAsia" w:ascii="Times New Roman" w:hAnsi="Times New Roman" w:eastAsia="宋体" w:cs="Times New Roman"/>
                <w:color w:val="auto"/>
                <w:sz w:val="24"/>
                <w:szCs w:val="24"/>
                <w:u w:val="none" w:color="auto"/>
                <w:lang w:val="en-US" w:eastAsia="zh-CN"/>
              </w:rPr>
              <w:t>自然</w:t>
            </w:r>
            <w:r>
              <w:rPr>
                <w:rFonts w:hint="default" w:ascii="Times New Roman" w:hAnsi="Times New Roman" w:eastAsia="宋体" w:cs="Times New Roman"/>
                <w:color w:val="auto"/>
                <w:sz w:val="24"/>
                <w:szCs w:val="24"/>
                <w:u w:val="none" w:color="auto"/>
                <w:lang w:val="en-US" w:eastAsia="zh-CN"/>
              </w:rPr>
              <w:t>冷却等，使成形冷却过程中产生的应力降低，以达到符合切割和质量要求的数值，然后进入冷端切裁区。</w:t>
            </w:r>
            <w:r>
              <w:rPr>
                <w:rFonts w:hint="eastAsia" w:cs="Times New Roman"/>
                <w:color w:val="auto"/>
                <w:sz w:val="24"/>
                <w:szCs w:val="24"/>
                <w:u w:val="none" w:color="auto"/>
                <w:lang w:val="en-US" w:eastAsia="zh-CN"/>
              </w:rPr>
              <w:t>退火窑采用电加热。</w:t>
            </w:r>
          </w:p>
          <w:p w14:paraId="1EDA1DE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该工序产生设备运行噪声N</w:t>
            </w:r>
            <w:r>
              <w:rPr>
                <w:rFonts w:hint="eastAsia" w:cs="Times New Roman"/>
                <w:color w:val="auto"/>
                <w:sz w:val="24"/>
                <w:szCs w:val="24"/>
                <w:u w:val="none" w:color="auto"/>
                <w:lang w:val="en-US" w:eastAsia="zh-CN"/>
              </w:rPr>
              <w:t>。</w:t>
            </w:r>
          </w:p>
          <w:p w14:paraId="565D5024">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6</w:t>
            </w:r>
            <w:r>
              <w:rPr>
                <w:rFonts w:hint="eastAsia" w:ascii="Times New Roman" w:hAnsi="Times New Roman" w:eastAsia="宋体" w:cs="Times New Roman"/>
                <w:b/>
                <w:bCs/>
                <w:color w:val="auto"/>
                <w:sz w:val="24"/>
                <w:szCs w:val="24"/>
                <w:u w:val="none" w:color="auto"/>
                <w:lang w:val="en-US" w:eastAsia="zh-CN"/>
              </w:rPr>
              <w:t>）裁切</w:t>
            </w:r>
          </w:p>
          <w:p w14:paraId="5E4BD22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玻璃带进入冷端裁切区，</w:t>
            </w:r>
            <w:r>
              <w:rPr>
                <w:rFonts w:hint="eastAsia" w:cs="Times New Roman"/>
                <w:color w:val="auto"/>
                <w:sz w:val="24"/>
                <w:szCs w:val="24"/>
                <w:u w:val="none" w:color="auto"/>
                <w:lang w:val="en-US" w:eastAsia="zh-CN"/>
              </w:rPr>
              <w:t>采用横切机、纵切机</w:t>
            </w:r>
            <w:r>
              <w:rPr>
                <w:rFonts w:hint="default" w:ascii="Times New Roman" w:hAnsi="Times New Roman" w:eastAsia="宋体" w:cs="Times New Roman"/>
                <w:color w:val="auto"/>
                <w:sz w:val="24"/>
                <w:szCs w:val="24"/>
                <w:u w:val="none" w:color="auto"/>
                <w:lang w:val="en-US" w:eastAsia="zh-CN"/>
              </w:rPr>
              <w:t>实现自动切割、裁断等操作。裁断后的玻璃板进入加速分离辊道分离。进入裁边工序，裁边宽度可视切裁的规格加以调节。裁边后的玻璃板通过纵掰纵分系统分离，裁边玻璃落板进入碎玻璃仓</w:t>
            </w:r>
            <w:r>
              <w:rPr>
                <w:rFonts w:hint="eastAsia" w:ascii="Times New Roman" w:hAnsi="Times New Roman" w:eastAsia="宋体" w:cs="Times New Roman"/>
                <w:color w:val="auto"/>
                <w:sz w:val="24"/>
                <w:szCs w:val="24"/>
                <w:u w:val="none" w:color="auto"/>
                <w:lang w:val="en-US" w:eastAsia="zh-CN"/>
              </w:rPr>
              <w:t>。</w:t>
            </w:r>
          </w:p>
          <w:p w14:paraId="525C468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该工序产生裁切废气G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5</w:t>
            </w:r>
            <w:r>
              <w:rPr>
                <w:rFonts w:hint="eastAsia" w:ascii="Times New Roman" w:hAnsi="Times New Roman" w:eastAsia="宋体" w:cs="Times New Roman"/>
                <w:color w:val="auto"/>
                <w:sz w:val="24"/>
                <w:szCs w:val="24"/>
                <w:u w:val="none" w:color="auto"/>
                <w:lang w:val="en-US" w:eastAsia="zh-CN"/>
              </w:rPr>
              <w:t>（主要污染物为颗粒物）、废边角料S</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0A6CCE27">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7</w:t>
            </w:r>
            <w:r>
              <w:rPr>
                <w:rFonts w:hint="eastAsia" w:ascii="Times New Roman" w:hAnsi="Times New Roman" w:eastAsia="宋体" w:cs="Times New Roman"/>
                <w:b/>
                <w:bCs/>
                <w:color w:val="auto"/>
                <w:sz w:val="24"/>
                <w:szCs w:val="24"/>
                <w:u w:val="none" w:color="auto"/>
                <w:lang w:val="en-US" w:eastAsia="zh-CN"/>
              </w:rPr>
              <w:t>）圆口</w:t>
            </w:r>
          </w:p>
          <w:p w14:paraId="7086897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裁切完成后，合格的玻璃管输送至圆口机进行管口修整、打磨，圆口机采用热源为</w:t>
            </w:r>
            <w:r>
              <w:rPr>
                <w:rFonts w:hint="eastAsia" w:cs="Times New Roman"/>
                <w:color w:val="auto"/>
                <w:sz w:val="24"/>
                <w:szCs w:val="24"/>
                <w:u w:val="none" w:color="auto"/>
                <w:lang w:val="en-US" w:eastAsia="zh-CN"/>
              </w:rPr>
              <w:t>天然气</w:t>
            </w:r>
            <w:r>
              <w:rPr>
                <w:rFonts w:hint="eastAsia" w:ascii="Times New Roman" w:hAnsi="Times New Roman" w:eastAsia="宋体" w:cs="Times New Roman"/>
                <w:color w:val="auto"/>
                <w:sz w:val="24"/>
                <w:szCs w:val="24"/>
                <w:u w:val="none" w:color="auto"/>
                <w:lang w:val="en-US" w:eastAsia="zh-CN"/>
              </w:rPr>
              <w:t>。</w:t>
            </w:r>
          </w:p>
          <w:p w14:paraId="4793DC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该工序产生圆口废气G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6</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主要污染物为颗粒物、SO</w:t>
            </w:r>
            <w:r>
              <w:rPr>
                <w:rFonts w:hint="default" w:ascii="Times New Roman" w:hAnsi="Times New Roman" w:eastAsia="宋体" w:cs="Times New Roman"/>
                <w:color w:val="auto"/>
                <w:sz w:val="24"/>
                <w:szCs w:val="24"/>
                <w:u w:val="none" w:color="auto"/>
                <w:vertAlign w:val="subscript"/>
                <w:lang w:val="en-US" w:eastAsia="zh-CN"/>
              </w:rPr>
              <w:t>2</w:t>
            </w:r>
            <w:r>
              <w:rPr>
                <w:rFonts w:hint="default" w:ascii="Times New Roman" w:hAnsi="Times New Roman" w:eastAsia="宋体" w:cs="Times New Roman"/>
                <w:color w:val="auto"/>
                <w:sz w:val="24"/>
                <w:szCs w:val="24"/>
                <w:u w:val="none" w:color="auto"/>
                <w:lang w:val="en-US" w:eastAsia="zh-CN"/>
              </w:rPr>
              <w:t>、NOx</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107B311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textAlignment w:val="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8</w:t>
            </w:r>
            <w:r>
              <w:rPr>
                <w:rFonts w:hint="eastAsia" w:ascii="Times New Roman" w:hAnsi="Times New Roman" w:eastAsia="宋体" w:cs="Times New Roman"/>
                <w:b/>
                <w:bCs/>
                <w:color w:val="auto"/>
                <w:sz w:val="24"/>
                <w:szCs w:val="24"/>
                <w:u w:val="none" w:color="auto"/>
                <w:lang w:val="en-US" w:eastAsia="zh-CN"/>
              </w:rPr>
              <w:t>）检验、吹风清扫</w:t>
            </w:r>
          </w:p>
          <w:p w14:paraId="19EAE5D3">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圆口后的玻璃板需要进行检验，不合格品进入</w:t>
            </w:r>
            <w:r>
              <w:rPr>
                <w:rFonts w:hint="eastAsia" w:cs="Times New Roman"/>
                <w:color w:val="auto"/>
                <w:sz w:val="24"/>
                <w:szCs w:val="24"/>
                <w:u w:val="none" w:color="auto"/>
                <w:lang w:val="en-US" w:eastAsia="zh-CN"/>
              </w:rPr>
              <w:t>配料、</w:t>
            </w:r>
            <w:r>
              <w:rPr>
                <w:rFonts w:hint="eastAsia" w:ascii="Times New Roman" w:hAnsi="Times New Roman" w:eastAsia="宋体" w:cs="Times New Roman"/>
                <w:color w:val="auto"/>
                <w:sz w:val="24"/>
                <w:szCs w:val="24"/>
                <w:u w:val="none" w:color="auto"/>
                <w:lang w:val="en-US" w:eastAsia="zh-CN"/>
              </w:rPr>
              <w:t>混料工序回用，</w:t>
            </w:r>
            <w:r>
              <w:rPr>
                <w:rFonts w:hint="default" w:ascii="Times New Roman" w:hAnsi="Times New Roman" w:eastAsia="宋体" w:cs="Times New Roman"/>
                <w:color w:val="auto"/>
                <w:sz w:val="24"/>
                <w:szCs w:val="24"/>
                <w:u w:val="none" w:color="auto"/>
                <w:lang w:val="en-US" w:eastAsia="zh-CN"/>
              </w:rPr>
              <w:t>合格</w:t>
            </w:r>
            <w:r>
              <w:rPr>
                <w:rFonts w:hint="eastAsia" w:ascii="Times New Roman" w:hAnsi="Times New Roman" w:eastAsia="宋体" w:cs="Times New Roman"/>
                <w:color w:val="auto"/>
                <w:sz w:val="24"/>
                <w:szCs w:val="24"/>
                <w:u w:val="none" w:color="auto"/>
                <w:lang w:val="en-US" w:eastAsia="zh-CN"/>
              </w:rPr>
              <w:t>品</w:t>
            </w:r>
            <w:r>
              <w:rPr>
                <w:rFonts w:hint="default" w:ascii="Times New Roman" w:hAnsi="Times New Roman" w:eastAsia="宋体" w:cs="Times New Roman"/>
                <w:color w:val="auto"/>
                <w:sz w:val="24"/>
                <w:szCs w:val="24"/>
                <w:u w:val="none" w:color="auto"/>
                <w:lang w:val="en-US" w:eastAsia="zh-CN"/>
              </w:rPr>
              <w:t>经吹风清扫清除表面的屑渣后</w:t>
            </w:r>
            <w:r>
              <w:rPr>
                <w:rFonts w:hint="eastAsia" w:ascii="Times New Roman" w:hAnsi="Times New Roman" w:eastAsia="宋体" w:cs="Times New Roman"/>
                <w:color w:val="auto"/>
                <w:sz w:val="24"/>
                <w:szCs w:val="24"/>
                <w:u w:val="none" w:color="auto"/>
                <w:lang w:val="en-US" w:eastAsia="zh-CN"/>
              </w:rPr>
              <w:t>将玻璃取出。</w:t>
            </w:r>
          </w:p>
          <w:p w14:paraId="596782B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该工序产生清扫废气G</w:t>
            </w:r>
            <w:r>
              <w:rPr>
                <w:rFonts w:hint="eastAsia" w:ascii="Times New Roman" w:hAnsi="Times New Roman" w:eastAsia="宋体" w:cs="Times New Roman"/>
                <w:color w:val="auto"/>
                <w:sz w:val="24"/>
                <w:szCs w:val="24"/>
                <w:u w:val="none" w:color="auto"/>
                <w:vertAlign w:val="subscript"/>
                <w:lang w:val="en-US" w:eastAsia="zh-CN"/>
              </w:rPr>
              <w:t>3-</w:t>
            </w:r>
            <w:r>
              <w:rPr>
                <w:rFonts w:hint="eastAsia" w:cs="Times New Roman"/>
                <w:color w:val="auto"/>
                <w:sz w:val="24"/>
                <w:szCs w:val="24"/>
                <w:u w:val="none" w:color="auto"/>
                <w:vertAlign w:val="subscript"/>
                <w:lang w:val="en-US" w:eastAsia="zh-CN"/>
              </w:rPr>
              <w:t>7</w:t>
            </w:r>
            <w:r>
              <w:rPr>
                <w:rFonts w:hint="eastAsia" w:ascii="Times New Roman" w:hAnsi="Times New Roman" w:eastAsia="宋体" w:cs="Times New Roman"/>
                <w:color w:val="auto"/>
                <w:sz w:val="24"/>
                <w:szCs w:val="24"/>
                <w:u w:val="none" w:color="auto"/>
                <w:lang w:val="en-US" w:eastAsia="zh-CN"/>
              </w:rPr>
              <w:t>（主要污染物为颗粒物）、不合格品S</w:t>
            </w:r>
            <w:r>
              <w:rPr>
                <w:rFonts w:hint="eastAsia" w:ascii="Times New Roman" w:hAnsi="Times New Roman" w:eastAsia="宋体" w:cs="Times New Roman"/>
                <w:color w:val="auto"/>
                <w:sz w:val="24"/>
                <w:szCs w:val="24"/>
                <w:u w:val="none" w:color="auto"/>
                <w:vertAlign w:val="subscript"/>
                <w:lang w:val="en-US" w:eastAsia="zh-CN"/>
              </w:rPr>
              <w:t>3-3</w:t>
            </w:r>
            <w:r>
              <w:rPr>
                <w:rFonts w:hint="eastAsia" w:ascii="Times New Roman" w:hAnsi="Times New Roman" w:eastAsia="宋体" w:cs="Times New Roman"/>
                <w:color w:val="auto"/>
                <w:sz w:val="24"/>
                <w:szCs w:val="24"/>
                <w:u w:val="none" w:color="auto"/>
                <w:lang w:val="en-US" w:eastAsia="zh-CN"/>
              </w:rPr>
              <w:t>、设备运行噪声N</w:t>
            </w:r>
            <w:r>
              <w:rPr>
                <w:rFonts w:hint="eastAsia" w:cs="Times New Roman"/>
                <w:color w:val="auto"/>
                <w:sz w:val="24"/>
                <w:szCs w:val="24"/>
                <w:u w:val="none" w:color="auto"/>
                <w:lang w:val="en-US" w:eastAsia="zh-CN"/>
              </w:rPr>
              <w:t>。</w:t>
            </w:r>
          </w:p>
          <w:p w14:paraId="1C29645F">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420" w:leftChars="200" w:right="0" w:rightChars="0"/>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w:t>
            </w:r>
            <w:r>
              <w:rPr>
                <w:rFonts w:hint="eastAsia" w:cs="Times New Roman"/>
                <w:b/>
                <w:bCs/>
                <w:color w:val="auto"/>
                <w:sz w:val="24"/>
                <w:szCs w:val="24"/>
                <w:u w:val="none" w:color="auto"/>
                <w:lang w:val="en-US" w:eastAsia="zh-CN"/>
              </w:rPr>
              <w:t>9</w:t>
            </w:r>
            <w:r>
              <w:rPr>
                <w:rFonts w:hint="eastAsia" w:ascii="Times New Roman" w:hAnsi="Times New Roman" w:eastAsia="宋体" w:cs="Times New Roman"/>
                <w:b/>
                <w:bCs/>
                <w:color w:val="auto"/>
                <w:sz w:val="24"/>
                <w:szCs w:val="24"/>
                <w:u w:val="none" w:color="auto"/>
                <w:lang w:val="en-US" w:eastAsia="zh-CN"/>
              </w:rPr>
              <w:t>）放隔离纸、装箱</w:t>
            </w:r>
          </w:p>
          <w:p w14:paraId="2F215B0C">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玻璃取出后，</w:t>
            </w:r>
            <w:r>
              <w:rPr>
                <w:rFonts w:hint="eastAsia" w:cs="Times New Roman"/>
                <w:color w:val="auto"/>
                <w:sz w:val="24"/>
                <w:szCs w:val="24"/>
                <w:u w:val="none" w:color="auto"/>
                <w:lang w:val="en-US" w:eastAsia="zh-CN"/>
              </w:rPr>
              <w:t>为</w:t>
            </w:r>
            <w:r>
              <w:rPr>
                <w:rFonts w:hint="eastAsia" w:ascii="Times New Roman" w:hAnsi="Times New Roman" w:eastAsia="宋体" w:cs="Times New Roman"/>
                <w:color w:val="auto"/>
                <w:sz w:val="24"/>
                <w:szCs w:val="24"/>
                <w:u w:val="none" w:color="auto"/>
                <w:lang w:val="en-US" w:eastAsia="zh-CN"/>
              </w:rPr>
              <w:t>防止后期玻璃粘连，</w:t>
            </w:r>
            <w:r>
              <w:rPr>
                <w:rFonts w:hint="eastAsia" w:cs="Times New Roman"/>
                <w:color w:val="auto"/>
                <w:sz w:val="24"/>
                <w:szCs w:val="24"/>
                <w:u w:val="none" w:color="auto"/>
                <w:lang w:val="en-US" w:eastAsia="zh-CN"/>
              </w:rPr>
              <w:t>需要在两块玻璃之前</w:t>
            </w:r>
            <w:r>
              <w:rPr>
                <w:rFonts w:hint="eastAsia" w:ascii="Times New Roman" w:hAnsi="Times New Roman" w:eastAsia="宋体" w:cs="Times New Roman"/>
                <w:color w:val="auto"/>
                <w:sz w:val="24"/>
                <w:szCs w:val="24"/>
                <w:u w:val="none" w:color="auto"/>
                <w:lang w:val="en-US" w:eastAsia="zh-CN"/>
              </w:rPr>
              <w:t>放隔离纸起到保护玻璃的作用，</w:t>
            </w:r>
            <w:r>
              <w:rPr>
                <w:rFonts w:hint="eastAsia" w:cs="Times New Roman"/>
                <w:color w:val="auto"/>
                <w:sz w:val="24"/>
                <w:szCs w:val="24"/>
                <w:u w:val="none" w:color="auto"/>
                <w:lang w:val="en-US" w:eastAsia="zh-CN"/>
              </w:rPr>
              <w:t>放置隔离纸后</w:t>
            </w:r>
            <w:r>
              <w:rPr>
                <w:rFonts w:hint="default" w:ascii="Times New Roman" w:hAnsi="Times New Roman" w:eastAsia="宋体" w:cs="Times New Roman"/>
                <w:color w:val="auto"/>
                <w:sz w:val="24"/>
                <w:szCs w:val="24"/>
                <w:u w:val="none" w:color="auto"/>
                <w:lang w:val="en-US" w:eastAsia="zh-CN"/>
              </w:rPr>
              <w:t>装箱，再由叉车运至成品库。</w:t>
            </w:r>
          </w:p>
          <w:p w14:paraId="180C1E1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eastAsia="宋体"/>
                <w:b w:val="0"/>
                <w:bCs/>
                <w:sz w:val="24"/>
                <w:szCs w:val="24"/>
                <w:lang w:val="en-US" w:eastAsia="zh-CN"/>
              </w:rPr>
            </w:pPr>
            <w:r>
              <w:rPr>
                <w:rFonts w:hint="eastAsia" w:ascii="Times New Roman" w:hAnsi="Times New Roman" w:eastAsia="宋体" w:cs="Times New Roman"/>
                <w:color w:val="auto"/>
                <w:sz w:val="24"/>
                <w:szCs w:val="24"/>
                <w:u w:val="none" w:color="auto"/>
                <w:lang w:val="en-US" w:eastAsia="zh-CN"/>
              </w:rPr>
              <w:t>该工序产生设备运行噪声N</w:t>
            </w:r>
            <w:r>
              <w:rPr>
                <w:rFonts w:hint="eastAsia" w:cs="Times New Roman"/>
                <w:color w:val="auto"/>
                <w:sz w:val="24"/>
                <w:szCs w:val="24"/>
                <w:u w:val="none" w:color="auto"/>
                <w:lang w:val="en-US" w:eastAsia="zh-CN"/>
              </w:rPr>
              <w:t>。</w:t>
            </w:r>
          </w:p>
          <w:p w14:paraId="5A8A5E4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纯水制备的高质量，主要是通过过滤</w:t>
            </w:r>
            <w:r>
              <w:rPr>
                <w:rFonts w:hint="eastAsia" w:cs="Times New Roman"/>
                <w:b w:val="0"/>
                <w:bCs w:val="0"/>
                <w:color w:val="auto"/>
                <w:sz w:val="24"/>
                <w:szCs w:val="24"/>
                <w:lang w:val="en-US" w:eastAsia="zh-CN"/>
              </w:rPr>
              <w:t>的</w:t>
            </w:r>
            <w:r>
              <w:rPr>
                <w:rFonts w:hint="default" w:ascii="Times New Roman" w:hAnsi="Times New Roman" w:cs="Times New Roman"/>
                <w:b w:val="0"/>
                <w:bCs w:val="0"/>
                <w:color w:val="auto"/>
                <w:sz w:val="24"/>
                <w:szCs w:val="24"/>
                <w:lang w:val="en-US" w:eastAsia="zh-CN"/>
              </w:rPr>
              <w:t>方法去除水中的大颗粒杂质、悬浮物、胶体物质和有机物等。预处理的目的是保护后续处理设备，延长使用寿命，并提高处理效果。反渗透是纯水制备的核心技术，主要原理是利用半透膜的选择性透过性，使水分子通过膜而溶解在水中的其他物质则被截留。反渗透技术能够有效地去除水中的重金属、有机物、细菌、病毒等有害物质，从而得到高品质的纯净水。</w:t>
            </w:r>
          </w:p>
          <w:p w14:paraId="495DCF8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lang w:val="en-US" w:eastAsia="zh-CN"/>
              </w:rPr>
            </w:pPr>
            <w:r>
              <w:rPr>
                <w:rFonts w:hint="default" w:ascii="Times New Roman" w:hAnsi="Times New Roman" w:cs="Times New Roman"/>
                <w:b w:val="0"/>
                <w:bCs w:val="0"/>
                <w:color w:val="auto"/>
                <w:sz w:val="24"/>
                <w:szCs w:val="24"/>
                <w:lang w:val="en-US" w:eastAsia="zh-CN"/>
              </w:rPr>
              <w:t>该工序产生</w:t>
            </w:r>
            <w:r>
              <w:rPr>
                <w:rFonts w:hint="eastAsia" w:cs="Times New Roman"/>
                <w:b w:val="0"/>
                <w:bCs w:val="0"/>
                <w:color w:val="auto"/>
                <w:sz w:val="24"/>
                <w:szCs w:val="24"/>
                <w:lang w:val="en-US" w:eastAsia="zh-CN"/>
              </w:rPr>
              <w:t>纯水制备浓水</w:t>
            </w:r>
            <w:r>
              <w:rPr>
                <w:rFonts w:hint="eastAsia" w:ascii="Times New Roman" w:hAnsi="Times New Roman" w:cs="Times New Roman"/>
                <w:b w:val="0"/>
                <w:bCs w:val="0"/>
                <w:color w:val="auto"/>
                <w:sz w:val="24"/>
                <w:szCs w:val="24"/>
                <w:lang w:val="en-US" w:eastAsia="zh-CN"/>
              </w:rPr>
              <w:t>W</w:t>
            </w:r>
            <w:r>
              <w:rPr>
                <w:rFonts w:hint="eastAsia" w:cs="Times New Roman"/>
                <w:b w:val="0"/>
                <w:bCs w:val="0"/>
                <w:color w:val="auto"/>
                <w:sz w:val="24"/>
                <w:szCs w:val="24"/>
                <w:vertAlign w:val="subscript"/>
                <w:lang w:val="en-US" w:eastAsia="zh-CN"/>
              </w:rPr>
              <w:t>4-1</w:t>
            </w:r>
            <w:r>
              <w:rPr>
                <w:rFonts w:hint="eastAsia" w:ascii="Times New Roman" w:hAnsi="Times New Roman" w:cs="Times New Roman"/>
                <w:b w:val="0"/>
                <w:bCs w:val="0"/>
                <w:color w:val="auto"/>
                <w:sz w:val="24"/>
                <w:szCs w:val="24"/>
                <w:lang w:val="en-US" w:eastAsia="zh-CN"/>
              </w:rPr>
              <w:t>、</w:t>
            </w:r>
            <w:r>
              <w:rPr>
                <w:rFonts w:hint="eastAsia" w:cs="Times New Roman"/>
                <w:b w:val="0"/>
                <w:bCs w:val="0"/>
                <w:color w:val="auto"/>
                <w:sz w:val="24"/>
                <w:szCs w:val="24"/>
                <w:lang w:val="en-US" w:eastAsia="zh-CN"/>
              </w:rPr>
              <w:t>纯水制备产生的废过滤材料S</w:t>
            </w:r>
            <w:r>
              <w:rPr>
                <w:rFonts w:hint="eastAsia" w:cs="Times New Roman"/>
                <w:b w:val="0"/>
                <w:bCs w:val="0"/>
                <w:color w:val="auto"/>
                <w:sz w:val="24"/>
                <w:szCs w:val="24"/>
                <w:vertAlign w:val="subscript"/>
                <w:lang w:val="en-US" w:eastAsia="zh-CN"/>
              </w:rPr>
              <w:t>4-1</w:t>
            </w:r>
            <w:r>
              <w:rPr>
                <w:rFonts w:hint="eastAsia" w:cs="Times New Roman"/>
                <w:b w:val="0"/>
                <w:bCs w:val="0"/>
                <w:color w:val="auto"/>
                <w:sz w:val="24"/>
                <w:szCs w:val="24"/>
                <w:lang w:val="en-US" w:eastAsia="zh-CN"/>
              </w:rPr>
              <w:t>、设备运行噪声N</w:t>
            </w:r>
            <w:r>
              <w:rPr>
                <w:rFonts w:hint="eastAsia" w:ascii="Times New Roman" w:hAnsi="Times New Roman" w:cs="Times New Roman"/>
                <w:b w:val="0"/>
                <w:bCs w:val="0"/>
                <w:color w:val="auto"/>
                <w:sz w:val="24"/>
                <w:szCs w:val="24"/>
                <w:lang w:val="en-US" w:eastAsia="zh-CN"/>
              </w:rPr>
              <w:t>。</w:t>
            </w:r>
          </w:p>
          <w:p w14:paraId="45EF5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b/>
                <w:sz w:val="24"/>
                <w:szCs w:val="24"/>
              </w:rPr>
            </w:pPr>
          </w:p>
          <w:p w14:paraId="61F1D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b/>
                <w:sz w:val="24"/>
                <w:szCs w:val="24"/>
              </w:rPr>
            </w:pPr>
          </w:p>
          <w:p w14:paraId="3136E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b/>
                <w:sz w:val="24"/>
                <w:szCs w:val="24"/>
              </w:rPr>
            </w:pPr>
          </w:p>
          <w:p w14:paraId="72146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b/>
                <w:sz w:val="24"/>
                <w:szCs w:val="24"/>
              </w:rPr>
            </w:pPr>
          </w:p>
          <w:p w14:paraId="70BDC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b/>
                <w:sz w:val="24"/>
                <w:szCs w:val="24"/>
              </w:rPr>
            </w:pPr>
          </w:p>
          <w:p w14:paraId="5CCCE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b/>
                <w:sz w:val="24"/>
                <w:szCs w:val="24"/>
              </w:rPr>
            </w:pPr>
          </w:p>
          <w:p w14:paraId="217C6F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b/>
                <w:sz w:val="24"/>
                <w:szCs w:val="24"/>
              </w:rPr>
            </w:pPr>
          </w:p>
          <w:p w14:paraId="6F64B8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2" w:firstLineChars="200"/>
              <w:textAlignment w:val="auto"/>
              <w:rPr>
                <w:rFonts w:hint="default"/>
                <w:b/>
                <w:sz w:val="24"/>
                <w:szCs w:val="24"/>
              </w:rPr>
            </w:pPr>
            <w:r>
              <w:rPr>
                <w:rFonts w:hint="default"/>
                <w:b/>
                <w:sz w:val="24"/>
                <w:szCs w:val="24"/>
              </w:rPr>
              <w:t>综上，主要产污环节如下：</w:t>
            </w:r>
          </w:p>
          <w:p w14:paraId="15C1B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b/>
                <w:bCs/>
                <w:sz w:val="24"/>
                <w:szCs w:val="24"/>
              </w:rPr>
            </w:pPr>
            <w:r>
              <w:rPr>
                <w:rFonts w:hint="default"/>
                <w:b/>
                <w:bCs/>
                <w:sz w:val="24"/>
                <w:szCs w:val="24"/>
              </w:rPr>
              <w:t>表</w:t>
            </w:r>
            <w:r>
              <w:rPr>
                <w:rFonts w:hint="eastAsia"/>
                <w:b/>
                <w:bCs/>
                <w:sz w:val="24"/>
                <w:szCs w:val="24"/>
                <w:lang w:val="en-US" w:eastAsia="zh-CN"/>
              </w:rPr>
              <w:t>2-10</w:t>
            </w:r>
            <w:r>
              <w:rPr>
                <w:rFonts w:hint="default"/>
                <w:b/>
                <w:bCs/>
                <w:sz w:val="24"/>
                <w:szCs w:val="24"/>
              </w:rPr>
              <w:t xml:space="preserve"> 工艺、厂区产污环节及处理措施</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681"/>
              <w:gridCol w:w="654"/>
              <w:gridCol w:w="1474"/>
              <w:gridCol w:w="4813"/>
            </w:tblGrid>
            <w:tr w14:paraId="56C6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Align w:val="center"/>
                </w:tcPr>
                <w:p w14:paraId="48105F15">
                  <w:pPr>
                    <w:keepNext w:val="0"/>
                    <w:keepLines w:val="0"/>
                    <w:suppressLineNumbers w:val="0"/>
                    <w:spacing w:before="0" w:beforeAutospacing="0" w:after="0" w:afterAutospacing="0"/>
                    <w:ind w:left="0" w:right="0"/>
                    <w:jc w:val="center"/>
                    <w:rPr>
                      <w:rFonts w:hint="default"/>
                      <w:b/>
                      <w:bCs/>
                      <w:sz w:val="21"/>
                      <w:szCs w:val="21"/>
                    </w:rPr>
                  </w:pPr>
                  <w:r>
                    <w:rPr>
                      <w:rFonts w:hint="default"/>
                      <w:b/>
                      <w:bCs/>
                      <w:sz w:val="21"/>
                      <w:szCs w:val="21"/>
                    </w:rPr>
                    <w:t>项目</w:t>
                  </w:r>
                </w:p>
              </w:tc>
              <w:tc>
                <w:tcPr>
                  <w:tcW w:w="1335" w:type="dxa"/>
                  <w:gridSpan w:val="2"/>
                  <w:vAlign w:val="center"/>
                </w:tcPr>
                <w:p w14:paraId="5103C033">
                  <w:pPr>
                    <w:keepNext w:val="0"/>
                    <w:keepLines w:val="0"/>
                    <w:suppressLineNumbers w:val="0"/>
                    <w:spacing w:before="0" w:beforeAutospacing="0" w:after="0" w:afterAutospacing="0"/>
                    <w:ind w:left="0" w:right="0"/>
                    <w:jc w:val="center"/>
                    <w:rPr>
                      <w:rFonts w:hint="default"/>
                      <w:b/>
                      <w:bCs/>
                      <w:sz w:val="21"/>
                      <w:szCs w:val="21"/>
                    </w:rPr>
                  </w:pPr>
                  <w:r>
                    <w:rPr>
                      <w:rFonts w:hint="default"/>
                      <w:b/>
                      <w:bCs/>
                      <w:sz w:val="21"/>
                      <w:szCs w:val="21"/>
                    </w:rPr>
                    <w:t>污染源</w:t>
                  </w:r>
                </w:p>
              </w:tc>
              <w:tc>
                <w:tcPr>
                  <w:tcW w:w="1474" w:type="dxa"/>
                  <w:vAlign w:val="center"/>
                </w:tcPr>
                <w:p w14:paraId="28545179">
                  <w:pPr>
                    <w:keepNext w:val="0"/>
                    <w:keepLines w:val="0"/>
                    <w:suppressLineNumbers w:val="0"/>
                    <w:spacing w:before="0" w:beforeAutospacing="0" w:after="0" w:afterAutospacing="0"/>
                    <w:ind w:left="0" w:right="0"/>
                    <w:jc w:val="center"/>
                    <w:rPr>
                      <w:rFonts w:hint="default"/>
                      <w:b/>
                      <w:bCs/>
                      <w:sz w:val="21"/>
                      <w:szCs w:val="21"/>
                    </w:rPr>
                  </w:pPr>
                  <w:r>
                    <w:rPr>
                      <w:rFonts w:hint="default"/>
                      <w:b/>
                      <w:bCs/>
                      <w:sz w:val="21"/>
                      <w:szCs w:val="21"/>
                    </w:rPr>
                    <w:t>污染物</w:t>
                  </w:r>
                </w:p>
              </w:tc>
              <w:tc>
                <w:tcPr>
                  <w:tcW w:w="4813" w:type="dxa"/>
                  <w:vAlign w:val="center"/>
                </w:tcPr>
                <w:p w14:paraId="58F4C072">
                  <w:pPr>
                    <w:keepNext w:val="0"/>
                    <w:keepLines w:val="0"/>
                    <w:suppressLineNumbers w:val="0"/>
                    <w:spacing w:before="0" w:beforeAutospacing="0" w:after="0" w:afterAutospacing="0"/>
                    <w:ind w:left="0" w:right="0"/>
                    <w:jc w:val="center"/>
                    <w:rPr>
                      <w:rFonts w:hint="default"/>
                      <w:b/>
                      <w:bCs/>
                      <w:sz w:val="21"/>
                      <w:szCs w:val="21"/>
                    </w:rPr>
                  </w:pPr>
                  <w:r>
                    <w:rPr>
                      <w:rFonts w:hint="default"/>
                      <w:b/>
                      <w:bCs/>
                      <w:sz w:val="21"/>
                      <w:szCs w:val="21"/>
                    </w:rPr>
                    <w:t>处理措施</w:t>
                  </w:r>
                </w:p>
              </w:tc>
            </w:tr>
            <w:tr w14:paraId="4942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restart"/>
                  <w:vAlign w:val="center"/>
                </w:tcPr>
                <w:p w14:paraId="18AA65A9">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废水</w:t>
                  </w:r>
                </w:p>
              </w:tc>
              <w:tc>
                <w:tcPr>
                  <w:tcW w:w="681" w:type="dxa"/>
                  <w:vAlign w:val="center"/>
                </w:tcPr>
                <w:p w14:paraId="7C09FD30">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厂区办公</w:t>
                  </w:r>
                </w:p>
              </w:tc>
              <w:tc>
                <w:tcPr>
                  <w:tcW w:w="654" w:type="dxa"/>
                  <w:vAlign w:val="center"/>
                </w:tcPr>
                <w:p w14:paraId="75F838F8">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生活污水</w:t>
                  </w:r>
                </w:p>
              </w:tc>
              <w:tc>
                <w:tcPr>
                  <w:tcW w:w="1474" w:type="dxa"/>
                  <w:vAlign w:val="center"/>
                </w:tcPr>
                <w:p w14:paraId="1AE78DB6">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COD、BOD</w:t>
                  </w:r>
                  <w:r>
                    <w:rPr>
                      <w:rFonts w:hint="default"/>
                      <w:sz w:val="21"/>
                      <w:szCs w:val="21"/>
                      <w:vertAlign w:val="subscript"/>
                    </w:rPr>
                    <w:t>5</w:t>
                  </w:r>
                  <w:r>
                    <w:rPr>
                      <w:rFonts w:hint="default"/>
                      <w:sz w:val="21"/>
                      <w:szCs w:val="21"/>
                    </w:rPr>
                    <w:t>、NH</w:t>
                  </w:r>
                  <w:r>
                    <w:rPr>
                      <w:rFonts w:hint="default"/>
                      <w:sz w:val="21"/>
                      <w:szCs w:val="21"/>
                      <w:vertAlign w:val="subscript"/>
                    </w:rPr>
                    <w:t>3</w:t>
                  </w:r>
                  <w:r>
                    <w:rPr>
                      <w:rFonts w:hint="default"/>
                      <w:sz w:val="21"/>
                      <w:szCs w:val="21"/>
                    </w:rPr>
                    <w:t>-N</w:t>
                  </w:r>
                  <w:r>
                    <w:rPr>
                      <w:rFonts w:hint="eastAsia"/>
                      <w:sz w:val="21"/>
                      <w:szCs w:val="21"/>
                      <w:lang w:eastAsia="zh-CN"/>
                    </w:rPr>
                    <w:t>、</w:t>
                  </w:r>
                  <w:r>
                    <w:rPr>
                      <w:rFonts w:hint="eastAsia"/>
                      <w:sz w:val="21"/>
                      <w:szCs w:val="21"/>
                      <w:lang w:val="en-US" w:eastAsia="zh-CN"/>
                    </w:rPr>
                    <w:t>SS</w:t>
                  </w:r>
                  <w:r>
                    <w:rPr>
                      <w:rFonts w:hint="default"/>
                      <w:sz w:val="21"/>
                      <w:szCs w:val="21"/>
                    </w:rPr>
                    <w:t>等</w:t>
                  </w:r>
                </w:p>
              </w:tc>
              <w:tc>
                <w:tcPr>
                  <w:tcW w:w="4813" w:type="dxa"/>
                  <w:vMerge w:val="restart"/>
                  <w:vAlign w:val="center"/>
                </w:tcPr>
                <w:p w14:paraId="49CB545A">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r>
                    <w:rPr>
                      <w:rFonts w:hint="eastAsia"/>
                      <w:color w:val="auto"/>
                      <w:sz w:val="21"/>
                      <w:szCs w:val="21"/>
                      <w:lang w:val="en-US" w:eastAsia="zh-CN"/>
                    </w:rPr>
                    <w:t>雨污分流、雨水排入雨水管网，经化粪池预处理生活污水与定期排放的循环冷却定期排污水，汇同纯水制备浓水接管进入淮北蓝海水处理有限公司进一步处理，处理达标后部分作为平山电厂冷却循环水，剩余部分排入萧濉新河</w:t>
                  </w:r>
                </w:p>
              </w:tc>
            </w:tr>
            <w:tr w14:paraId="5302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5AED26D2">
                  <w:pPr>
                    <w:keepNext w:val="0"/>
                    <w:keepLines w:val="0"/>
                    <w:suppressLineNumbers w:val="0"/>
                    <w:spacing w:before="0" w:beforeAutospacing="0" w:after="0" w:afterAutospacing="0"/>
                    <w:ind w:left="0" w:right="0"/>
                    <w:jc w:val="center"/>
                    <w:rPr>
                      <w:rFonts w:hint="default"/>
                      <w:sz w:val="21"/>
                      <w:szCs w:val="21"/>
                    </w:rPr>
                  </w:pPr>
                </w:p>
              </w:tc>
              <w:tc>
                <w:tcPr>
                  <w:tcW w:w="681" w:type="dxa"/>
                  <w:vAlign w:val="center"/>
                </w:tcPr>
                <w:p w14:paraId="116C39BA">
                  <w:pPr>
                    <w:keepNext w:val="0"/>
                    <w:keepLines w:val="0"/>
                    <w:suppressLineNumbers w:val="0"/>
                    <w:spacing w:before="0" w:beforeAutospacing="0" w:after="0" w:afterAutospacing="0"/>
                    <w:ind w:left="0" w:right="0"/>
                    <w:jc w:val="center"/>
                    <w:rPr>
                      <w:rFonts w:hint="eastAsia" w:eastAsia="宋体"/>
                      <w:sz w:val="21"/>
                      <w:szCs w:val="21"/>
                      <w:lang w:val="en-US" w:eastAsia="zh-CN"/>
                    </w:rPr>
                  </w:pPr>
                  <w:r>
                    <w:rPr>
                      <w:rFonts w:hint="eastAsia"/>
                      <w:sz w:val="21"/>
                      <w:szCs w:val="21"/>
                      <w:lang w:val="en-US" w:eastAsia="zh-CN"/>
                    </w:rPr>
                    <w:t>生产过程</w:t>
                  </w:r>
                </w:p>
              </w:tc>
              <w:tc>
                <w:tcPr>
                  <w:tcW w:w="654" w:type="dxa"/>
                  <w:vAlign w:val="center"/>
                </w:tcPr>
                <w:p w14:paraId="79C9E2F8">
                  <w:pPr>
                    <w:keepNext w:val="0"/>
                    <w:keepLines w:val="0"/>
                    <w:suppressLineNumbers w:val="0"/>
                    <w:spacing w:before="0" w:beforeAutospacing="0" w:after="0" w:afterAutospacing="0"/>
                    <w:ind w:left="0" w:right="0"/>
                    <w:jc w:val="center"/>
                    <w:rPr>
                      <w:rFonts w:hint="eastAsia" w:eastAsia="宋体"/>
                      <w:sz w:val="21"/>
                      <w:szCs w:val="21"/>
                      <w:lang w:val="en-US" w:eastAsia="zh-CN"/>
                    </w:rPr>
                  </w:pPr>
                  <w:r>
                    <w:rPr>
                      <w:rFonts w:hint="eastAsia"/>
                      <w:sz w:val="21"/>
                      <w:szCs w:val="21"/>
                      <w:lang w:val="en-US" w:eastAsia="zh-CN"/>
                    </w:rPr>
                    <w:t>生产废水</w:t>
                  </w:r>
                </w:p>
              </w:tc>
              <w:tc>
                <w:tcPr>
                  <w:tcW w:w="1474" w:type="dxa"/>
                  <w:vAlign w:val="center"/>
                </w:tcPr>
                <w:p w14:paraId="443B7EEC">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COD、</w:t>
                  </w:r>
                  <w:r>
                    <w:rPr>
                      <w:rFonts w:hint="eastAsia"/>
                      <w:sz w:val="21"/>
                      <w:szCs w:val="21"/>
                      <w:lang w:val="en-US" w:eastAsia="zh-CN"/>
                    </w:rPr>
                    <w:t>SS</w:t>
                  </w:r>
                </w:p>
              </w:tc>
              <w:tc>
                <w:tcPr>
                  <w:tcW w:w="4813" w:type="dxa"/>
                  <w:vMerge w:val="continue"/>
                  <w:vAlign w:val="center"/>
                </w:tcPr>
                <w:p w14:paraId="1445E9DE">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p>
              </w:tc>
            </w:tr>
            <w:tr w14:paraId="577D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restart"/>
                  <w:vAlign w:val="center"/>
                </w:tcPr>
                <w:p w14:paraId="5F309808">
                  <w:pPr>
                    <w:keepNext w:val="0"/>
                    <w:keepLines w:val="0"/>
                    <w:suppressLineNumbers w:val="0"/>
                    <w:spacing w:before="0" w:beforeAutospacing="0" w:after="0" w:afterAutospacing="0"/>
                    <w:ind w:left="0" w:right="0"/>
                    <w:jc w:val="center"/>
                    <w:rPr>
                      <w:rFonts w:hint="eastAsia" w:eastAsia="宋体"/>
                      <w:sz w:val="21"/>
                      <w:szCs w:val="21"/>
                      <w:lang w:val="en-US" w:eastAsia="zh-CN"/>
                    </w:rPr>
                  </w:pPr>
                  <w:r>
                    <w:rPr>
                      <w:rFonts w:hint="eastAsia"/>
                      <w:sz w:val="21"/>
                      <w:szCs w:val="21"/>
                      <w:lang w:val="en-US" w:eastAsia="zh-CN"/>
                    </w:rPr>
                    <w:t>废气</w:t>
                  </w:r>
                </w:p>
              </w:tc>
              <w:tc>
                <w:tcPr>
                  <w:tcW w:w="681" w:type="dxa"/>
                  <w:vMerge w:val="restart"/>
                  <w:vAlign w:val="center"/>
                </w:tcPr>
                <w:p w14:paraId="4FB06472">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生产车间</w:t>
                  </w:r>
                </w:p>
              </w:tc>
              <w:tc>
                <w:tcPr>
                  <w:tcW w:w="654" w:type="dxa"/>
                  <w:vAlign w:val="center"/>
                </w:tcPr>
                <w:p w14:paraId="266FC20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配料、</w:t>
                  </w:r>
                  <w:r>
                    <w:rPr>
                      <w:rFonts w:hint="eastAsia" w:ascii="Times New Roman" w:hAnsi="Times New Roman" w:eastAsia="宋体" w:cs="Times New Roman"/>
                      <w:color w:val="auto"/>
                      <w:sz w:val="21"/>
                      <w:szCs w:val="21"/>
                      <w:lang w:val="en-US" w:eastAsia="zh-CN"/>
                    </w:rPr>
                    <w:t>混料粉尘</w:t>
                  </w:r>
                </w:p>
              </w:tc>
              <w:tc>
                <w:tcPr>
                  <w:tcW w:w="1474" w:type="dxa"/>
                  <w:vAlign w:val="center"/>
                </w:tcPr>
                <w:p w14:paraId="4DB1425E">
                  <w:pPr>
                    <w:keepNext w:val="0"/>
                    <w:keepLines w:val="0"/>
                    <w:suppressLineNumbers w:val="0"/>
                    <w:spacing w:before="0" w:beforeAutospacing="0" w:after="0" w:afterAutospacing="0"/>
                    <w:ind w:left="0" w:right="0"/>
                    <w:jc w:val="center"/>
                    <w:rPr>
                      <w:rFonts w:hint="default"/>
                      <w:color w:val="auto"/>
                      <w:sz w:val="21"/>
                      <w:szCs w:val="21"/>
                      <w:lang w:val="en-US" w:eastAsia="zh-CN"/>
                    </w:rPr>
                  </w:pPr>
                  <w:r>
                    <w:rPr>
                      <w:rFonts w:hint="eastAsia"/>
                      <w:color w:val="auto"/>
                      <w:sz w:val="21"/>
                      <w:szCs w:val="21"/>
                      <w:lang w:val="en-US" w:eastAsia="zh-CN"/>
                    </w:rPr>
                    <w:t>颗粒物（</w:t>
                  </w:r>
                  <w:r>
                    <w:rPr>
                      <w:rFonts w:hint="eastAsia" w:ascii="Times New Roman" w:hAnsi="Times New Roman" w:eastAsia="宋体" w:cs="Times New Roman"/>
                      <w:color w:val="auto"/>
                      <w:sz w:val="24"/>
                      <w:szCs w:val="24"/>
                      <w:u w:val="none" w:color="auto"/>
                      <w:lang w:val="en-US" w:eastAsia="zh-CN"/>
                    </w:rPr>
                    <w:t>G</w:t>
                  </w:r>
                  <w:r>
                    <w:rPr>
                      <w:rFonts w:hint="eastAsia" w:ascii="Times New Roman" w:hAnsi="Times New Roman" w:eastAsia="宋体" w:cs="Times New Roman"/>
                      <w:color w:val="auto"/>
                      <w:sz w:val="24"/>
                      <w:szCs w:val="24"/>
                      <w:u w:val="none" w:color="auto"/>
                      <w:vertAlign w:val="subscript"/>
                      <w:lang w:val="en-US" w:eastAsia="zh-CN"/>
                    </w:rPr>
                    <w:t>1-1</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ascii="Times New Roman" w:hAnsi="Times New Roman" w:eastAsia="宋体" w:cs="Times New Roman"/>
                      <w:color w:val="auto"/>
                      <w:sz w:val="24"/>
                      <w:szCs w:val="24"/>
                      <w:u w:val="none" w:color="auto"/>
                      <w:vertAlign w:val="subscript"/>
                      <w:lang w:val="en-US" w:eastAsia="zh-CN"/>
                    </w:rPr>
                    <w:t>2-1</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-1</w:t>
                  </w:r>
                  <w:r>
                    <w:rPr>
                      <w:rFonts w:hint="eastAsia"/>
                      <w:color w:val="auto"/>
                      <w:sz w:val="21"/>
                      <w:szCs w:val="21"/>
                      <w:lang w:val="en-US" w:eastAsia="zh-CN"/>
                    </w:rPr>
                    <w:t>）</w:t>
                  </w:r>
                </w:p>
              </w:tc>
              <w:tc>
                <w:tcPr>
                  <w:tcW w:w="4813" w:type="dxa"/>
                  <w:vAlign w:val="center"/>
                </w:tcPr>
                <w:p w14:paraId="64A81925">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无组织降落至密闭配料间内，定期清扫地面</w:t>
                  </w:r>
                </w:p>
              </w:tc>
            </w:tr>
            <w:tr w14:paraId="3144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4E03F61F">
                  <w:pPr>
                    <w:keepNext w:val="0"/>
                    <w:keepLines w:val="0"/>
                    <w:suppressLineNumbers w:val="0"/>
                    <w:spacing w:before="0" w:beforeAutospacing="0" w:after="0" w:afterAutospacing="0"/>
                    <w:ind w:left="0" w:right="0"/>
                    <w:jc w:val="center"/>
                    <w:rPr>
                      <w:rFonts w:hint="eastAsia"/>
                      <w:sz w:val="21"/>
                      <w:szCs w:val="21"/>
                      <w:lang w:val="en-US" w:eastAsia="zh-CN"/>
                    </w:rPr>
                  </w:pPr>
                </w:p>
              </w:tc>
              <w:tc>
                <w:tcPr>
                  <w:tcW w:w="681" w:type="dxa"/>
                  <w:vMerge w:val="continue"/>
                  <w:vAlign w:val="center"/>
                </w:tcPr>
                <w:p w14:paraId="6474B80A">
                  <w:pPr>
                    <w:keepNext w:val="0"/>
                    <w:keepLines w:val="0"/>
                    <w:suppressLineNumbers w:val="0"/>
                    <w:spacing w:before="0" w:beforeAutospacing="0" w:after="0" w:afterAutospacing="0"/>
                    <w:ind w:left="0" w:right="0"/>
                    <w:jc w:val="center"/>
                    <w:rPr>
                      <w:rFonts w:hint="default"/>
                      <w:sz w:val="21"/>
                      <w:szCs w:val="21"/>
                    </w:rPr>
                  </w:pPr>
                </w:p>
              </w:tc>
              <w:tc>
                <w:tcPr>
                  <w:tcW w:w="654" w:type="dxa"/>
                  <w:vAlign w:val="center"/>
                </w:tcPr>
                <w:p w14:paraId="141BF7F8">
                  <w:pPr>
                    <w:keepNext w:val="0"/>
                    <w:keepLines w:val="0"/>
                    <w:suppressLineNumbers w:val="0"/>
                    <w:spacing w:before="0" w:beforeAutospacing="0" w:after="0" w:afterAutospacing="0"/>
                    <w:ind w:left="0" w:right="0"/>
                    <w:jc w:val="center"/>
                    <w:rPr>
                      <w:rFonts w:hint="default" w:cs="Times New Roman"/>
                      <w:color w:val="auto"/>
                      <w:sz w:val="21"/>
                      <w:szCs w:val="21"/>
                      <w:lang w:val="en-US" w:eastAsia="zh-CN"/>
                    </w:rPr>
                  </w:pPr>
                  <w:r>
                    <w:rPr>
                      <w:rFonts w:hint="eastAsia" w:cs="Times New Roman"/>
                      <w:color w:val="auto"/>
                      <w:sz w:val="21"/>
                      <w:szCs w:val="21"/>
                      <w:lang w:val="en-US" w:eastAsia="zh-CN"/>
                    </w:rPr>
                    <w:t>布料粉尘</w:t>
                  </w:r>
                </w:p>
              </w:tc>
              <w:tc>
                <w:tcPr>
                  <w:tcW w:w="1474" w:type="dxa"/>
                  <w:shd w:val="clear" w:color="auto" w:fill="auto"/>
                  <w:vAlign w:val="center"/>
                </w:tcPr>
                <w:p w14:paraId="140F2EF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颗粒物（</w:t>
                  </w:r>
                  <w:r>
                    <w:rPr>
                      <w:rFonts w:hint="eastAsia" w:ascii="Times New Roman" w:hAnsi="Times New Roman" w:eastAsia="宋体" w:cs="Times New Roman"/>
                      <w:color w:val="auto"/>
                      <w:sz w:val="24"/>
                      <w:szCs w:val="24"/>
                      <w:u w:val="none" w:color="auto"/>
                      <w:lang w:val="en-US" w:eastAsia="zh-CN"/>
                    </w:rPr>
                    <w:t>G</w:t>
                  </w:r>
                  <w:r>
                    <w:rPr>
                      <w:rFonts w:hint="eastAsia" w:ascii="Times New Roman" w:hAnsi="Times New Roman" w:eastAsia="宋体" w:cs="Times New Roman"/>
                      <w:color w:val="auto"/>
                      <w:sz w:val="24"/>
                      <w:szCs w:val="24"/>
                      <w:u w:val="none" w:color="auto"/>
                      <w:vertAlign w:val="subscript"/>
                      <w:lang w:val="en-US" w:eastAsia="zh-CN"/>
                    </w:rPr>
                    <w:t>1-</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ascii="Times New Roman" w:hAnsi="Times New Roman" w:eastAsia="宋体" w:cs="Times New Roman"/>
                      <w:color w:val="auto"/>
                      <w:sz w:val="24"/>
                      <w:szCs w:val="24"/>
                      <w:u w:val="none" w:color="auto"/>
                      <w:vertAlign w:val="subscript"/>
                      <w:lang w:val="en-US" w:eastAsia="zh-CN"/>
                    </w:rPr>
                    <w:t>2-</w:t>
                  </w:r>
                  <w:r>
                    <w:rPr>
                      <w:rFonts w:hint="eastAsia" w:cs="Times New Roman"/>
                      <w:color w:val="auto"/>
                      <w:sz w:val="24"/>
                      <w:szCs w:val="24"/>
                      <w:u w:val="none" w:color="auto"/>
                      <w:vertAlign w:val="subscript"/>
                      <w:lang w:val="en-US" w:eastAsia="zh-CN"/>
                    </w:rPr>
                    <w:t>2</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cs="Times New Roman"/>
                      <w:color w:val="auto"/>
                      <w:sz w:val="24"/>
                      <w:szCs w:val="24"/>
                      <w:u w:val="none" w:color="auto"/>
                      <w:vertAlign w:val="subscript"/>
                      <w:lang w:val="en-US" w:eastAsia="zh-CN"/>
                    </w:rPr>
                    <w:t>3</w:t>
                  </w:r>
                  <w:r>
                    <w:rPr>
                      <w:rFonts w:hint="eastAsia" w:ascii="Times New Roman" w:hAnsi="Times New Roman" w:eastAsia="宋体" w:cs="Times New Roman"/>
                      <w:color w:val="auto"/>
                      <w:sz w:val="24"/>
                      <w:szCs w:val="24"/>
                      <w:u w:val="none" w:color="auto"/>
                      <w:vertAlign w:val="subscript"/>
                      <w:lang w:val="en-US" w:eastAsia="zh-CN"/>
                    </w:rPr>
                    <w:t>-</w:t>
                  </w:r>
                  <w:r>
                    <w:rPr>
                      <w:rFonts w:hint="eastAsia" w:cs="Times New Roman"/>
                      <w:color w:val="auto"/>
                      <w:sz w:val="24"/>
                      <w:szCs w:val="24"/>
                      <w:u w:val="none" w:color="auto"/>
                      <w:vertAlign w:val="subscript"/>
                      <w:lang w:val="en-US" w:eastAsia="zh-CN"/>
                    </w:rPr>
                    <w:t>2</w:t>
                  </w:r>
                  <w:r>
                    <w:rPr>
                      <w:rFonts w:hint="eastAsia"/>
                      <w:color w:val="auto"/>
                      <w:sz w:val="21"/>
                      <w:szCs w:val="21"/>
                      <w:lang w:val="en-US" w:eastAsia="zh-CN"/>
                    </w:rPr>
                    <w:t>）</w:t>
                  </w:r>
                </w:p>
              </w:tc>
              <w:tc>
                <w:tcPr>
                  <w:tcW w:w="4813" w:type="dxa"/>
                  <w:vMerge w:val="restart"/>
                  <w:vAlign w:val="center"/>
                </w:tcPr>
                <w:p w14:paraId="2EB1BCE2">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车间封闭，生产线</w:t>
                  </w:r>
                  <w:r>
                    <w:rPr>
                      <w:rFonts w:hint="eastAsia" w:cs="宋体"/>
                      <w:color w:val="auto"/>
                      <w:lang w:val="en-US" w:eastAsia="zh-CN"/>
                    </w:rPr>
                    <w:t>布料</w:t>
                  </w:r>
                  <w:r>
                    <w:rPr>
                      <w:rFonts w:hint="default" w:ascii="Times New Roman" w:hAnsi="Times New Roman" w:eastAsia="宋体" w:cs="宋体"/>
                      <w:color w:val="auto"/>
                      <w:lang w:val="en-US" w:eastAsia="zh-CN"/>
                    </w:rPr>
                    <w:t>粉尘经集气罩收集（收集效率95%），收集后的粉尘与经管道收集（收集效率9</w:t>
                  </w:r>
                  <w:r>
                    <w:rPr>
                      <w:rFonts w:hint="eastAsia" w:cs="宋体"/>
                      <w:color w:val="auto"/>
                      <w:lang w:val="en-US" w:eastAsia="zh-CN"/>
                    </w:rPr>
                    <w:t>5</w:t>
                  </w:r>
                  <w:r>
                    <w:rPr>
                      <w:rFonts w:hint="default" w:ascii="Times New Roman" w:hAnsi="Times New Roman" w:eastAsia="宋体" w:cs="宋体"/>
                      <w:color w:val="auto"/>
                      <w:lang w:val="en-US" w:eastAsia="zh-CN"/>
                    </w:rPr>
                    <w:t>%）的熔化废气一起由“布袋除尘器”处理（处理效率99%）达标后，通过</w:t>
                  </w:r>
                  <w:r>
                    <w:rPr>
                      <w:rFonts w:hint="eastAsia" w:cs="宋体"/>
                      <w:color w:val="auto"/>
                      <w:lang w:val="en-US" w:eastAsia="zh-CN"/>
                    </w:rPr>
                    <w:t>15m高</w:t>
                  </w:r>
                  <w:r>
                    <w:rPr>
                      <w:rFonts w:hint="default" w:ascii="Times New Roman" w:hAnsi="Times New Roman" w:eastAsia="宋体" w:cs="宋体"/>
                      <w:color w:val="auto"/>
                      <w:lang w:val="en-US" w:eastAsia="zh-CN"/>
                    </w:rPr>
                    <w:t>排气筒排放</w:t>
                  </w:r>
                </w:p>
              </w:tc>
            </w:tr>
            <w:tr w14:paraId="3A23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6CB3AA45">
                  <w:pPr>
                    <w:keepNext w:val="0"/>
                    <w:keepLines w:val="0"/>
                    <w:suppressLineNumbers w:val="0"/>
                    <w:spacing w:before="0" w:beforeAutospacing="0" w:after="0" w:afterAutospacing="0"/>
                    <w:ind w:left="0" w:right="0"/>
                    <w:jc w:val="center"/>
                    <w:rPr>
                      <w:rFonts w:hint="eastAsia" w:eastAsia="宋体"/>
                      <w:sz w:val="21"/>
                      <w:szCs w:val="21"/>
                      <w:lang w:val="en-US" w:eastAsia="zh-CN"/>
                    </w:rPr>
                  </w:pPr>
                </w:p>
              </w:tc>
              <w:tc>
                <w:tcPr>
                  <w:tcW w:w="681" w:type="dxa"/>
                  <w:vMerge w:val="continue"/>
                  <w:vAlign w:val="center"/>
                </w:tcPr>
                <w:p w14:paraId="2F8006B9">
                  <w:pPr>
                    <w:keepNext w:val="0"/>
                    <w:keepLines w:val="0"/>
                    <w:suppressLineNumbers w:val="0"/>
                    <w:spacing w:before="0" w:beforeAutospacing="0" w:after="0" w:afterAutospacing="0"/>
                    <w:ind w:left="0" w:right="0"/>
                    <w:jc w:val="center"/>
                    <w:rPr>
                      <w:rFonts w:hint="default"/>
                      <w:sz w:val="21"/>
                      <w:szCs w:val="21"/>
                    </w:rPr>
                  </w:pPr>
                </w:p>
              </w:tc>
              <w:tc>
                <w:tcPr>
                  <w:tcW w:w="654" w:type="dxa"/>
                  <w:vAlign w:val="center"/>
                </w:tcPr>
                <w:p w14:paraId="299C451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熔化废气</w:t>
                  </w:r>
                </w:p>
              </w:tc>
              <w:tc>
                <w:tcPr>
                  <w:tcW w:w="1474" w:type="dxa"/>
                  <w:vAlign w:val="center"/>
                </w:tcPr>
                <w:p w14:paraId="6290ACFA">
                  <w:pPr>
                    <w:keepNext w:val="0"/>
                    <w:keepLines w:val="0"/>
                    <w:suppressLineNumbers w:val="0"/>
                    <w:spacing w:before="0" w:beforeAutospacing="0" w:after="0" w:afterAutospacing="0"/>
                    <w:ind w:left="0" w:right="0"/>
                    <w:jc w:val="center"/>
                    <w:rPr>
                      <w:rFonts w:hint="default"/>
                      <w:color w:val="auto"/>
                      <w:sz w:val="21"/>
                      <w:szCs w:val="21"/>
                    </w:rPr>
                  </w:pPr>
                  <w:r>
                    <w:rPr>
                      <w:rFonts w:hint="eastAsia"/>
                      <w:color w:val="auto"/>
                      <w:sz w:val="21"/>
                      <w:szCs w:val="21"/>
                      <w:lang w:val="en-US" w:eastAsia="zh-CN"/>
                    </w:rPr>
                    <w:t>颗粒物（</w:t>
                  </w: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vertAlign w:val="subscript"/>
                      <w:lang w:val="en-US" w:eastAsia="zh-CN"/>
                    </w:rPr>
                    <w:t>1-</w:t>
                  </w:r>
                  <w:r>
                    <w:rPr>
                      <w:rFonts w:hint="eastAsia" w:cs="Times New Roman"/>
                      <w:color w:val="auto"/>
                      <w:sz w:val="21"/>
                      <w:szCs w:val="21"/>
                      <w:vertAlign w:val="subscript"/>
                      <w:lang w:val="en-US" w:eastAsia="zh-CN"/>
                    </w:rPr>
                    <w:t>3</w:t>
                  </w:r>
                  <w:r>
                    <w:rPr>
                      <w:rFonts w:hint="eastAsia" w:ascii="Times New Roman" w:hAnsi="Times New Roman" w:eastAsia="宋体" w:cs="Times New Roman"/>
                      <w:color w:val="auto"/>
                      <w:sz w:val="24"/>
                      <w:szCs w:val="24"/>
                      <w:u w:val="none" w:color="auto"/>
                      <w:vertAlign w:val="baseline"/>
                      <w:lang w:val="en-US" w:eastAsia="zh-CN"/>
                    </w:rPr>
                    <w:t>、</w:t>
                  </w:r>
                  <w:r>
                    <w:rPr>
                      <w:rFonts w:hint="default" w:ascii="Times New Roman" w:hAnsi="Times New Roman" w:eastAsia="宋体" w:cs="Times New Roman"/>
                      <w:color w:val="auto"/>
                      <w:sz w:val="21"/>
                      <w:szCs w:val="21"/>
                      <w:lang w:val="en-US" w:eastAsia="zh-CN"/>
                    </w:rPr>
                    <w:t>G</w:t>
                  </w:r>
                  <w:r>
                    <w:rPr>
                      <w:rFonts w:hint="eastAsia"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subscript"/>
                      <w:lang w:val="en-US" w:eastAsia="zh-CN"/>
                    </w:rPr>
                    <w:t>-</w:t>
                  </w:r>
                  <w:r>
                    <w:rPr>
                      <w:rFonts w:hint="eastAsia" w:cs="Times New Roman"/>
                      <w:color w:val="auto"/>
                      <w:sz w:val="21"/>
                      <w:szCs w:val="21"/>
                      <w:vertAlign w:val="subscript"/>
                      <w:lang w:val="en-US" w:eastAsia="zh-CN"/>
                    </w:rPr>
                    <w:t>3</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cs="Times New Roman"/>
                      <w:color w:val="auto"/>
                      <w:sz w:val="24"/>
                      <w:szCs w:val="24"/>
                      <w:u w:val="none" w:color="auto"/>
                      <w:vertAlign w:val="subscript"/>
                      <w:lang w:val="en-US" w:eastAsia="zh-CN"/>
                    </w:rPr>
                    <w:t>3-3</w:t>
                  </w:r>
                  <w:r>
                    <w:rPr>
                      <w:rFonts w:hint="eastAsia"/>
                      <w:color w:val="auto"/>
                      <w:sz w:val="21"/>
                      <w:szCs w:val="21"/>
                      <w:lang w:val="en-US" w:eastAsia="zh-CN"/>
                    </w:rPr>
                    <w:t>）</w:t>
                  </w:r>
                </w:p>
              </w:tc>
              <w:tc>
                <w:tcPr>
                  <w:tcW w:w="4813" w:type="dxa"/>
                  <w:vMerge w:val="continue"/>
                  <w:vAlign w:val="center"/>
                </w:tcPr>
                <w:p w14:paraId="3971244E">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p>
              </w:tc>
            </w:tr>
            <w:tr w14:paraId="38E6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67FDC3C9">
                  <w:pPr>
                    <w:keepNext w:val="0"/>
                    <w:keepLines w:val="0"/>
                    <w:suppressLineNumbers w:val="0"/>
                    <w:spacing w:before="0" w:beforeAutospacing="0" w:after="0" w:afterAutospacing="0"/>
                    <w:ind w:left="0" w:right="0"/>
                    <w:jc w:val="center"/>
                    <w:rPr>
                      <w:rFonts w:hint="eastAsia" w:eastAsia="宋体"/>
                      <w:sz w:val="21"/>
                      <w:szCs w:val="21"/>
                      <w:lang w:val="en-US" w:eastAsia="zh-CN"/>
                    </w:rPr>
                  </w:pPr>
                </w:p>
              </w:tc>
              <w:tc>
                <w:tcPr>
                  <w:tcW w:w="681" w:type="dxa"/>
                  <w:vMerge w:val="continue"/>
                  <w:vAlign w:val="center"/>
                </w:tcPr>
                <w:p w14:paraId="70CFFE59">
                  <w:pPr>
                    <w:keepNext w:val="0"/>
                    <w:keepLines w:val="0"/>
                    <w:suppressLineNumbers w:val="0"/>
                    <w:spacing w:before="0" w:beforeAutospacing="0" w:after="0" w:afterAutospacing="0"/>
                    <w:ind w:left="0" w:right="0"/>
                    <w:jc w:val="center"/>
                    <w:rPr>
                      <w:rFonts w:hint="default"/>
                      <w:sz w:val="21"/>
                      <w:szCs w:val="21"/>
                    </w:rPr>
                  </w:pPr>
                </w:p>
              </w:tc>
              <w:tc>
                <w:tcPr>
                  <w:tcW w:w="654" w:type="dxa"/>
                  <w:vAlign w:val="center"/>
                </w:tcPr>
                <w:p w14:paraId="05472F6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天然气燃烧废气</w:t>
                  </w:r>
                </w:p>
              </w:tc>
              <w:tc>
                <w:tcPr>
                  <w:tcW w:w="1474" w:type="dxa"/>
                  <w:vAlign w:val="center"/>
                </w:tcPr>
                <w:p w14:paraId="2B6A4D13">
                  <w:pPr>
                    <w:keepNext w:val="0"/>
                    <w:keepLines w:val="0"/>
                    <w:suppressLineNumbers w:val="0"/>
                    <w:spacing w:before="0" w:beforeAutospacing="0" w:after="0" w:afterAutospacing="0"/>
                    <w:ind w:left="0" w:right="0"/>
                    <w:jc w:val="center"/>
                    <w:rPr>
                      <w:rFonts w:hint="eastAsia"/>
                      <w:color w:val="auto"/>
                      <w:sz w:val="21"/>
                      <w:szCs w:val="21"/>
                      <w:lang w:val="en-US" w:eastAsia="zh-CN"/>
                    </w:rPr>
                  </w:pPr>
                  <w:r>
                    <w:rPr>
                      <w:rFonts w:hint="eastAsia"/>
                      <w:color w:val="auto"/>
                      <w:sz w:val="21"/>
                      <w:szCs w:val="21"/>
                      <w:lang w:val="en-US" w:eastAsia="zh-CN"/>
                    </w:rPr>
                    <w:t>颗粒物、SO</w:t>
                  </w:r>
                  <w:r>
                    <w:rPr>
                      <w:rFonts w:hint="eastAsia"/>
                      <w:color w:val="auto"/>
                      <w:sz w:val="21"/>
                      <w:szCs w:val="21"/>
                      <w:vertAlign w:val="subscript"/>
                      <w:lang w:val="en-US" w:eastAsia="zh-CN"/>
                    </w:rPr>
                    <w:t>2</w:t>
                  </w:r>
                  <w:r>
                    <w:rPr>
                      <w:rFonts w:hint="eastAsia"/>
                      <w:color w:val="auto"/>
                      <w:sz w:val="21"/>
                      <w:szCs w:val="21"/>
                      <w:lang w:val="en-US" w:eastAsia="zh-CN"/>
                    </w:rPr>
                    <w:t>、NOx（</w:t>
                  </w: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vertAlign w:val="subscript"/>
                      <w:lang w:val="en-US" w:eastAsia="zh-CN"/>
                    </w:rPr>
                    <w:t>1-</w:t>
                  </w:r>
                  <w:r>
                    <w:rPr>
                      <w:rFonts w:hint="eastAsia" w:cs="Times New Roman"/>
                      <w:color w:val="auto"/>
                      <w:sz w:val="21"/>
                      <w:szCs w:val="21"/>
                      <w:vertAlign w:val="subscript"/>
                      <w:lang w:val="en-US" w:eastAsia="zh-CN"/>
                    </w:rPr>
                    <w:t>4</w:t>
                  </w:r>
                  <w:r>
                    <w:rPr>
                      <w:rFonts w:hint="eastAsia" w:ascii="Times New Roman" w:hAnsi="Times New Roman" w:eastAsia="宋体" w:cs="Times New Roman"/>
                      <w:color w:val="auto"/>
                      <w:sz w:val="24"/>
                      <w:szCs w:val="24"/>
                      <w:u w:val="none" w:color="auto"/>
                      <w:vertAlign w:val="baseline"/>
                      <w:lang w:val="en-US" w:eastAsia="zh-CN"/>
                    </w:rPr>
                    <w:t>、</w:t>
                  </w:r>
                  <w:r>
                    <w:rPr>
                      <w:rFonts w:hint="default" w:ascii="Times New Roman" w:hAnsi="Times New Roman" w:eastAsia="宋体" w:cs="Times New Roman"/>
                      <w:color w:val="auto"/>
                      <w:sz w:val="21"/>
                      <w:szCs w:val="21"/>
                      <w:lang w:val="en-US" w:eastAsia="zh-CN"/>
                    </w:rPr>
                    <w:t>G</w:t>
                  </w:r>
                  <w:r>
                    <w:rPr>
                      <w:rFonts w:hint="eastAsia" w:cs="Times New Roman"/>
                      <w:color w:val="auto"/>
                      <w:sz w:val="21"/>
                      <w:szCs w:val="21"/>
                      <w:vertAlign w:val="subscript"/>
                      <w:lang w:val="en-US" w:eastAsia="zh-CN"/>
                    </w:rPr>
                    <w:t>2</w:t>
                  </w:r>
                  <w:r>
                    <w:rPr>
                      <w:rFonts w:hint="default" w:ascii="Times New Roman" w:hAnsi="Times New Roman" w:eastAsia="宋体" w:cs="Times New Roman"/>
                      <w:color w:val="auto"/>
                      <w:sz w:val="21"/>
                      <w:szCs w:val="21"/>
                      <w:vertAlign w:val="subscript"/>
                      <w:lang w:val="en-US" w:eastAsia="zh-CN"/>
                    </w:rPr>
                    <w:t>-</w:t>
                  </w:r>
                  <w:r>
                    <w:rPr>
                      <w:rFonts w:hint="eastAsia" w:cs="Times New Roman"/>
                      <w:color w:val="auto"/>
                      <w:sz w:val="21"/>
                      <w:szCs w:val="21"/>
                      <w:vertAlign w:val="subscript"/>
                      <w:lang w:val="en-US" w:eastAsia="zh-CN"/>
                    </w:rPr>
                    <w:t>4</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ascii="Times New Roman" w:hAnsi="Times New Roman" w:eastAsia="宋体" w:cs="Times New Roman"/>
                      <w:color w:val="auto"/>
                      <w:sz w:val="21"/>
                      <w:szCs w:val="21"/>
                      <w:vertAlign w:val="subscript"/>
                      <w:lang w:val="en-US" w:eastAsia="zh-CN"/>
                    </w:rPr>
                    <w:t>3-4</w:t>
                  </w:r>
                  <w:r>
                    <w:rPr>
                      <w:rFonts w:hint="eastAsia"/>
                      <w:color w:val="auto"/>
                      <w:sz w:val="21"/>
                      <w:szCs w:val="21"/>
                      <w:lang w:val="en-US" w:eastAsia="zh-CN"/>
                    </w:rPr>
                    <w:t>）</w:t>
                  </w:r>
                </w:p>
              </w:tc>
              <w:tc>
                <w:tcPr>
                  <w:tcW w:w="4813" w:type="dxa"/>
                  <w:vAlign w:val="center"/>
                </w:tcPr>
                <w:p w14:paraId="1ADC249F">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r>
                    <w:rPr>
                      <w:rFonts w:hint="eastAsia" w:cs="宋体"/>
                      <w:color w:val="auto"/>
                      <w:lang w:val="en-US" w:eastAsia="zh-CN"/>
                    </w:rPr>
                    <w:t>集气设施收集后通过15m高</w:t>
                  </w:r>
                  <w:r>
                    <w:rPr>
                      <w:rFonts w:hint="default" w:ascii="Times New Roman" w:hAnsi="Times New Roman" w:eastAsia="宋体" w:cs="宋体"/>
                      <w:color w:val="auto"/>
                      <w:lang w:val="en-US" w:eastAsia="zh-CN"/>
                    </w:rPr>
                    <w:t>排气筒排放</w:t>
                  </w:r>
                </w:p>
              </w:tc>
            </w:tr>
            <w:tr w14:paraId="67B88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 w:type="dxa"/>
                  <w:vMerge w:val="continue"/>
                  <w:vAlign w:val="center"/>
                </w:tcPr>
                <w:p w14:paraId="53710F5C">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481A8D1B">
                  <w:pPr>
                    <w:keepNext w:val="0"/>
                    <w:keepLines w:val="0"/>
                    <w:suppressLineNumbers w:val="0"/>
                    <w:spacing w:before="0" w:beforeAutospacing="0" w:after="0" w:afterAutospacing="0"/>
                    <w:ind w:left="0" w:right="0"/>
                    <w:jc w:val="center"/>
                    <w:rPr>
                      <w:rFonts w:hint="default"/>
                      <w:sz w:val="21"/>
                      <w:szCs w:val="21"/>
                    </w:rPr>
                  </w:pPr>
                </w:p>
              </w:tc>
              <w:tc>
                <w:tcPr>
                  <w:tcW w:w="654" w:type="dxa"/>
                  <w:vAlign w:val="center"/>
                </w:tcPr>
                <w:p w14:paraId="73C169F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裁切废气</w:t>
                  </w:r>
                </w:p>
              </w:tc>
              <w:tc>
                <w:tcPr>
                  <w:tcW w:w="1474" w:type="dxa"/>
                  <w:vAlign w:val="center"/>
                </w:tcPr>
                <w:p w14:paraId="79CD3C5E">
                  <w:pPr>
                    <w:keepNext w:val="0"/>
                    <w:keepLines w:val="0"/>
                    <w:suppressLineNumbers w:val="0"/>
                    <w:spacing w:before="0" w:beforeAutospacing="0" w:after="0" w:afterAutospacing="0"/>
                    <w:ind w:left="0" w:right="0"/>
                    <w:jc w:val="center"/>
                    <w:rPr>
                      <w:rFonts w:hint="default"/>
                      <w:color w:val="auto"/>
                      <w:sz w:val="21"/>
                      <w:szCs w:val="21"/>
                    </w:rPr>
                  </w:pPr>
                  <w:r>
                    <w:rPr>
                      <w:rFonts w:hint="eastAsia"/>
                      <w:color w:val="auto"/>
                      <w:sz w:val="21"/>
                      <w:szCs w:val="21"/>
                      <w:lang w:val="en-US" w:eastAsia="zh-CN"/>
                    </w:rPr>
                    <w:t>颗粒物（</w:t>
                  </w:r>
                  <w:r>
                    <w:rPr>
                      <w:rFonts w:hint="default" w:ascii="Times New Roman" w:hAnsi="Times New Roman" w:eastAsia="宋体" w:cs="Times New Roman"/>
                      <w:color w:val="auto"/>
                      <w:sz w:val="21"/>
                      <w:szCs w:val="21"/>
                      <w:lang w:val="en-US" w:eastAsia="zh-CN"/>
                    </w:rPr>
                    <w:t>G</w:t>
                  </w:r>
                  <w:r>
                    <w:rPr>
                      <w:rFonts w:hint="eastAsia" w:ascii="Times New Roman" w:hAnsi="Times New Roman" w:eastAsia="宋体" w:cs="Times New Roman"/>
                      <w:color w:val="auto"/>
                      <w:sz w:val="21"/>
                      <w:szCs w:val="21"/>
                      <w:vertAlign w:val="subscript"/>
                      <w:lang w:val="en-US" w:eastAsia="zh-CN"/>
                    </w:rPr>
                    <w:t>1</w:t>
                  </w:r>
                  <w:r>
                    <w:rPr>
                      <w:rFonts w:hint="default" w:ascii="Times New Roman" w:hAnsi="Times New Roman" w:eastAsia="宋体" w:cs="Times New Roman"/>
                      <w:color w:val="auto"/>
                      <w:sz w:val="21"/>
                      <w:szCs w:val="21"/>
                      <w:vertAlign w:val="subscript"/>
                      <w:lang w:val="en-US" w:eastAsia="zh-CN"/>
                    </w:rPr>
                    <w:t>-</w:t>
                  </w:r>
                  <w:r>
                    <w:rPr>
                      <w:rFonts w:hint="eastAsia" w:cs="Times New Roman"/>
                      <w:color w:val="auto"/>
                      <w:sz w:val="21"/>
                      <w:szCs w:val="21"/>
                      <w:vertAlign w:val="subscript"/>
                      <w:lang w:val="en-US" w:eastAsia="zh-CN"/>
                    </w:rPr>
                    <w:t>5</w:t>
                  </w:r>
                  <w:r>
                    <w:rPr>
                      <w:rFonts w:hint="eastAsia" w:ascii="Times New Roman" w:hAnsi="Times New Roman" w:eastAsia="宋体" w:cs="Times New Roman"/>
                      <w:color w:val="auto"/>
                      <w:sz w:val="24"/>
                      <w:szCs w:val="24"/>
                      <w:u w:val="none" w:color="auto"/>
                      <w:vertAlign w:val="baseline"/>
                      <w:lang w:val="en-US" w:eastAsia="zh-CN"/>
                    </w:rPr>
                    <w:t>、</w:t>
                  </w: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vertAlign w:val="subscript"/>
                      <w:lang w:val="en-US" w:eastAsia="zh-CN"/>
                    </w:rPr>
                    <w:t>2-</w:t>
                  </w:r>
                  <w:r>
                    <w:rPr>
                      <w:rFonts w:hint="eastAsia" w:cs="Times New Roman"/>
                      <w:color w:val="auto"/>
                      <w:sz w:val="21"/>
                      <w:szCs w:val="21"/>
                      <w:vertAlign w:val="subscript"/>
                      <w:lang w:val="en-US" w:eastAsia="zh-CN"/>
                    </w:rPr>
                    <w:t>5</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ascii="Times New Roman" w:hAnsi="Times New Roman" w:eastAsia="宋体" w:cs="Times New Roman"/>
                      <w:color w:val="auto"/>
                      <w:sz w:val="21"/>
                      <w:szCs w:val="21"/>
                      <w:vertAlign w:val="subscript"/>
                      <w:lang w:val="en-US" w:eastAsia="zh-CN"/>
                    </w:rPr>
                    <w:t>3-5</w:t>
                  </w:r>
                  <w:r>
                    <w:rPr>
                      <w:rFonts w:hint="eastAsia" w:ascii="Times New Roman" w:hAnsi="Times New Roman" w:eastAsia="宋体" w:cs="Times New Roman"/>
                      <w:color w:val="auto"/>
                      <w:sz w:val="21"/>
                      <w:szCs w:val="21"/>
                      <w:vertAlign w:val="baseline"/>
                      <w:lang w:val="en-US" w:eastAsia="zh-CN"/>
                    </w:rPr>
                    <w:t>）</w:t>
                  </w:r>
                </w:p>
              </w:tc>
              <w:tc>
                <w:tcPr>
                  <w:tcW w:w="4813" w:type="dxa"/>
                  <w:vMerge w:val="restart"/>
                  <w:vAlign w:val="center"/>
                </w:tcPr>
                <w:p w14:paraId="517C9DBB">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由于产生量较小，粉尘无组织排放或落至地面</w:t>
                  </w:r>
                  <w:r>
                    <w:rPr>
                      <w:rFonts w:hint="eastAsia" w:cs="宋体"/>
                      <w:color w:val="auto"/>
                      <w:lang w:val="en-US" w:eastAsia="zh-CN"/>
                    </w:rPr>
                    <w:t>，厂房封闭，加强通风</w:t>
                  </w:r>
                </w:p>
              </w:tc>
            </w:tr>
            <w:tr w14:paraId="0D9CB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652B4722">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460B4515">
                  <w:pPr>
                    <w:keepNext w:val="0"/>
                    <w:keepLines w:val="0"/>
                    <w:suppressLineNumbers w:val="0"/>
                    <w:spacing w:before="0" w:beforeAutospacing="0" w:after="0" w:afterAutospacing="0"/>
                    <w:ind w:left="0" w:right="0"/>
                    <w:jc w:val="center"/>
                    <w:rPr>
                      <w:rFonts w:hint="default"/>
                      <w:sz w:val="21"/>
                      <w:szCs w:val="21"/>
                    </w:rPr>
                  </w:pPr>
                </w:p>
              </w:tc>
              <w:tc>
                <w:tcPr>
                  <w:tcW w:w="654" w:type="dxa"/>
                  <w:vAlign w:val="center"/>
                </w:tcPr>
                <w:p w14:paraId="4845182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清扫废气</w:t>
                  </w:r>
                </w:p>
              </w:tc>
              <w:tc>
                <w:tcPr>
                  <w:tcW w:w="1474" w:type="dxa"/>
                  <w:vAlign w:val="center"/>
                </w:tcPr>
                <w:p w14:paraId="02E622BA">
                  <w:pPr>
                    <w:keepNext w:val="0"/>
                    <w:keepLines w:val="0"/>
                    <w:suppressLineNumbers w:val="0"/>
                    <w:spacing w:before="0" w:beforeAutospacing="0" w:after="0" w:afterAutospacing="0"/>
                    <w:ind w:left="0" w:right="0"/>
                    <w:jc w:val="center"/>
                    <w:rPr>
                      <w:rFonts w:hint="eastAsia"/>
                      <w:color w:val="auto"/>
                      <w:sz w:val="21"/>
                      <w:szCs w:val="21"/>
                      <w:lang w:val="en-US" w:eastAsia="zh-CN"/>
                    </w:rPr>
                  </w:pPr>
                  <w:r>
                    <w:rPr>
                      <w:rFonts w:hint="eastAsia"/>
                      <w:color w:val="auto"/>
                      <w:sz w:val="21"/>
                      <w:szCs w:val="21"/>
                      <w:lang w:val="en-US" w:eastAsia="zh-CN"/>
                    </w:rPr>
                    <w:t>颗粒物（</w:t>
                  </w:r>
                  <w:r>
                    <w:rPr>
                      <w:rFonts w:hint="default" w:ascii="Times New Roman" w:hAnsi="Times New Roman" w:eastAsia="宋体" w:cs="Times New Roman"/>
                      <w:color w:val="auto"/>
                      <w:sz w:val="21"/>
                      <w:szCs w:val="21"/>
                      <w:lang w:val="en-US" w:eastAsia="zh-CN"/>
                    </w:rPr>
                    <w:t>G</w:t>
                  </w:r>
                  <w:r>
                    <w:rPr>
                      <w:rFonts w:hint="eastAsia" w:ascii="Times New Roman" w:hAnsi="Times New Roman" w:eastAsia="宋体" w:cs="Times New Roman"/>
                      <w:color w:val="auto"/>
                      <w:sz w:val="21"/>
                      <w:szCs w:val="21"/>
                      <w:vertAlign w:val="subscript"/>
                      <w:lang w:val="en-US" w:eastAsia="zh-CN"/>
                    </w:rPr>
                    <w:t>1</w:t>
                  </w:r>
                  <w:r>
                    <w:rPr>
                      <w:rFonts w:hint="default" w:ascii="Times New Roman" w:hAnsi="Times New Roman" w:eastAsia="宋体" w:cs="Times New Roman"/>
                      <w:color w:val="auto"/>
                      <w:sz w:val="21"/>
                      <w:szCs w:val="21"/>
                      <w:vertAlign w:val="subscript"/>
                      <w:lang w:val="en-US" w:eastAsia="zh-CN"/>
                    </w:rPr>
                    <w:t>-</w:t>
                  </w:r>
                  <w:r>
                    <w:rPr>
                      <w:rFonts w:hint="eastAsia" w:cs="Times New Roman"/>
                      <w:color w:val="auto"/>
                      <w:sz w:val="21"/>
                      <w:szCs w:val="21"/>
                      <w:vertAlign w:val="subscript"/>
                      <w:lang w:val="en-US" w:eastAsia="zh-CN"/>
                    </w:rPr>
                    <w:t>6</w:t>
                  </w:r>
                  <w:r>
                    <w:rPr>
                      <w:rFonts w:hint="eastAsia" w:ascii="Times New Roman" w:hAnsi="Times New Roman" w:eastAsia="宋体" w:cs="Times New Roman"/>
                      <w:color w:val="auto"/>
                      <w:sz w:val="24"/>
                      <w:szCs w:val="24"/>
                      <w:u w:val="none" w:color="auto"/>
                      <w:vertAlign w:val="baseline"/>
                      <w:lang w:val="en-US" w:eastAsia="zh-CN"/>
                    </w:rPr>
                    <w:t>、</w:t>
                  </w:r>
                  <w:r>
                    <w:rPr>
                      <w:rFonts w:hint="default" w:ascii="Times New Roman" w:hAnsi="Times New Roman" w:eastAsia="宋体" w:cs="Times New Roman"/>
                      <w:color w:val="auto"/>
                      <w:sz w:val="21"/>
                      <w:szCs w:val="21"/>
                      <w:lang w:val="en-US" w:eastAsia="zh-CN"/>
                    </w:rPr>
                    <w:t>G</w:t>
                  </w:r>
                  <w:r>
                    <w:rPr>
                      <w:rFonts w:hint="default" w:ascii="Times New Roman" w:hAnsi="Times New Roman" w:eastAsia="宋体" w:cs="Times New Roman"/>
                      <w:color w:val="auto"/>
                      <w:sz w:val="21"/>
                      <w:szCs w:val="21"/>
                      <w:vertAlign w:val="subscript"/>
                      <w:lang w:val="en-US" w:eastAsia="zh-CN"/>
                    </w:rPr>
                    <w:t>2-</w:t>
                  </w:r>
                  <w:r>
                    <w:rPr>
                      <w:rFonts w:hint="eastAsia" w:cs="Times New Roman"/>
                      <w:color w:val="auto"/>
                      <w:sz w:val="21"/>
                      <w:szCs w:val="21"/>
                      <w:vertAlign w:val="subscript"/>
                      <w:lang w:val="en-US" w:eastAsia="zh-CN"/>
                    </w:rPr>
                    <w:t>6</w:t>
                  </w:r>
                  <w:r>
                    <w:rPr>
                      <w:rFonts w:hint="eastAsia" w:ascii="Times New Roman" w:hAnsi="Times New Roman" w:eastAsia="宋体" w:cs="Times New Roman"/>
                      <w:color w:val="auto"/>
                      <w:sz w:val="24"/>
                      <w:szCs w:val="24"/>
                      <w:u w:val="none" w:color="auto"/>
                      <w:vertAlign w:val="baseline"/>
                      <w:lang w:val="en-US" w:eastAsia="zh-CN"/>
                    </w:rPr>
                    <w:t>、</w:t>
                  </w:r>
                  <w:r>
                    <w:rPr>
                      <w:rFonts w:hint="eastAsia" w:ascii="Times New Roman" w:hAnsi="Times New Roman" w:eastAsia="宋体" w:cs="Times New Roman"/>
                      <w:color w:val="auto"/>
                      <w:sz w:val="24"/>
                      <w:szCs w:val="24"/>
                      <w:u w:val="none" w:color="auto"/>
                      <w:lang w:val="en-US" w:eastAsia="zh-CN"/>
                    </w:rPr>
                    <w:t>G</w:t>
                  </w:r>
                  <w:r>
                    <w:rPr>
                      <w:rFonts w:hint="eastAsia" w:cs="Times New Roman"/>
                      <w:color w:val="auto"/>
                      <w:sz w:val="21"/>
                      <w:szCs w:val="21"/>
                      <w:u w:val="none" w:color="auto"/>
                      <w:vertAlign w:val="subscript"/>
                      <w:lang w:val="en-US" w:eastAsia="zh-CN"/>
                    </w:rPr>
                    <w:t>3-7</w:t>
                  </w:r>
                  <w:r>
                    <w:rPr>
                      <w:rFonts w:hint="eastAsia"/>
                      <w:color w:val="auto"/>
                      <w:sz w:val="21"/>
                      <w:szCs w:val="21"/>
                      <w:lang w:val="en-US" w:eastAsia="zh-CN"/>
                    </w:rPr>
                    <w:t>）</w:t>
                  </w:r>
                </w:p>
              </w:tc>
              <w:tc>
                <w:tcPr>
                  <w:tcW w:w="4813" w:type="dxa"/>
                  <w:vMerge w:val="continue"/>
                  <w:vAlign w:val="center"/>
                </w:tcPr>
                <w:p w14:paraId="1D7B3BD7">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p>
              </w:tc>
            </w:tr>
            <w:tr w14:paraId="178A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360D805C">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7C5B3833">
                  <w:pPr>
                    <w:keepNext w:val="0"/>
                    <w:keepLines w:val="0"/>
                    <w:suppressLineNumbers w:val="0"/>
                    <w:spacing w:before="0" w:beforeAutospacing="0" w:after="0" w:afterAutospacing="0"/>
                    <w:ind w:left="0" w:right="0"/>
                    <w:jc w:val="center"/>
                    <w:rPr>
                      <w:rFonts w:hint="default"/>
                      <w:sz w:val="21"/>
                      <w:szCs w:val="21"/>
                    </w:rPr>
                  </w:pPr>
                </w:p>
              </w:tc>
              <w:tc>
                <w:tcPr>
                  <w:tcW w:w="654" w:type="dxa"/>
                  <w:vAlign w:val="center"/>
                </w:tcPr>
                <w:p w14:paraId="31AD0D3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圆口废气</w:t>
                  </w:r>
                </w:p>
              </w:tc>
              <w:tc>
                <w:tcPr>
                  <w:tcW w:w="1474" w:type="dxa"/>
                  <w:vAlign w:val="center"/>
                </w:tcPr>
                <w:p w14:paraId="0E7A1CFA">
                  <w:pPr>
                    <w:keepNext w:val="0"/>
                    <w:keepLines w:val="0"/>
                    <w:suppressLineNumbers w:val="0"/>
                    <w:spacing w:before="0" w:beforeAutospacing="0" w:after="0" w:afterAutospacing="0"/>
                    <w:ind w:left="0" w:right="0"/>
                    <w:jc w:val="center"/>
                    <w:rPr>
                      <w:rFonts w:hint="eastAsia"/>
                      <w:color w:val="auto"/>
                      <w:sz w:val="21"/>
                      <w:szCs w:val="21"/>
                      <w:lang w:val="en-US" w:eastAsia="zh-CN"/>
                    </w:rPr>
                  </w:pPr>
                  <w:r>
                    <w:rPr>
                      <w:rFonts w:hint="eastAsia"/>
                      <w:color w:val="auto"/>
                      <w:sz w:val="21"/>
                      <w:szCs w:val="21"/>
                      <w:lang w:val="en-US" w:eastAsia="zh-CN"/>
                    </w:rPr>
                    <w:t>颗粒物、SO</w:t>
                  </w:r>
                  <w:r>
                    <w:rPr>
                      <w:rFonts w:hint="eastAsia"/>
                      <w:color w:val="auto"/>
                      <w:sz w:val="21"/>
                      <w:szCs w:val="21"/>
                      <w:vertAlign w:val="subscript"/>
                      <w:lang w:val="en-US" w:eastAsia="zh-CN"/>
                    </w:rPr>
                    <w:t>2</w:t>
                  </w:r>
                  <w:r>
                    <w:rPr>
                      <w:rFonts w:hint="eastAsia"/>
                      <w:color w:val="auto"/>
                      <w:sz w:val="21"/>
                      <w:szCs w:val="21"/>
                      <w:lang w:val="en-US" w:eastAsia="zh-CN"/>
                    </w:rPr>
                    <w:t>、NOx（</w:t>
                  </w:r>
                  <w:r>
                    <w:rPr>
                      <w:rFonts w:hint="default" w:ascii="Times New Roman" w:hAnsi="Times New Roman" w:eastAsia="宋体" w:cs="Times New Roman"/>
                      <w:color w:val="auto"/>
                      <w:sz w:val="21"/>
                      <w:szCs w:val="21"/>
                      <w:lang w:val="en-US" w:eastAsia="zh-CN"/>
                    </w:rPr>
                    <w:t>G</w:t>
                  </w:r>
                  <w:r>
                    <w:rPr>
                      <w:rFonts w:hint="eastAsia" w:cs="Times New Roman"/>
                      <w:color w:val="auto"/>
                      <w:sz w:val="21"/>
                      <w:szCs w:val="21"/>
                      <w:vertAlign w:val="subscript"/>
                      <w:lang w:val="en-US" w:eastAsia="zh-CN"/>
                    </w:rPr>
                    <w:t>3-6</w:t>
                  </w:r>
                  <w:r>
                    <w:rPr>
                      <w:rFonts w:hint="eastAsia"/>
                      <w:color w:val="auto"/>
                      <w:sz w:val="21"/>
                      <w:szCs w:val="21"/>
                      <w:lang w:val="en-US" w:eastAsia="zh-CN"/>
                    </w:rPr>
                    <w:t>）</w:t>
                  </w:r>
                </w:p>
              </w:tc>
              <w:tc>
                <w:tcPr>
                  <w:tcW w:w="4813" w:type="dxa"/>
                  <w:vAlign w:val="center"/>
                </w:tcPr>
                <w:p w14:paraId="08C6D8E0">
                  <w:pPr>
                    <w:pStyle w:val="27"/>
                    <w:keepNext w:val="0"/>
                    <w:keepLines w:val="0"/>
                    <w:suppressLineNumbers w:val="0"/>
                    <w:spacing w:before="0" w:beforeAutospacing="0" w:after="0" w:afterAutospacing="0" w:line="240" w:lineRule="auto"/>
                    <w:ind w:left="0" w:leftChars="0" w:right="0" w:rightChars="0"/>
                    <w:jc w:val="left"/>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由于产生量较小，</w:t>
                  </w:r>
                  <w:r>
                    <w:rPr>
                      <w:rFonts w:hint="eastAsia" w:cs="宋体"/>
                      <w:color w:val="auto"/>
                      <w:lang w:val="en-US" w:eastAsia="zh-CN"/>
                    </w:rPr>
                    <w:t>厂房封闭，无组织排放</w:t>
                  </w:r>
                </w:p>
              </w:tc>
            </w:tr>
            <w:tr w14:paraId="0A8C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Align w:val="center"/>
                </w:tcPr>
                <w:p w14:paraId="06DF8A6F">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噪声</w:t>
                  </w:r>
                </w:p>
              </w:tc>
              <w:tc>
                <w:tcPr>
                  <w:tcW w:w="681" w:type="dxa"/>
                  <w:vAlign w:val="center"/>
                </w:tcPr>
                <w:p w14:paraId="2DBC9F5D">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生产</w:t>
                  </w:r>
                </w:p>
                <w:p w14:paraId="221CEC70">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车间</w:t>
                  </w:r>
                </w:p>
              </w:tc>
              <w:tc>
                <w:tcPr>
                  <w:tcW w:w="654" w:type="dxa"/>
                  <w:vAlign w:val="center"/>
                </w:tcPr>
                <w:p w14:paraId="2049B9B8">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设备噪声等</w:t>
                  </w:r>
                </w:p>
              </w:tc>
              <w:tc>
                <w:tcPr>
                  <w:tcW w:w="1474" w:type="dxa"/>
                  <w:vAlign w:val="center"/>
                </w:tcPr>
                <w:p w14:paraId="51295EFE">
                  <w:pPr>
                    <w:keepNext w:val="0"/>
                    <w:keepLines w:val="0"/>
                    <w:suppressLineNumbers w:val="0"/>
                    <w:spacing w:before="0" w:beforeAutospacing="0" w:after="0" w:afterAutospacing="0"/>
                    <w:ind w:left="0" w:right="0"/>
                    <w:jc w:val="center"/>
                    <w:rPr>
                      <w:rFonts w:hint="default"/>
                      <w:sz w:val="21"/>
                      <w:szCs w:val="21"/>
                    </w:rPr>
                  </w:pPr>
                  <w:r>
                    <w:rPr>
                      <w:rFonts w:hint="default"/>
                      <w:sz w:val="21"/>
                      <w:szCs w:val="21"/>
                    </w:rPr>
                    <w:t>噪声（N）</w:t>
                  </w:r>
                </w:p>
              </w:tc>
              <w:tc>
                <w:tcPr>
                  <w:tcW w:w="4813" w:type="dxa"/>
                  <w:vAlign w:val="center"/>
                </w:tcPr>
                <w:p w14:paraId="56335AE6">
                  <w:pPr>
                    <w:keepNext w:val="0"/>
                    <w:keepLines w:val="0"/>
                    <w:suppressLineNumbers w:val="0"/>
                    <w:spacing w:before="0" w:beforeAutospacing="0" w:after="0" w:afterAutospacing="0"/>
                    <w:ind w:left="0" w:right="0"/>
                    <w:jc w:val="left"/>
                    <w:rPr>
                      <w:rFonts w:hint="default"/>
                      <w:sz w:val="21"/>
                      <w:szCs w:val="21"/>
                    </w:rPr>
                  </w:pPr>
                  <w:r>
                    <w:rPr>
                      <w:rFonts w:hint="default"/>
                      <w:sz w:val="21"/>
                      <w:szCs w:val="21"/>
                    </w:rPr>
                    <w:t>减振、隔声</w:t>
                  </w:r>
                </w:p>
              </w:tc>
            </w:tr>
            <w:tr w14:paraId="5800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restart"/>
                  <w:vAlign w:val="center"/>
                </w:tcPr>
                <w:p w14:paraId="25150023">
                  <w:pPr>
                    <w:keepNext w:val="0"/>
                    <w:keepLines w:val="0"/>
                    <w:suppressLineNumbers w:val="0"/>
                    <w:spacing w:before="0" w:beforeAutospacing="0" w:after="0" w:afterAutospacing="0"/>
                    <w:ind w:left="0" w:right="0"/>
                    <w:jc w:val="center"/>
                    <w:rPr>
                      <w:rFonts w:hint="default"/>
                      <w:sz w:val="21"/>
                      <w:szCs w:val="21"/>
                    </w:rPr>
                  </w:pPr>
                  <w:r>
                    <w:rPr>
                      <w:rFonts w:hint="default"/>
                      <w:color w:val="000000"/>
                      <w:sz w:val="21"/>
                      <w:szCs w:val="21"/>
                    </w:rPr>
                    <w:t>固废</w:t>
                  </w:r>
                </w:p>
              </w:tc>
              <w:tc>
                <w:tcPr>
                  <w:tcW w:w="681" w:type="dxa"/>
                  <w:vMerge w:val="restart"/>
                  <w:vAlign w:val="center"/>
                </w:tcPr>
                <w:p w14:paraId="1A232765">
                  <w:pPr>
                    <w:keepNext w:val="0"/>
                    <w:keepLines w:val="0"/>
                    <w:suppressLineNumbers w:val="0"/>
                    <w:spacing w:before="0" w:beforeAutospacing="0" w:after="0" w:afterAutospacing="0"/>
                    <w:ind w:left="0" w:right="0"/>
                    <w:jc w:val="center"/>
                    <w:rPr>
                      <w:rFonts w:hint="default"/>
                      <w:color w:val="000000"/>
                      <w:sz w:val="21"/>
                      <w:szCs w:val="21"/>
                    </w:rPr>
                  </w:pPr>
                  <w:r>
                    <w:rPr>
                      <w:rFonts w:hint="default"/>
                      <w:color w:val="000000"/>
                      <w:sz w:val="21"/>
                      <w:szCs w:val="21"/>
                    </w:rPr>
                    <w:t>生产</w:t>
                  </w:r>
                </w:p>
                <w:p w14:paraId="3A30C673">
                  <w:pPr>
                    <w:keepNext w:val="0"/>
                    <w:keepLines w:val="0"/>
                    <w:suppressLineNumbers w:val="0"/>
                    <w:spacing w:before="0" w:beforeAutospacing="0" w:after="0" w:afterAutospacing="0"/>
                    <w:ind w:left="0" w:right="0"/>
                    <w:jc w:val="center"/>
                    <w:rPr>
                      <w:rFonts w:hint="default"/>
                      <w:sz w:val="21"/>
                      <w:szCs w:val="21"/>
                    </w:rPr>
                  </w:pPr>
                  <w:r>
                    <w:rPr>
                      <w:rFonts w:hint="default"/>
                      <w:color w:val="000000"/>
                      <w:sz w:val="21"/>
                      <w:szCs w:val="21"/>
                    </w:rPr>
                    <w:t>车间</w:t>
                  </w:r>
                </w:p>
              </w:tc>
              <w:tc>
                <w:tcPr>
                  <w:tcW w:w="2128" w:type="dxa"/>
                  <w:gridSpan w:val="2"/>
                  <w:vAlign w:val="center"/>
                </w:tcPr>
                <w:p w14:paraId="217AE841">
                  <w:pPr>
                    <w:keepNext w:val="0"/>
                    <w:keepLines w:val="0"/>
                    <w:suppressLineNumbers w:val="0"/>
                    <w:spacing w:before="0" w:beforeAutospacing="0" w:after="0" w:afterAutospacing="0"/>
                    <w:ind w:left="0" w:leftChars="0" w:right="0" w:rightChars="0"/>
                    <w:jc w:val="center"/>
                    <w:rPr>
                      <w:rFonts w:hint="eastAsia" w:cs="宋体"/>
                    </w:rPr>
                  </w:pPr>
                  <w:r>
                    <w:rPr>
                      <w:rFonts w:hint="default"/>
                      <w:color w:val="000000"/>
                      <w:sz w:val="21"/>
                      <w:szCs w:val="21"/>
                    </w:rPr>
                    <w:t>生活垃圾</w:t>
                  </w:r>
                </w:p>
              </w:tc>
              <w:tc>
                <w:tcPr>
                  <w:tcW w:w="4813" w:type="dxa"/>
                  <w:vAlign w:val="center"/>
                </w:tcPr>
                <w:p w14:paraId="005FCB9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left"/>
                    <w:textAlignment w:val="auto"/>
                    <w:rPr>
                      <w:rFonts w:hint="default"/>
                      <w:color w:val="000000"/>
                      <w:sz w:val="21"/>
                      <w:szCs w:val="21"/>
                    </w:rPr>
                  </w:pPr>
                  <w:r>
                    <w:rPr>
                      <w:rFonts w:hint="eastAsia" w:cs="宋体"/>
                      <w:sz w:val="21"/>
                      <w:szCs w:val="21"/>
                      <w:lang w:val="en-US" w:eastAsia="zh-CN"/>
                    </w:rPr>
                    <w:t>暂存于生活垃圾桶，交由环卫部门统一清运</w:t>
                  </w:r>
                  <w:r>
                    <w:rPr>
                      <w:rFonts w:hint="default"/>
                      <w:color w:val="000000"/>
                      <w:sz w:val="21"/>
                      <w:szCs w:val="21"/>
                    </w:rPr>
                    <w:t>处置</w:t>
                  </w:r>
                </w:p>
              </w:tc>
            </w:tr>
            <w:tr w14:paraId="05B7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624697CC">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0FE43F17">
                  <w:pPr>
                    <w:keepNext w:val="0"/>
                    <w:keepLines w:val="0"/>
                    <w:suppressLineNumbers w:val="0"/>
                    <w:spacing w:before="0" w:beforeAutospacing="0" w:after="0" w:afterAutospacing="0"/>
                    <w:ind w:left="0" w:right="0"/>
                    <w:jc w:val="center"/>
                    <w:rPr>
                      <w:rFonts w:hint="default"/>
                      <w:sz w:val="21"/>
                      <w:szCs w:val="21"/>
                    </w:rPr>
                  </w:pPr>
                </w:p>
              </w:tc>
              <w:tc>
                <w:tcPr>
                  <w:tcW w:w="654" w:type="dxa"/>
                  <w:vMerge w:val="restart"/>
                  <w:vAlign w:val="center"/>
                </w:tcPr>
                <w:p w14:paraId="1EF28E88">
                  <w:pPr>
                    <w:keepNext w:val="0"/>
                    <w:keepLines w:val="0"/>
                    <w:suppressLineNumbers w:val="0"/>
                    <w:spacing w:before="0" w:beforeAutospacing="0" w:after="0" w:afterAutospacing="0"/>
                    <w:ind w:left="0" w:right="0"/>
                    <w:jc w:val="center"/>
                    <w:rPr>
                      <w:rFonts w:hint="default"/>
                      <w:sz w:val="21"/>
                      <w:szCs w:val="21"/>
                    </w:rPr>
                  </w:pPr>
                  <w:r>
                    <w:rPr>
                      <w:rFonts w:hint="default"/>
                      <w:color w:val="000000"/>
                      <w:sz w:val="21"/>
                      <w:szCs w:val="21"/>
                    </w:rPr>
                    <w:t>一般固废</w:t>
                  </w:r>
                </w:p>
              </w:tc>
              <w:tc>
                <w:tcPr>
                  <w:tcW w:w="1474" w:type="dxa"/>
                  <w:vAlign w:val="center"/>
                </w:tcPr>
                <w:p w14:paraId="252A208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eastAsia="宋体"/>
                      <w:sz w:val="21"/>
                      <w:szCs w:val="21"/>
                      <w:lang w:val="en-US" w:eastAsia="zh-CN"/>
                    </w:rPr>
                  </w:pPr>
                  <w:r>
                    <w:rPr>
                      <w:rFonts w:hint="default"/>
                      <w:sz w:val="21"/>
                      <w:szCs w:val="21"/>
                      <w:lang w:eastAsia="zh-CN"/>
                    </w:rPr>
                    <w:t>废包装</w:t>
                  </w:r>
                  <w:r>
                    <w:rPr>
                      <w:rFonts w:hint="default"/>
                      <w:sz w:val="21"/>
                      <w:szCs w:val="21"/>
                      <w:lang w:val="en-US" w:eastAsia="zh-CN"/>
                    </w:rPr>
                    <w:t>材料</w:t>
                  </w:r>
                </w:p>
              </w:tc>
              <w:tc>
                <w:tcPr>
                  <w:tcW w:w="4813" w:type="dxa"/>
                  <w:vAlign w:val="center"/>
                </w:tcPr>
                <w:p w14:paraId="1FEBB72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left"/>
                    <w:textAlignment w:val="auto"/>
                    <w:rPr>
                      <w:rFonts w:hint="default" w:eastAsia="宋体"/>
                      <w:sz w:val="21"/>
                      <w:szCs w:val="21"/>
                      <w:lang w:val="en-US" w:eastAsia="zh-CN"/>
                    </w:rPr>
                  </w:pPr>
                  <w:r>
                    <w:rPr>
                      <w:rFonts w:hint="eastAsia"/>
                      <w:sz w:val="21"/>
                      <w:szCs w:val="21"/>
                      <w:lang w:val="en-US" w:eastAsia="zh-CN"/>
                    </w:rPr>
                    <w:t>暂存于一般工业固体废物暂存场所，定期外售</w:t>
                  </w:r>
                </w:p>
              </w:tc>
            </w:tr>
            <w:tr w14:paraId="3BA86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4E6757F2">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0E0A6B08">
                  <w:pPr>
                    <w:keepNext w:val="0"/>
                    <w:keepLines w:val="0"/>
                    <w:suppressLineNumbers w:val="0"/>
                    <w:spacing w:before="0" w:beforeAutospacing="0" w:after="0" w:afterAutospacing="0"/>
                    <w:ind w:left="0" w:right="0"/>
                    <w:jc w:val="center"/>
                    <w:rPr>
                      <w:rFonts w:hint="default"/>
                      <w:sz w:val="21"/>
                      <w:szCs w:val="21"/>
                    </w:rPr>
                  </w:pPr>
                </w:p>
              </w:tc>
              <w:tc>
                <w:tcPr>
                  <w:tcW w:w="654" w:type="dxa"/>
                  <w:vMerge w:val="continue"/>
                  <w:vAlign w:val="center"/>
                </w:tcPr>
                <w:p w14:paraId="25AFFD0C">
                  <w:pPr>
                    <w:keepNext w:val="0"/>
                    <w:keepLines w:val="0"/>
                    <w:suppressLineNumbers w:val="0"/>
                    <w:spacing w:before="0" w:beforeAutospacing="0" w:after="0" w:afterAutospacing="0"/>
                    <w:ind w:left="0" w:right="0"/>
                    <w:jc w:val="center"/>
                    <w:rPr>
                      <w:rFonts w:hint="default"/>
                      <w:sz w:val="21"/>
                      <w:szCs w:val="21"/>
                    </w:rPr>
                  </w:pPr>
                </w:p>
              </w:tc>
              <w:tc>
                <w:tcPr>
                  <w:tcW w:w="1474" w:type="dxa"/>
                  <w:vAlign w:val="center"/>
                </w:tcPr>
                <w:p w14:paraId="76EA43E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sz w:val="21"/>
                      <w:szCs w:val="21"/>
                    </w:rPr>
                  </w:pPr>
                  <w:r>
                    <w:rPr>
                      <w:rFonts w:hint="default"/>
                      <w:sz w:val="21"/>
                      <w:szCs w:val="21"/>
                      <w:lang w:val="en-US" w:eastAsia="zh-CN"/>
                    </w:rPr>
                    <w:t>玻璃废边角料、不合格产品</w:t>
                  </w:r>
                </w:p>
              </w:tc>
              <w:tc>
                <w:tcPr>
                  <w:tcW w:w="4813" w:type="dxa"/>
                  <w:vAlign w:val="center"/>
                </w:tcPr>
                <w:p w14:paraId="6D4D5F6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left"/>
                    <w:textAlignment w:val="auto"/>
                    <w:rPr>
                      <w:rFonts w:hint="default"/>
                      <w:sz w:val="21"/>
                      <w:szCs w:val="21"/>
                    </w:rPr>
                  </w:pPr>
                  <w:r>
                    <w:rPr>
                      <w:rFonts w:hint="eastAsia"/>
                      <w:sz w:val="21"/>
                      <w:szCs w:val="21"/>
                      <w:lang w:val="en-US" w:eastAsia="zh-CN"/>
                    </w:rPr>
                    <w:t>暂存于一般工业固体废物暂存场所，定期回用于生产线</w:t>
                  </w:r>
                </w:p>
              </w:tc>
            </w:tr>
            <w:tr w14:paraId="5337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00523B0E">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3AB53A16">
                  <w:pPr>
                    <w:keepNext w:val="0"/>
                    <w:keepLines w:val="0"/>
                    <w:suppressLineNumbers w:val="0"/>
                    <w:spacing w:before="0" w:beforeAutospacing="0" w:after="0" w:afterAutospacing="0"/>
                    <w:ind w:left="0" w:right="0"/>
                    <w:jc w:val="center"/>
                    <w:rPr>
                      <w:rFonts w:hint="default"/>
                      <w:sz w:val="21"/>
                      <w:szCs w:val="21"/>
                    </w:rPr>
                  </w:pPr>
                </w:p>
              </w:tc>
              <w:tc>
                <w:tcPr>
                  <w:tcW w:w="654" w:type="dxa"/>
                  <w:vMerge w:val="continue"/>
                  <w:vAlign w:val="center"/>
                </w:tcPr>
                <w:p w14:paraId="3B2F174F">
                  <w:pPr>
                    <w:keepNext w:val="0"/>
                    <w:keepLines w:val="0"/>
                    <w:suppressLineNumbers w:val="0"/>
                    <w:spacing w:before="0" w:beforeAutospacing="0" w:after="0" w:afterAutospacing="0"/>
                    <w:ind w:left="0" w:right="0"/>
                    <w:jc w:val="center"/>
                    <w:rPr>
                      <w:rFonts w:hint="default"/>
                      <w:sz w:val="21"/>
                      <w:szCs w:val="21"/>
                    </w:rPr>
                  </w:pPr>
                </w:p>
              </w:tc>
              <w:tc>
                <w:tcPr>
                  <w:tcW w:w="1474" w:type="dxa"/>
                  <w:vAlign w:val="center"/>
                </w:tcPr>
                <w:p w14:paraId="0225C09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cs="宋体"/>
                      <w:lang w:val="en-US" w:eastAsia="zh-CN"/>
                    </w:rPr>
                  </w:pPr>
                  <w:r>
                    <w:rPr>
                      <w:rFonts w:hint="eastAsia" w:cs="宋体"/>
                      <w:sz w:val="21"/>
                      <w:szCs w:val="21"/>
                      <w:lang w:val="en-US" w:eastAsia="zh-CN"/>
                    </w:rPr>
                    <w:t>纯水制备产生的废过滤材料</w:t>
                  </w:r>
                  <w:r>
                    <w:rPr>
                      <w:rFonts w:hint="eastAsia" w:cs="Times New Roman"/>
                      <w:b w:val="0"/>
                      <w:bCs w:val="0"/>
                      <w:color w:val="auto"/>
                      <w:sz w:val="24"/>
                      <w:szCs w:val="24"/>
                      <w:lang w:val="en-US" w:eastAsia="zh-CN"/>
                    </w:rPr>
                    <w:t>S</w:t>
                  </w:r>
                  <w:r>
                    <w:rPr>
                      <w:rFonts w:hint="eastAsia" w:cs="Times New Roman"/>
                      <w:b w:val="0"/>
                      <w:bCs w:val="0"/>
                      <w:color w:val="auto"/>
                      <w:sz w:val="24"/>
                      <w:szCs w:val="24"/>
                      <w:vertAlign w:val="subscript"/>
                      <w:lang w:val="en-US" w:eastAsia="zh-CN"/>
                    </w:rPr>
                    <w:t>4-1</w:t>
                  </w:r>
                </w:p>
              </w:tc>
              <w:tc>
                <w:tcPr>
                  <w:tcW w:w="4813" w:type="dxa"/>
                  <w:vAlign w:val="center"/>
                </w:tcPr>
                <w:p w14:paraId="23A1433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left"/>
                    <w:textAlignment w:val="auto"/>
                    <w:rPr>
                      <w:rFonts w:hint="default"/>
                      <w:sz w:val="21"/>
                      <w:szCs w:val="21"/>
                    </w:rPr>
                  </w:pPr>
                  <w:r>
                    <w:rPr>
                      <w:rFonts w:hint="eastAsia"/>
                      <w:sz w:val="21"/>
                      <w:szCs w:val="21"/>
                      <w:lang w:val="en-US" w:eastAsia="zh-CN"/>
                    </w:rPr>
                    <w:t>定期交由厂家回收</w:t>
                  </w:r>
                </w:p>
              </w:tc>
            </w:tr>
            <w:tr w14:paraId="3FA0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1B36AA8A">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0D8FAF93">
                  <w:pPr>
                    <w:keepNext w:val="0"/>
                    <w:keepLines w:val="0"/>
                    <w:suppressLineNumbers w:val="0"/>
                    <w:spacing w:before="0" w:beforeAutospacing="0" w:after="0" w:afterAutospacing="0"/>
                    <w:ind w:left="0" w:right="0"/>
                    <w:jc w:val="center"/>
                    <w:rPr>
                      <w:rFonts w:hint="default"/>
                      <w:sz w:val="21"/>
                      <w:szCs w:val="21"/>
                    </w:rPr>
                  </w:pPr>
                </w:p>
              </w:tc>
              <w:tc>
                <w:tcPr>
                  <w:tcW w:w="654" w:type="dxa"/>
                  <w:vMerge w:val="continue"/>
                  <w:vAlign w:val="center"/>
                </w:tcPr>
                <w:p w14:paraId="0A2DA2B4">
                  <w:pPr>
                    <w:keepNext w:val="0"/>
                    <w:keepLines w:val="0"/>
                    <w:suppressLineNumbers w:val="0"/>
                    <w:spacing w:before="0" w:beforeAutospacing="0" w:after="0" w:afterAutospacing="0"/>
                    <w:ind w:left="0" w:right="0"/>
                    <w:jc w:val="center"/>
                    <w:rPr>
                      <w:rFonts w:hint="default"/>
                      <w:sz w:val="21"/>
                      <w:szCs w:val="21"/>
                    </w:rPr>
                  </w:pPr>
                </w:p>
              </w:tc>
              <w:tc>
                <w:tcPr>
                  <w:tcW w:w="1474" w:type="dxa"/>
                  <w:vAlign w:val="center"/>
                </w:tcPr>
                <w:p w14:paraId="69E7612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cs="宋体"/>
                      <w:sz w:val="21"/>
                      <w:szCs w:val="21"/>
                      <w:lang w:val="en-US" w:eastAsia="zh-CN"/>
                    </w:rPr>
                  </w:pPr>
                  <w:r>
                    <w:rPr>
                      <w:rFonts w:hint="eastAsia" w:eastAsia="宋体" w:cs="宋体"/>
                      <w:sz w:val="21"/>
                      <w:szCs w:val="21"/>
                      <w:lang w:val="en-US" w:eastAsia="zh-CN"/>
                    </w:rPr>
                    <w:t>除尘器收集的粉尘</w:t>
                  </w:r>
                </w:p>
              </w:tc>
              <w:tc>
                <w:tcPr>
                  <w:tcW w:w="4813" w:type="dxa"/>
                  <w:vAlign w:val="center"/>
                </w:tcPr>
                <w:p w14:paraId="30B153F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left"/>
                    <w:textAlignment w:val="auto"/>
                    <w:rPr>
                      <w:rFonts w:hint="default"/>
                      <w:sz w:val="21"/>
                      <w:szCs w:val="21"/>
                    </w:rPr>
                  </w:pPr>
                  <w:r>
                    <w:rPr>
                      <w:rFonts w:hint="eastAsia"/>
                      <w:sz w:val="21"/>
                      <w:szCs w:val="21"/>
                      <w:lang w:val="en-US" w:eastAsia="zh-CN"/>
                    </w:rPr>
                    <w:t>暂存于一般工业固体废物暂存场所，定期外售</w:t>
                  </w:r>
                </w:p>
              </w:tc>
            </w:tr>
            <w:tr w14:paraId="7413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6707FFFE">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6C83DE56">
                  <w:pPr>
                    <w:keepNext w:val="0"/>
                    <w:keepLines w:val="0"/>
                    <w:suppressLineNumbers w:val="0"/>
                    <w:spacing w:before="0" w:beforeAutospacing="0" w:after="0" w:afterAutospacing="0"/>
                    <w:ind w:left="0" w:right="0"/>
                    <w:jc w:val="center"/>
                    <w:rPr>
                      <w:rFonts w:hint="default"/>
                      <w:sz w:val="21"/>
                      <w:szCs w:val="21"/>
                    </w:rPr>
                  </w:pPr>
                </w:p>
              </w:tc>
              <w:tc>
                <w:tcPr>
                  <w:tcW w:w="654" w:type="dxa"/>
                  <w:vMerge w:val="continue"/>
                  <w:vAlign w:val="center"/>
                </w:tcPr>
                <w:p w14:paraId="0BA6582B">
                  <w:pPr>
                    <w:keepNext w:val="0"/>
                    <w:keepLines w:val="0"/>
                    <w:suppressLineNumbers w:val="0"/>
                    <w:spacing w:before="0" w:beforeAutospacing="0" w:after="0" w:afterAutospacing="0"/>
                    <w:ind w:left="0" w:right="0"/>
                    <w:jc w:val="center"/>
                    <w:rPr>
                      <w:rFonts w:hint="default"/>
                      <w:sz w:val="21"/>
                      <w:szCs w:val="21"/>
                    </w:rPr>
                  </w:pPr>
                </w:p>
              </w:tc>
              <w:tc>
                <w:tcPr>
                  <w:tcW w:w="1474" w:type="dxa"/>
                  <w:vAlign w:val="center"/>
                </w:tcPr>
                <w:p w14:paraId="3BF43FE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eastAsia="宋体" w:cs="宋体"/>
                      <w:sz w:val="21"/>
                      <w:szCs w:val="21"/>
                      <w:lang w:val="en-US" w:eastAsia="zh-CN"/>
                    </w:rPr>
                  </w:pPr>
                  <w:r>
                    <w:rPr>
                      <w:rFonts w:hint="eastAsia" w:eastAsia="宋体" w:cs="宋体"/>
                      <w:sz w:val="21"/>
                      <w:szCs w:val="21"/>
                      <w:lang w:val="en-US" w:eastAsia="zh-CN"/>
                    </w:rPr>
                    <w:t>废保温材料</w:t>
                  </w:r>
                </w:p>
              </w:tc>
              <w:tc>
                <w:tcPr>
                  <w:tcW w:w="4813" w:type="dxa"/>
                  <w:vAlign w:val="center"/>
                </w:tcPr>
                <w:p w14:paraId="52A9BFB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left"/>
                    <w:textAlignment w:val="auto"/>
                    <w:rPr>
                      <w:rFonts w:hint="eastAsia"/>
                      <w:sz w:val="21"/>
                      <w:szCs w:val="21"/>
                      <w:lang w:val="en-US" w:eastAsia="zh-CN"/>
                    </w:rPr>
                  </w:pPr>
                  <w:r>
                    <w:rPr>
                      <w:rFonts w:hint="eastAsia"/>
                      <w:sz w:val="21"/>
                      <w:szCs w:val="21"/>
                      <w:lang w:val="en-US" w:eastAsia="zh-CN"/>
                    </w:rPr>
                    <w:t>停机检修废保温材料定期交由厂家回收</w:t>
                  </w:r>
                </w:p>
              </w:tc>
            </w:tr>
            <w:tr w14:paraId="4AE7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792D2DFA">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34F142D7">
                  <w:pPr>
                    <w:keepNext w:val="0"/>
                    <w:keepLines w:val="0"/>
                    <w:suppressLineNumbers w:val="0"/>
                    <w:spacing w:before="0" w:beforeAutospacing="0" w:after="0" w:afterAutospacing="0"/>
                    <w:ind w:left="0" w:right="0"/>
                    <w:jc w:val="center"/>
                    <w:rPr>
                      <w:rFonts w:hint="default"/>
                      <w:sz w:val="21"/>
                      <w:szCs w:val="21"/>
                    </w:rPr>
                  </w:pPr>
                </w:p>
              </w:tc>
              <w:tc>
                <w:tcPr>
                  <w:tcW w:w="654" w:type="dxa"/>
                  <w:vMerge w:val="restart"/>
                  <w:vAlign w:val="center"/>
                </w:tcPr>
                <w:p w14:paraId="16031C84">
                  <w:pPr>
                    <w:keepNext w:val="0"/>
                    <w:keepLines w:val="0"/>
                    <w:suppressLineNumbers w:val="0"/>
                    <w:spacing w:before="0" w:beforeAutospacing="0" w:after="0" w:afterAutospacing="0"/>
                    <w:ind w:left="0" w:right="0"/>
                    <w:jc w:val="center"/>
                    <w:rPr>
                      <w:rFonts w:hint="default"/>
                      <w:color w:val="000000"/>
                      <w:sz w:val="21"/>
                      <w:szCs w:val="21"/>
                    </w:rPr>
                  </w:pPr>
                  <w:r>
                    <w:rPr>
                      <w:rFonts w:hint="default"/>
                      <w:color w:val="000000"/>
                      <w:sz w:val="21"/>
                      <w:szCs w:val="21"/>
                    </w:rPr>
                    <w:t>危险固废</w:t>
                  </w:r>
                </w:p>
              </w:tc>
              <w:tc>
                <w:tcPr>
                  <w:tcW w:w="1474" w:type="dxa"/>
                  <w:vAlign w:val="center"/>
                </w:tcPr>
                <w:p w14:paraId="27B5565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21"/>
                      <w:szCs w:val="21"/>
                    </w:rPr>
                  </w:pPr>
                  <w:r>
                    <w:rPr>
                      <w:rFonts w:hint="eastAsia" w:eastAsia="宋体" w:cs="宋体"/>
                      <w:sz w:val="21"/>
                      <w:szCs w:val="21"/>
                      <w:lang w:val="en-US" w:eastAsia="zh-CN"/>
                    </w:rPr>
                    <w:t>废润滑油及包装桶</w:t>
                  </w:r>
                </w:p>
              </w:tc>
              <w:tc>
                <w:tcPr>
                  <w:tcW w:w="4813" w:type="dxa"/>
                  <w:vMerge w:val="restart"/>
                  <w:vAlign w:val="center"/>
                </w:tcPr>
                <w:p w14:paraId="54FC254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left"/>
                    <w:textAlignment w:val="auto"/>
                    <w:rPr>
                      <w:rFonts w:hint="default"/>
                      <w:sz w:val="21"/>
                      <w:szCs w:val="21"/>
                    </w:rPr>
                  </w:pPr>
                  <w:r>
                    <w:rPr>
                      <w:rFonts w:hint="eastAsia" w:eastAsia="宋体"/>
                      <w:sz w:val="21"/>
                      <w:szCs w:val="21"/>
                      <w:lang w:val="en-US" w:eastAsia="zh-CN"/>
                    </w:rPr>
                    <w:t>暂存于危险固废暂存场所，交由有资质单位处置</w:t>
                  </w:r>
                </w:p>
              </w:tc>
            </w:tr>
            <w:tr w14:paraId="5AEB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7" w:type="dxa"/>
                  <w:vMerge w:val="continue"/>
                  <w:vAlign w:val="center"/>
                </w:tcPr>
                <w:p w14:paraId="7E937C0F">
                  <w:pPr>
                    <w:keepNext w:val="0"/>
                    <w:keepLines w:val="0"/>
                    <w:suppressLineNumbers w:val="0"/>
                    <w:spacing w:before="0" w:beforeAutospacing="0" w:after="0" w:afterAutospacing="0"/>
                    <w:ind w:left="0" w:right="0"/>
                    <w:jc w:val="center"/>
                    <w:rPr>
                      <w:rFonts w:hint="default"/>
                      <w:sz w:val="21"/>
                      <w:szCs w:val="21"/>
                    </w:rPr>
                  </w:pPr>
                </w:p>
              </w:tc>
              <w:tc>
                <w:tcPr>
                  <w:tcW w:w="681" w:type="dxa"/>
                  <w:vMerge w:val="continue"/>
                  <w:vAlign w:val="center"/>
                </w:tcPr>
                <w:p w14:paraId="1AB9008A">
                  <w:pPr>
                    <w:keepNext w:val="0"/>
                    <w:keepLines w:val="0"/>
                    <w:suppressLineNumbers w:val="0"/>
                    <w:spacing w:before="0" w:beforeAutospacing="0" w:after="0" w:afterAutospacing="0"/>
                    <w:ind w:left="0" w:right="0"/>
                    <w:jc w:val="center"/>
                    <w:rPr>
                      <w:rFonts w:hint="default"/>
                      <w:sz w:val="21"/>
                      <w:szCs w:val="21"/>
                    </w:rPr>
                  </w:pPr>
                </w:p>
              </w:tc>
              <w:tc>
                <w:tcPr>
                  <w:tcW w:w="654" w:type="dxa"/>
                  <w:vMerge w:val="continue"/>
                  <w:vAlign w:val="center"/>
                </w:tcPr>
                <w:p w14:paraId="6DEB03C7">
                  <w:pPr>
                    <w:keepNext w:val="0"/>
                    <w:keepLines w:val="0"/>
                    <w:suppressLineNumbers w:val="0"/>
                    <w:spacing w:before="0" w:beforeAutospacing="0" w:after="0" w:afterAutospacing="0"/>
                    <w:ind w:left="0" w:right="0"/>
                    <w:jc w:val="center"/>
                    <w:rPr>
                      <w:rFonts w:hint="default"/>
                      <w:color w:val="000000"/>
                      <w:sz w:val="21"/>
                      <w:szCs w:val="21"/>
                    </w:rPr>
                  </w:pPr>
                </w:p>
              </w:tc>
              <w:tc>
                <w:tcPr>
                  <w:tcW w:w="1474" w:type="dxa"/>
                  <w:vAlign w:val="center"/>
                </w:tcPr>
                <w:p w14:paraId="1476B2C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bCs/>
                      <w:color w:val="auto"/>
                      <w:sz w:val="21"/>
                      <w:szCs w:val="21"/>
                    </w:rPr>
                  </w:pPr>
                  <w:r>
                    <w:rPr>
                      <w:rFonts w:hint="eastAsia" w:eastAsia="宋体" w:cs="宋体"/>
                      <w:sz w:val="21"/>
                      <w:szCs w:val="21"/>
                      <w:lang w:val="en-US" w:eastAsia="zh-CN"/>
                    </w:rPr>
                    <w:t>废含油抹布、废手套</w:t>
                  </w:r>
                </w:p>
              </w:tc>
              <w:tc>
                <w:tcPr>
                  <w:tcW w:w="4813" w:type="dxa"/>
                  <w:vMerge w:val="continue"/>
                  <w:vAlign w:val="center"/>
                </w:tcPr>
                <w:p w14:paraId="3AA4B4B8">
                  <w:pPr>
                    <w:keepNext w:val="0"/>
                    <w:keepLines w:val="0"/>
                    <w:suppressLineNumbers w:val="0"/>
                    <w:spacing w:before="0" w:beforeAutospacing="0" w:after="0" w:afterAutospacing="0"/>
                    <w:ind w:left="0" w:right="0"/>
                    <w:jc w:val="left"/>
                    <w:rPr>
                      <w:rFonts w:hint="default"/>
                      <w:color w:val="000000"/>
                      <w:sz w:val="21"/>
                      <w:szCs w:val="21"/>
                    </w:rPr>
                  </w:pPr>
                </w:p>
              </w:tc>
            </w:tr>
          </w:tbl>
          <w:p w14:paraId="3F03E9A4">
            <w:pPr>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left"/>
              <w:rPr>
                <w:rFonts w:hint="default" w:ascii="Times New Roman" w:hAnsi="Times New Roman" w:eastAsia="宋体" w:cs="Times New Roman"/>
                <w:sz w:val="24"/>
                <w:szCs w:val="24"/>
                <w:lang w:val="en-US" w:eastAsia="zh-CN"/>
              </w:rPr>
            </w:pPr>
          </w:p>
        </w:tc>
      </w:tr>
      <w:tr w14:paraId="426BD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3" w:type="dxa"/>
            <w:tcBorders>
              <w:top w:val="single" w:color="auto" w:sz="8" w:space="0"/>
            </w:tcBorders>
            <w:vAlign w:val="center"/>
          </w:tcPr>
          <w:p w14:paraId="517B41AE">
            <w:pPr>
              <w:pStyle w:val="28"/>
              <w:keepNext w:val="0"/>
              <w:keepLines w:val="0"/>
              <w:suppressLineNumbers w:val="0"/>
              <w:spacing w:before="0" w:beforeAutospacing="0" w:after="0" w:afterAutospacing="0" w:line="240" w:lineRule="auto"/>
              <w:ind w:left="0" w:leftChars="0" w:right="0" w:rightChars="0"/>
              <w:jc w:val="center"/>
              <w:rPr>
                <w:rFonts w:hint="eastAsia"/>
                <w:b/>
                <w:bCs/>
              </w:rPr>
            </w:pPr>
            <w:r>
              <w:rPr>
                <w:rFonts w:hint="eastAsia"/>
                <w:b/>
                <w:bCs/>
                <w:kern w:val="2"/>
              </w:rPr>
              <w:t>与项目有关的原有环境污染问题</w:t>
            </w:r>
          </w:p>
        </w:tc>
        <w:tc>
          <w:tcPr>
            <w:tcW w:w="8362" w:type="dxa"/>
            <w:tcBorders>
              <w:top w:val="single" w:color="auto" w:sz="8" w:space="0"/>
              <w:right w:val="single" w:color="auto" w:sz="4" w:space="0"/>
            </w:tcBorders>
            <w:vAlign w:val="center"/>
          </w:tcPr>
          <w:p w14:paraId="563DA9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本项目为新建，项目建设地点位于淮北市烈山区经济开发区青龙山电子信息产业园四期，经现场勘查，现场为</w:t>
            </w:r>
            <w:r>
              <w:rPr>
                <w:rFonts w:hint="eastAsia" w:cs="Times New Roman"/>
                <w:color w:val="auto"/>
                <w:sz w:val="24"/>
                <w:szCs w:val="24"/>
                <w:lang w:val="en-US" w:eastAsia="zh-CN"/>
              </w:rPr>
              <w:t>空置厂房</w:t>
            </w:r>
            <w:r>
              <w:rPr>
                <w:rFonts w:hint="eastAsia" w:ascii="Times New Roman" w:hAnsi="Times New Roman" w:eastAsia="宋体" w:cs="Times New Roman"/>
                <w:color w:val="auto"/>
                <w:sz w:val="24"/>
                <w:szCs w:val="24"/>
                <w:lang w:val="en-US" w:eastAsia="zh-CN"/>
              </w:rPr>
              <w:t>。因此，不存在与本项目有关的原有污染情况。</w:t>
            </w:r>
          </w:p>
          <w:p w14:paraId="104E9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lang w:val="en-US" w:eastAsia="zh-CN"/>
              </w:rPr>
            </w:pPr>
          </w:p>
          <w:p w14:paraId="35227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lang w:val="en-US" w:eastAsia="zh-CN"/>
              </w:rPr>
            </w:pPr>
          </w:p>
          <w:p w14:paraId="72A55A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lang w:val="en-US" w:eastAsia="zh-CN"/>
              </w:rPr>
            </w:pPr>
          </w:p>
          <w:p w14:paraId="4E75F8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lang w:val="en-US" w:eastAsia="zh-CN"/>
              </w:rPr>
            </w:pPr>
          </w:p>
          <w:p w14:paraId="0D818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lang w:val="en-US" w:eastAsia="zh-CN"/>
              </w:rPr>
            </w:pPr>
          </w:p>
          <w:p w14:paraId="3AA38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3FEDE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5A6E2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1BF476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78186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7E62DB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349AE9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02BE70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667F4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5820B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58C4D0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07E13C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74A00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76396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47A2D5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794C3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3E27A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cs="Times New Roman"/>
                <w:sz w:val="24"/>
                <w:szCs w:val="24"/>
                <w:lang w:val="en-US" w:eastAsia="zh-CN"/>
              </w:rPr>
            </w:pPr>
          </w:p>
          <w:p w14:paraId="0A75E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default" w:cs="Times New Roman"/>
                <w:sz w:val="24"/>
                <w:szCs w:val="24"/>
                <w:lang w:val="en-US" w:eastAsia="zh-CN"/>
              </w:rPr>
            </w:pPr>
          </w:p>
        </w:tc>
      </w:tr>
    </w:tbl>
    <w:p w14:paraId="7E351736">
      <w:pPr>
        <w:pStyle w:val="28"/>
        <w:keepNext/>
        <w:keepLines/>
        <w:pageBreakBefore w:val="0"/>
        <w:widowControl w:val="0"/>
        <w:kinsoku/>
        <w:wordWrap w:val="0"/>
        <w:overflowPunct/>
        <w:topLinePunct/>
        <w:autoSpaceDE/>
        <w:autoSpaceDN/>
        <w:bidi w:val="0"/>
        <w:adjustRightInd w:val="0"/>
        <w:snapToGrid w:val="0"/>
        <w:spacing w:before="0" w:beforeAutospacing="0" w:after="0" w:afterAutospacing="0" w:line="360" w:lineRule="auto"/>
        <w:ind w:firstLine="0" w:firstLineChars="0"/>
        <w:jc w:val="center"/>
        <w:outlineLvl w:val="0"/>
        <w:rPr>
          <w:rFonts w:hint="eastAsia" w:ascii="黑体" w:hAnsi="黑体" w:eastAsia="黑体" w:cs="黑体"/>
          <w:snapToGrid w:val="0"/>
          <w:sz w:val="30"/>
          <w:szCs w:val="30"/>
        </w:rPr>
        <w:sectPr>
          <w:pgSz w:w="11906" w:h="16838"/>
          <w:pgMar w:top="1440" w:right="1800" w:bottom="1440" w:left="1417" w:header="851" w:footer="992" w:gutter="0"/>
          <w:pgNumType w:fmt="decimal"/>
          <w:cols w:space="425" w:num="1"/>
          <w:docGrid w:type="lines" w:linePitch="312" w:charSpace="0"/>
        </w:sectPr>
      </w:pPr>
    </w:p>
    <w:p w14:paraId="2B10BF3C">
      <w:pPr>
        <w:pStyle w:val="28"/>
        <w:spacing w:before="0" w:beforeAutospacing="0" w:after="0" w:afterAutospacing="0" w:line="360" w:lineRule="auto"/>
        <w:jc w:val="center"/>
        <w:outlineLvl w:val="0"/>
        <w:rPr>
          <w:rFonts w:ascii="黑体" w:hAnsi="黑体" w:eastAsia="黑体" w:cs="Times New Roman"/>
          <w:snapToGrid w:val="0"/>
          <w:sz w:val="30"/>
          <w:szCs w:val="30"/>
        </w:rPr>
      </w:pPr>
      <w:r>
        <w:rPr>
          <w:rFonts w:hint="eastAsia" w:ascii="黑体" w:hAnsi="黑体" w:eastAsia="黑体" w:cs="黑体"/>
          <w:snapToGrid w:val="0"/>
          <w:sz w:val="30"/>
          <w:szCs w:val="30"/>
        </w:rPr>
        <w:t>三、区域环境质量现状、环境保护目标及评价标准</w:t>
      </w:r>
      <w:bookmarkEnd w:id="6"/>
    </w:p>
    <w:tbl>
      <w:tblPr>
        <w:tblStyle w:val="30"/>
        <w:tblW w:w="8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330"/>
        <w:gridCol w:w="3"/>
      </w:tblGrid>
      <w:tr w14:paraId="4FA828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92" w:type="dxa"/>
            <w:tcBorders>
              <w:top w:val="single" w:color="auto" w:sz="8" w:space="0"/>
            </w:tcBorders>
            <w:vAlign w:val="center"/>
          </w:tcPr>
          <w:p w14:paraId="6A526F08">
            <w:pPr>
              <w:keepNext w:val="0"/>
              <w:keepLines w:val="0"/>
              <w:suppressLineNumbers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区域</w:t>
            </w:r>
          </w:p>
          <w:p w14:paraId="0A638E12">
            <w:pPr>
              <w:keepNext w:val="0"/>
              <w:keepLines w:val="0"/>
              <w:suppressLineNumbers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环境</w:t>
            </w:r>
          </w:p>
          <w:p w14:paraId="78E1CAB4">
            <w:pPr>
              <w:keepNext w:val="0"/>
              <w:keepLines w:val="0"/>
              <w:suppressLineNumbers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质量</w:t>
            </w:r>
          </w:p>
          <w:p w14:paraId="668AE377">
            <w:pPr>
              <w:keepNext w:val="0"/>
              <w:keepLines w:val="0"/>
              <w:suppressLineNumbers w:val="0"/>
              <w:spacing w:before="0" w:beforeAutospacing="0" w:after="0" w:afterAutospacing="0" w:line="240" w:lineRule="auto"/>
              <w:ind w:left="0" w:right="0"/>
              <w:jc w:val="center"/>
              <w:rPr>
                <w:rFonts w:hint="default" w:ascii="宋体"/>
                <w:kern w:val="0"/>
              </w:rPr>
            </w:pPr>
            <w:r>
              <w:rPr>
                <w:rFonts w:hint="eastAsia" w:ascii="宋体" w:hAnsi="宋体" w:cs="宋体"/>
                <w:b/>
                <w:bCs/>
                <w:kern w:val="0"/>
                <w:sz w:val="24"/>
                <w:szCs w:val="24"/>
              </w:rPr>
              <w:t>现状</w:t>
            </w:r>
          </w:p>
        </w:tc>
        <w:tc>
          <w:tcPr>
            <w:tcW w:w="8294" w:type="dxa"/>
            <w:gridSpan w:val="2"/>
            <w:tcBorders>
              <w:top w:val="single" w:color="auto" w:sz="8" w:space="0"/>
            </w:tcBorders>
            <w:vAlign w:val="center"/>
          </w:tcPr>
          <w:p w14:paraId="24F7281B">
            <w:pPr>
              <w:keepNext w:val="0"/>
              <w:keepLines w:val="0"/>
              <w:suppressLineNumbers w:val="0"/>
              <w:spacing w:before="0" w:beforeAutospacing="0" w:after="0" w:afterAutospacing="0" w:line="360" w:lineRule="auto"/>
              <w:ind w:left="0" w:right="0"/>
              <w:rPr>
                <w:rFonts w:hint="default"/>
                <w:b/>
                <w:bCs/>
                <w:sz w:val="28"/>
                <w:szCs w:val="28"/>
              </w:rPr>
            </w:pPr>
            <w:r>
              <w:rPr>
                <w:rFonts w:hint="eastAsia" w:cs="宋体"/>
                <w:b/>
                <w:bCs/>
                <w:sz w:val="28"/>
                <w:szCs w:val="28"/>
              </w:rPr>
              <w:t>建设项目所在地区域环境质量现状及主要环境问题（环境空气、地面水、地下水、声环境、生态环境等）：</w:t>
            </w:r>
          </w:p>
          <w:p w14:paraId="1A23E0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eastAsia="zh-CN"/>
              </w:rPr>
            </w:pPr>
            <w:bookmarkStart w:id="7" w:name="_Toc92187699"/>
            <w:r>
              <w:rPr>
                <w:rFonts w:hint="default" w:ascii="Times New Roman" w:hAnsi="Times New Roman" w:eastAsia="宋体" w:cs="Times New Roman"/>
                <w:color w:val="auto"/>
                <w:sz w:val="24"/>
                <w:szCs w:val="24"/>
                <w:lang w:eastAsia="zh-CN"/>
              </w:rPr>
              <w:t>本项目引用淮北市</w:t>
            </w:r>
            <w:r>
              <w:rPr>
                <w:rFonts w:hint="default" w:ascii="Times New Roman" w:hAnsi="Times New Roman" w:eastAsia="宋体" w:cs="Times New Roman"/>
                <w:color w:val="auto"/>
                <w:sz w:val="24"/>
                <w:szCs w:val="24"/>
                <w:lang w:val="en-US" w:eastAsia="zh-CN"/>
              </w:rPr>
              <w:t>202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lang w:eastAsia="zh-CN"/>
              </w:rPr>
              <w:t>年度环境公报</w:t>
            </w:r>
            <w:r>
              <w:rPr>
                <w:rFonts w:hint="eastAsia" w:cs="Times New Roman"/>
                <w:color w:val="auto"/>
                <w:sz w:val="24"/>
                <w:szCs w:val="24"/>
                <w:lang w:val="en-US" w:eastAsia="zh-CN"/>
              </w:rPr>
              <w:t>及《烈山经济开发区区域环境跟踪检测项目》中相关数据</w:t>
            </w:r>
            <w:r>
              <w:rPr>
                <w:rFonts w:hint="default" w:ascii="Times New Roman" w:hAnsi="Times New Roman" w:eastAsia="宋体" w:cs="Times New Roman"/>
                <w:color w:val="auto"/>
                <w:sz w:val="24"/>
                <w:szCs w:val="24"/>
                <w:lang w:eastAsia="zh-CN"/>
              </w:rPr>
              <w:t>，进行本项目的环境质量现状评价。</w:t>
            </w:r>
          </w:p>
          <w:bookmarkEnd w:id="7"/>
          <w:p w14:paraId="6ABFF5D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2"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b/>
                <w:bCs/>
                <w:color w:val="auto"/>
                <w:sz w:val="24"/>
                <w:szCs w:val="24"/>
                <w:lang w:eastAsia="zh-CN"/>
              </w:rPr>
              <w:t>一、环境空气质量</w:t>
            </w:r>
          </w:p>
          <w:p w14:paraId="6D2F268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2" w:firstLineChars="200"/>
              <w:jc w:val="both"/>
              <w:textAlignment w:val="auto"/>
              <w:outlineLvl w:val="9"/>
              <w:rPr>
                <w:rFonts w:hint="eastAsia" w:cs="Times New Roman"/>
                <w:b/>
                <w:bCs/>
                <w:color w:val="auto"/>
                <w:sz w:val="24"/>
                <w:szCs w:val="24"/>
                <w:lang w:val="en-US" w:eastAsia="zh-CN"/>
              </w:rPr>
            </w:pPr>
            <w:r>
              <w:rPr>
                <w:rFonts w:hint="eastAsia" w:cs="Times New Roman"/>
                <w:b/>
                <w:bCs/>
                <w:color w:val="auto"/>
                <w:sz w:val="24"/>
                <w:szCs w:val="24"/>
                <w:lang w:val="en-US" w:eastAsia="zh-CN"/>
              </w:rPr>
              <w:t>1、</w:t>
            </w:r>
            <w:r>
              <w:rPr>
                <w:rFonts w:hint="default" w:ascii="Times New Roman" w:hAnsi="Times New Roman" w:eastAsia="宋体" w:cs="Times New Roman"/>
                <w:b/>
                <w:bCs/>
                <w:color w:val="auto"/>
                <w:sz w:val="24"/>
                <w:szCs w:val="24"/>
              </w:rPr>
              <w:t>基本污染物环境质量现状评价</w:t>
            </w:r>
          </w:p>
          <w:p w14:paraId="51B196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本项目根据《20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年淮北市环境质量公告》中淮北市环境保护监测站20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年1月1日~20</w:t>
            </w:r>
            <w:r>
              <w:rPr>
                <w:rFonts w:hint="eastAsia"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4</w:t>
            </w:r>
            <w:r>
              <w:rPr>
                <w:rFonts w:hint="default" w:ascii="Times New Roman" w:hAnsi="Times New Roman" w:eastAsia="宋体" w:cs="Times New Roman"/>
                <w:color w:val="auto"/>
                <w:sz w:val="24"/>
                <w:szCs w:val="24"/>
              </w:rPr>
              <w:t>年12月31日的监测数据进行评价，基本污染物环境质量现状评价见表</w:t>
            </w:r>
            <w:r>
              <w:rPr>
                <w:rFonts w:hint="default"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w:t>
            </w:r>
          </w:p>
          <w:p w14:paraId="64E7C80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 xml:space="preserve">表3-1  </w:t>
            </w:r>
            <w:r>
              <w:rPr>
                <w:rFonts w:hint="default" w:ascii="Times New Roman" w:hAnsi="Times New Roman" w:eastAsia="宋体" w:cs="Times New Roman"/>
                <w:b/>
                <w:bCs/>
                <w:color w:val="auto"/>
                <w:sz w:val="24"/>
                <w:szCs w:val="24"/>
                <w:shd w:val="clear" w:color="auto" w:fill="FFFFFF"/>
              </w:rPr>
              <w:t>基本污染物环境质量现状</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008"/>
              <w:gridCol w:w="1101"/>
              <w:gridCol w:w="1033"/>
              <w:gridCol w:w="890"/>
              <w:gridCol w:w="693"/>
              <w:gridCol w:w="644"/>
            </w:tblGrid>
            <w:tr w14:paraId="6418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vMerge w:val="restart"/>
                  <w:tcBorders>
                    <w:tl2br w:val="nil"/>
                    <w:tr2bl w:val="nil"/>
                  </w:tcBorders>
                  <w:vAlign w:val="center"/>
                </w:tcPr>
                <w:p w14:paraId="0D12F96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污染物</w:t>
                  </w:r>
                </w:p>
              </w:tc>
              <w:tc>
                <w:tcPr>
                  <w:tcW w:w="1855" w:type="pct"/>
                  <w:vMerge w:val="restart"/>
                  <w:tcBorders>
                    <w:tl2br w:val="nil"/>
                    <w:tr2bl w:val="nil"/>
                  </w:tcBorders>
                  <w:vAlign w:val="center"/>
                </w:tcPr>
                <w:p w14:paraId="3DA2DCEF">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年评价指标</w:t>
                  </w:r>
                </w:p>
              </w:tc>
              <w:tc>
                <w:tcPr>
                  <w:tcW w:w="679" w:type="pct"/>
                  <w:vMerge w:val="restart"/>
                  <w:tcBorders>
                    <w:tl2br w:val="nil"/>
                    <w:tr2bl w:val="nil"/>
                  </w:tcBorders>
                  <w:vAlign w:val="center"/>
                </w:tcPr>
                <w:p w14:paraId="16414944">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现状浓度</w:t>
                  </w:r>
                </w:p>
              </w:tc>
              <w:tc>
                <w:tcPr>
                  <w:tcW w:w="637" w:type="pct"/>
                  <w:vMerge w:val="restart"/>
                  <w:tcBorders>
                    <w:tl2br w:val="nil"/>
                    <w:tr2bl w:val="nil"/>
                  </w:tcBorders>
                  <w:vAlign w:val="center"/>
                </w:tcPr>
                <w:p w14:paraId="6DB1819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标准值</w:t>
                  </w:r>
                </w:p>
              </w:tc>
              <w:tc>
                <w:tcPr>
                  <w:tcW w:w="549" w:type="pct"/>
                  <w:vMerge w:val="restart"/>
                  <w:tcBorders>
                    <w:tl2br w:val="nil"/>
                    <w:tr2bl w:val="nil"/>
                  </w:tcBorders>
                  <w:vAlign w:val="center"/>
                </w:tcPr>
                <w:p w14:paraId="7FC32A8E">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占标率</w:t>
                  </w:r>
                  <w:r>
                    <w:rPr>
                      <w:rFonts w:hint="default" w:ascii="Times New Roman" w:hAnsi="Times New Roman" w:eastAsia="宋体" w:cs="Times New Roman"/>
                      <w:b/>
                      <w:bCs/>
                      <w:color w:val="auto"/>
                      <w:kern w:val="0"/>
                      <w:sz w:val="21"/>
                      <w:szCs w:val="21"/>
                      <w:lang w:eastAsia="zh-CN"/>
                    </w:rPr>
                    <w:t>（</w:t>
                  </w:r>
                  <w:r>
                    <w:rPr>
                      <w:rFonts w:hint="default" w:ascii="Times New Roman" w:hAnsi="Times New Roman" w:eastAsia="宋体" w:cs="Times New Roman"/>
                      <w:b/>
                      <w:bCs/>
                      <w:color w:val="auto"/>
                      <w:kern w:val="0"/>
                      <w:sz w:val="21"/>
                      <w:szCs w:val="21"/>
                    </w:rPr>
                    <w:t>%</w:t>
                  </w:r>
                  <w:r>
                    <w:rPr>
                      <w:rFonts w:hint="default" w:ascii="Times New Roman" w:hAnsi="Times New Roman" w:eastAsia="宋体" w:cs="Times New Roman"/>
                      <w:b/>
                      <w:bCs/>
                      <w:color w:val="auto"/>
                      <w:kern w:val="0"/>
                      <w:sz w:val="21"/>
                      <w:szCs w:val="21"/>
                      <w:lang w:eastAsia="zh-CN"/>
                    </w:rPr>
                    <w:t>）</w:t>
                  </w:r>
                </w:p>
              </w:tc>
              <w:tc>
                <w:tcPr>
                  <w:tcW w:w="824" w:type="pct"/>
                  <w:gridSpan w:val="2"/>
                  <w:tcBorders>
                    <w:tl2br w:val="nil"/>
                    <w:tr2bl w:val="nil"/>
                  </w:tcBorders>
                  <w:vAlign w:val="center"/>
                </w:tcPr>
                <w:p w14:paraId="4E4DAC2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达标情况</w:t>
                  </w:r>
                </w:p>
              </w:tc>
            </w:tr>
            <w:tr w14:paraId="44B5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vMerge w:val="continue"/>
                  <w:tcBorders>
                    <w:tl2br w:val="nil"/>
                    <w:tr2bl w:val="nil"/>
                  </w:tcBorders>
                  <w:vAlign w:val="center"/>
                </w:tcPr>
                <w:p w14:paraId="7C1C667C">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1855" w:type="pct"/>
                  <w:vMerge w:val="continue"/>
                  <w:tcBorders>
                    <w:tl2br w:val="nil"/>
                    <w:tr2bl w:val="nil"/>
                  </w:tcBorders>
                  <w:vAlign w:val="center"/>
                </w:tcPr>
                <w:p w14:paraId="1939EBFE">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679" w:type="pct"/>
                  <w:vMerge w:val="continue"/>
                  <w:tcBorders>
                    <w:tl2br w:val="nil"/>
                    <w:tr2bl w:val="nil"/>
                  </w:tcBorders>
                  <w:vAlign w:val="center"/>
                </w:tcPr>
                <w:p w14:paraId="1CE03CA3">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637" w:type="pct"/>
                  <w:vMerge w:val="continue"/>
                  <w:tcBorders>
                    <w:tl2br w:val="nil"/>
                    <w:tr2bl w:val="nil"/>
                  </w:tcBorders>
                  <w:vAlign w:val="center"/>
                </w:tcPr>
                <w:p w14:paraId="06C6A779">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549" w:type="pct"/>
                  <w:vMerge w:val="continue"/>
                  <w:tcBorders>
                    <w:tl2br w:val="nil"/>
                    <w:tr2bl w:val="nil"/>
                  </w:tcBorders>
                  <w:vAlign w:val="center"/>
                </w:tcPr>
                <w:p w14:paraId="09B57B0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427" w:type="pct"/>
                  <w:tcBorders>
                    <w:tl2br w:val="nil"/>
                    <w:tr2bl w:val="nil"/>
                  </w:tcBorders>
                  <w:vAlign w:val="center"/>
                </w:tcPr>
                <w:p w14:paraId="4F4C6619">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分项</w:t>
                  </w:r>
                </w:p>
              </w:tc>
              <w:tc>
                <w:tcPr>
                  <w:tcW w:w="397" w:type="pct"/>
                  <w:tcBorders>
                    <w:tl2br w:val="nil"/>
                    <w:tr2bl w:val="nil"/>
                  </w:tcBorders>
                  <w:vAlign w:val="center"/>
                </w:tcPr>
                <w:p w14:paraId="734D2981">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总体</w:t>
                  </w:r>
                </w:p>
              </w:tc>
            </w:tr>
            <w:tr w14:paraId="21B1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tcBorders>
                    <w:tl2br w:val="nil"/>
                    <w:tr2bl w:val="nil"/>
                  </w:tcBorders>
                  <w:vAlign w:val="center"/>
                </w:tcPr>
                <w:p w14:paraId="14339F24">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PM</w:t>
                  </w:r>
                  <w:r>
                    <w:rPr>
                      <w:rFonts w:hint="default" w:ascii="Times New Roman" w:hAnsi="Times New Roman" w:eastAsia="宋体" w:cs="Times New Roman"/>
                      <w:b w:val="0"/>
                      <w:bCs w:val="0"/>
                      <w:color w:val="auto"/>
                      <w:kern w:val="0"/>
                      <w:sz w:val="21"/>
                      <w:szCs w:val="21"/>
                      <w:vertAlign w:val="subscript"/>
                    </w:rPr>
                    <w:t>2.5</w:t>
                  </w:r>
                </w:p>
              </w:tc>
              <w:tc>
                <w:tcPr>
                  <w:tcW w:w="1855" w:type="pct"/>
                  <w:vMerge w:val="restart"/>
                  <w:tcBorders>
                    <w:tl2br w:val="nil"/>
                    <w:tr2bl w:val="nil"/>
                  </w:tcBorders>
                  <w:vAlign w:val="center"/>
                </w:tcPr>
                <w:p w14:paraId="5C9225B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年平均质量浓度</w:t>
                  </w:r>
                </w:p>
              </w:tc>
              <w:tc>
                <w:tcPr>
                  <w:tcW w:w="679" w:type="pct"/>
                  <w:tcBorders>
                    <w:tl2br w:val="nil"/>
                    <w:tr2bl w:val="nil"/>
                  </w:tcBorders>
                  <w:vAlign w:val="center"/>
                </w:tcPr>
                <w:p w14:paraId="1296F62F">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1"/>
                      <w:szCs w:val="21"/>
                    </w:rPr>
                  </w:pPr>
                  <w:r>
                    <w:rPr>
                      <w:rFonts w:hint="eastAsia"/>
                      <w:color w:val="auto"/>
                      <w:kern w:val="0"/>
                      <w:sz w:val="21"/>
                      <w:szCs w:val="21"/>
                    </w:rPr>
                    <w:t>4</w:t>
                  </w:r>
                  <w:r>
                    <w:rPr>
                      <w:rFonts w:hint="eastAsia"/>
                      <w:color w:val="auto"/>
                      <w:kern w:val="0"/>
                      <w:sz w:val="21"/>
                      <w:szCs w:val="21"/>
                      <w:lang w:val="en-US" w:eastAsia="zh-CN"/>
                    </w:rPr>
                    <w:t>3</w:t>
                  </w:r>
                  <w:r>
                    <w:rPr>
                      <w:rFonts w:hint="default"/>
                      <w:color w:val="auto"/>
                      <w:kern w:val="0"/>
                      <w:sz w:val="21"/>
                      <w:szCs w:val="21"/>
                    </w:rPr>
                    <w:t>μg/m</w:t>
                  </w:r>
                  <w:r>
                    <w:rPr>
                      <w:rFonts w:hint="default"/>
                      <w:color w:val="auto"/>
                      <w:kern w:val="0"/>
                      <w:sz w:val="21"/>
                      <w:szCs w:val="21"/>
                      <w:vertAlign w:val="superscript"/>
                    </w:rPr>
                    <w:t>3</w:t>
                  </w:r>
                </w:p>
              </w:tc>
              <w:tc>
                <w:tcPr>
                  <w:tcW w:w="637" w:type="pct"/>
                  <w:tcBorders>
                    <w:tl2br w:val="nil"/>
                    <w:tr2bl w:val="nil"/>
                  </w:tcBorders>
                  <w:vAlign w:val="center"/>
                </w:tcPr>
                <w:p w14:paraId="4CCCD16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35</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549" w:type="pct"/>
                  <w:tcBorders>
                    <w:tl2br w:val="nil"/>
                    <w:tr2bl w:val="nil"/>
                  </w:tcBorders>
                  <w:vAlign w:val="center"/>
                </w:tcPr>
                <w:p w14:paraId="659FD32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120</w:t>
                  </w:r>
                </w:p>
              </w:tc>
              <w:tc>
                <w:tcPr>
                  <w:tcW w:w="427" w:type="pct"/>
                  <w:tcBorders>
                    <w:tl2br w:val="nil"/>
                    <w:tr2bl w:val="nil"/>
                  </w:tcBorders>
                  <w:vAlign w:val="center"/>
                </w:tcPr>
                <w:p w14:paraId="2AFD4601">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超标</w:t>
                  </w:r>
                </w:p>
              </w:tc>
              <w:tc>
                <w:tcPr>
                  <w:tcW w:w="397" w:type="pct"/>
                  <w:vMerge w:val="restart"/>
                  <w:tcBorders>
                    <w:tl2br w:val="nil"/>
                    <w:tr2bl w:val="nil"/>
                  </w:tcBorders>
                  <w:vAlign w:val="center"/>
                </w:tcPr>
                <w:p w14:paraId="4A857401">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不</w:t>
                  </w:r>
                </w:p>
                <w:p w14:paraId="4D140D57">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w:t>
                  </w:r>
                </w:p>
                <w:p w14:paraId="0962A216">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标</w:t>
                  </w:r>
                </w:p>
              </w:tc>
            </w:tr>
            <w:tr w14:paraId="7112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tcBorders>
                    <w:tl2br w:val="nil"/>
                    <w:tr2bl w:val="nil"/>
                  </w:tcBorders>
                  <w:vAlign w:val="center"/>
                </w:tcPr>
                <w:p w14:paraId="19E2FB11">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PM</w:t>
                  </w:r>
                  <w:r>
                    <w:rPr>
                      <w:rFonts w:hint="default" w:ascii="Times New Roman" w:hAnsi="Times New Roman" w:eastAsia="宋体" w:cs="Times New Roman"/>
                      <w:b w:val="0"/>
                      <w:bCs w:val="0"/>
                      <w:color w:val="auto"/>
                      <w:kern w:val="0"/>
                      <w:sz w:val="21"/>
                      <w:szCs w:val="21"/>
                      <w:vertAlign w:val="subscript"/>
                    </w:rPr>
                    <w:t>10</w:t>
                  </w:r>
                </w:p>
              </w:tc>
              <w:tc>
                <w:tcPr>
                  <w:tcW w:w="1855" w:type="pct"/>
                  <w:vMerge w:val="continue"/>
                  <w:tcBorders>
                    <w:tl2br w:val="nil"/>
                    <w:tr2bl w:val="nil"/>
                  </w:tcBorders>
                  <w:vAlign w:val="center"/>
                </w:tcPr>
                <w:p w14:paraId="604479C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c>
                <w:tcPr>
                  <w:tcW w:w="679" w:type="pct"/>
                  <w:tcBorders>
                    <w:tl2br w:val="nil"/>
                    <w:tr2bl w:val="nil"/>
                  </w:tcBorders>
                  <w:vAlign w:val="center"/>
                </w:tcPr>
                <w:p w14:paraId="7BD38F5C">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1"/>
                      <w:szCs w:val="21"/>
                    </w:rPr>
                  </w:pPr>
                  <w:r>
                    <w:rPr>
                      <w:rFonts w:hint="eastAsia"/>
                      <w:color w:val="auto"/>
                      <w:kern w:val="0"/>
                      <w:sz w:val="21"/>
                      <w:szCs w:val="21"/>
                    </w:rPr>
                    <w:t>70</w:t>
                  </w:r>
                  <w:r>
                    <w:rPr>
                      <w:rFonts w:hint="default"/>
                      <w:color w:val="auto"/>
                      <w:kern w:val="0"/>
                      <w:sz w:val="21"/>
                      <w:szCs w:val="21"/>
                    </w:rPr>
                    <w:t>μg/m</w:t>
                  </w:r>
                  <w:r>
                    <w:rPr>
                      <w:rFonts w:hint="default"/>
                      <w:color w:val="auto"/>
                      <w:kern w:val="0"/>
                      <w:sz w:val="21"/>
                      <w:szCs w:val="21"/>
                      <w:vertAlign w:val="superscript"/>
                    </w:rPr>
                    <w:t>3</w:t>
                  </w:r>
                </w:p>
              </w:tc>
              <w:tc>
                <w:tcPr>
                  <w:tcW w:w="637" w:type="pct"/>
                  <w:tcBorders>
                    <w:tl2br w:val="nil"/>
                    <w:tr2bl w:val="nil"/>
                  </w:tcBorders>
                  <w:vAlign w:val="center"/>
                </w:tcPr>
                <w:p w14:paraId="38756E48">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70</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549" w:type="pct"/>
                  <w:tcBorders>
                    <w:tl2br w:val="nil"/>
                    <w:tr2bl w:val="nil"/>
                  </w:tcBorders>
                  <w:vAlign w:val="center"/>
                </w:tcPr>
                <w:p w14:paraId="25453D7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100</w:t>
                  </w:r>
                </w:p>
              </w:tc>
              <w:tc>
                <w:tcPr>
                  <w:tcW w:w="427" w:type="pct"/>
                  <w:tcBorders>
                    <w:tl2br w:val="nil"/>
                    <w:tr2bl w:val="nil"/>
                  </w:tcBorders>
                  <w:vAlign w:val="center"/>
                </w:tcPr>
                <w:p w14:paraId="22B5EE96">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达标</w:t>
                  </w:r>
                </w:p>
              </w:tc>
              <w:tc>
                <w:tcPr>
                  <w:tcW w:w="397" w:type="pct"/>
                  <w:vMerge w:val="continue"/>
                  <w:tcBorders>
                    <w:tl2br w:val="nil"/>
                    <w:tr2bl w:val="nil"/>
                  </w:tcBorders>
                  <w:vAlign w:val="center"/>
                </w:tcPr>
                <w:p w14:paraId="55F33F12">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130C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tcBorders>
                    <w:tl2br w:val="nil"/>
                    <w:tr2bl w:val="nil"/>
                  </w:tcBorders>
                  <w:vAlign w:val="center"/>
                </w:tcPr>
                <w:p w14:paraId="5DCC8EBC">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SO</w:t>
                  </w:r>
                  <w:r>
                    <w:rPr>
                      <w:rFonts w:hint="default" w:ascii="Times New Roman" w:hAnsi="Times New Roman" w:eastAsia="宋体" w:cs="Times New Roman"/>
                      <w:b w:val="0"/>
                      <w:bCs w:val="0"/>
                      <w:color w:val="auto"/>
                      <w:kern w:val="0"/>
                      <w:sz w:val="21"/>
                      <w:szCs w:val="21"/>
                      <w:vertAlign w:val="subscript"/>
                    </w:rPr>
                    <w:t>2</w:t>
                  </w:r>
                </w:p>
              </w:tc>
              <w:tc>
                <w:tcPr>
                  <w:tcW w:w="1855" w:type="pct"/>
                  <w:vMerge w:val="continue"/>
                  <w:tcBorders>
                    <w:tl2br w:val="nil"/>
                    <w:tr2bl w:val="nil"/>
                  </w:tcBorders>
                  <w:vAlign w:val="center"/>
                </w:tcPr>
                <w:p w14:paraId="0B5CD396">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c>
                <w:tcPr>
                  <w:tcW w:w="679" w:type="pct"/>
                  <w:tcBorders>
                    <w:tl2br w:val="nil"/>
                    <w:tr2bl w:val="nil"/>
                  </w:tcBorders>
                  <w:vAlign w:val="center"/>
                </w:tcPr>
                <w:p w14:paraId="3427512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1"/>
                      <w:szCs w:val="21"/>
                      <w:lang w:eastAsia="zh-CN"/>
                    </w:rPr>
                  </w:pPr>
                  <w:r>
                    <w:rPr>
                      <w:rFonts w:hint="eastAsia"/>
                      <w:color w:val="auto"/>
                      <w:kern w:val="0"/>
                      <w:sz w:val="21"/>
                      <w:szCs w:val="21"/>
                      <w:lang w:val="en-US" w:eastAsia="zh-CN"/>
                    </w:rPr>
                    <w:t>6</w:t>
                  </w:r>
                  <w:r>
                    <w:rPr>
                      <w:rFonts w:hint="default"/>
                      <w:color w:val="auto"/>
                      <w:kern w:val="0"/>
                      <w:sz w:val="21"/>
                      <w:szCs w:val="21"/>
                    </w:rPr>
                    <w:t>μg/m</w:t>
                  </w:r>
                  <w:r>
                    <w:rPr>
                      <w:rFonts w:hint="default"/>
                      <w:color w:val="auto"/>
                      <w:kern w:val="0"/>
                      <w:sz w:val="21"/>
                      <w:szCs w:val="21"/>
                      <w:vertAlign w:val="superscript"/>
                    </w:rPr>
                    <w:t>3</w:t>
                  </w:r>
                </w:p>
              </w:tc>
              <w:tc>
                <w:tcPr>
                  <w:tcW w:w="637" w:type="pct"/>
                  <w:tcBorders>
                    <w:tl2br w:val="nil"/>
                    <w:tr2bl w:val="nil"/>
                  </w:tcBorders>
                  <w:vAlign w:val="center"/>
                </w:tcPr>
                <w:p w14:paraId="23EDF01E">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60</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549" w:type="pct"/>
                  <w:tcBorders>
                    <w:tl2br w:val="nil"/>
                    <w:tr2bl w:val="nil"/>
                  </w:tcBorders>
                  <w:vAlign w:val="center"/>
                </w:tcPr>
                <w:p w14:paraId="3AB13352">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11.67</w:t>
                  </w:r>
                </w:p>
              </w:tc>
              <w:tc>
                <w:tcPr>
                  <w:tcW w:w="427" w:type="pct"/>
                  <w:tcBorders>
                    <w:tl2br w:val="nil"/>
                    <w:tr2bl w:val="nil"/>
                  </w:tcBorders>
                  <w:vAlign w:val="center"/>
                </w:tcPr>
                <w:p w14:paraId="3697E548">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达标</w:t>
                  </w:r>
                </w:p>
              </w:tc>
              <w:tc>
                <w:tcPr>
                  <w:tcW w:w="397" w:type="pct"/>
                  <w:vMerge w:val="continue"/>
                  <w:tcBorders>
                    <w:tl2br w:val="nil"/>
                    <w:tr2bl w:val="nil"/>
                  </w:tcBorders>
                  <w:vAlign w:val="center"/>
                </w:tcPr>
                <w:p w14:paraId="2F437B9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47BD1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tcBorders>
                    <w:tl2br w:val="nil"/>
                    <w:tr2bl w:val="nil"/>
                  </w:tcBorders>
                  <w:vAlign w:val="center"/>
                </w:tcPr>
                <w:p w14:paraId="3CB34F44">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NO</w:t>
                  </w:r>
                  <w:r>
                    <w:rPr>
                      <w:rFonts w:hint="default" w:ascii="Times New Roman" w:hAnsi="Times New Roman" w:eastAsia="宋体" w:cs="Times New Roman"/>
                      <w:b w:val="0"/>
                      <w:bCs w:val="0"/>
                      <w:color w:val="auto"/>
                      <w:kern w:val="0"/>
                      <w:sz w:val="21"/>
                      <w:szCs w:val="21"/>
                      <w:vertAlign w:val="subscript"/>
                    </w:rPr>
                    <w:t>2</w:t>
                  </w:r>
                </w:p>
              </w:tc>
              <w:tc>
                <w:tcPr>
                  <w:tcW w:w="1855" w:type="pct"/>
                  <w:vMerge w:val="continue"/>
                  <w:tcBorders>
                    <w:tl2br w:val="nil"/>
                    <w:tr2bl w:val="nil"/>
                  </w:tcBorders>
                  <w:vAlign w:val="center"/>
                </w:tcPr>
                <w:p w14:paraId="11D3209C">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c>
                <w:tcPr>
                  <w:tcW w:w="679" w:type="pct"/>
                  <w:tcBorders>
                    <w:tl2br w:val="nil"/>
                    <w:tr2bl w:val="nil"/>
                  </w:tcBorders>
                  <w:vAlign w:val="center"/>
                </w:tcPr>
                <w:p w14:paraId="443FC1A3">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1"/>
                      <w:szCs w:val="21"/>
                      <w:lang w:eastAsia="zh-CN"/>
                    </w:rPr>
                  </w:pPr>
                  <w:r>
                    <w:rPr>
                      <w:rFonts w:hint="eastAsia"/>
                      <w:color w:val="auto"/>
                      <w:kern w:val="0"/>
                      <w:sz w:val="21"/>
                      <w:szCs w:val="21"/>
                      <w:lang w:val="en-US" w:eastAsia="zh-CN"/>
                    </w:rPr>
                    <w:t>19</w:t>
                  </w:r>
                  <w:r>
                    <w:rPr>
                      <w:rFonts w:hint="default"/>
                      <w:color w:val="auto"/>
                      <w:kern w:val="0"/>
                      <w:sz w:val="21"/>
                      <w:szCs w:val="21"/>
                    </w:rPr>
                    <w:t>μg/m</w:t>
                  </w:r>
                  <w:r>
                    <w:rPr>
                      <w:rFonts w:hint="default"/>
                      <w:color w:val="auto"/>
                      <w:kern w:val="0"/>
                      <w:sz w:val="21"/>
                      <w:szCs w:val="21"/>
                      <w:vertAlign w:val="superscript"/>
                    </w:rPr>
                    <w:t>3</w:t>
                  </w:r>
                </w:p>
              </w:tc>
              <w:tc>
                <w:tcPr>
                  <w:tcW w:w="637" w:type="pct"/>
                  <w:tcBorders>
                    <w:tl2br w:val="nil"/>
                    <w:tr2bl w:val="nil"/>
                  </w:tcBorders>
                  <w:vAlign w:val="center"/>
                </w:tcPr>
                <w:p w14:paraId="0D8FFAB2">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40</w:t>
                  </w:r>
                  <w:r>
                    <w:rPr>
                      <w:rFonts w:hint="default" w:ascii="Times New Roman" w:hAnsi="Times New Roman" w:eastAsia="宋体" w:cs="Times New Roman"/>
                      <w:b w:val="0"/>
                      <w:bCs w:val="0"/>
                      <w:color w:val="auto"/>
                      <w:kern w:val="0"/>
                      <w:sz w:val="21"/>
                      <w:szCs w:val="21"/>
                      <w:lang w:val="en-US" w:eastAsia="zh-CN"/>
                    </w:rPr>
                    <w:t xml:space="preserve"> </w:t>
                  </w:r>
                  <w:r>
                    <w:rPr>
                      <w:rFonts w:hint="default" w:ascii="Times New Roman" w:hAnsi="Times New Roman" w:eastAsia="宋体" w:cs="Times New Roman"/>
                      <w:b w:val="0"/>
                      <w:bCs w:val="0"/>
                      <w:color w:val="auto"/>
                      <w:kern w:val="0"/>
                      <w:sz w:val="21"/>
                      <w:szCs w:val="21"/>
                    </w:rPr>
                    <w:t>μg/m</w:t>
                  </w:r>
                  <w:r>
                    <w:rPr>
                      <w:rFonts w:hint="default" w:ascii="Times New Roman" w:hAnsi="Times New Roman" w:eastAsia="宋体" w:cs="Times New Roman"/>
                      <w:b w:val="0"/>
                      <w:bCs w:val="0"/>
                      <w:color w:val="auto"/>
                      <w:kern w:val="0"/>
                      <w:sz w:val="21"/>
                      <w:szCs w:val="21"/>
                      <w:vertAlign w:val="superscript"/>
                    </w:rPr>
                    <w:t>3</w:t>
                  </w:r>
                </w:p>
              </w:tc>
              <w:tc>
                <w:tcPr>
                  <w:tcW w:w="549" w:type="pct"/>
                  <w:tcBorders>
                    <w:tl2br w:val="nil"/>
                    <w:tr2bl w:val="nil"/>
                  </w:tcBorders>
                  <w:vAlign w:val="center"/>
                </w:tcPr>
                <w:p w14:paraId="48585088">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52.5</w:t>
                  </w:r>
                </w:p>
              </w:tc>
              <w:tc>
                <w:tcPr>
                  <w:tcW w:w="427" w:type="pct"/>
                  <w:tcBorders>
                    <w:tl2br w:val="nil"/>
                    <w:tr2bl w:val="nil"/>
                  </w:tcBorders>
                  <w:vAlign w:val="center"/>
                </w:tcPr>
                <w:p w14:paraId="158DC4B0">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达标</w:t>
                  </w:r>
                </w:p>
              </w:tc>
              <w:tc>
                <w:tcPr>
                  <w:tcW w:w="397" w:type="pct"/>
                  <w:vMerge w:val="continue"/>
                  <w:tcBorders>
                    <w:tl2br w:val="nil"/>
                    <w:tr2bl w:val="nil"/>
                  </w:tcBorders>
                  <w:vAlign w:val="center"/>
                </w:tcPr>
                <w:p w14:paraId="374D9E3E">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1288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tcBorders>
                    <w:tl2br w:val="nil"/>
                    <w:tr2bl w:val="nil"/>
                  </w:tcBorders>
                  <w:vAlign w:val="center"/>
                </w:tcPr>
                <w:p w14:paraId="61343CD1">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CO</w:t>
                  </w:r>
                </w:p>
              </w:tc>
              <w:tc>
                <w:tcPr>
                  <w:tcW w:w="1855" w:type="pct"/>
                  <w:tcBorders>
                    <w:tl2br w:val="nil"/>
                    <w:tr2bl w:val="nil"/>
                  </w:tcBorders>
                  <w:vAlign w:val="center"/>
                </w:tcPr>
                <w:p w14:paraId="4767C0C1">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日平均第95百分位数质量浓度</w:t>
                  </w:r>
                </w:p>
              </w:tc>
              <w:tc>
                <w:tcPr>
                  <w:tcW w:w="679" w:type="pct"/>
                  <w:tcBorders>
                    <w:tl2br w:val="nil"/>
                    <w:tr2bl w:val="nil"/>
                  </w:tcBorders>
                  <w:vAlign w:val="center"/>
                </w:tcPr>
                <w:p w14:paraId="7227B51D">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1"/>
                      <w:szCs w:val="21"/>
                    </w:rPr>
                  </w:pPr>
                  <w:r>
                    <w:rPr>
                      <w:rFonts w:hint="eastAsia"/>
                      <w:color w:val="auto"/>
                      <w:kern w:val="0"/>
                      <w:sz w:val="21"/>
                      <w:szCs w:val="21"/>
                      <w:lang w:val="en-US" w:eastAsia="zh-CN"/>
                    </w:rPr>
                    <w:t>1.0</w:t>
                  </w:r>
                  <w:r>
                    <w:rPr>
                      <w:rFonts w:hint="default"/>
                      <w:color w:val="auto"/>
                      <w:kern w:val="0"/>
                      <w:sz w:val="21"/>
                      <w:szCs w:val="21"/>
                    </w:rPr>
                    <w:t>mg/m</w:t>
                  </w:r>
                  <w:r>
                    <w:rPr>
                      <w:rFonts w:hint="default"/>
                      <w:color w:val="auto"/>
                      <w:kern w:val="0"/>
                      <w:sz w:val="21"/>
                      <w:szCs w:val="21"/>
                      <w:vertAlign w:val="superscript"/>
                    </w:rPr>
                    <w:t>3</w:t>
                  </w:r>
                </w:p>
              </w:tc>
              <w:tc>
                <w:tcPr>
                  <w:tcW w:w="637" w:type="pct"/>
                  <w:tcBorders>
                    <w:tl2br w:val="nil"/>
                    <w:tr2bl w:val="nil"/>
                  </w:tcBorders>
                  <w:vAlign w:val="center"/>
                </w:tcPr>
                <w:p w14:paraId="4BC3405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4.0mg/m</w:t>
                  </w:r>
                  <w:r>
                    <w:rPr>
                      <w:rFonts w:hint="default" w:ascii="Times New Roman" w:hAnsi="Times New Roman" w:eastAsia="宋体" w:cs="Times New Roman"/>
                      <w:b w:val="0"/>
                      <w:bCs w:val="0"/>
                      <w:color w:val="auto"/>
                      <w:kern w:val="0"/>
                      <w:sz w:val="21"/>
                      <w:szCs w:val="21"/>
                      <w:vertAlign w:val="superscript"/>
                    </w:rPr>
                    <w:t>3</w:t>
                  </w:r>
                </w:p>
              </w:tc>
              <w:tc>
                <w:tcPr>
                  <w:tcW w:w="549" w:type="pct"/>
                  <w:tcBorders>
                    <w:tl2br w:val="nil"/>
                    <w:tr2bl w:val="nil"/>
                  </w:tcBorders>
                  <w:vAlign w:val="center"/>
                </w:tcPr>
                <w:p w14:paraId="768220D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25</w:t>
                  </w:r>
                </w:p>
              </w:tc>
              <w:tc>
                <w:tcPr>
                  <w:tcW w:w="427" w:type="pct"/>
                  <w:tcBorders>
                    <w:tl2br w:val="nil"/>
                    <w:tr2bl w:val="nil"/>
                  </w:tcBorders>
                  <w:vAlign w:val="center"/>
                </w:tcPr>
                <w:p w14:paraId="4A3BF63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达标</w:t>
                  </w:r>
                </w:p>
              </w:tc>
              <w:tc>
                <w:tcPr>
                  <w:tcW w:w="397" w:type="pct"/>
                  <w:vMerge w:val="continue"/>
                  <w:tcBorders>
                    <w:tl2br w:val="nil"/>
                    <w:tr2bl w:val="nil"/>
                  </w:tcBorders>
                  <w:vAlign w:val="center"/>
                </w:tcPr>
                <w:p w14:paraId="21FDB88B">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r w14:paraId="1C92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3" w:type="pct"/>
                  <w:tcBorders>
                    <w:tl2br w:val="nil"/>
                    <w:tr2bl w:val="nil"/>
                  </w:tcBorders>
                  <w:vAlign w:val="center"/>
                </w:tcPr>
                <w:p w14:paraId="7CE1E93E">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O</w:t>
                  </w:r>
                  <w:r>
                    <w:rPr>
                      <w:rFonts w:hint="default" w:ascii="Times New Roman" w:hAnsi="Times New Roman" w:eastAsia="宋体" w:cs="Times New Roman"/>
                      <w:b w:val="0"/>
                      <w:bCs w:val="0"/>
                      <w:color w:val="auto"/>
                      <w:kern w:val="0"/>
                      <w:sz w:val="21"/>
                      <w:szCs w:val="21"/>
                      <w:vertAlign w:val="subscript"/>
                    </w:rPr>
                    <w:t>3</w:t>
                  </w:r>
                </w:p>
              </w:tc>
              <w:tc>
                <w:tcPr>
                  <w:tcW w:w="1855" w:type="pct"/>
                  <w:tcBorders>
                    <w:tl2br w:val="nil"/>
                    <w:tr2bl w:val="nil"/>
                  </w:tcBorders>
                  <w:vAlign w:val="center"/>
                </w:tcPr>
                <w:p w14:paraId="1B54B36A">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最大8h滑动平均第90百分位数质量浓度</w:t>
                  </w:r>
                </w:p>
              </w:tc>
              <w:tc>
                <w:tcPr>
                  <w:tcW w:w="679" w:type="pct"/>
                  <w:tcBorders>
                    <w:tl2br w:val="nil"/>
                    <w:tr2bl w:val="nil"/>
                  </w:tcBorders>
                  <w:vAlign w:val="center"/>
                </w:tcPr>
                <w:p w14:paraId="2E6F07F1">
                  <w:pPr>
                    <w:keepNext w:val="0"/>
                    <w:keepLines w:val="0"/>
                    <w:widowControl/>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kern w:val="0"/>
                      <w:sz w:val="21"/>
                      <w:szCs w:val="21"/>
                    </w:rPr>
                  </w:pPr>
                  <w:r>
                    <w:rPr>
                      <w:rFonts w:hint="default"/>
                      <w:color w:val="auto"/>
                      <w:kern w:val="0"/>
                      <w:sz w:val="21"/>
                      <w:szCs w:val="21"/>
                      <w:lang w:val="en-US" w:eastAsia="zh-CN"/>
                    </w:rPr>
                    <w:t>1</w:t>
                  </w:r>
                  <w:r>
                    <w:rPr>
                      <w:rFonts w:hint="eastAsia"/>
                      <w:color w:val="auto"/>
                      <w:kern w:val="0"/>
                      <w:sz w:val="21"/>
                      <w:szCs w:val="21"/>
                      <w:lang w:val="en-US" w:eastAsia="zh-CN"/>
                    </w:rPr>
                    <w:t>75</w:t>
                  </w:r>
                  <w:r>
                    <w:rPr>
                      <w:rFonts w:hint="default"/>
                      <w:color w:val="auto"/>
                      <w:kern w:val="0"/>
                      <w:sz w:val="21"/>
                      <w:szCs w:val="21"/>
                    </w:rPr>
                    <w:t>μg/m</w:t>
                  </w:r>
                  <w:r>
                    <w:rPr>
                      <w:rFonts w:hint="default"/>
                      <w:color w:val="auto"/>
                      <w:kern w:val="0"/>
                      <w:sz w:val="21"/>
                      <w:szCs w:val="21"/>
                      <w:vertAlign w:val="superscript"/>
                    </w:rPr>
                    <w:t>3</w:t>
                  </w:r>
                </w:p>
              </w:tc>
              <w:tc>
                <w:tcPr>
                  <w:tcW w:w="637" w:type="pct"/>
                  <w:tcBorders>
                    <w:tl2br w:val="nil"/>
                    <w:tr2bl w:val="nil"/>
                  </w:tcBorders>
                  <w:vAlign w:val="center"/>
                </w:tcPr>
                <w:p w14:paraId="2775E5C7">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160μg/m</w:t>
                  </w:r>
                  <w:r>
                    <w:rPr>
                      <w:rFonts w:hint="default" w:ascii="Times New Roman" w:hAnsi="Times New Roman" w:eastAsia="宋体" w:cs="Times New Roman"/>
                      <w:b w:val="0"/>
                      <w:bCs w:val="0"/>
                      <w:color w:val="auto"/>
                      <w:kern w:val="0"/>
                      <w:sz w:val="21"/>
                      <w:szCs w:val="21"/>
                      <w:vertAlign w:val="superscript"/>
                    </w:rPr>
                    <w:t>3</w:t>
                  </w:r>
                </w:p>
              </w:tc>
              <w:tc>
                <w:tcPr>
                  <w:tcW w:w="549" w:type="pct"/>
                  <w:tcBorders>
                    <w:tl2br w:val="nil"/>
                    <w:tr2bl w:val="nil"/>
                  </w:tcBorders>
                  <w:vAlign w:val="center"/>
                </w:tcPr>
                <w:p w14:paraId="0C542069">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lang w:val="en-US" w:eastAsia="zh-CN"/>
                    </w:rPr>
                  </w:pPr>
                  <w:r>
                    <w:rPr>
                      <w:rFonts w:hint="eastAsia" w:cs="Times New Roman"/>
                      <w:b w:val="0"/>
                      <w:bCs w:val="0"/>
                      <w:color w:val="auto"/>
                      <w:kern w:val="0"/>
                      <w:sz w:val="21"/>
                      <w:szCs w:val="21"/>
                      <w:lang w:val="en-US" w:eastAsia="zh-CN"/>
                    </w:rPr>
                    <w:t>105</w:t>
                  </w:r>
                </w:p>
              </w:tc>
              <w:tc>
                <w:tcPr>
                  <w:tcW w:w="427" w:type="pct"/>
                  <w:tcBorders>
                    <w:tl2br w:val="nil"/>
                    <w:tr2bl w:val="nil"/>
                  </w:tcBorders>
                  <w:vAlign w:val="center"/>
                </w:tcPr>
                <w:p w14:paraId="7162DEB5">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超</w:t>
                  </w:r>
                  <w:r>
                    <w:rPr>
                      <w:rFonts w:hint="eastAsia" w:cs="Times New Roman"/>
                      <w:b w:val="0"/>
                      <w:bCs w:val="0"/>
                      <w:color w:val="auto"/>
                      <w:kern w:val="0"/>
                      <w:sz w:val="21"/>
                      <w:szCs w:val="21"/>
                      <w:lang w:eastAsia="zh-CN"/>
                    </w:rPr>
                    <w:t>标</w:t>
                  </w:r>
                </w:p>
              </w:tc>
              <w:tc>
                <w:tcPr>
                  <w:tcW w:w="397" w:type="pct"/>
                  <w:vMerge w:val="continue"/>
                  <w:tcBorders>
                    <w:tl2br w:val="nil"/>
                    <w:tr2bl w:val="nil"/>
                  </w:tcBorders>
                  <w:vAlign w:val="center"/>
                </w:tcPr>
                <w:p w14:paraId="4FFC20DD">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kern w:val="0"/>
                      <w:sz w:val="21"/>
                      <w:szCs w:val="21"/>
                    </w:rPr>
                  </w:pPr>
                </w:p>
              </w:tc>
            </w:tr>
          </w:tbl>
          <w:p w14:paraId="28A06312">
            <w:pPr>
              <w:pStyle w:val="6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由上表可知，202</w:t>
            </w:r>
            <w:r>
              <w:rPr>
                <w:rFonts w:hint="default"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rPr>
              <w:t>年淮北市O</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、PM</w:t>
            </w:r>
            <w:r>
              <w:rPr>
                <w:rFonts w:hint="default" w:ascii="Times New Roman" w:hAnsi="Times New Roman" w:cs="Times New Roman"/>
                <w:color w:val="auto"/>
                <w:sz w:val="24"/>
                <w:szCs w:val="24"/>
                <w:vertAlign w:val="subscript"/>
              </w:rPr>
              <w:t>2.5</w:t>
            </w:r>
            <w:r>
              <w:rPr>
                <w:rFonts w:hint="default" w:ascii="Times New Roman" w:hAnsi="Times New Roman" w:cs="Times New Roman"/>
                <w:color w:val="auto"/>
                <w:sz w:val="24"/>
                <w:szCs w:val="24"/>
              </w:rPr>
              <w:t>的评价指标不能满足《环境空气质</w:t>
            </w:r>
            <w:r>
              <w:rPr>
                <w:rFonts w:hint="default" w:ascii="Times New Roman" w:hAnsi="Times New Roman" w:eastAsia="宋体" w:cs="Times New Roman"/>
                <w:color w:val="auto"/>
                <w:sz w:val="24"/>
                <w:szCs w:val="24"/>
                <w:lang w:val="en-US" w:eastAsia="zh-CN"/>
              </w:rPr>
              <w:t>量标准》（GB3095-2012）及其修改单二级标准限值要求，项目所在区域为不达标区。</w:t>
            </w:r>
          </w:p>
          <w:p w14:paraId="6636AE9E">
            <w:pPr>
              <w:pStyle w:val="67"/>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与上年相比，2024年淮北市城市环境空气质量在总体稳定的基础上略微改善。二氧化硫年均值同比下降14.3%，二氧化氮年均值同比下降17.4%，可吸入颗粒物年均值同比持平，一氧化碳年日均值第95百分位数同比增加11.1%；臭氧年日最大8小时滑动平均值第90百分位数同比增加5.4%；细颗粒物年均值同比增加2.4%；环境空气质量综合指数为4.15，同比下降0.2%；优良天数同比持平，优良率下降了0.2个百分点。</w:t>
            </w:r>
          </w:p>
          <w:p w14:paraId="119A8556">
            <w:pPr>
              <w:pStyle w:val="67"/>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根据《淮北市大气环境治理达标规划》，2030年前，PM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lang w:val="en-US" w:eastAsia="zh-CN"/>
              </w:rPr>
              <w:t>年均浓度达到国家空气质量二级标准即PM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lang w:val="en-US" w:eastAsia="zh-CN"/>
              </w:rPr>
              <w:t>年均浓度35μg/m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，本项目排放的颗粒物均采取相应的环保措施处理后达标排放。因此，不会突破项目区大气环境质量底线。</w:t>
            </w:r>
          </w:p>
          <w:p w14:paraId="4CF57CEA">
            <w:pPr>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cs="Times New Roman"/>
                <w:b/>
                <w:bCs/>
                <w:kern w:val="0"/>
                <w:sz w:val="24"/>
                <w:szCs w:val="24"/>
                <w:lang w:val="en-US" w:eastAsia="zh-CN"/>
              </w:rPr>
            </w:pPr>
            <w:r>
              <w:rPr>
                <w:rFonts w:hint="eastAsia" w:cs="Times New Roman"/>
                <w:b/>
                <w:bCs/>
                <w:kern w:val="0"/>
                <w:sz w:val="24"/>
                <w:szCs w:val="24"/>
                <w:lang w:val="en-US" w:eastAsia="zh-CN"/>
              </w:rPr>
              <w:t>2</w:t>
            </w:r>
            <w:r>
              <w:rPr>
                <w:rFonts w:hint="eastAsia" w:ascii="Times New Roman" w:hAnsi="Times New Roman" w:cs="Times New Roman"/>
                <w:b/>
                <w:bCs/>
                <w:kern w:val="0"/>
                <w:sz w:val="24"/>
                <w:szCs w:val="24"/>
                <w:lang w:val="en-US" w:eastAsia="zh-CN"/>
              </w:rPr>
              <w:t>、特征污染物环境质量现状评价</w:t>
            </w:r>
          </w:p>
          <w:p w14:paraId="45566661">
            <w:pPr>
              <w:pStyle w:val="6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w:t>
            </w:r>
            <w:r>
              <w:rPr>
                <w:rFonts w:hint="default" w:ascii="Times New Roman" w:hAnsi="Times New Roman" w:eastAsia="宋体" w:cs="Times New Roman"/>
                <w:color w:val="auto"/>
                <w:sz w:val="24"/>
                <w:szCs w:val="24"/>
                <w:lang w:val="en-US" w:eastAsia="zh-CN"/>
              </w:rPr>
              <w:t>项目位于烈山经济开发区</w:t>
            </w:r>
            <w:r>
              <w:rPr>
                <w:rFonts w:hint="eastAsia" w:ascii="Times New Roman" w:hAnsi="Times New Roman" w:eastAsia="宋体" w:cs="Times New Roman"/>
                <w:color w:val="auto"/>
                <w:sz w:val="24"/>
                <w:szCs w:val="24"/>
                <w:lang w:val="en-US" w:eastAsia="zh-CN"/>
              </w:rPr>
              <w:t>内</w:t>
            </w:r>
            <w:r>
              <w:rPr>
                <w:rFonts w:hint="default" w:ascii="Times New Roman" w:hAnsi="Times New Roman" w:eastAsia="宋体" w:cs="Times New Roman"/>
                <w:color w:val="auto"/>
                <w:sz w:val="24"/>
                <w:szCs w:val="24"/>
                <w:lang w:val="en-US" w:eastAsia="zh-CN"/>
              </w:rPr>
              <w:t>，其</w:t>
            </w:r>
            <w:r>
              <w:rPr>
                <w:rFonts w:hint="eastAsia" w:ascii="Times New Roman" w:hAnsi="Times New Roman" w:cs="Times New Roman"/>
                <w:color w:val="auto"/>
                <w:sz w:val="24"/>
                <w:szCs w:val="24"/>
                <w:lang w:val="en-US" w:eastAsia="zh-CN"/>
              </w:rPr>
              <w:t>大</w:t>
            </w:r>
            <w:r>
              <w:rPr>
                <w:rFonts w:hint="default" w:ascii="Times New Roman" w:hAnsi="Times New Roman" w:eastAsia="宋体" w:cs="Times New Roman"/>
                <w:color w:val="auto"/>
                <w:sz w:val="24"/>
                <w:szCs w:val="24"/>
                <w:lang w:val="en-US" w:eastAsia="zh-CN"/>
              </w:rPr>
              <w:t>气污染物主要有</w:t>
            </w:r>
            <w:r>
              <w:rPr>
                <w:rFonts w:hint="eastAsia" w:ascii="Times New Roman" w:hAnsi="Times New Roman" w:cs="Times New Roman"/>
                <w:color w:val="auto"/>
                <w:sz w:val="24"/>
                <w:szCs w:val="24"/>
                <w:lang w:val="en-US" w:eastAsia="zh-CN"/>
              </w:rPr>
              <w:t>TSP</w:t>
            </w:r>
            <w:r>
              <w:rPr>
                <w:rFonts w:hint="default" w:ascii="Times New Roman" w:hAnsi="Times New Roman" w:eastAsia="宋体" w:cs="Times New Roman"/>
                <w:color w:val="auto"/>
                <w:sz w:val="24"/>
                <w:szCs w:val="24"/>
                <w:lang w:val="en-US" w:eastAsia="zh-CN"/>
              </w:rPr>
              <w:t>。</w:t>
            </w:r>
            <w:r>
              <w:rPr>
                <w:rFonts w:hint="default" w:ascii="Times New Roman" w:hAnsi="Times New Roman" w:cs="Times New Roman"/>
                <w:lang w:val="en-US" w:eastAsia="zh-CN"/>
              </w:rPr>
              <w:t>本项目污染物</w:t>
            </w:r>
            <w:r>
              <w:rPr>
                <w:rFonts w:hint="eastAsia" w:ascii="Times New Roman" w:hAnsi="Times New Roman" w:cs="Times New Roman"/>
                <w:lang w:val="en-US" w:eastAsia="zh-CN"/>
              </w:rPr>
              <w:t>引用《烈山经济开发区区域环境跟踪检测项目》中的监测数据。监测时间2023年5月29日~6月4日</w:t>
            </w:r>
            <w:r>
              <w:rPr>
                <w:rFonts w:hint="default" w:ascii="Times New Roman" w:hAnsi="Times New Roman" w:cs="Times New Roman"/>
                <w:lang w:val="en-US" w:eastAsia="zh-CN"/>
              </w:rPr>
              <w:t>（共计</w:t>
            </w:r>
            <w:r>
              <w:rPr>
                <w:rFonts w:hint="eastAsia" w:ascii="Times New Roman" w:hAnsi="Times New Roman" w:cs="Times New Roman"/>
                <w:lang w:val="en-US" w:eastAsia="zh-CN"/>
              </w:rPr>
              <w:t>7</w:t>
            </w:r>
            <w:r>
              <w:rPr>
                <w:rFonts w:hint="default" w:ascii="Times New Roman" w:hAnsi="Times New Roman" w:cs="Times New Roman"/>
                <w:lang w:val="en-US" w:eastAsia="zh-CN"/>
              </w:rPr>
              <w:t>天），监测点为</w:t>
            </w:r>
            <w:r>
              <w:rPr>
                <w:rFonts w:hint="eastAsia" w:ascii="Times New Roman" w:hAnsi="Times New Roman" w:cs="Times New Roman"/>
                <w:lang w:val="en-US" w:eastAsia="zh-CN"/>
              </w:rPr>
              <w:t>G1开发区内</w:t>
            </w:r>
            <w:r>
              <w:rPr>
                <w:rFonts w:hint="default" w:ascii="Times New Roman" w:hAnsi="Times New Roman" w:cs="Times New Roman"/>
                <w:lang w:val="en-US" w:eastAsia="zh-CN"/>
              </w:rPr>
              <w:t>。检测方法为</w:t>
            </w:r>
            <w:r>
              <w:rPr>
                <w:rFonts w:hint="default" w:ascii="Times New Roman" w:hAnsi="Times New Roman" w:eastAsia="宋体" w:cs="Times New Roman"/>
                <w:lang w:val="en-US" w:eastAsia="zh-CN"/>
              </w:rPr>
              <w:t>《环境空气 总悬浮颗粒物的测定 重量法》</w:t>
            </w:r>
            <w:r>
              <w:rPr>
                <w:rFonts w:hint="eastAsia" w:ascii="Times New Roman" w:hAnsi="Times New Roman" w:cs="Times New Roman"/>
                <w:lang w:val="en-US" w:eastAsia="zh-CN"/>
              </w:rPr>
              <w:t>（HJ 1263-2022）</w:t>
            </w:r>
            <w:r>
              <w:rPr>
                <w:rFonts w:hint="eastAsia" w:ascii="Times New Roman" w:hAnsi="Times New Roman" w:eastAsia="宋体" w:cs="Times New Roman"/>
                <w:lang w:val="en-US" w:eastAsia="zh-CN"/>
              </w:rPr>
              <w:t>。</w:t>
            </w:r>
          </w:p>
          <w:p w14:paraId="2183E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根据建设项目环境影响报告表编制技术指南（污染影响类）（试行</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中要求：</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引用数据应在项目周边5千米范围内近3年的现有监测数据</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。引用数据位于本项目区</w:t>
            </w:r>
            <w:r>
              <w:rPr>
                <w:rFonts w:hint="eastAsia" w:cs="Times New Roman"/>
                <w:color w:val="auto"/>
                <w:sz w:val="24"/>
                <w:szCs w:val="24"/>
                <w:lang w:val="en-US" w:eastAsia="zh-CN"/>
              </w:rPr>
              <w:t>东北</w:t>
            </w:r>
            <w:r>
              <w:rPr>
                <w:rFonts w:hint="default" w:ascii="Times New Roman" w:hAnsi="Times New Roman" w:eastAsia="宋体" w:cs="Times New Roman"/>
                <w:color w:val="auto"/>
                <w:sz w:val="24"/>
                <w:szCs w:val="24"/>
                <w:lang w:val="en-US" w:eastAsia="zh-CN"/>
              </w:rPr>
              <w:t>侧</w:t>
            </w:r>
            <w:r>
              <w:rPr>
                <w:rFonts w:hint="eastAsia" w:cs="Times New Roman"/>
                <w:color w:val="auto"/>
                <w:sz w:val="24"/>
                <w:szCs w:val="24"/>
                <w:lang w:val="en-US" w:eastAsia="zh-CN"/>
              </w:rPr>
              <w:t>850</w:t>
            </w:r>
            <w:r>
              <w:rPr>
                <w:rFonts w:hint="default" w:ascii="Times New Roman" w:hAnsi="Times New Roman" w:eastAsia="宋体" w:cs="Times New Roman"/>
                <w:color w:val="auto"/>
                <w:sz w:val="24"/>
                <w:szCs w:val="24"/>
                <w:lang w:val="en-US" w:eastAsia="zh-CN"/>
              </w:rPr>
              <w:t>m，监测时间为202</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因此</w:t>
            </w:r>
            <w:r>
              <w:rPr>
                <w:rFonts w:hint="default" w:ascii="Times New Roman" w:hAnsi="Times New Roman" w:eastAsia="宋体" w:cs="Times New Roman"/>
                <w:color w:val="auto"/>
                <w:sz w:val="24"/>
                <w:szCs w:val="24"/>
                <w:lang w:val="en-US" w:eastAsia="zh-CN"/>
              </w:rPr>
              <w:t>满足引用数据要求。</w:t>
            </w:r>
          </w:p>
          <w:p w14:paraId="29A9A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综上所述，本项目引用的监测数据是可行的。</w:t>
            </w:r>
          </w:p>
          <w:p w14:paraId="714A8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 3-2  其它污染物</w:t>
            </w:r>
            <w:r>
              <w:rPr>
                <w:rFonts w:hint="eastAsia" w:ascii="Times New Roman" w:hAnsi="Times New Roman" w:cs="Times New Roman"/>
                <w:b/>
                <w:bCs/>
                <w:color w:val="auto"/>
                <w:sz w:val="24"/>
                <w:szCs w:val="24"/>
                <w:lang w:val="en-US" w:eastAsia="zh-CN"/>
              </w:rPr>
              <w:t>引用</w:t>
            </w:r>
            <w:r>
              <w:rPr>
                <w:rFonts w:hint="default" w:ascii="Times New Roman" w:hAnsi="Times New Roman" w:cs="Times New Roman"/>
                <w:b/>
                <w:bCs/>
                <w:color w:val="auto"/>
                <w:sz w:val="24"/>
                <w:szCs w:val="24"/>
                <w:lang w:val="en-US" w:eastAsia="zh-CN"/>
              </w:rPr>
              <w:t>监测点位基本信息表</w:t>
            </w:r>
          </w:p>
          <w:tbl>
            <w:tblPr>
              <w:tblStyle w:val="30"/>
              <w:tblW w:w="80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1"/>
              <w:gridCol w:w="1125"/>
              <w:gridCol w:w="960"/>
              <w:gridCol w:w="924"/>
              <w:gridCol w:w="2190"/>
              <w:gridCol w:w="731"/>
              <w:gridCol w:w="844"/>
            </w:tblGrid>
            <w:tr w14:paraId="42D1F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271" w:type="dxa"/>
                  <w:vMerge w:val="restart"/>
                  <w:tcBorders>
                    <w:top w:val="single" w:color="000000" w:sz="4" w:space="0"/>
                    <w:right w:val="single" w:color="000000" w:sz="4" w:space="0"/>
                  </w:tcBorders>
                  <w:vAlign w:val="center"/>
                </w:tcPr>
                <w:p w14:paraId="1F0694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点位名称</w:t>
                  </w:r>
                </w:p>
              </w:tc>
              <w:tc>
                <w:tcPr>
                  <w:tcW w:w="2085" w:type="dxa"/>
                  <w:gridSpan w:val="2"/>
                  <w:tcBorders>
                    <w:top w:val="single" w:color="000000" w:sz="4" w:space="0"/>
                    <w:left w:val="single" w:color="000000" w:sz="4" w:space="0"/>
                    <w:bottom w:val="single" w:color="000000" w:sz="4" w:space="0"/>
                    <w:right w:val="single" w:color="000000" w:sz="4" w:space="0"/>
                  </w:tcBorders>
                  <w:vAlign w:val="center"/>
                </w:tcPr>
                <w:p w14:paraId="4088A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监测点经纬度</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7500B0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监测因子</w:t>
                  </w:r>
                </w:p>
              </w:tc>
              <w:tc>
                <w:tcPr>
                  <w:tcW w:w="2190" w:type="dxa"/>
                  <w:vMerge w:val="restart"/>
                  <w:tcBorders>
                    <w:top w:val="single" w:color="000000" w:sz="4" w:space="0"/>
                    <w:left w:val="single" w:color="000000" w:sz="4" w:space="0"/>
                    <w:bottom w:val="single" w:color="000000" w:sz="4" w:space="0"/>
                    <w:right w:val="single" w:color="000000" w:sz="4" w:space="0"/>
                  </w:tcBorders>
                  <w:vAlign w:val="center"/>
                </w:tcPr>
                <w:p w14:paraId="4B1140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监测时段</w:t>
                  </w:r>
                </w:p>
              </w:tc>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42101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相对厂址方位</w:t>
                  </w:r>
                </w:p>
              </w:tc>
              <w:tc>
                <w:tcPr>
                  <w:tcW w:w="844" w:type="dxa"/>
                  <w:vMerge w:val="restart"/>
                  <w:tcBorders>
                    <w:top w:val="single" w:color="000000" w:sz="4" w:space="0"/>
                    <w:left w:val="single" w:color="000000" w:sz="4" w:space="0"/>
                    <w:bottom w:val="single" w:color="000000" w:sz="4" w:space="0"/>
                  </w:tcBorders>
                  <w:vAlign w:val="center"/>
                </w:tcPr>
                <w:p w14:paraId="53EBE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相对厂界距离/m</w:t>
                  </w:r>
                </w:p>
              </w:tc>
            </w:tr>
            <w:tr w14:paraId="4CCC6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1271" w:type="dxa"/>
                  <w:vMerge w:val="continue"/>
                  <w:tcBorders>
                    <w:bottom w:val="single" w:color="000000" w:sz="4" w:space="0"/>
                    <w:right w:val="single" w:color="000000" w:sz="4" w:space="0"/>
                  </w:tcBorders>
                  <w:vAlign w:val="center"/>
                </w:tcPr>
                <w:p w14:paraId="0E9E7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77BE8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经度</w:t>
                  </w:r>
                </w:p>
              </w:tc>
              <w:tc>
                <w:tcPr>
                  <w:tcW w:w="960" w:type="dxa"/>
                  <w:tcBorders>
                    <w:top w:val="single" w:color="000000" w:sz="4" w:space="0"/>
                    <w:left w:val="single" w:color="000000" w:sz="4" w:space="0"/>
                    <w:bottom w:val="single" w:color="000000" w:sz="4" w:space="0"/>
                    <w:right w:val="single" w:color="000000" w:sz="4" w:space="0"/>
                  </w:tcBorders>
                  <w:vAlign w:val="center"/>
                </w:tcPr>
                <w:p w14:paraId="3ECE54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r>
                    <w:rPr>
                      <w:rFonts w:hint="default"/>
                      <w:b/>
                      <w:bCs/>
                      <w:color w:val="000000"/>
                      <w:sz w:val="21"/>
                      <w:szCs w:val="21"/>
                    </w:rPr>
                    <w:t>纬度</w:t>
                  </w:r>
                </w:p>
              </w:tc>
              <w:tc>
                <w:tcPr>
                  <w:tcW w:w="924" w:type="dxa"/>
                  <w:vMerge w:val="continue"/>
                  <w:tcBorders>
                    <w:top w:val="nil"/>
                    <w:left w:val="single" w:color="000000" w:sz="4" w:space="0"/>
                    <w:bottom w:val="single" w:color="auto" w:sz="4" w:space="0"/>
                    <w:right w:val="single" w:color="000000" w:sz="4" w:space="0"/>
                  </w:tcBorders>
                  <w:vAlign w:val="center"/>
                </w:tcPr>
                <w:p w14:paraId="6A277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p>
              </w:tc>
              <w:tc>
                <w:tcPr>
                  <w:tcW w:w="2190" w:type="dxa"/>
                  <w:vMerge w:val="continue"/>
                  <w:tcBorders>
                    <w:top w:val="nil"/>
                    <w:left w:val="single" w:color="000000" w:sz="4" w:space="0"/>
                    <w:bottom w:val="single" w:color="000000" w:sz="4" w:space="0"/>
                    <w:right w:val="single" w:color="000000" w:sz="4" w:space="0"/>
                  </w:tcBorders>
                  <w:vAlign w:val="center"/>
                </w:tcPr>
                <w:p w14:paraId="0387A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p>
              </w:tc>
              <w:tc>
                <w:tcPr>
                  <w:tcW w:w="731" w:type="dxa"/>
                  <w:vMerge w:val="continue"/>
                  <w:tcBorders>
                    <w:top w:val="nil"/>
                    <w:left w:val="single" w:color="000000" w:sz="4" w:space="0"/>
                    <w:bottom w:val="single" w:color="000000" w:sz="4" w:space="0"/>
                    <w:right w:val="single" w:color="000000" w:sz="4" w:space="0"/>
                  </w:tcBorders>
                  <w:vAlign w:val="center"/>
                </w:tcPr>
                <w:p w14:paraId="782F12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p>
              </w:tc>
              <w:tc>
                <w:tcPr>
                  <w:tcW w:w="844" w:type="dxa"/>
                  <w:vMerge w:val="continue"/>
                  <w:tcBorders>
                    <w:top w:val="nil"/>
                    <w:left w:val="single" w:color="000000" w:sz="4" w:space="0"/>
                    <w:bottom w:val="single" w:color="000000" w:sz="4" w:space="0"/>
                  </w:tcBorders>
                  <w:vAlign w:val="center"/>
                </w:tcPr>
                <w:p w14:paraId="65D94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000000"/>
                      <w:sz w:val="21"/>
                      <w:szCs w:val="21"/>
                    </w:rPr>
                  </w:pPr>
                </w:p>
              </w:tc>
            </w:tr>
            <w:tr w14:paraId="15D8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jc w:val="center"/>
              </w:trPr>
              <w:tc>
                <w:tcPr>
                  <w:tcW w:w="1271" w:type="dxa"/>
                  <w:tcBorders>
                    <w:right w:val="single" w:color="000000" w:sz="4" w:space="0"/>
                  </w:tcBorders>
                  <w:vAlign w:val="center"/>
                </w:tcPr>
                <w:p w14:paraId="2CE94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val="0"/>
                      <w:bCs w:val="0"/>
                      <w:color w:val="000000"/>
                      <w:sz w:val="21"/>
                      <w:szCs w:val="21"/>
                      <w:lang w:val="en-US" w:eastAsia="zh-CN"/>
                    </w:rPr>
                  </w:pPr>
                  <w:r>
                    <w:rPr>
                      <w:rFonts w:hint="default"/>
                      <w:b w:val="0"/>
                      <w:bCs w:val="0"/>
                      <w:color w:val="000000"/>
                      <w:sz w:val="21"/>
                      <w:szCs w:val="21"/>
                    </w:rPr>
                    <w:t xml:space="preserve">G1 </w:t>
                  </w:r>
                  <w:r>
                    <w:rPr>
                      <w:rFonts w:hint="eastAsia"/>
                      <w:b w:val="0"/>
                      <w:bCs w:val="0"/>
                      <w:color w:val="000000"/>
                      <w:sz w:val="21"/>
                      <w:szCs w:val="21"/>
                      <w:lang w:val="en-US" w:eastAsia="zh-CN"/>
                    </w:rPr>
                    <w:t>开发区内</w:t>
                  </w:r>
                </w:p>
              </w:tc>
              <w:tc>
                <w:tcPr>
                  <w:tcW w:w="1125" w:type="dxa"/>
                  <w:tcBorders>
                    <w:left w:val="single" w:color="000000" w:sz="4" w:space="0"/>
                    <w:right w:val="single" w:color="000000" w:sz="4" w:space="0"/>
                  </w:tcBorders>
                  <w:vAlign w:val="center"/>
                </w:tcPr>
                <w:p w14:paraId="69DE6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val="0"/>
                      <w:bCs w:val="0"/>
                      <w:color w:val="000000"/>
                      <w:sz w:val="21"/>
                      <w:szCs w:val="21"/>
                    </w:rPr>
                  </w:pPr>
                  <w:r>
                    <w:rPr>
                      <w:rFonts w:hint="default"/>
                      <w:b w:val="0"/>
                      <w:bCs w:val="0"/>
                      <w:color w:val="000000"/>
                      <w:sz w:val="21"/>
                      <w:szCs w:val="21"/>
                    </w:rPr>
                    <w:t>116.845198</w:t>
                  </w:r>
                </w:p>
              </w:tc>
              <w:tc>
                <w:tcPr>
                  <w:tcW w:w="960" w:type="dxa"/>
                  <w:tcBorders>
                    <w:left w:val="single" w:color="000000" w:sz="4" w:space="0"/>
                    <w:right w:val="single" w:color="auto" w:sz="4" w:space="0"/>
                  </w:tcBorders>
                  <w:vAlign w:val="center"/>
                </w:tcPr>
                <w:p w14:paraId="554F7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val="0"/>
                      <w:bCs w:val="0"/>
                      <w:color w:val="000000"/>
                      <w:sz w:val="21"/>
                      <w:szCs w:val="21"/>
                    </w:rPr>
                  </w:pPr>
                  <w:r>
                    <w:rPr>
                      <w:rFonts w:hint="default"/>
                      <w:b w:val="0"/>
                      <w:bCs w:val="0"/>
                      <w:color w:val="000000"/>
                      <w:sz w:val="21"/>
                      <w:szCs w:val="21"/>
                    </w:rPr>
                    <w:t>33.874665</w:t>
                  </w:r>
                </w:p>
              </w:tc>
              <w:tc>
                <w:tcPr>
                  <w:tcW w:w="924" w:type="dxa"/>
                  <w:tcBorders>
                    <w:top w:val="single" w:color="auto" w:sz="4" w:space="0"/>
                    <w:left w:val="single" w:color="auto" w:sz="4" w:space="0"/>
                    <w:bottom w:val="single" w:color="auto" w:sz="4" w:space="0"/>
                    <w:right w:val="single" w:color="auto" w:sz="4" w:space="0"/>
                  </w:tcBorders>
                  <w:vAlign w:val="center"/>
                </w:tcPr>
                <w:p w14:paraId="0C064B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olor w:val="000000"/>
                      <w:sz w:val="21"/>
                      <w:szCs w:val="21"/>
                      <w:lang w:val="en-US" w:eastAsia="zh-CN"/>
                    </w:rPr>
                  </w:pPr>
                  <w:r>
                    <w:rPr>
                      <w:rFonts w:hint="eastAsia"/>
                      <w:color w:val="000000"/>
                      <w:sz w:val="21"/>
                      <w:szCs w:val="21"/>
                      <w:lang w:val="en-US" w:eastAsia="zh-CN"/>
                    </w:rPr>
                    <w:t>TSP</w:t>
                  </w:r>
                </w:p>
              </w:tc>
              <w:tc>
                <w:tcPr>
                  <w:tcW w:w="2190" w:type="dxa"/>
                  <w:tcBorders>
                    <w:left w:val="single" w:color="auto" w:sz="4" w:space="0"/>
                    <w:right w:val="single" w:color="000000" w:sz="4" w:space="0"/>
                  </w:tcBorders>
                  <w:vAlign w:val="center"/>
                </w:tcPr>
                <w:p w14:paraId="7BF7F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olor w:val="000000"/>
                      <w:sz w:val="21"/>
                      <w:szCs w:val="21"/>
                    </w:rPr>
                  </w:pPr>
                  <w:r>
                    <w:rPr>
                      <w:rFonts w:hint="default"/>
                      <w:color w:val="000000"/>
                      <w:sz w:val="21"/>
                      <w:szCs w:val="21"/>
                    </w:rPr>
                    <w:t>00:00-次日00:00</w:t>
                  </w:r>
                </w:p>
              </w:tc>
              <w:tc>
                <w:tcPr>
                  <w:tcW w:w="731" w:type="dxa"/>
                  <w:tcBorders>
                    <w:left w:val="single" w:color="000000" w:sz="4" w:space="0"/>
                    <w:right w:val="single" w:color="000000" w:sz="4" w:space="0"/>
                  </w:tcBorders>
                  <w:vAlign w:val="center"/>
                </w:tcPr>
                <w:p w14:paraId="46D8D1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SW</w:t>
                  </w:r>
                </w:p>
              </w:tc>
              <w:tc>
                <w:tcPr>
                  <w:tcW w:w="844" w:type="dxa"/>
                  <w:tcBorders>
                    <w:left w:val="single" w:color="000000" w:sz="4" w:space="0"/>
                  </w:tcBorders>
                  <w:vAlign w:val="center"/>
                </w:tcPr>
                <w:p w14:paraId="1352EB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850</w:t>
                  </w:r>
                </w:p>
              </w:tc>
            </w:tr>
          </w:tbl>
          <w:p w14:paraId="2D7065CD">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textAlignment w:val="auto"/>
              <w:rPr>
                <w:rFonts w:hint="default"/>
                <w:sz w:val="24"/>
                <w:szCs w:val="24"/>
              </w:rPr>
            </w:pPr>
            <w:r>
              <w:rPr>
                <w:rFonts w:hint="default"/>
                <w:sz w:val="24"/>
                <w:szCs w:val="24"/>
              </w:rPr>
              <w:t>本项目特征污染物</w:t>
            </w:r>
            <w:r>
              <w:rPr>
                <w:rFonts w:hint="default"/>
                <w:color w:val="000000"/>
                <w:sz w:val="24"/>
                <w:szCs w:val="24"/>
              </w:rPr>
              <w:t>（</w:t>
            </w:r>
            <w:r>
              <w:rPr>
                <w:rFonts w:hint="eastAsia"/>
                <w:color w:val="000000"/>
                <w:sz w:val="24"/>
                <w:szCs w:val="24"/>
                <w:lang w:val="en-US" w:eastAsia="zh-CN"/>
              </w:rPr>
              <w:t>TSP</w:t>
            </w:r>
            <w:r>
              <w:rPr>
                <w:rFonts w:hint="default"/>
                <w:color w:val="000000"/>
                <w:sz w:val="24"/>
                <w:szCs w:val="24"/>
              </w:rPr>
              <w:t>）</w:t>
            </w:r>
            <w:r>
              <w:rPr>
                <w:rFonts w:hint="default"/>
                <w:color w:val="000000"/>
                <w:sz w:val="24"/>
                <w:szCs w:val="24"/>
                <w:lang w:val="en-US" w:eastAsia="zh-CN"/>
              </w:rPr>
              <w:t>引用</w:t>
            </w:r>
            <w:r>
              <w:rPr>
                <w:rFonts w:hint="default"/>
                <w:sz w:val="24"/>
                <w:szCs w:val="24"/>
              </w:rPr>
              <w:t>监测结果如下表所示：</w:t>
            </w:r>
          </w:p>
          <w:p w14:paraId="1D965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表3-3</w:t>
            </w:r>
            <w:r>
              <w:rPr>
                <w:rFonts w:hint="default" w:ascii="Times New Roman" w:hAnsi="Times New Roman" w:cs="Times New Roman"/>
                <w:b/>
                <w:bCs/>
                <w:color w:val="auto"/>
                <w:sz w:val="24"/>
                <w:szCs w:val="24"/>
                <w:lang w:val="en-US" w:eastAsia="zh-CN"/>
              </w:rPr>
              <w:tab/>
            </w:r>
            <w:r>
              <w:rPr>
                <w:rFonts w:hint="default" w:ascii="Times New Roman" w:hAnsi="Times New Roman" w:cs="Times New Roman"/>
                <w:b/>
                <w:bCs/>
                <w:color w:val="auto"/>
                <w:sz w:val="24"/>
                <w:szCs w:val="24"/>
                <w:lang w:val="en-US" w:eastAsia="zh-CN"/>
              </w:rPr>
              <w:t>其它污染物环境质量现状（监测结果）表</w:t>
            </w:r>
          </w:p>
          <w:tbl>
            <w:tblPr>
              <w:tblStyle w:val="30"/>
              <w:tblW w:w="80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030"/>
              <w:gridCol w:w="930"/>
              <w:gridCol w:w="774"/>
              <w:gridCol w:w="716"/>
              <w:gridCol w:w="786"/>
              <w:gridCol w:w="1041"/>
              <w:gridCol w:w="739"/>
              <w:gridCol w:w="721"/>
              <w:gridCol w:w="719"/>
            </w:tblGrid>
            <w:tr w14:paraId="63D7F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2" w:type="dxa"/>
                  <w:vMerge w:val="restart"/>
                  <w:vAlign w:val="center"/>
                </w:tcPr>
                <w:p w14:paraId="6015B025">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点位名称</w:t>
                  </w:r>
                </w:p>
              </w:tc>
              <w:tc>
                <w:tcPr>
                  <w:tcW w:w="1960" w:type="dxa"/>
                  <w:gridSpan w:val="2"/>
                  <w:vAlign w:val="center"/>
                </w:tcPr>
                <w:p w14:paraId="551C0788">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监测点经纬度</w:t>
                  </w:r>
                </w:p>
              </w:tc>
              <w:tc>
                <w:tcPr>
                  <w:tcW w:w="774" w:type="dxa"/>
                  <w:vMerge w:val="restart"/>
                  <w:vAlign w:val="center"/>
                </w:tcPr>
                <w:p w14:paraId="7E9B6981">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污染物</w:t>
                  </w:r>
                </w:p>
              </w:tc>
              <w:tc>
                <w:tcPr>
                  <w:tcW w:w="716" w:type="dxa"/>
                  <w:vMerge w:val="restart"/>
                  <w:vAlign w:val="center"/>
                </w:tcPr>
                <w:p w14:paraId="56821DA1">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eastAsia="zh-CN"/>
                    </w:rPr>
                  </w:pPr>
                  <w:r>
                    <w:rPr>
                      <w:rFonts w:hint="default" w:ascii="Times New Roman" w:hAnsi="Times New Roman" w:cs="Times New Roman"/>
                      <w:b/>
                      <w:bCs/>
                      <w:sz w:val="21"/>
                      <w:szCs w:val="21"/>
                      <w:lang w:val="en-US" w:eastAsia="zh-CN"/>
                    </w:rPr>
                    <w:t>时间</w:t>
                  </w:r>
                </w:p>
              </w:tc>
              <w:tc>
                <w:tcPr>
                  <w:tcW w:w="786" w:type="dxa"/>
                  <w:vMerge w:val="restart"/>
                  <w:vAlign w:val="center"/>
                </w:tcPr>
                <w:p w14:paraId="2319F9DD">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评价标准</w:t>
                  </w:r>
                </w:p>
                <w:p w14:paraId="6E899BCB">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b/>
                      <w:bCs/>
                      <w:sz w:val="21"/>
                      <w:szCs w:val="21"/>
                      <w:lang w:eastAsia="zh-CN"/>
                    </w:rPr>
                  </w:pPr>
                  <w:r>
                    <w:rPr>
                      <w:rFonts w:hint="eastAsia" w:ascii="Times New Roman" w:hAnsi="Times New Roman" w:cs="Times New Roman"/>
                      <w:b/>
                      <w:bCs/>
                      <w:sz w:val="21"/>
                      <w:szCs w:val="21"/>
                      <w:lang w:eastAsia="zh-CN"/>
                    </w:rPr>
                    <w:t>（</w:t>
                  </w:r>
                  <w:r>
                    <w:rPr>
                      <w:rFonts w:hint="default" w:ascii="Times New Roman" w:hAnsi="Times New Roman" w:cs="Times New Roman"/>
                      <w:b/>
                      <w:bCs/>
                      <w:sz w:val="21"/>
                      <w:szCs w:val="21"/>
                    </w:rPr>
                    <w:t>mg/m</w:t>
                  </w:r>
                  <w:r>
                    <w:rPr>
                      <w:rFonts w:hint="default" w:ascii="Times New Roman" w:hAnsi="Times New Roman" w:cs="Times New Roman"/>
                      <w:b/>
                      <w:bCs/>
                      <w:sz w:val="21"/>
                      <w:szCs w:val="21"/>
                      <w:vertAlign w:val="superscript"/>
                    </w:rPr>
                    <w:t>3</w:t>
                  </w:r>
                  <w:r>
                    <w:rPr>
                      <w:rFonts w:hint="eastAsia" w:ascii="Times New Roman" w:hAnsi="Times New Roman" w:cs="Times New Roman"/>
                      <w:b/>
                      <w:bCs/>
                      <w:sz w:val="21"/>
                      <w:szCs w:val="21"/>
                      <w:lang w:eastAsia="zh-CN"/>
                    </w:rPr>
                    <w:t>）</w:t>
                  </w:r>
                </w:p>
              </w:tc>
              <w:tc>
                <w:tcPr>
                  <w:tcW w:w="1041" w:type="dxa"/>
                  <w:vMerge w:val="restart"/>
                  <w:vAlign w:val="center"/>
                </w:tcPr>
                <w:p w14:paraId="528630E8">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69"/>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监测浓度范围（mg/m</w:t>
                  </w:r>
                  <w:r>
                    <w:rPr>
                      <w:rFonts w:hint="default" w:ascii="Times New Roman" w:hAnsi="Times New Roman" w:cs="Times New Roman"/>
                      <w:b/>
                      <w:bCs/>
                      <w:sz w:val="21"/>
                      <w:szCs w:val="21"/>
                      <w:vertAlign w:val="superscript"/>
                    </w:rPr>
                    <w:t>3</w:t>
                  </w:r>
                  <w:r>
                    <w:rPr>
                      <w:rFonts w:hint="default" w:ascii="Times New Roman" w:hAnsi="Times New Roman" w:cs="Times New Roman"/>
                      <w:b/>
                      <w:bCs/>
                      <w:sz w:val="21"/>
                      <w:szCs w:val="21"/>
                    </w:rPr>
                    <w:t>）</w:t>
                  </w:r>
                </w:p>
              </w:tc>
              <w:tc>
                <w:tcPr>
                  <w:tcW w:w="739" w:type="dxa"/>
                  <w:vMerge w:val="restart"/>
                  <w:vAlign w:val="center"/>
                </w:tcPr>
                <w:p w14:paraId="41982686">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最大浓度占标</w:t>
                  </w:r>
                </w:p>
                <w:p w14:paraId="2C4FB658">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率/%</w:t>
                  </w:r>
                </w:p>
              </w:tc>
              <w:tc>
                <w:tcPr>
                  <w:tcW w:w="721" w:type="dxa"/>
                  <w:vMerge w:val="restart"/>
                  <w:vAlign w:val="center"/>
                </w:tcPr>
                <w:p w14:paraId="4D23C91C">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超标率</w:t>
                  </w:r>
                </w:p>
                <w:p w14:paraId="4B7F611C">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w:t>
                  </w:r>
                </w:p>
              </w:tc>
              <w:tc>
                <w:tcPr>
                  <w:tcW w:w="719" w:type="dxa"/>
                  <w:vMerge w:val="restart"/>
                  <w:vAlign w:val="center"/>
                </w:tcPr>
                <w:p w14:paraId="1A44A1FB">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达标情</w:t>
                  </w:r>
                </w:p>
                <w:p w14:paraId="455CA462">
                  <w:pPr>
                    <w:pStyle w:val="6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况</w:t>
                  </w:r>
                </w:p>
              </w:tc>
            </w:tr>
            <w:tr w14:paraId="5A267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2" w:type="dxa"/>
                  <w:vMerge w:val="continue"/>
                  <w:vAlign w:val="center"/>
                </w:tcPr>
                <w:p w14:paraId="195040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c>
                <w:tcPr>
                  <w:tcW w:w="1030" w:type="dxa"/>
                  <w:vAlign w:val="center"/>
                </w:tcPr>
                <w:p w14:paraId="15D50F40">
                  <w:pPr>
                    <w:pStyle w:val="68"/>
                    <w:keepNext w:val="0"/>
                    <w:keepLines w:val="0"/>
                    <w:pageBreakBefore w:val="0"/>
                    <w:widowControl w:val="0"/>
                    <w:suppressLineNumbers w:val="0"/>
                    <w:kinsoku/>
                    <w:wordWrap/>
                    <w:overflowPunct/>
                    <w:topLinePunct w:val="0"/>
                    <w:autoSpaceDE/>
                    <w:autoSpaceDN/>
                    <w:bidi w:val="0"/>
                    <w:adjustRightInd/>
                    <w:snapToGrid/>
                    <w:spacing w:before="36" w:beforeAutospacing="0" w:after="0" w:afterAutospacing="0" w:line="240" w:lineRule="auto"/>
                    <w:ind w:left="14" w:leftChars="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经度</w:t>
                  </w:r>
                </w:p>
              </w:tc>
              <w:tc>
                <w:tcPr>
                  <w:tcW w:w="930" w:type="dxa"/>
                  <w:vAlign w:val="center"/>
                </w:tcPr>
                <w:p w14:paraId="2F51D3F4">
                  <w:pPr>
                    <w:pStyle w:val="68"/>
                    <w:keepNext w:val="0"/>
                    <w:keepLines w:val="0"/>
                    <w:pageBreakBefore w:val="0"/>
                    <w:widowControl w:val="0"/>
                    <w:suppressLineNumbers w:val="0"/>
                    <w:kinsoku/>
                    <w:wordWrap/>
                    <w:overflowPunct/>
                    <w:topLinePunct w:val="0"/>
                    <w:autoSpaceDE/>
                    <w:autoSpaceDN/>
                    <w:bidi w:val="0"/>
                    <w:adjustRightInd/>
                    <w:snapToGrid/>
                    <w:spacing w:before="36" w:beforeAutospacing="0" w:after="0" w:afterAutospacing="0" w:line="240" w:lineRule="auto"/>
                    <w:ind w:left="11" w:leftChars="0" w:right="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纬度</w:t>
                  </w:r>
                </w:p>
              </w:tc>
              <w:tc>
                <w:tcPr>
                  <w:tcW w:w="774" w:type="dxa"/>
                  <w:vMerge w:val="continue"/>
                  <w:vAlign w:val="center"/>
                </w:tcPr>
                <w:p w14:paraId="3649A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c>
                <w:tcPr>
                  <w:tcW w:w="716" w:type="dxa"/>
                  <w:vMerge w:val="continue"/>
                  <w:vAlign w:val="center"/>
                </w:tcPr>
                <w:p w14:paraId="5DC12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c>
                <w:tcPr>
                  <w:tcW w:w="786" w:type="dxa"/>
                  <w:vMerge w:val="continue"/>
                  <w:vAlign w:val="center"/>
                </w:tcPr>
                <w:p w14:paraId="7CA4C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c>
                <w:tcPr>
                  <w:tcW w:w="1041" w:type="dxa"/>
                  <w:vMerge w:val="continue"/>
                  <w:vAlign w:val="center"/>
                </w:tcPr>
                <w:p w14:paraId="6FCF3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c>
                <w:tcPr>
                  <w:tcW w:w="739" w:type="dxa"/>
                  <w:vMerge w:val="continue"/>
                  <w:vAlign w:val="center"/>
                </w:tcPr>
                <w:p w14:paraId="44DF5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c>
                <w:tcPr>
                  <w:tcW w:w="721" w:type="dxa"/>
                  <w:vMerge w:val="continue"/>
                  <w:vAlign w:val="center"/>
                </w:tcPr>
                <w:p w14:paraId="25A05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c>
                <w:tcPr>
                  <w:tcW w:w="719" w:type="dxa"/>
                  <w:vMerge w:val="continue"/>
                  <w:vAlign w:val="center"/>
                </w:tcPr>
                <w:p w14:paraId="13391B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sz w:val="21"/>
                      <w:szCs w:val="21"/>
                    </w:rPr>
                  </w:pPr>
                </w:p>
              </w:tc>
            </w:tr>
            <w:tr w14:paraId="643FB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612" w:type="dxa"/>
                  <w:vAlign w:val="center"/>
                </w:tcPr>
                <w:p w14:paraId="3DC06E81">
                  <w:pPr>
                    <w:pStyle w:val="68"/>
                    <w:keepNext w:val="0"/>
                    <w:keepLines w:val="0"/>
                    <w:suppressLineNumbers w:val="0"/>
                    <w:spacing w:before="0" w:beforeAutospacing="0" w:after="0" w:afterAutospacing="0"/>
                    <w:ind w:left="0" w:right="0"/>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G1</w:t>
                  </w:r>
                </w:p>
              </w:tc>
              <w:tc>
                <w:tcPr>
                  <w:tcW w:w="1030" w:type="dxa"/>
                  <w:vAlign w:val="center"/>
                </w:tcPr>
                <w:p w14:paraId="5D5FDC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b w:val="0"/>
                      <w:bCs w:val="0"/>
                      <w:color w:val="000000"/>
                      <w:sz w:val="21"/>
                      <w:szCs w:val="21"/>
                    </w:rPr>
                    <w:t>116.845198</w:t>
                  </w:r>
                </w:p>
              </w:tc>
              <w:tc>
                <w:tcPr>
                  <w:tcW w:w="930" w:type="dxa"/>
                  <w:vAlign w:val="center"/>
                </w:tcPr>
                <w:p w14:paraId="7C447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z w:val="21"/>
                      <w:szCs w:val="21"/>
                    </w:rPr>
                  </w:pPr>
                  <w:r>
                    <w:rPr>
                      <w:rFonts w:hint="default"/>
                      <w:b w:val="0"/>
                      <w:bCs w:val="0"/>
                      <w:color w:val="000000"/>
                      <w:sz w:val="21"/>
                      <w:szCs w:val="21"/>
                    </w:rPr>
                    <w:t>33.874665</w:t>
                  </w:r>
                </w:p>
              </w:tc>
              <w:tc>
                <w:tcPr>
                  <w:tcW w:w="774" w:type="dxa"/>
                  <w:vAlign w:val="center"/>
                </w:tcPr>
                <w:p w14:paraId="7D45889C">
                  <w:pPr>
                    <w:pStyle w:val="2"/>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cs="Times New Roman"/>
                      <w:sz w:val="21"/>
                      <w:szCs w:val="21"/>
                    </w:rPr>
                  </w:pPr>
                  <w:r>
                    <w:rPr>
                      <w:rFonts w:hint="default"/>
                      <w:color w:val="auto"/>
                      <w:sz w:val="21"/>
                      <w:szCs w:val="21"/>
                    </w:rPr>
                    <w:t>TSP</w:t>
                  </w:r>
                </w:p>
              </w:tc>
              <w:tc>
                <w:tcPr>
                  <w:tcW w:w="716" w:type="dxa"/>
                  <w:vAlign w:val="center"/>
                </w:tcPr>
                <w:p w14:paraId="287DB791">
                  <w:pPr>
                    <w:pStyle w:val="2"/>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21"/>
                      <w:szCs w:val="21"/>
                      <w:lang w:val="en-US" w:eastAsia="zh-CN"/>
                    </w:rPr>
                  </w:pPr>
                  <w:r>
                    <w:rPr>
                      <w:rFonts w:hint="default"/>
                      <w:color w:val="auto"/>
                      <w:sz w:val="21"/>
                      <w:szCs w:val="21"/>
                    </w:rPr>
                    <w:t>24小时平均值</w:t>
                  </w:r>
                </w:p>
              </w:tc>
              <w:tc>
                <w:tcPr>
                  <w:tcW w:w="786" w:type="dxa"/>
                  <w:vAlign w:val="center"/>
                </w:tcPr>
                <w:p w14:paraId="09C97172">
                  <w:pPr>
                    <w:pStyle w:val="2"/>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z w:val="21"/>
                      <w:szCs w:val="21"/>
                      <w:lang w:val="en-US" w:eastAsia="zh-CN"/>
                    </w:rPr>
                  </w:pPr>
                  <w:r>
                    <w:rPr>
                      <w:rFonts w:hint="default"/>
                      <w:color w:val="auto"/>
                      <w:sz w:val="21"/>
                      <w:szCs w:val="21"/>
                    </w:rPr>
                    <w:t>300</w:t>
                  </w:r>
                </w:p>
              </w:tc>
              <w:tc>
                <w:tcPr>
                  <w:tcW w:w="1041" w:type="dxa"/>
                  <w:vAlign w:val="center"/>
                </w:tcPr>
                <w:p w14:paraId="67554F92">
                  <w:pPr>
                    <w:pStyle w:val="68"/>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78-154</w:t>
                  </w:r>
                </w:p>
              </w:tc>
              <w:tc>
                <w:tcPr>
                  <w:tcW w:w="739" w:type="dxa"/>
                  <w:vAlign w:val="center"/>
                </w:tcPr>
                <w:p w14:paraId="2A2C0516">
                  <w:pPr>
                    <w:pStyle w:val="68"/>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51.33</w:t>
                  </w:r>
                </w:p>
              </w:tc>
              <w:tc>
                <w:tcPr>
                  <w:tcW w:w="721" w:type="dxa"/>
                  <w:vAlign w:val="center"/>
                </w:tcPr>
                <w:p w14:paraId="25734868">
                  <w:pPr>
                    <w:pStyle w:val="68"/>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0</w:t>
                  </w:r>
                </w:p>
              </w:tc>
              <w:tc>
                <w:tcPr>
                  <w:tcW w:w="719" w:type="dxa"/>
                  <w:vAlign w:val="center"/>
                </w:tcPr>
                <w:p w14:paraId="1B5E6627">
                  <w:pPr>
                    <w:pStyle w:val="68"/>
                    <w:keepNext w:val="0"/>
                    <w:keepLines w:val="0"/>
                    <w:suppressLineNumbers w:val="0"/>
                    <w:spacing w:before="0" w:beforeAutospacing="0" w:after="0" w:afterAutospacing="0"/>
                    <w:ind w:left="0" w:leftChars="0" w:right="0" w:rightChars="0"/>
                    <w:jc w:val="center"/>
                    <w:rPr>
                      <w:rFonts w:hint="default" w:ascii="Times New Roman" w:hAnsi="Times New Roman" w:cs="Times New Roman"/>
                      <w:sz w:val="21"/>
                      <w:szCs w:val="21"/>
                    </w:rPr>
                  </w:pPr>
                  <w:r>
                    <w:rPr>
                      <w:rFonts w:hint="default" w:ascii="Times New Roman" w:hAnsi="Times New Roman" w:cs="Times New Roman"/>
                      <w:color w:val="auto"/>
                      <w:sz w:val="21"/>
                      <w:szCs w:val="21"/>
                      <w:lang w:val="en-US" w:eastAsia="zh-CN"/>
                    </w:rPr>
                    <w:t>达标</w:t>
                  </w:r>
                </w:p>
              </w:tc>
            </w:tr>
          </w:tbl>
          <w:p w14:paraId="7BD05B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综上，项目所在区域特征污染物TSP</w:t>
            </w:r>
            <w:r>
              <w:rPr>
                <w:rFonts w:hint="eastAsia" w:ascii="Times New Roman" w:hAnsi="Times New Roman" w:eastAsia="宋体" w:cs="宋体"/>
                <w:sz w:val="24"/>
                <w:szCs w:val="24"/>
                <w:lang w:val="en-US" w:eastAsia="zh-CN"/>
              </w:rPr>
              <w:t>满足《环境空气质量标准》（GB3095-2012）及其修改单二级标准限值要求。</w:t>
            </w:r>
          </w:p>
          <w:p w14:paraId="49C0F6F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default"/>
                <w:b/>
                <w:bCs/>
                <w:sz w:val="24"/>
                <w:szCs w:val="24"/>
              </w:rPr>
            </w:pPr>
            <w:r>
              <w:rPr>
                <w:rFonts w:hint="eastAsia" w:cs="宋体"/>
                <w:b/>
                <w:bCs/>
                <w:sz w:val="24"/>
                <w:szCs w:val="24"/>
              </w:rPr>
              <w:t>二、地表水水环境质量</w:t>
            </w:r>
          </w:p>
          <w:p w14:paraId="6D8588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2024年淮北市地表水共监测27个断面，地表水环境质量总体为轻度污染，水质指数为4.8313。水质达到Ⅲ类比例为29.6%（8个），Ⅳ类水质断面占 66.7%（18 个），Ⅴ类水质断面占 3.7%（1个），无劣Ⅴ类断面，主要污染指标为化学需氧量、氟化物和高锰酸盐指数。</w:t>
            </w:r>
          </w:p>
          <w:p w14:paraId="0A68098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萧濉新河即原</w:t>
            </w:r>
            <w:r>
              <w:rPr>
                <w:rFonts w:hint="default" w:ascii="Times New Roman" w:hAnsi="Times New Roman" w:eastAsia="宋体" w:cs="Times New Roman"/>
                <w:b w:val="0"/>
                <w:bCs w:val="0"/>
                <w:sz w:val="24"/>
                <w:szCs w:val="24"/>
                <w:lang w:val="en-US" w:eastAsia="zh-CN"/>
              </w:rPr>
              <w:fldChar w:fldCharType="begin"/>
            </w:r>
            <w:r>
              <w:rPr>
                <w:rFonts w:hint="default" w:ascii="Times New Roman" w:hAnsi="Times New Roman" w:eastAsia="宋体" w:cs="Times New Roman"/>
                <w:b w:val="0"/>
                <w:bCs w:val="0"/>
                <w:sz w:val="24"/>
                <w:szCs w:val="24"/>
                <w:lang w:val="en-US" w:eastAsia="zh-CN"/>
              </w:rPr>
              <w:instrText xml:space="preserve"> HYPERLINK "https://baike.so.com/doc/5800050-6012847.html" \t "https://baike.so.com/doc/_blank" </w:instrText>
            </w:r>
            <w:r>
              <w:rPr>
                <w:rFonts w:hint="default" w:ascii="Times New Roman" w:hAnsi="Times New Roman" w:eastAsia="宋体" w:cs="Times New Roman"/>
                <w:b w:val="0"/>
                <w:bCs w:val="0"/>
                <w:sz w:val="24"/>
                <w:szCs w:val="24"/>
                <w:lang w:val="en-US" w:eastAsia="zh-CN"/>
              </w:rPr>
              <w:fldChar w:fldCharType="separate"/>
            </w:r>
            <w:r>
              <w:rPr>
                <w:rFonts w:hint="default" w:ascii="Times New Roman" w:hAnsi="Times New Roman" w:eastAsia="宋体" w:cs="Times New Roman"/>
                <w:b w:val="0"/>
                <w:bCs w:val="0"/>
                <w:sz w:val="24"/>
                <w:szCs w:val="24"/>
                <w:lang w:val="en-US" w:eastAsia="zh-CN"/>
              </w:rPr>
              <w:t>濉河</w:t>
            </w:r>
            <w:r>
              <w:rPr>
                <w:rFonts w:hint="default" w:ascii="Times New Roman" w:hAnsi="Times New Roman" w:eastAsia="宋体" w:cs="Times New Roman"/>
                <w:b w:val="0"/>
                <w:bCs w:val="0"/>
                <w:sz w:val="24"/>
                <w:szCs w:val="24"/>
                <w:lang w:val="en-US" w:eastAsia="zh-CN"/>
              </w:rPr>
              <w:fldChar w:fldCharType="end"/>
            </w:r>
            <w:r>
              <w:rPr>
                <w:rFonts w:hint="default" w:ascii="Times New Roman" w:hAnsi="Times New Roman" w:eastAsia="宋体" w:cs="Times New Roman"/>
                <w:b w:val="0"/>
                <w:bCs w:val="0"/>
                <w:sz w:val="24"/>
                <w:szCs w:val="24"/>
                <w:lang w:val="en-US" w:eastAsia="zh-CN"/>
              </w:rPr>
              <w:t>的上游河道。自</w:t>
            </w:r>
            <w:r>
              <w:rPr>
                <w:rFonts w:hint="default" w:ascii="Times New Roman" w:hAnsi="Times New Roman" w:eastAsia="宋体" w:cs="Times New Roman"/>
                <w:b w:val="0"/>
                <w:bCs w:val="0"/>
                <w:sz w:val="24"/>
                <w:szCs w:val="24"/>
                <w:lang w:val="en-US" w:eastAsia="zh-CN"/>
              </w:rPr>
              <w:fldChar w:fldCharType="begin"/>
            </w:r>
            <w:r>
              <w:rPr>
                <w:rFonts w:hint="default" w:ascii="Times New Roman" w:hAnsi="Times New Roman" w:eastAsia="宋体" w:cs="Times New Roman"/>
                <w:b w:val="0"/>
                <w:bCs w:val="0"/>
                <w:sz w:val="24"/>
                <w:szCs w:val="24"/>
                <w:lang w:val="en-US" w:eastAsia="zh-CN"/>
              </w:rPr>
              <w:instrText xml:space="preserve"> HYPERLINK "https://baike.so.com/doc/5415959-5654104.html" \t "https://baike.so.com/doc/_blank" </w:instrText>
            </w:r>
            <w:r>
              <w:rPr>
                <w:rFonts w:hint="default" w:ascii="Times New Roman" w:hAnsi="Times New Roman" w:eastAsia="宋体" w:cs="Times New Roman"/>
                <w:b w:val="0"/>
                <w:bCs w:val="0"/>
                <w:sz w:val="24"/>
                <w:szCs w:val="24"/>
                <w:lang w:val="en-US" w:eastAsia="zh-CN"/>
              </w:rPr>
              <w:fldChar w:fldCharType="separate"/>
            </w:r>
            <w:r>
              <w:rPr>
                <w:rFonts w:hint="default" w:ascii="Times New Roman" w:hAnsi="Times New Roman" w:eastAsia="宋体" w:cs="Times New Roman"/>
                <w:b w:val="0"/>
                <w:bCs w:val="0"/>
                <w:sz w:val="24"/>
                <w:szCs w:val="24"/>
                <w:lang w:val="en-US" w:eastAsia="zh-CN"/>
              </w:rPr>
              <w:t>萧县</w:t>
            </w:r>
            <w:r>
              <w:rPr>
                <w:rFonts w:hint="default" w:ascii="Times New Roman" w:hAnsi="Times New Roman" w:eastAsia="宋体" w:cs="Times New Roman"/>
                <w:b w:val="0"/>
                <w:bCs w:val="0"/>
                <w:sz w:val="24"/>
                <w:szCs w:val="24"/>
                <w:lang w:val="en-US" w:eastAsia="zh-CN"/>
              </w:rPr>
              <w:fldChar w:fldCharType="end"/>
            </w:r>
            <w:r>
              <w:rPr>
                <w:rFonts w:hint="default" w:ascii="Times New Roman" w:hAnsi="Times New Roman" w:eastAsia="宋体" w:cs="Times New Roman"/>
                <w:b w:val="0"/>
                <w:bCs w:val="0"/>
                <w:sz w:val="24"/>
                <w:szCs w:val="24"/>
                <w:lang w:val="en-US" w:eastAsia="zh-CN"/>
              </w:rPr>
              <w:t>的瓦子口起，上承岱河、大沙河来水，南流，经贾窝闸至黄里，左纳湘西河</w:t>
            </w:r>
            <w:r>
              <w:rPr>
                <w:rFonts w:hint="default" w:ascii="Times New Roman" w:hAnsi="Times New Roman"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至会楼右纳洪碱河；于</w:t>
            </w:r>
            <w:r>
              <w:rPr>
                <w:rFonts w:hint="default" w:ascii="Times New Roman" w:hAnsi="Times New Roman" w:eastAsia="宋体" w:cs="Times New Roman"/>
                <w:b w:val="0"/>
                <w:bCs w:val="0"/>
                <w:sz w:val="24"/>
                <w:szCs w:val="24"/>
                <w:lang w:val="en-US" w:eastAsia="zh-CN"/>
              </w:rPr>
              <w:fldChar w:fldCharType="begin"/>
            </w:r>
            <w:r>
              <w:rPr>
                <w:rFonts w:hint="default" w:ascii="Times New Roman" w:hAnsi="Times New Roman" w:eastAsia="宋体" w:cs="Times New Roman"/>
                <w:b w:val="0"/>
                <w:bCs w:val="0"/>
                <w:sz w:val="24"/>
                <w:szCs w:val="24"/>
                <w:lang w:val="en-US" w:eastAsia="zh-CN"/>
              </w:rPr>
              <w:instrText xml:space="preserve"> HYPERLINK "https://baike.so.com/doc/5579725-5793097.html" \t "https://baike.so.com/doc/_blank" </w:instrText>
            </w:r>
            <w:r>
              <w:rPr>
                <w:rFonts w:hint="default" w:ascii="Times New Roman" w:hAnsi="Times New Roman" w:eastAsia="宋体" w:cs="Times New Roman"/>
                <w:b w:val="0"/>
                <w:bCs w:val="0"/>
                <w:sz w:val="24"/>
                <w:szCs w:val="24"/>
                <w:lang w:val="en-US" w:eastAsia="zh-CN"/>
              </w:rPr>
              <w:fldChar w:fldCharType="separate"/>
            </w:r>
            <w:r>
              <w:rPr>
                <w:rFonts w:hint="default" w:ascii="Times New Roman" w:hAnsi="Times New Roman" w:eastAsia="宋体" w:cs="Times New Roman"/>
                <w:b w:val="0"/>
                <w:bCs w:val="0"/>
                <w:sz w:val="24"/>
                <w:szCs w:val="24"/>
                <w:lang w:val="en-US" w:eastAsia="zh-CN"/>
              </w:rPr>
              <w:t>濉溪县</w:t>
            </w:r>
            <w:r>
              <w:rPr>
                <w:rFonts w:hint="default" w:ascii="Times New Roman" w:hAnsi="Times New Roman" w:eastAsia="宋体" w:cs="Times New Roman"/>
                <w:b w:val="0"/>
                <w:bCs w:val="0"/>
                <w:sz w:val="24"/>
                <w:szCs w:val="24"/>
                <w:lang w:val="en-US" w:eastAsia="zh-CN"/>
              </w:rPr>
              <w:fldChar w:fldCharType="end"/>
            </w:r>
            <w:r>
              <w:rPr>
                <w:rFonts w:hint="default" w:ascii="Times New Roman" w:hAnsi="Times New Roman" w:eastAsia="宋体" w:cs="Times New Roman"/>
                <w:b w:val="0"/>
                <w:bCs w:val="0"/>
                <w:sz w:val="24"/>
                <w:szCs w:val="24"/>
                <w:lang w:val="en-US" w:eastAsia="zh-CN"/>
              </w:rPr>
              <w:t>城区西侧折东南流，经黄桥闸至陈路口，左纳龙岱河；至符离集，左纳闸河；于</w:t>
            </w:r>
            <w:r>
              <w:rPr>
                <w:rFonts w:hint="default" w:ascii="Times New Roman" w:hAnsi="Times New Roman" w:eastAsia="宋体" w:cs="Times New Roman"/>
                <w:b w:val="0"/>
                <w:bCs w:val="0"/>
                <w:sz w:val="24"/>
                <w:szCs w:val="24"/>
                <w:lang w:val="en-US" w:eastAsia="zh-CN"/>
              </w:rPr>
              <w:fldChar w:fldCharType="begin"/>
            </w:r>
            <w:r>
              <w:rPr>
                <w:rFonts w:hint="default" w:ascii="Times New Roman" w:hAnsi="Times New Roman" w:eastAsia="宋体" w:cs="Times New Roman"/>
                <w:b w:val="0"/>
                <w:bCs w:val="0"/>
                <w:sz w:val="24"/>
                <w:szCs w:val="24"/>
                <w:lang w:val="en-US" w:eastAsia="zh-CN"/>
              </w:rPr>
              <w:instrText xml:space="preserve"> HYPERLINK "https://baike.so.com/doc/5386588-5623050.html" \t "https://baike.so.com/doc/_blank" </w:instrText>
            </w:r>
            <w:r>
              <w:rPr>
                <w:rFonts w:hint="default" w:ascii="Times New Roman" w:hAnsi="Times New Roman" w:eastAsia="宋体" w:cs="Times New Roman"/>
                <w:b w:val="0"/>
                <w:bCs w:val="0"/>
                <w:sz w:val="24"/>
                <w:szCs w:val="24"/>
                <w:lang w:val="en-US" w:eastAsia="zh-CN"/>
              </w:rPr>
              <w:fldChar w:fldCharType="separate"/>
            </w:r>
            <w:r>
              <w:rPr>
                <w:rFonts w:hint="default" w:ascii="Times New Roman" w:hAnsi="Times New Roman" w:eastAsia="宋体" w:cs="Times New Roman"/>
                <w:b w:val="0"/>
                <w:bCs w:val="0"/>
                <w:sz w:val="24"/>
                <w:szCs w:val="24"/>
                <w:lang w:val="en-US" w:eastAsia="zh-CN"/>
              </w:rPr>
              <w:t>宿州</w:t>
            </w:r>
            <w:r>
              <w:rPr>
                <w:rFonts w:hint="default" w:ascii="Times New Roman" w:hAnsi="Times New Roman" w:eastAsia="宋体" w:cs="Times New Roman"/>
                <w:b w:val="0"/>
                <w:bCs w:val="0"/>
                <w:sz w:val="24"/>
                <w:szCs w:val="24"/>
                <w:lang w:val="en-US" w:eastAsia="zh-CN"/>
              </w:rPr>
              <w:fldChar w:fldCharType="end"/>
            </w:r>
            <w:r>
              <w:rPr>
                <w:rFonts w:hint="default" w:ascii="Times New Roman" w:hAnsi="Times New Roman" w:eastAsia="宋体" w:cs="Times New Roman"/>
                <w:b w:val="0"/>
                <w:bCs w:val="0"/>
                <w:sz w:val="24"/>
                <w:szCs w:val="24"/>
                <w:lang w:val="en-US" w:eastAsia="zh-CN"/>
              </w:rPr>
              <w:t>北的蔡桥进入濉河引河，至小吴家注入</w:t>
            </w:r>
            <w:r>
              <w:rPr>
                <w:rFonts w:hint="default" w:ascii="Times New Roman" w:hAnsi="Times New Roman" w:eastAsia="宋体" w:cs="Times New Roman"/>
                <w:b w:val="0"/>
                <w:bCs w:val="0"/>
                <w:sz w:val="24"/>
                <w:szCs w:val="24"/>
                <w:lang w:val="en-US" w:eastAsia="zh-CN"/>
              </w:rPr>
              <w:fldChar w:fldCharType="begin"/>
            </w:r>
            <w:r>
              <w:rPr>
                <w:rFonts w:hint="default" w:ascii="Times New Roman" w:hAnsi="Times New Roman" w:eastAsia="宋体" w:cs="Times New Roman"/>
                <w:b w:val="0"/>
                <w:bCs w:val="0"/>
                <w:sz w:val="24"/>
                <w:szCs w:val="24"/>
                <w:lang w:val="en-US" w:eastAsia="zh-CN"/>
              </w:rPr>
              <w:instrText xml:space="preserve"> HYPERLINK "https://baike.so.com/doc/8910151-9236630.html" \t "https://baike.so.com/doc/_blank" </w:instrText>
            </w:r>
            <w:r>
              <w:rPr>
                <w:rFonts w:hint="default" w:ascii="Times New Roman" w:hAnsi="Times New Roman" w:eastAsia="宋体" w:cs="Times New Roman"/>
                <w:b w:val="0"/>
                <w:bCs w:val="0"/>
                <w:sz w:val="24"/>
                <w:szCs w:val="24"/>
                <w:lang w:val="en-US" w:eastAsia="zh-CN"/>
              </w:rPr>
              <w:fldChar w:fldCharType="separate"/>
            </w:r>
            <w:r>
              <w:rPr>
                <w:rFonts w:hint="default" w:ascii="Times New Roman" w:hAnsi="Times New Roman" w:eastAsia="宋体" w:cs="Times New Roman"/>
                <w:b w:val="0"/>
                <w:bCs w:val="0"/>
                <w:sz w:val="24"/>
                <w:szCs w:val="24"/>
                <w:lang w:val="en-US" w:eastAsia="zh-CN"/>
              </w:rPr>
              <w:t>新汴河</w:t>
            </w:r>
            <w:r>
              <w:rPr>
                <w:rFonts w:hint="default" w:ascii="Times New Roman" w:hAnsi="Times New Roman" w:eastAsia="宋体" w:cs="Times New Roman"/>
                <w:b w:val="0"/>
                <w:bCs w:val="0"/>
                <w:sz w:val="24"/>
                <w:szCs w:val="24"/>
                <w:lang w:val="en-US" w:eastAsia="zh-CN"/>
              </w:rPr>
              <w:fldChar w:fldCharType="end"/>
            </w:r>
            <w:r>
              <w:rPr>
                <w:rFonts w:hint="default" w:ascii="Times New Roman" w:hAnsi="Times New Roman" w:eastAsia="宋体" w:cs="Times New Roman"/>
                <w:b w:val="0"/>
                <w:bCs w:val="0"/>
                <w:sz w:val="24"/>
                <w:szCs w:val="24"/>
                <w:lang w:val="en-US" w:eastAsia="zh-CN"/>
              </w:rPr>
              <w:t>。全长62.1公里，其中濉河引河长8.7公里；流域面积2626平方公里。</w:t>
            </w:r>
          </w:p>
          <w:p w14:paraId="602EBFE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2024年萧濉新河水质情况：</w:t>
            </w:r>
          </w:p>
          <w:p w14:paraId="0CB17EC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萧濉新河水系共11个监测断面，水质状况轻度污染，整体水质以Ⅳ类为主，同比水质无明显变化。其中，水质达到或优于Ⅲ类有4个，占比36.4%；Ⅳ类水质断面7个，占比63.6%；符离闸断面（出境）水质为Ⅳ类。</w:t>
            </w:r>
          </w:p>
          <w:p w14:paraId="20CFD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 xml:space="preserve">表3-4  </w:t>
            </w:r>
            <w:r>
              <w:rPr>
                <w:rFonts w:hint="default" w:ascii="Times New Roman" w:hAnsi="Times New Roman" w:eastAsia="宋体" w:cs="Times New Roman"/>
                <w:b/>
                <w:bCs/>
                <w:color w:val="auto"/>
                <w:sz w:val="24"/>
                <w:szCs w:val="24"/>
                <w:lang w:val="en-US" w:eastAsia="zh-CN"/>
              </w:rPr>
              <w:t>202</w:t>
            </w:r>
            <w:r>
              <w:rPr>
                <w:rFonts w:hint="eastAsia" w:ascii="Times New Roman" w:hAnsi="Times New Roman" w:eastAsia="宋体" w:cs="Times New Roman"/>
                <w:b/>
                <w:bCs/>
                <w:color w:val="auto"/>
                <w:sz w:val="24"/>
                <w:szCs w:val="24"/>
                <w:lang w:val="en-US" w:eastAsia="zh-CN"/>
              </w:rPr>
              <w:t>4</w:t>
            </w:r>
            <w:r>
              <w:rPr>
                <w:rFonts w:hint="default" w:ascii="Times New Roman" w:hAnsi="Times New Roman" w:eastAsia="宋体" w:cs="Times New Roman"/>
                <w:b/>
                <w:bCs/>
                <w:color w:val="auto"/>
                <w:sz w:val="24"/>
                <w:szCs w:val="24"/>
                <w:lang w:val="en-US" w:eastAsia="zh-CN"/>
              </w:rPr>
              <w:t>年淮北市地表水监测断面水质综合评价结果</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1"/>
              <w:gridCol w:w="1146"/>
              <w:gridCol w:w="1130"/>
              <w:gridCol w:w="1387"/>
              <w:gridCol w:w="2359"/>
            </w:tblGrid>
            <w:tr w14:paraId="0C82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Align w:val="center"/>
                </w:tcPr>
                <w:p w14:paraId="0A5670CF">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河流</w:t>
                  </w:r>
                </w:p>
              </w:tc>
              <w:tc>
                <w:tcPr>
                  <w:tcW w:w="1544" w:type="dxa"/>
                  <w:vAlign w:val="center"/>
                </w:tcPr>
                <w:p w14:paraId="71E13BFD">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断面名称</w:t>
                  </w:r>
                </w:p>
              </w:tc>
              <w:tc>
                <w:tcPr>
                  <w:tcW w:w="1140" w:type="dxa"/>
                  <w:vAlign w:val="center"/>
                </w:tcPr>
                <w:p w14:paraId="42EE378A">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2023年水质类别</w:t>
                  </w:r>
                </w:p>
              </w:tc>
              <w:tc>
                <w:tcPr>
                  <w:tcW w:w="1125" w:type="dxa"/>
                  <w:shd w:val="clear" w:color="auto" w:fill="auto"/>
                  <w:vAlign w:val="center"/>
                </w:tcPr>
                <w:p w14:paraId="460A9D17">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napToGrid w:val="0"/>
                      <w:color w:val="auto"/>
                      <w:kern w:val="0"/>
                      <w:sz w:val="21"/>
                      <w:szCs w:val="21"/>
                      <w:lang w:val="en-US" w:eastAsia="zh-CN" w:bidi="ar-SA"/>
                    </w:rPr>
                  </w:pPr>
                  <w:r>
                    <w:rPr>
                      <w:rFonts w:hint="default" w:ascii="Times New Roman" w:hAnsi="Times New Roman" w:eastAsia="宋体" w:cs="Times New Roman"/>
                      <w:b/>
                      <w:bCs/>
                      <w:color w:val="auto"/>
                      <w:sz w:val="21"/>
                      <w:szCs w:val="21"/>
                      <w:lang w:val="en-US" w:eastAsia="zh-CN"/>
                    </w:rPr>
                    <w:t>202</w:t>
                  </w:r>
                  <w:r>
                    <w:rPr>
                      <w:rFonts w:hint="default" w:ascii="Times New Roman" w:hAnsi="Times New Roman" w:cs="Times New Roman"/>
                      <w:b/>
                      <w:bCs/>
                      <w:color w:val="auto"/>
                      <w:sz w:val="21"/>
                      <w:szCs w:val="21"/>
                      <w:lang w:val="en-US" w:eastAsia="zh-CN"/>
                    </w:rPr>
                    <w:t>4</w:t>
                  </w:r>
                  <w:r>
                    <w:rPr>
                      <w:rFonts w:hint="default" w:ascii="Times New Roman" w:hAnsi="Times New Roman" w:eastAsia="宋体" w:cs="Times New Roman"/>
                      <w:b/>
                      <w:bCs/>
                      <w:color w:val="auto"/>
                      <w:sz w:val="21"/>
                      <w:szCs w:val="21"/>
                      <w:lang w:val="en-US" w:eastAsia="zh-CN"/>
                    </w:rPr>
                    <w:t>年水质类别</w:t>
                  </w:r>
                </w:p>
              </w:tc>
              <w:tc>
                <w:tcPr>
                  <w:tcW w:w="1380" w:type="dxa"/>
                  <w:vAlign w:val="center"/>
                </w:tcPr>
                <w:p w14:paraId="7E4E64F3">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水质变化</w:t>
                  </w:r>
                </w:p>
              </w:tc>
              <w:tc>
                <w:tcPr>
                  <w:tcW w:w="2348" w:type="dxa"/>
                  <w:vAlign w:val="center"/>
                </w:tcPr>
                <w:p w14:paraId="7482B7D6">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主要污染指标</w:t>
                  </w:r>
                  <w:r>
                    <w:rPr>
                      <w:rFonts w:hint="default" w:ascii="Times New Roman" w:hAnsi="Times New Roman" w:cs="Times New Roman"/>
                      <w:b/>
                      <w:bCs/>
                      <w:color w:val="auto"/>
                      <w:sz w:val="21"/>
                      <w:szCs w:val="21"/>
                      <w:lang w:val="en-US" w:eastAsia="zh-CN"/>
                    </w:rPr>
                    <w:t>（超标倍数）</w:t>
                  </w:r>
                </w:p>
              </w:tc>
            </w:tr>
            <w:tr w14:paraId="73451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restart"/>
                  <w:vAlign w:val="center"/>
                </w:tcPr>
                <w:p w14:paraId="4C34E99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萧濉新</w:t>
                  </w:r>
                  <w:r>
                    <w:rPr>
                      <w:rFonts w:hint="default" w:ascii="Times New Roman" w:hAnsi="Times New Roman" w:eastAsia="宋体" w:cs="Times New Roman"/>
                      <w:color w:val="auto"/>
                      <w:sz w:val="21"/>
                      <w:szCs w:val="21"/>
                      <w:lang w:val="en-US" w:eastAsia="zh-CN"/>
                    </w:rPr>
                    <w:t>河</w:t>
                  </w:r>
                </w:p>
              </w:tc>
              <w:tc>
                <w:tcPr>
                  <w:tcW w:w="1544" w:type="dxa"/>
                  <w:vAlign w:val="center"/>
                </w:tcPr>
                <w:p w14:paraId="3FC938B6">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后黄里</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入境</w:t>
                  </w:r>
                  <w:r>
                    <w:rPr>
                      <w:rFonts w:hint="default" w:ascii="Times New Roman" w:hAnsi="Times New Roman" w:eastAsia="宋体" w:cs="Times New Roman"/>
                      <w:color w:val="auto"/>
                      <w:sz w:val="21"/>
                      <w:szCs w:val="21"/>
                      <w:lang w:val="en-US" w:eastAsia="zh-CN"/>
                    </w:rPr>
                    <w:t>）</w:t>
                  </w:r>
                </w:p>
              </w:tc>
              <w:tc>
                <w:tcPr>
                  <w:tcW w:w="1140" w:type="dxa"/>
                  <w:vAlign w:val="center"/>
                </w:tcPr>
                <w:p w14:paraId="6A8FB23E">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54B23F67">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380" w:type="dxa"/>
                  <w:vAlign w:val="center"/>
                </w:tcPr>
                <w:p w14:paraId="0308F72C">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vAlign w:val="center"/>
                </w:tcPr>
                <w:p w14:paraId="190805B3">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高锰酸钾指数</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18</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、化学需氧量</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14</w:t>
                  </w:r>
                  <w:r>
                    <w:rPr>
                      <w:rFonts w:hint="default" w:ascii="Times New Roman" w:hAnsi="Times New Roman" w:cs="Times New Roman"/>
                      <w:color w:val="auto"/>
                      <w:sz w:val="21"/>
                      <w:szCs w:val="21"/>
                      <w:lang w:val="en-US" w:eastAsia="zh-CN"/>
                    </w:rPr>
                    <w:t>）</w:t>
                  </w:r>
                </w:p>
              </w:tc>
            </w:tr>
            <w:tr w14:paraId="7D35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3910ADBE">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544" w:type="dxa"/>
                  <w:vAlign w:val="center"/>
                </w:tcPr>
                <w:p w14:paraId="3C42E77B">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浮绥</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入境</w:t>
                  </w:r>
                  <w:r>
                    <w:rPr>
                      <w:rFonts w:hint="default" w:ascii="Times New Roman" w:hAnsi="Times New Roman" w:eastAsia="宋体" w:cs="Times New Roman"/>
                      <w:color w:val="auto"/>
                      <w:sz w:val="21"/>
                      <w:szCs w:val="21"/>
                      <w:lang w:val="en-US" w:eastAsia="zh-CN"/>
                    </w:rPr>
                    <w:t>）</w:t>
                  </w:r>
                </w:p>
              </w:tc>
              <w:tc>
                <w:tcPr>
                  <w:tcW w:w="1140" w:type="dxa"/>
                  <w:vAlign w:val="center"/>
                </w:tcPr>
                <w:p w14:paraId="421AE2F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040EFA0E">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380" w:type="dxa"/>
                  <w:vAlign w:val="center"/>
                </w:tcPr>
                <w:p w14:paraId="5875BE79">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有所</w:t>
                  </w:r>
                  <w:r>
                    <w:rPr>
                      <w:rFonts w:hint="default" w:ascii="Times New Roman" w:hAnsi="Times New Roman" w:cs="Times New Roman"/>
                      <w:color w:val="auto"/>
                      <w:sz w:val="21"/>
                      <w:szCs w:val="21"/>
                      <w:lang w:val="en-US" w:eastAsia="zh-CN"/>
                    </w:rPr>
                    <w:t>好转</w:t>
                  </w:r>
                </w:p>
              </w:tc>
              <w:tc>
                <w:tcPr>
                  <w:tcW w:w="2348" w:type="dxa"/>
                  <w:vAlign w:val="center"/>
                </w:tcPr>
                <w:p w14:paraId="69D7D3DD">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41F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57D7B8B3">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475965DF">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瓦子口闸下</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入境</w:t>
                  </w:r>
                  <w:r>
                    <w:rPr>
                      <w:rFonts w:hint="default" w:ascii="Times New Roman" w:hAnsi="Times New Roman" w:eastAsia="宋体" w:cs="Times New Roman"/>
                      <w:color w:val="auto"/>
                      <w:sz w:val="21"/>
                      <w:szCs w:val="21"/>
                      <w:lang w:val="en-US" w:eastAsia="zh-CN"/>
                    </w:rPr>
                    <w:t>）</w:t>
                  </w:r>
                </w:p>
              </w:tc>
              <w:tc>
                <w:tcPr>
                  <w:tcW w:w="1140" w:type="dxa"/>
                  <w:shd w:val="clear" w:color="auto" w:fill="auto"/>
                  <w:vAlign w:val="center"/>
                </w:tcPr>
                <w:p w14:paraId="2D484CE3">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0E4ECB30">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snapToGrid w:val="0"/>
                      <w:color w:val="auto"/>
                      <w:kern w:val="2"/>
                      <w:sz w:val="21"/>
                      <w:szCs w:val="21"/>
                      <w:lang w:val="en-US" w:eastAsia="zh-CN" w:bidi="ar-SA"/>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4C33101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5FB2E154">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高锰酸钾指数</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09</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、化学需氧量</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val="en-US" w:eastAsia="zh-CN"/>
                    </w:rPr>
                    <w:t>）</w:t>
                  </w:r>
                </w:p>
              </w:tc>
            </w:tr>
            <w:tr w14:paraId="4DF2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52993E80">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2D2EA77D">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许岗闸上</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入境</w:t>
                  </w:r>
                  <w:r>
                    <w:rPr>
                      <w:rFonts w:hint="default" w:ascii="Times New Roman" w:hAnsi="Times New Roman" w:eastAsia="宋体" w:cs="Times New Roman"/>
                      <w:color w:val="auto"/>
                      <w:sz w:val="21"/>
                      <w:szCs w:val="21"/>
                      <w:lang w:val="en-US" w:eastAsia="zh-CN"/>
                    </w:rPr>
                    <w:t>）</w:t>
                  </w:r>
                </w:p>
              </w:tc>
              <w:tc>
                <w:tcPr>
                  <w:tcW w:w="1140" w:type="dxa"/>
                  <w:shd w:val="clear" w:color="auto" w:fill="auto"/>
                  <w:vAlign w:val="center"/>
                </w:tcPr>
                <w:p w14:paraId="228EF92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6DEB88EB">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66D4568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5274E150">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6611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68BB15D4">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0F509D44">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钟楼桥</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入境</w:t>
                  </w:r>
                  <w:r>
                    <w:rPr>
                      <w:rFonts w:hint="default" w:ascii="Times New Roman" w:hAnsi="Times New Roman" w:eastAsia="宋体" w:cs="Times New Roman"/>
                      <w:color w:val="auto"/>
                      <w:sz w:val="21"/>
                      <w:szCs w:val="21"/>
                      <w:lang w:val="en-US" w:eastAsia="zh-CN"/>
                    </w:rPr>
                    <w:t>）</w:t>
                  </w:r>
                </w:p>
              </w:tc>
              <w:tc>
                <w:tcPr>
                  <w:tcW w:w="1140" w:type="dxa"/>
                  <w:shd w:val="clear" w:color="auto" w:fill="auto"/>
                  <w:vAlign w:val="center"/>
                </w:tcPr>
                <w:p w14:paraId="6BEB334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0B1A111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0D364F3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50C95D53">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高锰酸钾指数</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08</w:t>
                  </w:r>
                  <w:r>
                    <w:rPr>
                      <w:rFonts w:hint="default" w:ascii="Times New Roman" w:hAnsi="Times New Roman" w:cs="Times New Roman"/>
                      <w:color w:val="auto"/>
                      <w:sz w:val="21"/>
                      <w:szCs w:val="21"/>
                      <w:lang w:val="en-US" w:eastAsia="zh-CN"/>
                    </w:rPr>
                    <w:t>）</w:t>
                  </w:r>
                </w:p>
              </w:tc>
            </w:tr>
            <w:tr w14:paraId="613B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025EB49E">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491B2471">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S101省道桥</w:t>
                  </w:r>
                  <w:r>
                    <w:rPr>
                      <w:rFonts w:hint="default" w:ascii="Times New Roman" w:hAnsi="Times New Roman" w:eastAsia="宋体" w:cs="Times New Roman"/>
                      <w:color w:val="auto"/>
                      <w:sz w:val="21"/>
                      <w:szCs w:val="21"/>
                      <w:lang w:val="en-US" w:eastAsia="zh-CN"/>
                    </w:rPr>
                    <w:t>（</w:t>
                  </w:r>
                  <w:r>
                    <w:rPr>
                      <w:rFonts w:hint="default" w:ascii="Times New Roman" w:hAnsi="Times New Roman" w:cs="Times New Roman"/>
                      <w:color w:val="auto"/>
                      <w:sz w:val="21"/>
                      <w:szCs w:val="21"/>
                      <w:lang w:val="en-US" w:eastAsia="zh-CN"/>
                    </w:rPr>
                    <w:t>入境</w:t>
                  </w:r>
                  <w:r>
                    <w:rPr>
                      <w:rFonts w:hint="default" w:ascii="Times New Roman" w:hAnsi="Times New Roman" w:eastAsia="宋体" w:cs="Times New Roman"/>
                      <w:color w:val="auto"/>
                      <w:sz w:val="21"/>
                      <w:szCs w:val="21"/>
                      <w:lang w:val="en-US" w:eastAsia="zh-CN"/>
                    </w:rPr>
                    <w:t>）</w:t>
                  </w:r>
                </w:p>
              </w:tc>
              <w:tc>
                <w:tcPr>
                  <w:tcW w:w="1140" w:type="dxa"/>
                  <w:shd w:val="clear" w:color="auto" w:fill="auto"/>
                  <w:vAlign w:val="center"/>
                </w:tcPr>
                <w:p w14:paraId="5BB7207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796AF5D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47C606C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07FB2DD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高锰酸钾指数</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12</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、化学需氧量</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05</w:t>
                  </w:r>
                  <w:r>
                    <w:rPr>
                      <w:rFonts w:hint="default" w:ascii="Times New Roman" w:hAnsi="Times New Roman" w:cs="Times New Roman"/>
                      <w:color w:val="auto"/>
                      <w:sz w:val="21"/>
                      <w:szCs w:val="21"/>
                      <w:lang w:val="en-US" w:eastAsia="zh-CN"/>
                    </w:rPr>
                    <w:t>）</w:t>
                  </w:r>
                </w:p>
              </w:tc>
            </w:tr>
            <w:tr w14:paraId="794C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3A393983">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754F3614">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淮纺闸</w:t>
                  </w:r>
                </w:p>
              </w:tc>
              <w:tc>
                <w:tcPr>
                  <w:tcW w:w="1140" w:type="dxa"/>
                  <w:shd w:val="clear" w:color="auto" w:fill="auto"/>
                  <w:vAlign w:val="center"/>
                </w:tcPr>
                <w:p w14:paraId="1B732E3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7148415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4A2348F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35ACA2D6">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高锰酸钾指数</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、化学需氧量</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34</w:t>
                  </w:r>
                  <w:r>
                    <w:rPr>
                      <w:rFonts w:hint="default" w:ascii="Times New Roman" w:hAnsi="Times New Roman" w:cs="Times New Roman"/>
                      <w:color w:val="auto"/>
                      <w:sz w:val="21"/>
                      <w:szCs w:val="21"/>
                      <w:lang w:val="en-US" w:eastAsia="zh-CN"/>
                    </w:rPr>
                    <w:t>）</w:t>
                  </w:r>
                </w:p>
              </w:tc>
            </w:tr>
            <w:tr w14:paraId="0172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68C04F2C">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2AE9E60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黄桥闸上</w:t>
                  </w:r>
                </w:p>
              </w:tc>
              <w:tc>
                <w:tcPr>
                  <w:tcW w:w="1140" w:type="dxa"/>
                  <w:shd w:val="clear" w:color="auto" w:fill="auto"/>
                  <w:vAlign w:val="center"/>
                </w:tcPr>
                <w:p w14:paraId="65B8EBD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20CCE27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4ED9765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335FAD31">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高锰酸钾指数</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08</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、化学需氧量</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0.10</w:t>
                  </w:r>
                  <w:r>
                    <w:rPr>
                      <w:rFonts w:hint="default" w:ascii="Times New Roman" w:hAnsi="Times New Roman" w:cs="Times New Roman"/>
                      <w:color w:val="auto"/>
                      <w:sz w:val="21"/>
                      <w:szCs w:val="21"/>
                      <w:lang w:val="en-US" w:eastAsia="zh-CN"/>
                    </w:rPr>
                    <w:t>）</w:t>
                  </w:r>
                </w:p>
              </w:tc>
            </w:tr>
            <w:tr w14:paraId="7ED4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5F5A322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469AA4BC">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五宋路桥</w:t>
                  </w:r>
                </w:p>
              </w:tc>
              <w:tc>
                <w:tcPr>
                  <w:tcW w:w="1140" w:type="dxa"/>
                  <w:shd w:val="clear" w:color="auto" w:fill="auto"/>
                  <w:vAlign w:val="center"/>
                </w:tcPr>
                <w:p w14:paraId="57107BA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15D0694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4045ACE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7281F9F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65D5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1E1A2056">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25D63B9F">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闸河君王桥</w:t>
                  </w:r>
                </w:p>
              </w:tc>
              <w:tc>
                <w:tcPr>
                  <w:tcW w:w="1140" w:type="dxa"/>
                  <w:shd w:val="clear" w:color="auto" w:fill="auto"/>
                  <w:vAlign w:val="center"/>
                </w:tcPr>
                <w:p w14:paraId="73F474E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0F3BA5B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489D2B5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无明显变化</w:t>
                  </w:r>
                </w:p>
              </w:tc>
              <w:tc>
                <w:tcPr>
                  <w:tcW w:w="2348" w:type="dxa"/>
                  <w:shd w:val="clear" w:color="auto" w:fill="auto"/>
                  <w:vAlign w:val="center"/>
                </w:tcPr>
                <w:p w14:paraId="6454000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r>
            <w:tr w14:paraId="4CBD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1" w:type="dxa"/>
                  <w:vMerge w:val="continue"/>
                  <w:vAlign w:val="center"/>
                </w:tcPr>
                <w:p w14:paraId="20F42FB7">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rPr>
                  </w:pPr>
                </w:p>
              </w:tc>
              <w:tc>
                <w:tcPr>
                  <w:tcW w:w="1544" w:type="dxa"/>
                  <w:vAlign w:val="center"/>
                </w:tcPr>
                <w:p w14:paraId="435CBF24">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符离闸</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出</w:t>
                  </w:r>
                  <w:r>
                    <w:rPr>
                      <w:rFonts w:hint="default" w:ascii="Times New Roman" w:hAnsi="Times New Roman" w:cs="Times New Roman"/>
                      <w:color w:val="auto"/>
                      <w:sz w:val="21"/>
                      <w:szCs w:val="21"/>
                      <w:lang w:val="en-US" w:eastAsia="zh-CN"/>
                    </w:rPr>
                    <w:t>境</w:t>
                  </w:r>
                  <w:r>
                    <w:rPr>
                      <w:rFonts w:hint="default" w:ascii="Times New Roman" w:hAnsi="Times New Roman" w:eastAsia="宋体" w:cs="Times New Roman"/>
                      <w:color w:val="auto"/>
                      <w:sz w:val="21"/>
                      <w:szCs w:val="21"/>
                      <w:lang w:val="en-US" w:eastAsia="zh-CN"/>
                    </w:rPr>
                    <w:t>）</w:t>
                  </w:r>
                </w:p>
              </w:tc>
              <w:tc>
                <w:tcPr>
                  <w:tcW w:w="1140" w:type="dxa"/>
                  <w:shd w:val="clear" w:color="auto" w:fill="auto"/>
                  <w:vAlign w:val="center"/>
                </w:tcPr>
                <w:p w14:paraId="2D1FCB2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Ⅲ</w:t>
                  </w:r>
                  <w:r>
                    <w:rPr>
                      <w:rFonts w:hint="default" w:ascii="Times New Roman" w:hAnsi="Times New Roman" w:eastAsia="宋体" w:cs="Times New Roman"/>
                      <w:color w:val="auto"/>
                      <w:sz w:val="21"/>
                      <w:szCs w:val="21"/>
                      <w:lang w:val="en-US" w:eastAsia="zh-CN"/>
                    </w:rPr>
                    <w:t>类</w:t>
                  </w:r>
                </w:p>
              </w:tc>
              <w:tc>
                <w:tcPr>
                  <w:tcW w:w="1125" w:type="dxa"/>
                  <w:shd w:val="clear" w:color="auto" w:fill="auto"/>
                  <w:vAlign w:val="center"/>
                </w:tcPr>
                <w:p w14:paraId="11719B5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Ⅳ</w:t>
                  </w:r>
                  <w:r>
                    <w:rPr>
                      <w:rFonts w:hint="default" w:ascii="Times New Roman" w:hAnsi="Times New Roman" w:eastAsia="宋体" w:cs="Times New Roman"/>
                      <w:color w:val="auto"/>
                      <w:sz w:val="21"/>
                      <w:szCs w:val="21"/>
                      <w:lang w:val="en-US" w:eastAsia="zh-CN"/>
                    </w:rPr>
                    <w:t>类</w:t>
                  </w:r>
                </w:p>
              </w:tc>
              <w:tc>
                <w:tcPr>
                  <w:tcW w:w="1380" w:type="dxa"/>
                  <w:shd w:val="clear" w:color="auto" w:fill="auto"/>
                  <w:vAlign w:val="center"/>
                </w:tcPr>
                <w:p w14:paraId="18856615">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有所下降</w:t>
                  </w:r>
                </w:p>
              </w:tc>
              <w:tc>
                <w:tcPr>
                  <w:tcW w:w="2348" w:type="dxa"/>
                  <w:shd w:val="clear" w:color="auto" w:fill="auto"/>
                  <w:vAlign w:val="center"/>
                </w:tcPr>
                <w:p w14:paraId="78AC8C01">
                  <w:pPr>
                    <w:pStyle w:val="40"/>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高锰酸钾指数</w:t>
                  </w:r>
                  <w:r>
                    <w:rPr>
                      <w:rFonts w:hint="default" w:ascii="Times New Roman" w:hAnsi="Times New Roman" w:cs="Times New Roman"/>
                      <w:color w:val="auto"/>
                      <w:sz w:val="21"/>
                      <w:szCs w:val="21"/>
                      <w:lang w:val="en-US" w:eastAsia="zh-CN"/>
                    </w:rPr>
                    <w:t>（0.</w:t>
                  </w:r>
                  <w:r>
                    <w:rPr>
                      <w:rFonts w:hint="eastAsia" w:ascii="Times New Roman" w:hAnsi="Times New Roman" w:cs="Times New Roman"/>
                      <w:color w:val="auto"/>
                      <w:sz w:val="21"/>
                      <w:szCs w:val="21"/>
                      <w:lang w:val="en-US" w:eastAsia="zh-CN"/>
                    </w:rPr>
                    <w:t>11</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、五日生化需氧量（0.5）、化学需氧量</w:t>
                  </w:r>
                  <w:r>
                    <w:rPr>
                      <w:rFonts w:hint="default"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val="en-US" w:eastAsia="zh-CN"/>
                    </w:rPr>
                    <w:t>0.15</w:t>
                  </w:r>
                  <w:r>
                    <w:rPr>
                      <w:rFonts w:hint="default" w:ascii="Times New Roman" w:hAnsi="Times New Roman" w:cs="Times New Roman"/>
                      <w:color w:val="auto"/>
                      <w:sz w:val="21"/>
                      <w:szCs w:val="21"/>
                      <w:lang w:val="en-US" w:eastAsia="zh-CN"/>
                    </w:rPr>
                    <w:t>）</w:t>
                  </w:r>
                </w:p>
              </w:tc>
            </w:tr>
          </w:tbl>
          <w:p w14:paraId="5B8B4BB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eastAsia" w:ascii="Times New Roman" w:hAnsi="Times New Roman" w:eastAsia="宋体" w:cs="宋体"/>
                <w:b/>
                <w:bCs/>
                <w:color w:val="auto"/>
                <w:sz w:val="24"/>
                <w:szCs w:val="24"/>
              </w:rPr>
            </w:pPr>
            <w:r>
              <w:rPr>
                <w:rFonts w:hint="eastAsia" w:cs="宋体"/>
                <w:b/>
                <w:bCs/>
                <w:sz w:val="24"/>
                <w:szCs w:val="24"/>
              </w:rPr>
              <w:t>三、</w:t>
            </w:r>
            <w:r>
              <w:rPr>
                <w:rFonts w:hint="eastAsia" w:ascii="Times New Roman" w:hAnsi="Times New Roman" w:eastAsia="宋体" w:cs="宋体"/>
                <w:b/>
                <w:bCs/>
                <w:color w:val="auto"/>
                <w:sz w:val="24"/>
                <w:szCs w:val="24"/>
              </w:rPr>
              <w:t>地下水</w:t>
            </w:r>
            <w:r>
              <w:rPr>
                <w:rFonts w:hint="eastAsia" w:cs="宋体"/>
                <w:b/>
                <w:bCs/>
                <w:color w:val="auto"/>
                <w:sz w:val="24"/>
                <w:szCs w:val="24"/>
                <w:lang w:val="en-US" w:eastAsia="zh-CN"/>
              </w:rPr>
              <w:t>环境</w:t>
            </w:r>
            <w:r>
              <w:rPr>
                <w:rFonts w:hint="eastAsia" w:cs="宋体"/>
                <w:b/>
                <w:bCs/>
                <w:sz w:val="24"/>
                <w:szCs w:val="24"/>
              </w:rPr>
              <w:t>质量</w:t>
            </w:r>
          </w:p>
          <w:p w14:paraId="6357963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70" w:firstLineChars="196"/>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2024年淮北市城市集中饮用水源地（地下水）监测指标均达到《地下水质量标准》GB/T14848-2017中Ⅲ类标准，2024年淮北市饮用水源地（地下水）取水总量为1416万吨，饮用水源地（地下水）水质达标率为100%。</w:t>
            </w:r>
          </w:p>
          <w:p w14:paraId="169C9C0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jc w:val="both"/>
              <w:textAlignment w:val="auto"/>
              <w:rPr>
                <w:rFonts w:hint="default" w:cs="宋体"/>
                <w:b/>
                <w:bCs/>
                <w:sz w:val="24"/>
                <w:szCs w:val="24"/>
                <w:lang w:val="en-US" w:eastAsia="zh-CN"/>
              </w:rPr>
            </w:pPr>
            <w:r>
              <w:rPr>
                <w:rFonts w:hint="eastAsia" w:eastAsia="宋体" w:cs="宋体"/>
                <w:b/>
                <w:bCs/>
                <w:sz w:val="24"/>
                <w:szCs w:val="24"/>
                <w:lang w:val="en-US" w:eastAsia="zh-CN"/>
              </w:rPr>
              <w:t>四、</w:t>
            </w:r>
            <w:r>
              <w:rPr>
                <w:rFonts w:hint="eastAsia" w:eastAsia="宋体" w:cs="宋体"/>
                <w:b/>
                <w:bCs/>
                <w:sz w:val="24"/>
                <w:szCs w:val="24"/>
              </w:rPr>
              <w:t>土壤</w:t>
            </w:r>
            <w:r>
              <w:rPr>
                <w:rFonts w:hint="eastAsia" w:eastAsia="宋体" w:cs="宋体"/>
                <w:b/>
                <w:bCs/>
                <w:sz w:val="24"/>
                <w:szCs w:val="24"/>
                <w:lang w:val="en-US" w:eastAsia="zh-CN"/>
              </w:rPr>
              <w:t>环境</w:t>
            </w:r>
            <w:r>
              <w:rPr>
                <w:rFonts w:hint="eastAsia" w:eastAsia="宋体" w:cs="宋体"/>
                <w:b/>
                <w:bCs/>
                <w:sz w:val="24"/>
                <w:szCs w:val="24"/>
              </w:rPr>
              <w:t>质量</w:t>
            </w:r>
          </w:p>
          <w:p w14:paraId="4A66CBB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2024年，淮北市暂无农用地超标点位，我市耕地均为优先保护类耕地，无严格管控类耕地，未发生因耕地土壤污染导致农产品质量超标且造成不良社会影响事件。淮北市严格建设用地准入管理，建设用地安全利用得到有效保障。淮北市完成土壤重点监管单位监督性监测、隐患排查及涉镉等重点重金属排查整治，从源头切断污染土壤途径。淮北市农用地和建设用地安全利用率连续多年保持100%高水平。</w:t>
            </w:r>
          </w:p>
          <w:p w14:paraId="62B8304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本项目雨污分流</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雨水排入雨水管网，经化粪池预处理生活污水与定期排放的循环冷却定期排污水，汇同纯水制备浓水接管进入淮北蓝海水处理有限公司进一步处理，处理达标后部分作为平山电厂冷却循环水，剩余部分排入萧濉新河</w:t>
            </w:r>
            <w:r>
              <w:rPr>
                <w:rFonts w:hint="eastAsia"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val="en-US" w:eastAsia="zh-CN"/>
              </w:rPr>
              <w:t>因此不涉及入渗地下水、土壤的途径。</w:t>
            </w:r>
          </w:p>
          <w:p w14:paraId="11F16AD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default"/>
                <w:b/>
                <w:bCs/>
                <w:sz w:val="24"/>
                <w:szCs w:val="24"/>
              </w:rPr>
            </w:pPr>
            <w:r>
              <w:rPr>
                <w:rFonts w:hint="eastAsia" w:cs="宋体"/>
                <w:b/>
                <w:bCs/>
                <w:sz w:val="24"/>
                <w:szCs w:val="24"/>
                <w:lang w:val="en-US" w:eastAsia="zh-CN"/>
              </w:rPr>
              <w:t>五</w:t>
            </w:r>
            <w:r>
              <w:rPr>
                <w:rFonts w:hint="eastAsia" w:cs="宋体"/>
                <w:b/>
                <w:bCs/>
                <w:sz w:val="24"/>
                <w:szCs w:val="24"/>
              </w:rPr>
              <w:t>、声环境质量</w:t>
            </w:r>
          </w:p>
          <w:p w14:paraId="570043C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区域声环境。2024年淮北市昼间城市区域声环境质量平均等效声级为50.9分贝，区域环境噪声总体水平为二级（较好）。</w:t>
            </w:r>
          </w:p>
          <w:p w14:paraId="4DC9801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cs="Times New Roman"/>
                <w:color w:val="auto"/>
                <w:sz w:val="24"/>
                <w:szCs w:val="24"/>
                <w:lang w:val="en-US" w:eastAsia="zh-CN"/>
              </w:rPr>
            </w:pPr>
            <w:r>
              <w:rPr>
                <w:rFonts w:hint="eastAsia" w:cs="Times New Roman"/>
                <w:color w:val="auto"/>
                <w:sz w:val="24"/>
                <w:szCs w:val="24"/>
                <w:lang w:val="en-US" w:eastAsia="zh-CN"/>
              </w:rPr>
              <w:t>在噪声源构成中，社会生活噪声是淮北市主要噪声源，占47.7%，其次是交通噪声占34.2%，为次要噪声源，工业噪声占12.6%，施工噪声占5.4%。</w:t>
            </w:r>
          </w:p>
          <w:p w14:paraId="51ABB44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道路交通声环境。2024年淮北市监测路段昼间平均车流量为765辆/小时。全市道路昼间交通噪声平均等效声级为67.4分贝，交通噪声城区道路声环境质量整体处于“好”水平。</w:t>
            </w:r>
          </w:p>
          <w:p w14:paraId="06A1C5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2024年淮北市城区主要道路昼间监测声环境质量路段长度“好”121.24千米，“较好”54.84千米，“一般”53.45千米，“较差”20.63千米，分别占监测路段总长度的48.5%、21.9%、21.4%、8.2%，无“差”等次，达标率为70.4%。</w:t>
            </w:r>
          </w:p>
          <w:p w14:paraId="6BB8D8E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cs="Times New Roman"/>
                <w:color w:val="auto"/>
                <w:sz w:val="24"/>
                <w:szCs w:val="24"/>
                <w:lang w:val="en-US" w:eastAsia="zh-CN"/>
              </w:rPr>
            </w:pPr>
            <w:r>
              <w:rPr>
                <w:rFonts w:hint="eastAsia" w:cs="Times New Roman"/>
                <w:color w:val="auto"/>
                <w:sz w:val="24"/>
                <w:szCs w:val="24"/>
                <w:lang w:val="en-US" w:eastAsia="zh-CN"/>
              </w:rPr>
              <w:t>2024年淮北市道路交通噪声昼间平均等效声级同比上升了2.0分贝，全市超标路段比例上升了21.2个百分点。2024年全市道路交通昼间噪声污染水平有所上升。</w:t>
            </w:r>
          </w:p>
          <w:p w14:paraId="1B63F0B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功能区声环境。2024年，淮北市功能区声环境质量昼间达标率为97.5%，夜间达标率为87.5%。其中，1类区昼间达标率为75%、夜间达标率为50%；2类区昼间达标率为100%，夜间达标率为85%；3类区及4类区昼间、夜间达标率均为100%。</w:t>
            </w:r>
          </w:p>
          <w:p w14:paraId="5C30707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lang w:val="en-US" w:eastAsia="zh-CN"/>
              </w:rPr>
              <w:t>本项目厂界外周边50米范围内无声环境保护目标，根据《建设项目环境影响报告表编制技术指南（污染影响类）（试行）》要求，可不进行噪声监测</w:t>
            </w:r>
            <w:r>
              <w:rPr>
                <w:rFonts w:hint="eastAsia" w:cs="Times New Roman"/>
                <w:color w:val="auto"/>
                <w:sz w:val="24"/>
                <w:szCs w:val="24"/>
                <w:lang w:val="en-US" w:eastAsia="zh-CN"/>
              </w:rPr>
              <w:t>。</w:t>
            </w:r>
          </w:p>
          <w:p w14:paraId="719773F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default"/>
                <w:sz w:val="24"/>
                <w:szCs w:val="24"/>
              </w:rPr>
            </w:pPr>
            <w:r>
              <w:rPr>
                <w:rFonts w:hint="eastAsia" w:cs="宋体"/>
                <w:b/>
                <w:bCs/>
                <w:sz w:val="24"/>
                <w:szCs w:val="24"/>
                <w:lang w:val="en-US" w:eastAsia="zh-CN"/>
              </w:rPr>
              <w:t>六</w:t>
            </w:r>
            <w:r>
              <w:rPr>
                <w:rFonts w:hint="eastAsia" w:cs="宋体"/>
                <w:b/>
                <w:bCs/>
                <w:sz w:val="24"/>
                <w:szCs w:val="24"/>
              </w:rPr>
              <w:t>、生态环境质量</w:t>
            </w:r>
          </w:p>
          <w:p w14:paraId="51317F8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宋体" w:eastAsia="宋体"/>
                <w:kern w:val="0"/>
                <w:lang w:val="en-US" w:eastAsia="zh-CN"/>
              </w:rPr>
            </w:pPr>
            <w:r>
              <w:rPr>
                <w:rFonts w:hint="eastAsia" w:ascii="Times New Roman" w:hAnsi="Times New Roman" w:eastAsia="宋体" w:cs="Times New Roman"/>
                <w:sz w:val="24"/>
                <w:szCs w:val="24"/>
                <w:lang w:val="en-US" w:eastAsia="zh-CN"/>
              </w:rPr>
              <w:t>2024年，淮北市生态质量指数（EQI）为</w:t>
            </w:r>
            <w:r>
              <w:rPr>
                <w:rFonts w:hint="default" w:ascii="Times New Roman" w:hAnsi="Times New Roman" w:eastAsia="宋体" w:cs="Times New Roman"/>
                <w:sz w:val="24"/>
                <w:szCs w:val="24"/>
                <w:lang w:val="en-US" w:eastAsia="zh-CN"/>
              </w:rPr>
              <w:t>49.20，生态质量为“三类”。与上年相比，生态质量变化幅度（∆EQI）为-1.8，-2＜∆EQI＜-1，生态质量分类仍为“三类”（自然生态系统覆盖比例一般、受到一定程度的人类活动</w:t>
            </w:r>
            <w:r>
              <w:rPr>
                <w:rFonts w:hint="eastAsia" w:ascii="Times New Roman" w:hAnsi="Times New Roman" w:eastAsia="宋体" w:cs="Times New Roman"/>
                <w:sz w:val="24"/>
                <w:szCs w:val="24"/>
                <w:lang w:val="en-US" w:eastAsia="zh-CN"/>
              </w:rPr>
              <w:t>干扰、生物多样性丰富度一般、生态结构完整性和稳定性一般、生态功能基本完善），生态质量轻微变差。</w:t>
            </w:r>
          </w:p>
        </w:tc>
      </w:tr>
      <w:tr w14:paraId="10C4A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92" w:type="dxa"/>
            <w:vAlign w:val="center"/>
          </w:tcPr>
          <w:p w14:paraId="531DBF53">
            <w:pPr>
              <w:keepNext w:val="0"/>
              <w:keepLines w:val="0"/>
              <w:suppressLineNumbers w:val="0"/>
              <w:adjustRightInd w:val="0"/>
              <w:snapToGrid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环境</w:t>
            </w:r>
          </w:p>
          <w:p w14:paraId="70822425">
            <w:pPr>
              <w:keepNext w:val="0"/>
              <w:keepLines w:val="0"/>
              <w:suppressLineNumbers w:val="0"/>
              <w:adjustRightInd w:val="0"/>
              <w:snapToGrid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保护</w:t>
            </w:r>
          </w:p>
          <w:p w14:paraId="3344C719">
            <w:pPr>
              <w:keepNext w:val="0"/>
              <w:keepLines w:val="0"/>
              <w:suppressLineNumbers w:val="0"/>
              <w:adjustRightInd w:val="0"/>
              <w:snapToGrid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目标</w:t>
            </w:r>
          </w:p>
        </w:tc>
        <w:tc>
          <w:tcPr>
            <w:tcW w:w="8294" w:type="dxa"/>
            <w:gridSpan w:val="2"/>
            <w:vAlign w:val="center"/>
          </w:tcPr>
          <w:p w14:paraId="21AC1A60">
            <w:pPr>
              <w:keepNext w:val="0"/>
              <w:keepLines w:val="0"/>
              <w:suppressLineNumbers w:val="0"/>
              <w:spacing w:before="0" w:beforeAutospacing="0" w:after="0" w:afterAutospacing="0" w:line="360" w:lineRule="auto"/>
              <w:ind w:left="0" w:right="0"/>
              <w:rPr>
                <w:rFonts w:hint="default"/>
                <w:b/>
                <w:bCs/>
                <w:sz w:val="24"/>
                <w:szCs w:val="24"/>
              </w:rPr>
            </w:pPr>
            <w:r>
              <w:rPr>
                <w:rFonts w:hint="eastAsia" w:cs="宋体"/>
                <w:b/>
                <w:bCs/>
                <w:sz w:val="24"/>
                <w:szCs w:val="24"/>
              </w:rPr>
              <w:t>主要环境保护目标（列出名单及保护级别）：</w:t>
            </w:r>
          </w:p>
          <w:p w14:paraId="392D3D9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kern w:val="0"/>
                <w:sz w:val="24"/>
                <w:szCs w:val="24"/>
              </w:rPr>
            </w:pPr>
            <w:r>
              <w:rPr>
                <w:rFonts w:hint="default" w:ascii="Times New Roman" w:hAnsi="Times New Roman" w:eastAsia="宋体" w:cs="Times New Roman"/>
                <w:sz w:val="24"/>
                <w:szCs w:val="24"/>
                <w:lang w:val="en-US" w:eastAsia="zh-CN"/>
              </w:rPr>
              <w:t>本项目选址位于淮北市烈山区经济开发区青龙山电子信息产业园，</w:t>
            </w:r>
            <w:r>
              <w:rPr>
                <w:rFonts w:hint="default" w:ascii="Times New Roman" w:hAnsi="Times New Roman" w:cs="Times New Roman"/>
                <w:color w:val="auto"/>
                <w:kern w:val="0"/>
                <w:sz w:val="24"/>
                <w:szCs w:val="24"/>
              </w:rPr>
              <w:t>具体环境保护目标如下：</w:t>
            </w:r>
          </w:p>
          <w:p w14:paraId="001DA99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1、大气环境：本项目所在区域执行《环境空气质量标准》（GB3095-2012）及其修改单中的二级标准。</w:t>
            </w:r>
          </w:p>
          <w:p w14:paraId="25B4BA9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2、地表水：项目所在区域地表水雷河执行《地表水环境质量标准》（GB3838-2002）中Ⅳ类水质标准</w:t>
            </w:r>
            <w:r>
              <w:rPr>
                <w:rFonts w:hint="eastAsia" w:cs="Times New Roman"/>
                <w:color w:val="auto"/>
                <w:kern w:val="0"/>
                <w:sz w:val="24"/>
                <w:szCs w:val="24"/>
                <w:lang w:val="en-US" w:eastAsia="zh-CN"/>
              </w:rPr>
              <w:t>；</w:t>
            </w:r>
            <w:r>
              <w:rPr>
                <w:rFonts w:hint="default" w:ascii="Times New Roman" w:hAnsi="Times New Roman" w:eastAsia="宋体" w:cs="Times New Roman"/>
                <w:color w:val="auto"/>
                <w:kern w:val="0"/>
                <w:sz w:val="24"/>
                <w:szCs w:val="24"/>
                <w:lang w:val="en-US" w:eastAsia="zh-CN"/>
              </w:rPr>
              <w:t>萧濉新河执行《地表水环境质量标准》（GB3838-2002）中Ⅲ类水质标准。</w:t>
            </w:r>
          </w:p>
          <w:p w14:paraId="2E86C28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3、声环境：本项目厂界外50米范围内无声环境保护目标，区域声环境质量执行《声环境质量标准》GB3096-2008中的3类区标准。</w:t>
            </w:r>
          </w:p>
          <w:p w14:paraId="6DAB6F5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4、地下水环境：本项目厂界外500米范围内无地下水集中式饮用水水源和热水、矿泉水、温泉等特殊地下水资源，区域地下水环境执行《地下水质量标准》（GB/T14848-2017）中的Ⅲ类标准。</w:t>
            </w:r>
          </w:p>
          <w:p w14:paraId="6A70BD9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color w:val="auto"/>
                <w:kern w:val="0"/>
                <w:sz w:val="24"/>
                <w:szCs w:val="24"/>
              </w:rPr>
              <w:t>具体环境保护目标如下：</w:t>
            </w:r>
          </w:p>
          <w:p w14:paraId="10E3D2F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firstLine="0" w:firstLineChars="0"/>
              <w:jc w:val="center"/>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表3-</w:t>
            </w: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rPr>
              <w:t xml:space="preserve">  主要环境保护目标表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40"/>
              <w:gridCol w:w="765"/>
              <w:gridCol w:w="990"/>
              <w:gridCol w:w="780"/>
              <w:gridCol w:w="2205"/>
              <w:gridCol w:w="735"/>
              <w:gridCol w:w="798"/>
            </w:tblGrid>
            <w:tr w14:paraId="6A45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vMerge w:val="restart"/>
                  <w:noWrap w:val="0"/>
                  <w:vAlign w:val="center"/>
                </w:tcPr>
                <w:p w14:paraId="55201C3C">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kern w:val="0"/>
                      <w:sz w:val="21"/>
                      <w:szCs w:val="21"/>
                    </w:rPr>
                  </w:pPr>
                  <w:r>
                    <w:rPr>
                      <w:rFonts w:hint="default"/>
                      <w:b/>
                      <w:bCs/>
                      <w:color w:val="auto"/>
                      <w:kern w:val="0"/>
                      <w:sz w:val="21"/>
                      <w:szCs w:val="21"/>
                    </w:rPr>
                    <w:t>名称</w:t>
                  </w:r>
                </w:p>
              </w:tc>
              <w:tc>
                <w:tcPr>
                  <w:tcW w:w="989" w:type="pct"/>
                  <w:gridSpan w:val="2"/>
                  <w:noWrap w:val="0"/>
                  <w:vAlign w:val="center"/>
                </w:tcPr>
                <w:p w14:paraId="5FDACC47">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bCs/>
                      <w:color w:val="auto"/>
                      <w:kern w:val="0"/>
                      <w:sz w:val="21"/>
                      <w:szCs w:val="21"/>
                      <w:lang w:val="en-US" w:eastAsia="zh-CN"/>
                    </w:rPr>
                  </w:pPr>
                  <w:r>
                    <w:rPr>
                      <w:rFonts w:hint="default"/>
                      <w:b/>
                      <w:bCs/>
                      <w:color w:val="auto"/>
                      <w:kern w:val="0"/>
                      <w:sz w:val="21"/>
                      <w:szCs w:val="21"/>
                    </w:rPr>
                    <w:t>坐标（m）</w:t>
                  </w:r>
                </w:p>
              </w:tc>
              <w:tc>
                <w:tcPr>
                  <w:tcW w:w="610" w:type="pct"/>
                  <w:vMerge w:val="restart"/>
                  <w:noWrap w:val="0"/>
                  <w:vAlign w:val="center"/>
                </w:tcPr>
                <w:p w14:paraId="24A75670">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kern w:val="0"/>
                      <w:sz w:val="21"/>
                      <w:szCs w:val="21"/>
                    </w:rPr>
                  </w:pPr>
                  <w:r>
                    <w:rPr>
                      <w:rFonts w:hint="default"/>
                      <w:b/>
                      <w:bCs/>
                      <w:color w:val="auto"/>
                      <w:kern w:val="0"/>
                      <w:sz w:val="21"/>
                      <w:szCs w:val="21"/>
                    </w:rPr>
                    <w:t>保护对象</w:t>
                  </w:r>
                </w:p>
              </w:tc>
              <w:tc>
                <w:tcPr>
                  <w:tcW w:w="481" w:type="pct"/>
                  <w:vMerge w:val="restart"/>
                  <w:noWrap w:val="0"/>
                  <w:vAlign w:val="center"/>
                </w:tcPr>
                <w:p w14:paraId="32FFEA99">
                  <w:pPr>
                    <w:pStyle w:val="27"/>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kern w:val="0"/>
                      <w:sz w:val="21"/>
                      <w:szCs w:val="21"/>
                    </w:rPr>
                  </w:pPr>
                  <w:r>
                    <w:rPr>
                      <w:rFonts w:hint="default"/>
                      <w:b/>
                      <w:bCs/>
                      <w:color w:val="auto"/>
                      <w:kern w:val="0"/>
                      <w:sz w:val="21"/>
                      <w:szCs w:val="21"/>
                    </w:rPr>
                    <w:t>保护内容</w:t>
                  </w:r>
                </w:p>
              </w:tc>
              <w:tc>
                <w:tcPr>
                  <w:tcW w:w="1359" w:type="pct"/>
                  <w:vMerge w:val="restart"/>
                  <w:noWrap w:val="0"/>
                  <w:vAlign w:val="center"/>
                </w:tcPr>
                <w:p w14:paraId="6B28D5A9">
                  <w:pPr>
                    <w:pStyle w:val="27"/>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kern w:val="0"/>
                      <w:sz w:val="21"/>
                      <w:szCs w:val="21"/>
                    </w:rPr>
                  </w:pPr>
                  <w:r>
                    <w:rPr>
                      <w:rFonts w:hint="default"/>
                      <w:b/>
                      <w:bCs/>
                      <w:color w:val="auto"/>
                      <w:kern w:val="0"/>
                      <w:sz w:val="21"/>
                      <w:szCs w:val="21"/>
                    </w:rPr>
                    <w:t>环境功能区</w:t>
                  </w:r>
                </w:p>
              </w:tc>
              <w:tc>
                <w:tcPr>
                  <w:tcW w:w="453" w:type="pct"/>
                  <w:vMerge w:val="restart"/>
                  <w:noWrap w:val="0"/>
                  <w:vAlign w:val="center"/>
                </w:tcPr>
                <w:p w14:paraId="2A05BF02">
                  <w:pPr>
                    <w:pStyle w:val="27"/>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kern w:val="0"/>
                      <w:sz w:val="21"/>
                      <w:szCs w:val="21"/>
                    </w:rPr>
                  </w:pPr>
                  <w:r>
                    <w:rPr>
                      <w:rFonts w:hint="default"/>
                      <w:b/>
                      <w:bCs/>
                      <w:color w:val="auto"/>
                      <w:kern w:val="0"/>
                      <w:sz w:val="21"/>
                      <w:szCs w:val="21"/>
                    </w:rPr>
                    <w:t>相对厂址方位</w:t>
                  </w:r>
                </w:p>
              </w:tc>
              <w:tc>
                <w:tcPr>
                  <w:tcW w:w="492" w:type="pct"/>
                  <w:vMerge w:val="restart"/>
                  <w:noWrap w:val="0"/>
                  <w:vAlign w:val="center"/>
                </w:tcPr>
                <w:p w14:paraId="6D08808B">
                  <w:pPr>
                    <w:pStyle w:val="27"/>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kern w:val="0"/>
                      <w:sz w:val="21"/>
                      <w:szCs w:val="21"/>
                    </w:rPr>
                  </w:pPr>
                  <w:r>
                    <w:rPr>
                      <w:rFonts w:hint="default"/>
                      <w:b/>
                      <w:bCs/>
                      <w:color w:val="auto"/>
                      <w:kern w:val="0"/>
                      <w:sz w:val="21"/>
                      <w:szCs w:val="21"/>
                    </w:rPr>
                    <w:t>相对厂界距离（m）</w:t>
                  </w:r>
                </w:p>
              </w:tc>
            </w:tr>
            <w:tr w14:paraId="374C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vMerge w:val="continue"/>
                  <w:noWrap w:val="0"/>
                  <w:vAlign w:val="center"/>
                </w:tcPr>
                <w:p w14:paraId="17FE86D9">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p>
              </w:tc>
              <w:tc>
                <w:tcPr>
                  <w:tcW w:w="518" w:type="pct"/>
                  <w:noWrap w:val="0"/>
                  <w:vAlign w:val="center"/>
                </w:tcPr>
                <w:p w14:paraId="2B4CDB0E">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bCs/>
                      <w:color w:val="auto"/>
                      <w:kern w:val="0"/>
                      <w:sz w:val="21"/>
                      <w:szCs w:val="21"/>
                      <w:lang w:val="en-US" w:eastAsia="zh-CN"/>
                    </w:rPr>
                  </w:pPr>
                  <w:r>
                    <w:rPr>
                      <w:rFonts w:hint="eastAsia"/>
                      <w:b/>
                      <w:bCs/>
                      <w:color w:val="auto"/>
                      <w:kern w:val="0"/>
                      <w:sz w:val="21"/>
                      <w:szCs w:val="21"/>
                      <w:lang w:val="en-US" w:eastAsia="zh-CN"/>
                    </w:rPr>
                    <w:t>X</w:t>
                  </w:r>
                </w:p>
              </w:tc>
              <w:tc>
                <w:tcPr>
                  <w:tcW w:w="471" w:type="pct"/>
                  <w:noWrap w:val="0"/>
                  <w:vAlign w:val="center"/>
                </w:tcPr>
                <w:p w14:paraId="53197573">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b/>
                      <w:bCs/>
                      <w:color w:val="auto"/>
                      <w:kern w:val="0"/>
                      <w:sz w:val="21"/>
                      <w:szCs w:val="21"/>
                      <w:lang w:val="en-US" w:eastAsia="zh-CN"/>
                    </w:rPr>
                  </w:pPr>
                  <w:r>
                    <w:rPr>
                      <w:rFonts w:hint="eastAsia"/>
                      <w:b/>
                      <w:bCs/>
                      <w:color w:val="auto"/>
                      <w:kern w:val="0"/>
                      <w:sz w:val="21"/>
                      <w:szCs w:val="21"/>
                      <w:lang w:val="en-US" w:eastAsia="zh-CN"/>
                    </w:rPr>
                    <w:t>Y</w:t>
                  </w:r>
                </w:p>
              </w:tc>
              <w:tc>
                <w:tcPr>
                  <w:tcW w:w="610" w:type="pct"/>
                  <w:vMerge w:val="continue"/>
                  <w:noWrap w:val="0"/>
                  <w:vAlign w:val="center"/>
                </w:tcPr>
                <w:p w14:paraId="5A9BD72B">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p>
              </w:tc>
              <w:tc>
                <w:tcPr>
                  <w:tcW w:w="481" w:type="pct"/>
                  <w:vMerge w:val="continue"/>
                  <w:noWrap w:val="0"/>
                  <w:vAlign w:val="center"/>
                </w:tcPr>
                <w:p w14:paraId="483DD206">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p>
              </w:tc>
              <w:tc>
                <w:tcPr>
                  <w:tcW w:w="1359" w:type="pct"/>
                  <w:vMerge w:val="continue"/>
                  <w:noWrap w:val="0"/>
                  <w:vAlign w:val="center"/>
                </w:tcPr>
                <w:p w14:paraId="065F6DA6">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p>
              </w:tc>
              <w:tc>
                <w:tcPr>
                  <w:tcW w:w="453" w:type="pct"/>
                  <w:vMerge w:val="continue"/>
                  <w:noWrap w:val="0"/>
                  <w:vAlign w:val="center"/>
                </w:tcPr>
                <w:p w14:paraId="365D1E18">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p>
              </w:tc>
              <w:tc>
                <w:tcPr>
                  <w:tcW w:w="492" w:type="pct"/>
                  <w:vMerge w:val="continue"/>
                  <w:noWrap w:val="0"/>
                  <w:vAlign w:val="center"/>
                </w:tcPr>
                <w:p w14:paraId="6D1B6378">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p>
              </w:tc>
            </w:tr>
            <w:tr w14:paraId="35E7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vMerge w:val="restart"/>
                  <w:noWrap w:val="0"/>
                  <w:vAlign w:val="center"/>
                </w:tcPr>
                <w:p w14:paraId="71995FD5">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rPr>
                  </w:pPr>
                  <w:r>
                    <w:rPr>
                      <w:rFonts w:hint="eastAsia"/>
                      <w:color w:val="auto"/>
                      <w:kern w:val="0"/>
                      <w:sz w:val="21"/>
                      <w:szCs w:val="21"/>
                    </w:rPr>
                    <w:t>地表水环境</w:t>
                  </w:r>
                </w:p>
              </w:tc>
              <w:tc>
                <w:tcPr>
                  <w:tcW w:w="518" w:type="pct"/>
                  <w:noWrap w:val="0"/>
                  <w:vAlign w:val="center"/>
                </w:tcPr>
                <w:p w14:paraId="0640FA17">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eastAsia"/>
                      <w:color w:val="auto"/>
                      <w:kern w:val="0"/>
                      <w:sz w:val="21"/>
                      <w:szCs w:val="21"/>
                    </w:rPr>
                    <w:t>/</w:t>
                  </w:r>
                </w:p>
              </w:tc>
              <w:tc>
                <w:tcPr>
                  <w:tcW w:w="471" w:type="pct"/>
                  <w:noWrap w:val="0"/>
                  <w:vAlign w:val="center"/>
                </w:tcPr>
                <w:p w14:paraId="232C6B71">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eastAsia"/>
                      <w:color w:val="auto"/>
                      <w:kern w:val="0"/>
                      <w:sz w:val="21"/>
                      <w:szCs w:val="21"/>
                    </w:rPr>
                    <w:t>/</w:t>
                  </w:r>
                </w:p>
              </w:tc>
              <w:tc>
                <w:tcPr>
                  <w:tcW w:w="610" w:type="pct"/>
                  <w:noWrap w:val="0"/>
                  <w:vAlign w:val="center"/>
                </w:tcPr>
                <w:p w14:paraId="1D9A6D67">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eastAsia"/>
                      <w:color w:val="auto"/>
                      <w:kern w:val="0"/>
                      <w:sz w:val="21"/>
                      <w:szCs w:val="21"/>
                    </w:rPr>
                    <w:t>萧濉新河</w:t>
                  </w:r>
                </w:p>
              </w:tc>
              <w:tc>
                <w:tcPr>
                  <w:tcW w:w="481" w:type="pct"/>
                  <w:noWrap w:val="0"/>
                  <w:vAlign w:val="center"/>
                </w:tcPr>
                <w:p w14:paraId="05D36E3B">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小型河流</w:t>
                  </w:r>
                </w:p>
              </w:tc>
              <w:tc>
                <w:tcPr>
                  <w:tcW w:w="1359" w:type="pct"/>
                  <w:noWrap w:val="0"/>
                  <w:vAlign w:val="center"/>
                </w:tcPr>
                <w:p w14:paraId="0BB53C9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《地表水环境质量标准》（GB3838-2002）</w:t>
                  </w:r>
                  <w:r>
                    <w:rPr>
                      <w:rFonts w:hint="default"/>
                      <w:color w:val="auto"/>
                      <w:kern w:val="0"/>
                      <w:sz w:val="21"/>
                      <w:szCs w:val="21"/>
                      <w:lang w:val="en-US" w:eastAsia="zh-CN"/>
                    </w:rPr>
                    <w:t>Ⅲ</w:t>
                  </w:r>
                  <w:r>
                    <w:rPr>
                      <w:rFonts w:hint="default"/>
                      <w:color w:val="auto"/>
                      <w:kern w:val="0"/>
                      <w:sz w:val="21"/>
                      <w:szCs w:val="21"/>
                    </w:rPr>
                    <w:t>类标准</w:t>
                  </w:r>
                </w:p>
              </w:tc>
              <w:tc>
                <w:tcPr>
                  <w:tcW w:w="453" w:type="pct"/>
                  <w:noWrap w:val="0"/>
                  <w:vAlign w:val="center"/>
                </w:tcPr>
                <w:p w14:paraId="0F9AE5BD">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SW</w:t>
                  </w:r>
                </w:p>
              </w:tc>
              <w:tc>
                <w:tcPr>
                  <w:tcW w:w="492" w:type="pct"/>
                  <w:noWrap w:val="0"/>
                  <w:vAlign w:val="center"/>
                </w:tcPr>
                <w:p w14:paraId="3CCE8F09">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1450</w:t>
                  </w:r>
                </w:p>
              </w:tc>
            </w:tr>
            <w:tr w14:paraId="1F12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vMerge w:val="continue"/>
                  <w:noWrap w:val="0"/>
                  <w:vAlign w:val="center"/>
                </w:tcPr>
                <w:p w14:paraId="33DD0CEA">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kern w:val="0"/>
                      <w:sz w:val="21"/>
                      <w:szCs w:val="21"/>
                    </w:rPr>
                  </w:pPr>
                </w:p>
              </w:tc>
              <w:tc>
                <w:tcPr>
                  <w:tcW w:w="518" w:type="pct"/>
                  <w:noWrap w:val="0"/>
                  <w:vAlign w:val="center"/>
                </w:tcPr>
                <w:p w14:paraId="6521710A">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kern w:val="0"/>
                      <w:sz w:val="21"/>
                      <w:szCs w:val="21"/>
                    </w:rPr>
                  </w:pPr>
                  <w:r>
                    <w:rPr>
                      <w:rFonts w:hint="eastAsia"/>
                      <w:color w:val="auto"/>
                      <w:kern w:val="0"/>
                      <w:sz w:val="21"/>
                      <w:szCs w:val="21"/>
                    </w:rPr>
                    <w:t>/</w:t>
                  </w:r>
                </w:p>
              </w:tc>
              <w:tc>
                <w:tcPr>
                  <w:tcW w:w="471" w:type="pct"/>
                  <w:noWrap w:val="0"/>
                  <w:vAlign w:val="center"/>
                </w:tcPr>
                <w:p w14:paraId="5A9C1423">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olor w:val="auto"/>
                      <w:kern w:val="0"/>
                      <w:sz w:val="21"/>
                      <w:szCs w:val="21"/>
                    </w:rPr>
                  </w:pPr>
                  <w:r>
                    <w:rPr>
                      <w:rFonts w:hint="eastAsia"/>
                      <w:color w:val="auto"/>
                      <w:kern w:val="0"/>
                      <w:sz w:val="21"/>
                      <w:szCs w:val="21"/>
                    </w:rPr>
                    <w:t>/</w:t>
                  </w:r>
                </w:p>
              </w:tc>
              <w:tc>
                <w:tcPr>
                  <w:tcW w:w="610" w:type="pct"/>
                  <w:noWrap w:val="0"/>
                  <w:vAlign w:val="center"/>
                </w:tcPr>
                <w:p w14:paraId="372934A6">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kern w:val="0"/>
                      <w:sz w:val="21"/>
                      <w:szCs w:val="21"/>
                    </w:rPr>
                  </w:pPr>
                  <w:r>
                    <w:rPr>
                      <w:rFonts w:hint="eastAsia"/>
                      <w:color w:val="auto"/>
                      <w:kern w:val="0"/>
                      <w:sz w:val="21"/>
                      <w:szCs w:val="21"/>
                      <w:lang w:val="en-US" w:eastAsia="zh-CN"/>
                    </w:rPr>
                    <w:t>雷河</w:t>
                  </w:r>
                </w:p>
              </w:tc>
              <w:tc>
                <w:tcPr>
                  <w:tcW w:w="481" w:type="pct"/>
                  <w:noWrap w:val="0"/>
                  <w:vAlign w:val="center"/>
                </w:tcPr>
                <w:p w14:paraId="6E81A74A">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小型河流</w:t>
                  </w:r>
                </w:p>
              </w:tc>
              <w:tc>
                <w:tcPr>
                  <w:tcW w:w="1359" w:type="pct"/>
                  <w:noWrap w:val="0"/>
                  <w:vAlign w:val="center"/>
                </w:tcPr>
                <w:p w14:paraId="2AB5DB5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《地表水环境质量标准》（GB3838-2002）</w:t>
                  </w:r>
                  <w:r>
                    <w:rPr>
                      <w:rFonts w:hint="default" w:ascii="Times New Roman" w:hAnsi="Times New Roman" w:cs="Times New Roman"/>
                      <w:color w:val="auto"/>
                      <w:kern w:val="0"/>
                      <w:sz w:val="21"/>
                      <w:szCs w:val="21"/>
                      <w:lang w:val="en-US" w:eastAsia="zh-CN"/>
                    </w:rPr>
                    <w:t>Ⅳ</w:t>
                  </w:r>
                  <w:r>
                    <w:rPr>
                      <w:rFonts w:hint="default"/>
                      <w:color w:val="auto"/>
                      <w:kern w:val="0"/>
                      <w:sz w:val="21"/>
                      <w:szCs w:val="21"/>
                    </w:rPr>
                    <w:t>类标准</w:t>
                  </w:r>
                </w:p>
              </w:tc>
              <w:tc>
                <w:tcPr>
                  <w:tcW w:w="453" w:type="pct"/>
                  <w:noWrap w:val="0"/>
                  <w:vAlign w:val="center"/>
                </w:tcPr>
                <w:p w14:paraId="546D379F">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kern w:val="0"/>
                      <w:sz w:val="21"/>
                      <w:szCs w:val="21"/>
                      <w:lang w:val="en-US" w:eastAsia="zh-CN"/>
                    </w:rPr>
                  </w:pPr>
                  <w:r>
                    <w:rPr>
                      <w:rFonts w:hint="eastAsia"/>
                      <w:color w:val="auto"/>
                      <w:kern w:val="0"/>
                      <w:sz w:val="21"/>
                      <w:szCs w:val="21"/>
                      <w:lang w:val="en-US" w:eastAsia="zh-CN"/>
                    </w:rPr>
                    <w:t>SW</w:t>
                  </w:r>
                </w:p>
              </w:tc>
              <w:tc>
                <w:tcPr>
                  <w:tcW w:w="492" w:type="pct"/>
                  <w:noWrap w:val="0"/>
                  <w:vAlign w:val="center"/>
                </w:tcPr>
                <w:p w14:paraId="698910F5">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lang w:val="en-US" w:eastAsia="zh-CN"/>
                    </w:rPr>
                  </w:pPr>
                  <w:r>
                    <w:rPr>
                      <w:rFonts w:hint="eastAsia"/>
                      <w:color w:val="auto"/>
                      <w:kern w:val="0"/>
                      <w:sz w:val="21"/>
                      <w:szCs w:val="21"/>
                      <w:lang w:val="en-US" w:eastAsia="zh-CN"/>
                    </w:rPr>
                    <w:t>620</w:t>
                  </w:r>
                </w:p>
              </w:tc>
            </w:tr>
            <w:tr w14:paraId="4200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14:paraId="5509381E">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大气环境</w:t>
                  </w:r>
                </w:p>
              </w:tc>
              <w:tc>
                <w:tcPr>
                  <w:tcW w:w="518" w:type="pct"/>
                  <w:noWrap w:val="0"/>
                  <w:vAlign w:val="center"/>
                </w:tcPr>
                <w:p w14:paraId="6D6DFF35">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246</w:t>
                  </w:r>
                </w:p>
              </w:tc>
              <w:tc>
                <w:tcPr>
                  <w:tcW w:w="471" w:type="pct"/>
                  <w:noWrap w:val="0"/>
                  <w:vAlign w:val="center"/>
                </w:tcPr>
                <w:p w14:paraId="17793F86">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0</w:t>
                  </w:r>
                </w:p>
              </w:tc>
              <w:tc>
                <w:tcPr>
                  <w:tcW w:w="610" w:type="pct"/>
                  <w:noWrap w:val="0"/>
                  <w:vAlign w:val="center"/>
                </w:tcPr>
                <w:p w14:paraId="04FB5443">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eastAsia"/>
                      <w:color w:val="auto"/>
                      <w:kern w:val="0"/>
                      <w:sz w:val="21"/>
                      <w:szCs w:val="21"/>
                    </w:rPr>
                    <w:t>烈山经济开发区管委会</w:t>
                  </w:r>
                </w:p>
              </w:tc>
              <w:tc>
                <w:tcPr>
                  <w:tcW w:w="481" w:type="pct"/>
                  <w:noWrap w:val="0"/>
                  <w:vAlign w:val="center"/>
                </w:tcPr>
                <w:p w14:paraId="1187C45B">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eastAsia"/>
                      <w:color w:val="auto"/>
                      <w:kern w:val="0"/>
                      <w:sz w:val="21"/>
                      <w:szCs w:val="21"/>
                      <w:lang w:val="en-US" w:eastAsia="zh-CN"/>
                    </w:rPr>
                    <w:t>1</w:t>
                  </w:r>
                  <w:r>
                    <w:rPr>
                      <w:rFonts w:hint="eastAsia"/>
                      <w:color w:val="auto"/>
                      <w:kern w:val="0"/>
                      <w:sz w:val="21"/>
                      <w:szCs w:val="21"/>
                    </w:rPr>
                    <w:t>50人</w:t>
                  </w:r>
                </w:p>
              </w:tc>
              <w:tc>
                <w:tcPr>
                  <w:tcW w:w="1359" w:type="pct"/>
                  <w:noWrap w:val="0"/>
                  <w:vAlign w:val="center"/>
                </w:tcPr>
                <w:p w14:paraId="1CACC8E8">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《环境空气质量标准》（GB3095-2012）及其修改单中的二级标准</w:t>
                  </w:r>
                </w:p>
              </w:tc>
              <w:tc>
                <w:tcPr>
                  <w:tcW w:w="453" w:type="pct"/>
                  <w:noWrap w:val="0"/>
                  <w:vAlign w:val="center"/>
                </w:tcPr>
                <w:p w14:paraId="02024FFB">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E</w:t>
                  </w:r>
                </w:p>
              </w:tc>
              <w:tc>
                <w:tcPr>
                  <w:tcW w:w="492" w:type="pct"/>
                  <w:noWrap w:val="0"/>
                  <w:vAlign w:val="center"/>
                </w:tcPr>
                <w:p w14:paraId="2ABF96D5">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240</w:t>
                  </w:r>
                </w:p>
              </w:tc>
            </w:tr>
            <w:tr w14:paraId="39FE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14:paraId="735FDBE4">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声环境</w:t>
                  </w:r>
                </w:p>
              </w:tc>
              <w:tc>
                <w:tcPr>
                  <w:tcW w:w="518" w:type="pct"/>
                  <w:noWrap w:val="0"/>
                  <w:vAlign w:val="center"/>
                </w:tcPr>
                <w:p w14:paraId="30DCBA18">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kern w:val="0"/>
                      <w:sz w:val="21"/>
                      <w:szCs w:val="21"/>
                      <w:lang w:eastAsia="zh-CN"/>
                    </w:rPr>
                  </w:pPr>
                  <w:r>
                    <w:rPr>
                      <w:rFonts w:hint="eastAsia"/>
                      <w:color w:val="auto"/>
                      <w:kern w:val="0"/>
                      <w:sz w:val="21"/>
                      <w:szCs w:val="21"/>
                      <w:lang w:val="en-US" w:eastAsia="zh-CN"/>
                    </w:rPr>
                    <w:t>/</w:t>
                  </w:r>
                </w:p>
              </w:tc>
              <w:tc>
                <w:tcPr>
                  <w:tcW w:w="471" w:type="pct"/>
                  <w:noWrap w:val="0"/>
                  <w:vAlign w:val="center"/>
                </w:tcPr>
                <w:p w14:paraId="51BF3C54">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kern w:val="0"/>
                      <w:sz w:val="21"/>
                      <w:szCs w:val="21"/>
                      <w:lang w:eastAsia="zh-CN"/>
                    </w:rPr>
                  </w:pPr>
                  <w:r>
                    <w:rPr>
                      <w:rFonts w:hint="eastAsia"/>
                      <w:color w:val="auto"/>
                      <w:kern w:val="0"/>
                      <w:sz w:val="21"/>
                      <w:szCs w:val="21"/>
                      <w:lang w:val="en-US" w:eastAsia="zh-CN"/>
                    </w:rPr>
                    <w:t>/</w:t>
                  </w:r>
                </w:p>
              </w:tc>
              <w:tc>
                <w:tcPr>
                  <w:tcW w:w="610" w:type="pct"/>
                  <w:noWrap w:val="0"/>
                  <w:vAlign w:val="center"/>
                </w:tcPr>
                <w:p w14:paraId="784A61A6">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olor w:val="auto"/>
                      <w:kern w:val="0"/>
                      <w:sz w:val="21"/>
                      <w:szCs w:val="21"/>
                      <w:lang w:eastAsia="zh-CN"/>
                    </w:rPr>
                  </w:pPr>
                  <w:r>
                    <w:rPr>
                      <w:rFonts w:hint="eastAsia" w:eastAsia="宋体"/>
                      <w:color w:val="auto"/>
                      <w:kern w:val="0"/>
                      <w:sz w:val="21"/>
                      <w:szCs w:val="21"/>
                      <w:lang w:val="en-US" w:eastAsia="zh-CN"/>
                    </w:rPr>
                    <w:t>项目区界外</w:t>
                  </w:r>
                </w:p>
              </w:tc>
              <w:tc>
                <w:tcPr>
                  <w:tcW w:w="481" w:type="pct"/>
                  <w:noWrap w:val="0"/>
                  <w:vAlign w:val="center"/>
                </w:tcPr>
                <w:p w14:paraId="0F976572">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kern w:val="0"/>
                      <w:sz w:val="21"/>
                      <w:szCs w:val="21"/>
                      <w:lang w:eastAsia="zh-CN"/>
                    </w:rPr>
                  </w:pPr>
                  <w:r>
                    <w:rPr>
                      <w:rFonts w:hint="eastAsia"/>
                      <w:color w:val="auto"/>
                      <w:kern w:val="0"/>
                      <w:sz w:val="21"/>
                      <w:szCs w:val="21"/>
                      <w:lang w:val="en-US" w:eastAsia="zh-CN"/>
                    </w:rPr>
                    <w:t>/</w:t>
                  </w:r>
                </w:p>
              </w:tc>
              <w:tc>
                <w:tcPr>
                  <w:tcW w:w="1359" w:type="pct"/>
                  <w:noWrap w:val="0"/>
                  <w:vAlign w:val="center"/>
                </w:tcPr>
                <w:p w14:paraId="5AC0F11C">
                  <w:pPr>
                    <w:keepNext w:val="0"/>
                    <w:keepLines w:val="0"/>
                    <w:pageBreakBefore w:val="0"/>
                    <w:suppressLineNumbers w:val="0"/>
                    <w:kinsoku w:val="0"/>
                    <w:wordWrap/>
                    <w:overflowPunct w:val="0"/>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sz w:val="21"/>
                      <w:szCs w:val="21"/>
                    </w:rPr>
                    <w:t>《声环境质量标准》（GB3096-2008）</w:t>
                  </w:r>
                  <w:r>
                    <w:rPr>
                      <w:rFonts w:hint="eastAsia"/>
                      <w:color w:val="auto"/>
                      <w:sz w:val="21"/>
                      <w:szCs w:val="21"/>
                    </w:rPr>
                    <w:t>3</w:t>
                  </w:r>
                  <w:r>
                    <w:rPr>
                      <w:rFonts w:hint="default"/>
                      <w:color w:val="auto"/>
                      <w:sz w:val="21"/>
                      <w:szCs w:val="21"/>
                    </w:rPr>
                    <w:t>类标准</w:t>
                  </w:r>
                </w:p>
              </w:tc>
              <w:tc>
                <w:tcPr>
                  <w:tcW w:w="453" w:type="pct"/>
                  <w:noWrap w:val="0"/>
                  <w:vAlign w:val="center"/>
                </w:tcPr>
                <w:p w14:paraId="21FE3F6E">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kern w:val="0"/>
                      <w:sz w:val="21"/>
                      <w:szCs w:val="21"/>
                      <w:lang w:eastAsia="zh-CN"/>
                    </w:rPr>
                  </w:pPr>
                  <w:r>
                    <w:rPr>
                      <w:rFonts w:hint="eastAsia"/>
                      <w:color w:val="auto"/>
                      <w:kern w:val="0"/>
                      <w:sz w:val="21"/>
                      <w:szCs w:val="21"/>
                      <w:lang w:val="en-US" w:eastAsia="zh-CN"/>
                    </w:rPr>
                    <w:t>/</w:t>
                  </w:r>
                </w:p>
              </w:tc>
              <w:tc>
                <w:tcPr>
                  <w:tcW w:w="492" w:type="pct"/>
                  <w:noWrap w:val="0"/>
                  <w:vAlign w:val="center"/>
                </w:tcPr>
                <w:p w14:paraId="61257AEB">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eastAsia"/>
                      <w:color w:val="auto"/>
                      <w:kern w:val="0"/>
                      <w:sz w:val="21"/>
                      <w:szCs w:val="21"/>
                    </w:rPr>
                    <w:t>50</w:t>
                  </w:r>
                </w:p>
              </w:tc>
            </w:tr>
            <w:tr w14:paraId="1647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3" w:type="pct"/>
                  <w:noWrap w:val="0"/>
                  <w:vAlign w:val="center"/>
                </w:tcPr>
                <w:p w14:paraId="5D6392D1">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kern w:val="0"/>
                      <w:sz w:val="21"/>
                      <w:szCs w:val="21"/>
                    </w:rPr>
                  </w:pPr>
                  <w:r>
                    <w:rPr>
                      <w:rFonts w:hint="default"/>
                      <w:color w:val="auto"/>
                      <w:kern w:val="0"/>
                      <w:sz w:val="21"/>
                      <w:szCs w:val="21"/>
                    </w:rPr>
                    <w:t>地下水环境</w:t>
                  </w:r>
                </w:p>
              </w:tc>
              <w:tc>
                <w:tcPr>
                  <w:tcW w:w="4386" w:type="pct"/>
                  <w:gridSpan w:val="7"/>
                  <w:noWrap w:val="0"/>
                  <w:vAlign w:val="center"/>
                </w:tcPr>
                <w:p w14:paraId="01793231">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color w:val="auto"/>
                      <w:kern w:val="0"/>
                      <w:sz w:val="21"/>
                      <w:szCs w:val="21"/>
                    </w:rPr>
                  </w:pPr>
                  <w:r>
                    <w:rPr>
                      <w:rFonts w:hint="eastAsia"/>
                      <w:color w:val="auto"/>
                      <w:kern w:val="0"/>
                      <w:sz w:val="21"/>
                      <w:szCs w:val="21"/>
                    </w:rPr>
                    <w:t>项目所在区域厂界500m范围内不涉及地下水集中式饮用水水源、矿泉水、温泉等特殊地下水资源</w:t>
                  </w:r>
                </w:p>
              </w:tc>
            </w:tr>
            <w:tr w14:paraId="7235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noWrap w:val="0"/>
                  <w:vAlign w:val="center"/>
                </w:tcPr>
                <w:p w14:paraId="0CBD6D00">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color w:val="auto"/>
                      <w:kern w:val="0"/>
                      <w:sz w:val="21"/>
                      <w:szCs w:val="21"/>
                    </w:rPr>
                  </w:pPr>
                  <w:r>
                    <w:rPr>
                      <w:rFonts w:hint="eastAsia"/>
                      <w:color w:val="auto"/>
                      <w:kern w:val="0"/>
                      <w:sz w:val="21"/>
                      <w:szCs w:val="21"/>
                      <w:lang w:val="en-US" w:eastAsia="zh-CN"/>
                    </w:rPr>
                    <w:t>注：以厂区东南角为坐标原点（0,0）（经度：116.837085，纬度33.8682053），以原点东、西为X轴，南、北为Y轴。</w:t>
                  </w:r>
                </w:p>
              </w:tc>
            </w:tr>
          </w:tbl>
          <w:p w14:paraId="6CA08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auto"/>
              <w:rPr>
                <w:rFonts w:hint="default" w:ascii="宋体" w:eastAsia="宋体"/>
                <w:kern w:val="0"/>
                <w:lang w:val="en-US" w:eastAsia="zh-CN"/>
              </w:rPr>
            </w:pPr>
          </w:p>
        </w:tc>
      </w:tr>
      <w:tr w14:paraId="64748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97" w:hRule="atLeast"/>
          <w:jc w:val="center"/>
        </w:trPr>
        <w:tc>
          <w:tcPr>
            <w:tcW w:w="492" w:type="dxa"/>
            <w:tcMar>
              <w:left w:w="28" w:type="dxa"/>
              <w:right w:w="28" w:type="dxa"/>
            </w:tcMar>
            <w:vAlign w:val="center"/>
          </w:tcPr>
          <w:p w14:paraId="55F4E49E">
            <w:pPr>
              <w:keepNext w:val="0"/>
              <w:keepLines w:val="0"/>
              <w:suppressLineNumbers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污染</w:t>
            </w:r>
          </w:p>
          <w:p w14:paraId="4251C1BE">
            <w:pPr>
              <w:keepNext w:val="0"/>
              <w:keepLines w:val="0"/>
              <w:suppressLineNumbers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物排</w:t>
            </w:r>
          </w:p>
          <w:p w14:paraId="2FE6F54F">
            <w:pPr>
              <w:keepNext w:val="0"/>
              <w:keepLines w:val="0"/>
              <w:suppressLineNumbers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放控</w:t>
            </w:r>
          </w:p>
          <w:p w14:paraId="580E750D">
            <w:pPr>
              <w:keepNext w:val="0"/>
              <w:keepLines w:val="0"/>
              <w:suppressLineNumbers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制标</w:t>
            </w:r>
          </w:p>
          <w:p w14:paraId="71EAE65E">
            <w:pPr>
              <w:keepNext w:val="0"/>
              <w:keepLines w:val="0"/>
              <w:suppressLineNumbers w:val="0"/>
              <w:spacing w:before="0" w:beforeAutospacing="0" w:after="0" w:afterAutospacing="0" w:line="240" w:lineRule="auto"/>
              <w:ind w:left="0" w:right="0"/>
              <w:jc w:val="center"/>
              <w:rPr>
                <w:rFonts w:hint="default" w:ascii="宋体"/>
                <w:kern w:val="0"/>
              </w:rPr>
            </w:pPr>
            <w:r>
              <w:rPr>
                <w:rFonts w:hint="eastAsia" w:ascii="宋体" w:hAnsi="宋体" w:cs="宋体"/>
                <w:b/>
                <w:bCs/>
                <w:kern w:val="0"/>
                <w:sz w:val="24"/>
                <w:szCs w:val="24"/>
              </w:rPr>
              <w:t>准</w:t>
            </w:r>
          </w:p>
        </w:tc>
        <w:tc>
          <w:tcPr>
            <w:tcW w:w="8291" w:type="dxa"/>
            <w:vAlign w:val="center"/>
          </w:tcPr>
          <w:p w14:paraId="005402D0">
            <w:pPr>
              <w:keepNext w:val="0"/>
              <w:keepLines w:val="0"/>
              <w:suppressLineNumbers w:val="0"/>
              <w:spacing w:before="0" w:beforeAutospacing="0" w:after="0" w:afterAutospacing="0" w:line="360" w:lineRule="auto"/>
              <w:ind w:left="0" w:right="0"/>
              <w:rPr>
                <w:rFonts w:hint="default"/>
                <w:b/>
                <w:bCs/>
                <w:sz w:val="24"/>
                <w:szCs w:val="24"/>
              </w:rPr>
            </w:pPr>
            <w:r>
              <w:rPr>
                <w:rFonts w:hint="default"/>
                <w:b/>
                <w:bCs/>
                <w:sz w:val="24"/>
                <w:szCs w:val="24"/>
              </w:rPr>
              <w:t>1</w:t>
            </w:r>
            <w:r>
              <w:rPr>
                <w:rFonts w:hint="eastAsia" w:cs="宋体"/>
                <w:b/>
                <w:bCs/>
                <w:sz w:val="24"/>
                <w:szCs w:val="24"/>
              </w:rPr>
              <w:t>、废气</w:t>
            </w:r>
          </w:p>
          <w:p w14:paraId="695B22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cs="宋体"/>
                <w:b w:val="0"/>
                <w:bCs w:val="0"/>
                <w:sz w:val="24"/>
                <w:szCs w:val="24"/>
                <w:lang w:val="en-US" w:eastAsia="zh-CN"/>
              </w:rPr>
            </w:pPr>
            <w:r>
              <w:rPr>
                <w:rFonts w:hint="eastAsia" w:cs="宋体"/>
                <w:sz w:val="24"/>
                <w:szCs w:val="24"/>
              </w:rPr>
              <w:t>营运期</w:t>
            </w:r>
            <w:r>
              <w:rPr>
                <w:rFonts w:hint="eastAsia" w:cs="宋体"/>
                <w:sz w:val="24"/>
                <w:szCs w:val="24"/>
                <w:lang w:val="en-US" w:eastAsia="zh-CN"/>
              </w:rPr>
              <w:t>有组织排放的颗粒物、二氧化硫、氮氧化物及无组织</w:t>
            </w:r>
            <w:r>
              <w:rPr>
                <w:rFonts w:hint="eastAsia" w:cs="宋体"/>
                <w:sz w:val="24"/>
                <w:szCs w:val="24"/>
              </w:rPr>
              <w:t>排放</w:t>
            </w:r>
            <w:r>
              <w:rPr>
                <w:rFonts w:hint="eastAsia" w:cs="宋体"/>
                <w:sz w:val="24"/>
                <w:szCs w:val="24"/>
                <w:lang w:val="en-US" w:eastAsia="zh-CN"/>
              </w:rPr>
              <w:t>的颗粒物</w:t>
            </w:r>
            <w:r>
              <w:rPr>
                <w:rFonts w:hint="eastAsia" w:cs="宋体"/>
                <w:sz w:val="24"/>
                <w:szCs w:val="24"/>
              </w:rPr>
              <w:t>执行</w:t>
            </w:r>
            <w:r>
              <w:rPr>
                <w:rFonts w:hint="eastAsia" w:cs="宋体"/>
                <w:sz w:val="24"/>
                <w:szCs w:val="24"/>
                <w:lang w:val="en-US" w:eastAsia="zh-CN"/>
              </w:rPr>
              <w:t>安徽省地方标准</w:t>
            </w:r>
            <w:r>
              <w:rPr>
                <w:rFonts w:hint="eastAsia" w:cs="宋体"/>
                <w:sz w:val="24"/>
                <w:szCs w:val="24"/>
              </w:rPr>
              <w:t>《玻璃工业大气污染物排放标准》（</w:t>
            </w:r>
            <w:r>
              <w:rPr>
                <w:rFonts w:hint="eastAsia" w:cs="宋体"/>
                <w:sz w:val="24"/>
                <w:szCs w:val="24"/>
                <w:lang w:val="en-US" w:eastAsia="zh-CN"/>
              </w:rPr>
              <w:t>D</w:t>
            </w:r>
            <w:r>
              <w:rPr>
                <w:rFonts w:hint="eastAsia" w:cs="宋体"/>
                <w:sz w:val="24"/>
                <w:szCs w:val="24"/>
              </w:rPr>
              <w:t>B</w:t>
            </w:r>
            <w:r>
              <w:rPr>
                <w:rFonts w:hint="eastAsia" w:cs="宋体"/>
                <w:sz w:val="24"/>
                <w:szCs w:val="24"/>
                <w:lang w:val="en-US" w:eastAsia="zh-CN"/>
              </w:rPr>
              <w:t>34 4295-2022</w:t>
            </w:r>
            <w:r>
              <w:rPr>
                <w:rFonts w:hint="eastAsia" w:cs="宋体"/>
                <w:sz w:val="24"/>
                <w:szCs w:val="24"/>
              </w:rPr>
              <w:t>）中的相关标准</w:t>
            </w:r>
            <w:r>
              <w:rPr>
                <w:rFonts w:hint="eastAsia" w:cs="宋体"/>
                <w:sz w:val="24"/>
                <w:szCs w:val="24"/>
                <w:lang w:eastAsia="zh-CN"/>
              </w:rPr>
              <w:t>；</w:t>
            </w:r>
            <w:r>
              <w:rPr>
                <w:rFonts w:hint="eastAsia" w:cs="宋体"/>
                <w:sz w:val="24"/>
                <w:szCs w:val="24"/>
                <w:lang w:val="en-US" w:eastAsia="zh-CN"/>
              </w:rPr>
              <w:t>无组织排放的SO</w:t>
            </w:r>
            <w:r>
              <w:rPr>
                <w:rFonts w:hint="eastAsia" w:cs="宋体"/>
                <w:sz w:val="24"/>
                <w:szCs w:val="24"/>
                <w:vertAlign w:val="subscript"/>
                <w:lang w:val="en-US" w:eastAsia="zh-CN"/>
              </w:rPr>
              <w:t>2</w:t>
            </w:r>
            <w:r>
              <w:rPr>
                <w:rFonts w:hint="eastAsia" w:cs="宋体"/>
                <w:sz w:val="24"/>
                <w:szCs w:val="24"/>
                <w:lang w:val="en-US" w:eastAsia="zh-CN"/>
              </w:rPr>
              <w:t>、NOx参照执行《大气污染物综合排放标准》（GB16297-1996）中相关标准。</w:t>
            </w:r>
          </w:p>
          <w:p w14:paraId="5C05FBC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b/>
                <w:bCs/>
                <w:sz w:val="24"/>
                <w:szCs w:val="24"/>
              </w:rPr>
            </w:pPr>
            <w:r>
              <w:rPr>
                <w:rFonts w:hint="eastAsia" w:cs="宋体"/>
                <w:b/>
                <w:bCs/>
                <w:kern w:val="0"/>
                <w:sz w:val="24"/>
                <w:szCs w:val="24"/>
              </w:rPr>
              <w:t>表</w:t>
            </w:r>
            <w:r>
              <w:rPr>
                <w:rFonts w:hint="default"/>
                <w:b/>
                <w:bCs/>
                <w:kern w:val="0"/>
                <w:sz w:val="24"/>
                <w:szCs w:val="24"/>
              </w:rPr>
              <w:t>3-</w:t>
            </w:r>
            <w:r>
              <w:rPr>
                <w:rFonts w:hint="eastAsia"/>
                <w:b/>
                <w:bCs/>
                <w:kern w:val="0"/>
                <w:sz w:val="24"/>
                <w:szCs w:val="24"/>
                <w:lang w:val="en-US" w:eastAsia="zh-CN"/>
              </w:rPr>
              <w:t>6</w:t>
            </w:r>
            <w:r>
              <w:rPr>
                <w:rFonts w:hint="default"/>
                <w:b/>
                <w:bCs/>
                <w:kern w:val="0"/>
                <w:sz w:val="24"/>
                <w:szCs w:val="24"/>
              </w:rPr>
              <w:t xml:space="preserve"> </w:t>
            </w:r>
            <w:r>
              <w:rPr>
                <w:rFonts w:hint="eastAsia" w:cs="宋体"/>
                <w:b/>
                <w:bCs/>
                <w:sz w:val="24"/>
                <w:szCs w:val="24"/>
                <w:lang w:val="en-US" w:eastAsia="zh-CN"/>
              </w:rPr>
              <w:t>D</w:t>
            </w:r>
            <w:r>
              <w:rPr>
                <w:rFonts w:hint="eastAsia" w:cs="宋体"/>
                <w:b/>
                <w:bCs/>
                <w:sz w:val="24"/>
                <w:szCs w:val="24"/>
              </w:rPr>
              <w:t>B</w:t>
            </w:r>
            <w:r>
              <w:rPr>
                <w:rFonts w:hint="eastAsia" w:cs="宋体"/>
                <w:b/>
                <w:bCs/>
                <w:sz w:val="24"/>
                <w:szCs w:val="24"/>
                <w:lang w:val="en-US" w:eastAsia="zh-CN"/>
              </w:rPr>
              <w:t>34 4295-2022</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907"/>
              <w:gridCol w:w="1137"/>
              <w:gridCol w:w="984"/>
              <w:gridCol w:w="2180"/>
              <w:gridCol w:w="1756"/>
            </w:tblGrid>
            <w:tr w14:paraId="2001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40" w:type="dxa"/>
                  <w:tcBorders>
                    <w:top w:val="single" w:color="auto" w:sz="4" w:space="0"/>
                    <w:left w:val="single" w:color="auto" w:sz="4" w:space="0"/>
                    <w:right w:val="single" w:color="auto" w:sz="4" w:space="0"/>
                  </w:tcBorders>
                  <w:vAlign w:val="center"/>
                </w:tcPr>
                <w:p w14:paraId="2894C5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rPr>
                  </w:pPr>
                  <w:r>
                    <w:rPr>
                      <w:rFonts w:hint="eastAsia" w:ascii="Times New Roman" w:hAnsi="Times New Roman"/>
                      <w:b/>
                      <w:bCs/>
                      <w:sz w:val="21"/>
                      <w:szCs w:val="21"/>
                    </w:rPr>
                    <w:t>污染物</w:t>
                  </w:r>
                </w:p>
              </w:tc>
              <w:tc>
                <w:tcPr>
                  <w:tcW w:w="907" w:type="dxa"/>
                  <w:tcBorders>
                    <w:top w:val="single" w:color="auto" w:sz="4" w:space="0"/>
                    <w:left w:val="single" w:color="auto" w:sz="4" w:space="0"/>
                    <w:right w:val="single" w:color="auto" w:sz="4" w:space="0"/>
                  </w:tcBorders>
                  <w:vAlign w:val="center"/>
                </w:tcPr>
                <w:p w14:paraId="1F077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b/>
                      <w:bCs/>
                      <w:lang w:val="en-US" w:eastAsia="zh-CN"/>
                    </w:rPr>
                  </w:pPr>
                  <w:r>
                    <w:rPr>
                      <w:rFonts w:hint="eastAsia"/>
                      <w:b/>
                      <w:bCs/>
                      <w:lang w:val="en-US" w:eastAsia="zh-CN"/>
                    </w:rPr>
                    <w:t>玻璃熔窑</w:t>
                  </w:r>
                  <w:r>
                    <w:rPr>
                      <w:rFonts w:hint="default"/>
                      <w:b/>
                      <w:bCs/>
                      <w:color w:val="auto"/>
                      <w:sz w:val="21"/>
                      <w:szCs w:val="21"/>
                    </w:rPr>
                    <w:t>（mg/m</w:t>
                  </w:r>
                  <w:r>
                    <w:rPr>
                      <w:rFonts w:hint="default"/>
                      <w:b/>
                      <w:bCs/>
                      <w:color w:val="auto"/>
                      <w:sz w:val="21"/>
                      <w:szCs w:val="21"/>
                      <w:vertAlign w:val="superscript"/>
                    </w:rPr>
                    <w:t>3</w:t>
                  </w:r>
                  <w:r>
                    <w:rPr>
                      <w:rFonts w:hint="default"/>
                      <w:b/>
                      <w:bCs/>
                      <w:color w:val="auto"/>
                      <w:sz w:val="21"/>
                      <w:szCs w:val="21"/>
                    </w:rPr>
                    <w:t>）</w:t>
                  </w:r>
                </w:p>
              </w:tc>
              <w:tc>
                <w:tcPr>
                  <w:tcW w:w="1137" w:type="dxa"/>
                  <w:tcBorders>
                    <w:top w:val="single" w:color="auto" w:sz="4" w:space="0"/>
                    <w:left w:val="single" w:color="auto" w:sz="4" w:space="0"/>
                    <w:right w:val="single" w:color="auto" w:sz="4" w:space="0"/>
                  </w:tcBorders>
                  <w:vAlign w:val="center"/>
                </w:tcPr>
                <w:p w14:paraId="50786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lang w:val="en-US" w:eastAsia="zh-CN"/>
                    </w:rPr>
                  </w:pPr>
                  <w:r>
                    <w:rPr>
                      <w:rFonts w:hint="eastAsia"/>
                      <w:b/>
                      <w:bCs/>
                      <w:lang w:val="en-US" w:eastAsia="zh-CN"/>
                    </w:rPr>
                    <w:t>配料、碎玻璃等其他通风生产设备</w:t>
                  </w:r>
                </w:p>
              </w:tc>
              <w:tc>
                <w:tcPr>
                  <w:tcW w:w="984" w:type="dxa"/>
                  <w:tcBorders>
                    <w:top w:val="single" w:color="auto" w:sz="4" w:space="0"/>
                    <w:left w:val="single" w:color="auto" w:sz="4" w:space="0"/>
                    <w:right w:val="single" w:color="auto" w:sz="4" w:space="0"/>
                  </w:tcBorders>
                  <w:vAlign w:val="center"/>
                </w:tcPr>
                <w:p w14:paraId="48839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bCs/>
                      <w:lang w:val="en-US" w:eastAsia="zh-CN"/>
                    </w:rPr>
                  </w:pPr>
                  <w:r>
                    <w:rPr>
                      <w:rFonts w:hint="eastAsia"/>
                      <w:b/>
                      <w:bCs/>
                      <w:lang w:val="en-US" w:eastAsia="zh-CN"/>
                    </w:rPr>
                    <w:t>污染物排放监控位置</w:t>
                  </w:r>
                </w:p>
              </w:tc>
              <w:tc>
                <w:tcPr>
                  <w:tcW w:w="2180" w:type="dxa"/>
                  <w:tcBorders>
                    <w:top w:val="single" w:color="auto" w:sz="4" w:space="0"/>
                    <w:left w:val="single" w:color="auto" w:sz="4" w:space="0"/>
                    <w:right w:val="single" w:color="auto" w:sz="4" w:space="0"/>
                  </w:tcBorders>
                  <w:vAlign w:val="center"/>
                </w:tcPr>
                <w:p w14:paraId="4FB0B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rPr>
                  </w:pPr>
                  <w:r>
                    <w:rPr>
                      <w:rFonts w:hint="default"/>
                      <w:b/>
                      <w:bCs/>
                      <w:color w:val="auto"/>
                      <w:sz w:val="21"/>
                      <w:szCs w:val="21"/>
                    </w:rPr>
                    <w:t>监控点与参照点总悬浮颗粒物（TSP）1h浓度值的差（mg/m</w:t>
                  </w:r>
                  <w:r>
                    <w:rPr>
                      <w:rFonts w:hint="default"/>
                      <w:b/>
                      <w:bCs/>
                      <w:color w:val="auto"/>
                      <w:sz w:val="21"/>
                      <w:szCs w:val="21"/>
                      <w:vertAlign w:val="superscript"/>
                    </w:rPr>
                    <w:t>3</w:t>
                  </w:r>
                  <w:r>
                    <w:rPr>
                      <w:rFonts w:hint="default"/>
                      <w:b/>
                      <w:bCs/>
                      <w:color w:val="auto"/>
                      <w:sz w:val="21"/>
                      <w:szCs w:val="21"/>
                    </w:rPr>
                    <w:t>）</w:t>
                  </w:r>
                </w:p>
              </w:tc>
              <w:tc>
                <w:tcPr>
                  <w:tcW w:w="1756" w:type="dxa"/>
                  <w:tcBorders>
                    <w:top w:val="single" w:color="auto" w:sz="4" w:space="0"/>
                    <w:left w:val="single" w:color="auto" w:sz="4" w:space="0"/>
                    <w:bottom w:val="single" w:color="auto" w:sz="4" w:space="0"/>
                    <w:right w:val="single" w:color="auto" w:sz="4" w:space="0"/>
                  </w:tcBorders>
                  <w:vAlign w:val="center"/>
                </w:tcPr>
                <w:p w14:paraId="654DE0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bCs/>
                      <w:color w:val="auto"/>
                      <w:sz w:val="21"/>
                      <w:szCs w:val="21"/>
                      <w:lang w:val="en-US" w:eastAsia="zh-CN"/>
                    </w:rPr>
                  </w:pPr>
                  <w:r>
                    <w:rPr>
                      <w:rFonts w:hint="eastAsia"/>
                      <w:b/>
                      <w:bCs/>
                      <w:lang w:val="en-US" w:eastAsia="zh-CN"/>
                    </w:rPr>
                    <w:t>污染物排放监控位置</w:t>
                  </w:r>
                </w:p>
              </w:tc>
            </w:tr>
            <w:tr w14:paraId="084E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14:paraId="7775C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sz w:val="21"/>
                      <w:szCs w:val="21"/>
                    </w:rPr>
                  </w:pPr>
                  <w:r>
                    <w:rPr>
                      <w:rFonts w:hint="eastAsia" w:ascii="Times New Roman" w:hAnsi="Times New Roman"/>
                      <w:sz w:val="21"/>
                      <w:szCs w:val="21"/>
                      <w:lang w:val="en-US" w:eastAsia="zh-CN"/>
                    </w:rPr>
                    <w:t>颗粒物</w:t>
                  </w:r>
                </w:p>
              </w:tc>
              <w:tc>
                <w:tcPr>
                  <w:tcW w:w="907" w:type="dxa"/>
                  <w:tcBorders>
                    <w:top w:val="single" w:color="auto" w:sz="4" w:space="0"/>
                    <w:left w:val="single" w:color="auto" w:sz="4" w:space="0"/>
                    <w:bottom w:val="single" w:color="auto" w:sz="4" w:space="0"/>
                    <w:right w:val="single" w:color="auto" w:sz="4" w:space="0"/>
                  </w:tcBorders>
                  <w:vAlign w:val="center"/>
                </w:tcPr>
                <w:p w14:paraId="05D49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20</w:t>
                  </w:r>
                </w:p>
              </w:tc>
              <w:tc>
                <w:tcPr>
                  <w:tcW w:w="1137" w:type="dxa"/>
                  <w:tcBorders>
                    <w:top w:val="single" w:color="auto" w:sz="4" w:space="0"/>
                    <w:left w:val="single" w:color="auto" w:sz="4" w:space="0"/>
                    <w:bottom w:val="single" w:color="auto" w:sz="4" w:space="0"/>
                    <w:right w:val="single" w:color="auto" w:sz="4" w:space="0"/>
                  </w:tcBorders>
                  <w:vAlign w:val="center"/>
                </w:tcPr>
                <w:p w14:paraId="2B47D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20</w:t>
                  </w:r>
                </w:p>
              </w:tc>
              <w:tc>
                <w:tcPr>
                  <w:tcW w:w="984" w:type="dxa"/>
                  <w:vMerge w:val="restart"/>
                  <w:tcBorders>
                    <w:top w:val="single" w:color="auto" w:sz="4" w:space="0"/>
                    <w:left w:val="single" w:color="auto" w:sz="4" w:space="0"/>
                    <w:right w:val="single" w:color="auto" w:sz="4" w:space="0"/>
                  </w:tcBorders>
                  <w:vAlign w:val="center"/>
                </w:tcPr>
                <w:p w14:paraId="1259A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sz w:val="21"/>
                      <w:szCs w:val="21"/>
                      <w:lang w:val="en-US" w:eastAsia="zh-CN"/>
                    </w:rPr>
                  </w:pPr>
                  <w:r>
                    <w:rPr>
                      <w:rFonts w:hint="eastAsia"/>
                      <w:sz w:val="21"/>
                      <w:szCs w:val="21"/>
                      <w:lang w:val="en-US" w:eastAsia="zh-CN"/>
                    </w:rPr>
                    <w:t>车间或生产设施排气筒</w:t>
                  </w:r>
                </w:p>
              </w:tc>
              <w:tc>
                <w:tcPr>
                  <w:tcW w:w="2180" w:type="dxa"/>
                  <w:tcBorders>
                    <w:top w:val="single" w:color="auto" w:sz="4" w:space="0"/>
                    <w:left w:val="single" w:color="auto" w:sz="4" w:space="0"/>
                    <w:bottom w:val="single" w:color="auto" w:sz="4" w:space="0"/>
                    <w:right w:val="single" w:color="auto" w:sz="4" w:space="0"/>
                  </w:tcBorders>
                  <w:vAlign w:val="center"/>
                </w:tcPr>
                <w:p w14:paraId="5C7B8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1</w:t>
                  </w:r>
                </w:p>
              </w:tc>
              <w:tc>
                <w:tcPr>
                  <w:tcW w:w="1756" w:type="dxa"/>
                  <w:tcBorders>
                    <w:top w:val="single" w:color="auto" w:sz="4" w:space="0"/>
                    <w:left w:val="single" w:color="auto" w:sz="4" w:space="0"/>
                    <w:bottom w:val="single" w:color="auto" w:sz="4" w:space="0"/>
                    <w:right w:val="single" w:color="auto" w:sz="4" w:space="0"/>
                  </w:tcBorders>
                  <w:vAlign w:val="center"/>
                </w:tcPr>
                <w:p w14:paraId="0DA1CC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sz w:val="21"/>
                      <w:szCs w:val="21"/>
                      <w:lang w:val="en-US" w:eastAsia="zh-CN"/>
                    </w:rPr>
                  </w:pPr>
                  <w:r>
                    <w:rPr>
                      <w:rFonts w:hint="eastAsia"/>
                      <w:b w:val="0"/>
                      <w:bCs w:val="0"/>
                      <w:color w:val="auto"/>
                      <w:sz w:val="21"/>
                      <w:szCs w:val="21"/>
                      <w:lang w:val="en-US" w:eastAsia="zh-CN"/>
                    </w:rPr>
                    <w:t>执行HJ/T 55的规定，上风向设参照点，下风向设监控点</w:t>
                  </w:r>
                </w:p>
              </w:tc>
            </w:tr>
            <w:tr w14:paraId="34F9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40" w:type="dxa"/>
                  <w:tcBorders>
                    <w:top w:val="single" w:color="auto" w:sz="4" w:space="0"/>
                    <w:left w:val="single" w:color="auto" w:sz="4" w:space="0"/>
                    <w:bottom w:val="single" w:color="auto" w:sz="4" w:space="0"/>
                    <w:right w:val="single" w:color="auto" w:sz="4" w:space="0"/>
                  </w:tcBorders>
                  <w:vAlign w:val="center"/>
                </w:tcPr>
                <w:p w14:paraId="31A301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sz w:val="21"/>
                      <w:szCs w:val="21"/>
                      <w:lang w:val="en-US" w:eastAsia="zh-CN"/>
                    </w:rPr>
                  </w:pPr>
                  <w:r>
                    <w:rPr>
                      <w:rFonts w:hint="eastAsia"/>
                      <w:sz w:val="21"/>
                      <w:szCs w:val="21"/>
                      <w:lang w:val="en-US" w:eastAsia="zh-CN"/>
                    </w:rPr>
                    <w:t>二氧化硫</w:t>
                  </w:r>
                </w:p>
              </w:tc>
              <w:tc>
                <w:tcPr>
                  <w:tcW w:w="907" w:type="dxa"/>
                  <w:tcBorders>
                    <w:top w:val="single" w:color="auto" w:sz="4" w:space="0"/>
                    <w:left w:val="single" w:color="auto" w:sz="4" w:space="0"/>
                    <w:bottom w:val="single" w:color="auto" w:sz="4" w:space="0"/>
                    <w:right w:val="single" w:color="auto" w:sz="4" w:space="0"/>
                  </w:tcBorders>
                  <w:vAlign w:val="center"/>
                </w:tcPr>
                <w:p w14:paraId="0395F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100</w:t>
                  </w:r>
                </w:p>
              </w:tc>
              <w:tc>
                <w:tcPr>
                  <w:tcW w:w="1137" w:type="dxa"/>
                  <w:tcBorders>
                    <w:top w:val="single" w:color="auto" w:sz="4" w:space="0"/>
                    <w:left w:val="single" w:color="auto" w:sz="4" w:space="0"/>
                    <w:bottom w:val="single" w:color="auto" w:sz="4" w:space="0"/>
                    <w:right w:val="single" w:color="auto" w:sz="4" w:space="0"/>
                  </w:tcBorders>
                  <w:vAlign w:val="center"/>
                </w:tcPr>
                <w:p w14:paraId="1A5F5C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w:t>
                  </w:r>
                </w:p>
              </w:tc>
              <w:tc>
                <w:tcPr>
                  <w:tcW w:w="984" w:type="dxa"/>
                  <w:vMerge w:val="continue"/>
                  <w:tcBorders>
                    <w:left w:val="single" w:color="auto" w:sz="4" w:space="0"/>
                    <w:right w:val="single" w:color="auto" w:sz="4" w:space="0"/>
                  </w:tcBorders>
                  <w:vAlign w:val="center"/>
                </w:tcPr>
                <w:p w14:paraId="1CCD8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sz w:val="21"/>
                      <w:szCs w:val="21"/>
                      <w:lang w:val="en-US" w:eastAsia="zh-CN"/>
                    </w:rPr>
                  </w:pPr>
                </w:p>
              </w:tc>
              <w:tc>
                <w:tcPr>
                  <w:tcW w:w="2180" w:type="dxa"/>
                  <w:tcBorders>
                    <w:top w:val="single" w:color="auto" w:sz="4" w:space="0"/>
                    <w:left w:val="single" w:color="auto" w:sz="4" w:space="0"/>
                    <w:bottom w:val="single" w:color="auto" w:sz="4" w:space="0"/>
                    <w:right w:val="single" w:color="auto" w:sz="4" w:space="0"/>
                  </w:tcBorders>
                  <w:vAlign w:val="center"/>
                </w:tcPr>
                <w:p w14:paraId="4E423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w:t>
                  </w:r>
                </w:p>
              </w:tc>
              <w:tc>
                <w:tcPr>
                  <w:tcW w:w="1756" w:type="dxa"/>
                  <w:tcBorders>
                    <w:top w:val="single" w:color="auto" w:sz="4" w:space="0"/>
                    <w:left w:val="single" w:color="auto" w:sz="4" w:space="0"/>
                    <w:bottom w:val="single" w:color="auto" w:sz="4" w:space="0"/>
                    <w:right w:val="single" w:color="auto" w:sz="4" w:space="0"/>
                  </w:tcBorders>
                  <w:vAlign w:val="center"/>
                </w:tcPr>
                <w:p w14:paraId="37629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b w:val="0"/>
                      <w:bCs w:val="0"/>
                      <w:color w:val="auto"/>
                      <w:sz w:val="21"/>
                      <w:szCs w:val="21"/>
                      <w:lang w:val="en-US" w:eastAsia="zh-CN"/>
                    </w:rPr>
                  </w:pPr>
                  <w:r>
                    <w:rPr>
                      <w:rFonts w:hint="eastAsia"/>
                      <w:b w:val="0"/>
                      <w:bCs w:val="0"/>
                      <w:color w:val="auto"/>
                      <w:sz w:val="21"/>
                      <w:szCs w:val="21"/>
                      <w:lang w:val="en-US" w:eastAsia="zh-CN"/>
                    </w:rPr>
                    <w:t>/</w:t>
                  </w:r>
                </w:p>
              </w:tc>
            </w:tr>
            <w:tr w14:paraId="4FBF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140" w:type="dxa"/>
                  <w:tcBorders>
                    <w:top w:val="single" w:color="auto" w:sz="4" w:space="0"/>
                    <w:left w:val="single" w:color="auto" w:sz="4" w:space="0"/>
                    <w:right w:val="single" w:color="auto" w:sz="4" w:space="0"/>
                  </w:tcBorders>
                  <w:vAlign w:val="center"/>
                </w:tcPr>
                <w:p w14:paraId="2C4C8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sz w:val="21"/>
                      <w:szCs w:val="21"/>
                      <w:lang w:val="en-US" w:eastAsia="zh-CN"/>
                    </w:rPr>
                  </w:pPr>
                  <w:r>
                    <w:rPr>
                      <w:rFonts w:hint="eastAsia"/>
                      <w:sz w:val="21"/>
                      <w:szCs w:val="21"/>
                      <w:lang w:val="en-US" w:eastAsia="zh-CN"/>
                    </w:rPr>
                    <w:t>氮氧化物</w:t>
                  </w:r>
                </w:p>
              </w:tc>
              <w:tc>
                <w:tcPr>
                  <w:tcW w:w="907" w:type="dxa"/>
                  <w:tcBorders>
                    <w:top w:val="single" w:color="auto" w:sz="4" w:space="0"/>
                    <w:left w:val="single" w:color="auto" w:sz="4" w:space="0"/>
                    <w:right w:val="single" w:color="auto" w:sz="4" w:space="0"/>
                  </w:tcBorders>
                  <w:vAlign w:val="center"/>
                </w:tcPr>
                <w:p w14:paraId="5FE6CF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200</w:t>
                  </w:r>
                </w:p>
              </w:tc>
              <w:tc>
                <w:tcPr>
                  <w:tcW w:w="1137" w:type="dxa"/>
                  <w:tcBorders>
                    <w:top w:val="single" w:color="auto" w:sz="4" w:space="0"/>
                    <w:left w:val="single" w:color="auto" w:sz="4" w:space="0"/>
                    <w:right w:val="single" w:color="auto" w:sz="4" w:space="0"/>
                  </w:tcBorders>
                  <w:vAlign w:val="center"/>
                </w:tcPr>
                <w:p w14:paraId="313508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w:t>
                  </w:r>
                </w:p>
              </w:tc>
              <w:tc>
                <w:tcPr>
                  <w:tcW w:w="984" w:type="dxa"/>
                  <w:vMerge w:val="continue"/>
                  <w:tcBorders>
                    <w:left w:val="single" w:color="auto" w:sz="4" w:space="0"/>
                    <w:right w:val="single" w:color="auto" w:sz="4" w:space="0"/>
                  </w:tcBorders>
                  <w:vAlign w:val="center"/>
                </w:tcPr>
                <w:p w14:paraId="7D7CF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sz w:val="21"/>
                      <w:szCs w:val="21"/>
                      <w:lang w:val="en-US" w:eastAsia="zh-CN"/>
                    </w:rPr>
                  </w:pPr>
                </w:p>
              </w:tc>
              <w:tc>
                <w:tcPr>
                  <w:tcW w:w="2180" w:type="dxa"/>
                  <w:tcBorders>
                    <w:top w:val="single" w:color="auto" w:sz="4" w:space="0"/>
                    <w:left w:val="single" w:color="auto" w:sz="4" w:space="0"/>
                    <w:right w:val="single" w:color="auto" w:sz="4" w:space="0"/>
                  </w:tcBorders>
                  <w:vAlign w:val="center"/>
                </w:tcPr>
                <w:p w14:paraId="264D5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sz w:val="21"/>
                      <w:szCs w:val="21"/>
                      <w:lang w:val="en-US" w:eastAsia="zh-CN"/>
                    </w:rPr>
                  </w:pPr>
                  <w:r>
                    <w:rPr>
                      <w:rFonts w:hint="eastAsia"/>
                      <w:sz w:val="21"/>
                      <w:szCs w:val="21"/>
                      <w:lang w:val="en-US" w:eastAsia="zh-CN"/>
                    </w:rPr>
                    <w:t>/</w:t>
                  </w:r>
                </w:p>
              </w:tc>
              <w:tc>
                <w:tcPr>
                  <w:tcW w:w="1756" w:type="dxa"/>
                  <w:tcBorders>
                    <w:top w:val="single" w:color="auto" w:sz="4" w:space="0"/>
                    <w:left w:val="single" w:color="auto" w:sz="4" w:space="0"/>
                    <w:right w:val="single" w:color="auto" w:sz="4" w:space="0"/>
                  </w:tcBorders>
                  <w:vAlign w:val="center"/>
                </w:tcPr>
                <w:p w14:paraId="304DE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b w:val="0"/>
                      <w:bCs w:val="0"/>
                      <w:color w:val="auto"/>
                      <w:sz w:val="21"/>
                      <w:szCs w:val="21"/>
                      <w:lang w:val="en-US" w:eastAsia="zh-CN"/>
                    </w:rPr>
                  </w:pPr>
                  <w:r>
                    <w:rPr>
                      <w:rFonts w:hint="eastAsia"/>
                      <w:b w:val="0"/>
                      <w:bCs w:val="0"/>
                      <w:color w:val="auto"/>
                      <w:sz w:val="21"/>
                      <w:szCs w:val="21"/>
                      <w:lang w:val="en-US" w:eastAsia="zh-CN"/>
                    </w:rPr>
                    <w:t>/</w:t>
                  </w:r>
                </w:p>
              </w:tc>
            </w:tr>
          </w:tbl>
          <w:p w14:paraId="616FB00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b/>
                <w:bCs/>
                <w:sz w:val="24"/>
                <w:szCs w:val="24"/>
              </w:rPr>
            </w:pPr>
            <w:r>
              <w:rPr>
                <w:rFonts w:hint="eastAsia" w:cs="宋体"/>
                <w:b/>
                <w:bCs/>
                <w:kern w:val="0"/>
                <w:sz w:val="24"/>
                <w:szCs w:val="24"/>
              </w:rPr>
              <w:t>表</w:t>
            </w:r>
            <w:r>
              <w:rPr>
                <w:rFonts w:hint="default"/>
                <w:b/>
                <w:bCs/>
                <w:kern w:val="0"/>
                <w:sz w:val="24"/>
                <w:szCs w:val="24"/>
              </w:rPr>
              <w:t>3-</w:t>
            </w:r>
            <w:r>
              <w:rPr>
                <w:rFonts w:hint="eastAsia"/>
                <w:b/>
                <w:bCs/>
                <w:kern w:val="0"/>
                <w:sz w:val="24"/>
                <w:szCs w:val="24"/>
                <w:lang w:val="en-US" w:eastAsia="zh-CN"/>
              </w:rPr>
              <w:t>7</w:t>
            </w:r>
            <w:r>
              <w:rPr>
                <w:rFonts w:hint="default"/>
                <w:b/>
                <w:bCs/>
                <w:kern w:val="0"/>
                <w:sz w:val="24"/>
                <w:szCs w:val="24"/>
              </w:rPr>
              <w:t xml:space="preserve"> </w:t>
            </w:r>
            <w:r>
              <w:rPr>
                <w:rFonts w:hint="default"/>
                <w:b/>
                <w:bCs/>
                <w:kern w:val="0"/>
                <w:sz w:val="24"/>
                <w:szCs w:val="24"/>
                <w:lang w:val="en-US" w:eastAsia="zh-CN"/>
              </w:rPr>
              <w:t>GB16297-1996</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3059"/>
              <w:gridCol w:w="3059"/>
            </w:tblGrid>
            <w:tr w14:paraId="3146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6" w:type="dxa"/>
                  <w:tcBorders>
                    <w:top w:val="single" w:color="auto" w:sz="4" w:space="0"/>
                    <w:left w:val="single" w:color="auto" w:sz="4" w:space="0"/>
                    <w:right w:val="single" w:color="auto" w:sz="4" w:space="0"/>
                  </w:tcBorders>
                  <w:vAlign w:val="center"/>
                </w:tcPr>
                <w:p w14:paraId="1D8F4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rPr>
                  </w:pPr>
                  <w:r>
                    <w:rPr>
                      <w:rFonts w:hint="eastAsia" w:ascii="Times New Roman" w:hAnsi="Times New Roman"/>
                      <w:b/>
                      <w:bCs/>
                      <w:sz w:val="21"/>
                      <w:szCs w:val="21"/>
                    </w:rPr>
                    <w:t>污染物</w:t>
                  </w:r>
                </w:p>
              </w:tc>
              <w:tc>
                <w:tcPr>
                  <w:tcW w:w="3059" w:type="dxa"/>
                  <w:tcBorders>
                    <w:top w:val="single" w:color="auto" w:sz="4" w:space="0"/>
                    <w:left w:val="single" w:color="auto" w:sz="4" w:space="0"/>
                    <w:bottom w:val="single" w:color="auto" w:sz="4" w:space="0"/>
                    <w:right w:val="single" w:color="auto" w:sz="4" w:space="0"/>
                  </w:tcBorders>
                  <w:vAlign w:val="center"/>
                </w:tcPr>
                <w:p w14:paraId="5118DB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color w:val="auto"/>
                      <w:sz w:val="21"/>
                      <w:szCs w:val="21"/>
                      <w:lang w:val="en-US" w:eastAsia="zh-CN"/>
                    </w:rPr>
                  </w:pPr>
                  <w:r>
                    <w:rPr>
                      <w:rFonts w:hint="eastAsia"/>
                      <w:b/>
                      <w:bCs/>
                      <w:lang w:val="en-US" w:eastAsia="zh-CN"/>
                    </w:rPr>
                    <w:t>污染物排放监控点</w:t>
                  </w:r>
                </w:p>
              </w:tc>
              <w:tc>
                <w:tcPr>
                  <w:tcW w:w="3059" w:type="dxa"/>
                  <w:tcBorders>
                    <w:top w:val="single" w:color="auto" w:sz="4" w:space="0"/>
                    <w:left w:val="single" w:color="auto" w:sz="4" w:space="0"/>
                    <w:bottom w:val="single" w:color="auto" w:sz="4" w:space="0"/>
                    <w:right w:val="single" w:color="auto" w:sz="4" w:space="0"/>
                  </w:tcBorders>
                  <w:vAlign w:val="center"/>
                </w:tcPr>
                <w:p w14:paraId="2A3C1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b/>
                      <w:bCs/>
                      <w:lang w:val="en-US" w:eastAsia="zh-CN"/>
                    </w:rPr>
                  </w:pPr>
                  <w:r>
                    <w:rPr>
                      <w:rFonts w:hint="eastAsia"/>
                      <w:b/>
                      <w:bCs/>
                      <w:lang w:val="en-US" w:eastAsia="zh-CN"/>
                    </w:rPr>
                    <w:t>无组织排放浓度限值</w:t>
                  </w:r>
                  <w:r>
                    <w:rPr>
                      <w:rFonts w:hint="default"/>
                      <w:b/>
                      <w:bCs/>
                      <w:color w:val="auto"/>
                      <w:sz w:val="21"/>
                      <w:szCs w:val="21"/>
                    </w:rPr>
                    <w:t>（mg/m</w:t>
                  </w:r>
                  <w:r>
                    <w:rPr>
                      <w:rFonts w:hint="default"/>
                      <w:b/>
                      <w:bCs/>
                      <w:color w:val="auto"/>
                      <w:sz w:val="21"/>
                      <w:szCs w:val="21"/>
                      <w:vertAlign w:val="superscript"/>
                    </w:rPr>
                    <w:t>3</w:t>
                  </w:r>
                  <w:r>
                    <w:rPr>
                      <w:rFonts w:hint="default"/>
                      <w:b/>
                      <w:bCs/>
                      <w:color w:val="auto"/>
                      <w:sz w:val="21"/>
                      <w:szCs w:val="21"/>
                    </w:rPr>
                    <w:t>）</w:t>
                  </w:r>
                </w:p>
              </w:tc>
            </w:tr>
            <w:tr w14:paraId="4CB7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6" w:type="dxa"/>
                  <w:tcBorders>
                    <w:top w:val="single" w:color="auto" w:sz="4" w:space="0"/>
                    <w:left w:val="single" w:color="auto" w:sz="4" w:space="0"/>
                    <w:bottom w:val="single" w:color="auto" w:sz="4" w:space="0"/>
                    <w:right w:val="single" w:color="auto" w:sz="4" w:space="0"/>
                  </w:tcBorders>
                  <w:vAlign w:val="center"/>
                </w:tcPr>
                <w:p w14:paraId="7AD44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sz w:val="21"/>
                      <w:szCs w:val="21"/>
                      <w:lang w:val="en-US" w:eastAsia="zh-CN"/>
                    </w:rPr>
                  </w:pPr>
                  <w:r>
                    <w:rPr>
                      <w:rFonts w:hint="eastAsia"/>
                      <w:sz w:val="21"/>
                      <w:szCs w:val="21"/>
                      <w:lang w:val="en-US" w:eastAsia="zh-CN"/>
                    </w:rPr>
                    <w:t>二氧化硫</w:t>
                  </w:r>
                </w:p>
              </w:tc>
              <w:tc>
                <w:tcPr>
                  <w:tcW w:w="3059" w:type="dxa"/>
                  <w:vMerge w:val="restart"/>
                  <w:tcBorders>
                    <w:top w:val="single" w:color="auto" w:sz="4" w:space="0"/>
                    <w:left w:val="single" w:color="auto" w:sz="4" w:space="0"/>
                    <w:right w:val="single" w:color="auto" w:sz="4" w:space="0"/>
                  </w:tcBorders>
                  <w:vAlign w:val="center"/>
                </w:tcPr>
                <w:p w14:paraId="0AAD00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b w:val="0"/>
                      <w:bCs w:val="0"/>
                      <w:color w:val="auto"/>
                      <w:sz w:val="21"/>
                      <w:szCs w:val="21"/>
                      <w:lang w:val="en-US" w:eastAsia="zh-CN"/>
                    </w:rPr>
                  </w:pPr>
                  <w:r>
                    <w:rPr>
                      <w:rFonts w:hint="eastAsia"/>
                      <w:b w:val="0"/>
                      <w:bCs w:val="0"/>
                      <w:color w:val="auto"/>
                      <w:sz w:val="21"/>
                      <w:szCs w:val="21"/>
                      <w:lang w:val="en-US" w:eastAsia="zh-CN"/>
                    </w:rPr>
                    <w:t>周界外浓度最高点</w:t>
                  </w:r>
                </w:p>
              </w:tc>
              <w:tc>
                <w:tcPr>
                  <w:tcW w:w="3059" w:type="dxa"/>
                  <w:tcBorders>
                    <w:top w:val="single" w:color="auto" w:sz="4" w:space="0"/>
                    <w:left w:val="single" w:color="auto" w:sz="4" w:space="0"/>
                    <w:bottom w:val="single" w:color="auto" w:sz="4" w:space="0"/>
                    <w:right w:val="single" w:color="auto" w:sz="4" w:space="0"/>
                  </w:tcBorders>
                  <w:vAlign w:val="center"/>
                </w:tcPr>
                <w:p w14:paraId="472BF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b w:val="0"/>
                      <w:bCs w:val="0"/>
                      <w:color w:val="auto"/>
                      <w:sz w:val="21"/>
                      <w:szCs w:val="21"/>
                      <w:lang w:val="en-US" w:eastAsia="zh-CN"/>
                    </w:rPr>
                  </w:pPr>
                  <w:r>
                    <w:rPr>
                      <w:rFonts w:hint="eastAsia"/>
                      <w:b w:val="0"/>
                      <w:bCs w:val="0"/>
                      <w:color w:val="auto"/>
                      <w:sz w:val="21"/>
                      <w:szCs w:val="21"/>
                      <w:lang w:val="en-US" w:eastAsia="zh-CN"/>
                    </w:rPr>
                    <w:t>0.4</w:t>
                  </w:r>
                </w:p>
              </w:tc>
            </w:tr>
            <w:tr w14:paraId="4B28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986" w:type="dxa"/>
                  <w:tcBorders>
                    <w:top w:val="single" w:color="auto" w:sz="4" w:space="0"/>
                    <w:left w:val="single" w:color="auto" w:sz="4" w:space="0"/>
                    <w:right w:val="single" w:color="auto" w:sz="4" w:space="0"/>
                  </w:tcBorders>
                  <w:vAlign w:val="center"/>
                </w:tcPr>
                <w:p w14:paraId="05E2D4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sz w:val="21"/>
                      <w:szCs w:val="21"/>
                      <w:lang w:val="en-US" w:eastAsia="zh-CN"/>
                    </w:rPr>
                  </w:pPr>
                  <w:r>
                    <w:rPr>
                      <w:rFonts w:hint="eastAsia"/>
                      <w:sz w:val="21"/>
                      <w:szCs w:val="21"/>
                      <w:lang w:val="en-US" w:eastAsia="zh-CN"/>
                    </w:rPr>
                    <w:t>氮氧化物</w:t>
                  </w:r>
                </w:p>
              </w:tc>
              <w:tc>
                <w:tcPr>
                  <w:tcW w:w="3059" w:type="dxa"/>
                  <w:vMerge w:val="continue"/>
                  <w:tcBorders>
                    <w:left w:val="single" w:color="auto" w:sz="4" w:space="0"/>
                    <w:right w:val="single" w:color="auto" w:sz="4" w:space="0"/>
                  </w:tcBorders>
                  <w:vAlign w:val="center"/>
                </w:tcPr>
                <w:p w14:paraId="4203FC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b w:val="0"/>
                      <w:bCs w:val="0"/>
                      <w:color w:val="auto"/>
                      <w:sz w:val="21"/>
                      <w:szCs w:val="21"/>
                      <w:lang w:val="en-US" w:eastAsia="zh-CN"/>
                    </w:rPr>
                  </w:pPr>
                </w:p>
              </w:tc>
              <w:tc>
                <w:tcPr>
                  <w:tcW w:w="3059" w:type="dxa"/>
                  <w:tcBorders>
                    <w:top w:val="single" w:color="auto" w:sz="4" w:space="0"/>
                    <w:left w:val="single" w:color="auto" w:sz="4" w:space="0"/>
                    <w:right w:val="single" w:color="auto" w:sz="4" w:space="0"/>
                  </w:tcBorders>
                  <w:vAlign w:val="center"/>
                </w:tcPr>
                <w:p w14:paraId="5B78C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b w:val="0"/>
                      <w:bCs w:val="0"/>
                      <w:color w:val="auto"/>
                      <w:sz w:val="21"/>
                      <w:szCs w:val="21"/>
                      <w:lang w:val="en-US" w:eastAsia="zh-CN"/>
                    </w:rPr>
                  </w:pPr>
                  <w:r>
                    <w:rPr>
                      <w:rFonts w:hint="eastAsia"/>
                      <w:b w:val="0"/>
                      <w:bCs w:val="0"/>
                      <w:color w:val="auto"/>
                      <w:sz w:val="21"/>
                      <w:szCs w:val="21"/>
                      <w:lang w:val="en-US" w:eastAsia="zh-CN"/>
                    </w:rPr>
                    <w:t>0.12</w:t>
                  </w:r>
                </w:p>
              </w:tc>
            </w:tr>
          </w:tbl>
          <w:p w14:paraId="3B5B0DE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textAlignment w:val="auto"/>
              <w:rPr>
                <w:rFonts w:hint="default"/>
                <w:b/>
                <w:bCs/>
                <w:sz w:val="24"/>
                <w:szCs w:val="24"/>
              </w:rPr>
            </w:pPr>
            <w:r>
              <w:rPr>
                <w:rFonts w:hint="default"/>
                <w:b/>
                <w:bCs/>
                <w:sz w:val="24"/>
                <w:szCs w:val="24"/>
              </w:rPr>
              <w:t>2</w:t>
            </w:r>
            <w:r>
              <w:rPr>
                <w:rFonts w:hint="eastAsia" w:cs="宋体"/>
                <w:b/>
                <w:bCs/>
                <w:sz w:val="24"/>
                <w:szCs w:val="24"/>
              </w:rPr>
              <w:t>、废水</w:t>
            </w:r>
          </w:p>
          <w:p w14:paraId="3B587DFD">
            <w:pPr>
              <w:pStyle w:val="1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bCs/>
                <w:color w:val="000000"/>
                <w:sz w:val="24"/>
                <w:szCs w:val="24"/>
                <w:lang w:val="en-US" w:eastAsia="zh-CN"/>
              </w:rPr>
            </w:pPr>
            <w:r>
              <w:rPr>
                <w:rFonts w:hint="eastAsia" w:ascii="Times New Roman" w:hAnsi="Times New Roman" w:eastAsia="宋体" w:cs="宋体"/>
                <w:kern w:val="2"/>
                <w:sz w:val="24"/>
                <w:szCs w:val="24"/>
                <w:lang w:val="en-US" w:eastAsia="zh-CN" w:bidi="ar-SA"/>
              </w:rPr>
              <w:t>厂区雨污分流制；经化粪池预处理生活污水与定期排放的</w:t>
            </w:r>
            <w:r>
              <w:rPr>
                <w:rFonts w:hint="eastAsia" w:cs="宋体"/>
                <w:kern w:val="2"/>
                <w:sz w:val="24"/>
                <w:szCs w:val="24"/>
                <w:lang w:val="en-US" w:eastAsia="zh-CN" w:bidi="ar-SA"/>
              </w:rPr>
              <w:t>循环冷却定期排污水</w:t>
            </w:r>
            <w:r>
              <w:rPr>
                <w:rFonts w:hint="eastAsia" w:ascii="Times New Roman" w:hAnsi="Times New Roman" w:eastAsia="宋体" w:cs="宋体"/>
                <w:kern w:val="2"/>
                <w:sz w:val="24"/>
                <w:szCs w:val="24"/>
                <w:lang w:val="en-US" w:eastAsia="zh-CN" w:bidi="ar-SA"/>
              </w:rPr>
              <w:t>，汇同纯水制备浓水接管进入淮北蓝海水处理有限公司进一步处理，处理达标后部分作为平山电厂冷却循环水，剩余部分排入萧濉新河。本项目接管废水污染物排放执行《污水综合排放标准》（GB8978-1996）表4的三级标准及淮北蓝海水处理有限公司接管标准，蓝海水处理有限公司出水执行《</w:t>
            </w:r>
            <w:r>
              <w:rPr>
                <w:rFonts w:hint="default" w:ascii="Times New Roman" w:hAnsi="Times New Roman" w:eastAsia="宋体" w:cs="宋体"/>
                <w:kern w:val="2"/>
                <w:sz w:val="24"/>
                <w:szCs w:val="24"/>
                <w:lang w:val="en-US" w:eastAsia="zh-CN" w:bidi="ar-SA"/>
              </w:rPr>
              <w:t>城镇污水处理厂污染物排放标准</w:t>
            </w:r>
            <w:r>
              <w:rPr>
                <w:rFonts w:hint="eastAsia" w:ascii="Times New Roman" w:hAnsi="Times New Roman" w:eastAsia="宋体" w:cs="宋体"/>
                <w:kern w:val="2"/>
                <w:sz w:val="24"/>
                <w:szCs w:val="24"/>
                <w:lang w:val="en-US" w:eastAsia="zh-CN" w:bidi="ar-SA"/>
              </w:rPr>
              <w:t>》一级A标准。</w:t>
            </w:r>
          </w:p>
          <w:p w14:paraId="58FC02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宋体"/>
                <w:b/>
                <w:bCs/>
                <w:color w:val="auto"/>
                <w:spacing w:val="2"/>
                <w:sz w:val="24"/>
                <w:szCs w:val="24"/>
                <w:lang w:val="en-US" w:eastAsia="zh-CN"/>
              </w:rPr>
            </w:pPr>
            <w:r>
              <w:rPr>
                <w:rFonts w:hint="default" w:ascii="Times New Roman" w:hAnsi="Times New Roman" w:eastAsia="宋体" w:cs="宋体"/>
                <w:b/>
                <w:bCs/>
                <w:color w:val="auto"/>
                <w:spacing w:val="2"/>
                <w:sz w:val="24"/>
                <w:szCs w:val="24"/>
                <w:lang w:val="en-US" w:eastAsia="zh-CN"/>
              </w:rPr>
              <w:t>表</w:t>
            </w:r>
            <w:r>
              <w:rPr>
                <w:rFonts w:hint="eastAsia" w:ascii="Times New Roman" w:hAnsi="Times New Roman" w:eastAsia="宋体" w:cs="宋体"/>
                <w:b/>
                <w:bCs/>
                <w:color w:val="auto"/>
                <w:spacing w:val="2"/>
                <w:sz w:val="24"/>
                <w:szCs w:val="24"/>
                <w:lang w:val="en-US" w:eastAsia="zh-CN"/>
              </w:rPr>
              <w:t>3</w:t>
            </w:r>
            <w:r>
              <w:rPr>
                <w:rFonts w:hint="default" w:ascii="Times New Roman" w:hAnsi="Times New Roman" w:eastAsia="宋体" w:cs="宋体"/>
                <w:b/>
                <w:bCs/>
                <w:color w:val="auto"/>
                <w:spacing w:val="2"/>
                <w:sz w:val="24"/>
                <w:szCs w:val="24"/>
                <w:lang w:val="en-US" w:eastAsia="zh-CN"/>
              </w:rPr>
              <w:t>-</w:t>
            </w:r>
            <w:r>
              <w:rPr>
                <w:rFonts w:hint="eastAsia" w:cs="宋体"/>
                <w:b/>
                <w:bCs/>
                <w:color w:val="auto"/>
                <w:spacing w:val="2"/>
                <w:sz w:val="24"/>
                <w:szCs w:val="24"/>
                <w:lang w:val="en-US" w:eastAsia="zh-CN"/>
              </w:rPr>
              <w:t>8</w:t>
            </w:r>
            <w:r>
              <w:rPr>
                <w:rFonts w:hint="eastAsia" w:ascii="Times New Roman" w:hAnsi="Times New Roman" w:eastAsia="宋体" w:cs="宋体"/>
                <w:b/>
                <w:bCs/>
                <w:color w:val="auto"/>
                <w:spacing w:val="2"/>
                <w:sz w:val="24"/>
                <w:szCs w:val="24"/>
                <w:lang w:val="en-US" w:eastAsia="zh-CN"/>
              </w:rPr>
              <w:t xml:space="preserve">  </w:t>
            </w:r>
            <w:r>
              <w:rPr>
                <w:rFonts w:hint="default" w:ascii="Times New Roman" w:hAnsi="Times New Roman" w:eastAsia="宋体" w:cs="宋体"/>
                <w:b/>
                <w:bCs/>
                <w:color w:val="auto"/>
                <w:spacing w:val="2"/>
                <w:sz w:val="24"/>
                <w:szCs w:val="24"/>
                <w:lang w:val="en-US" w:eastAsia="zh-CN"/>
              </w:rPr>
              <w:t>废水排放标准   单位：mg/L（pH值除外）</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2676"/>
              <w:gridCol w:w="2362"/>
              <w:gridCol w:w="1825"/>
            </w:tblGrid>
            <w:tr w14:paraId="46BE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pct"/>
                  <w:noWrap w:val="0"/>
                  <w:vAlign w:val="center"/>
                </w:tcPr>
                <w:p w14:paraId="43ABAC42">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w:t>
                  </w:r>
                </w:p>
              </w:tc>
              <w:tc>
                <w:tcPr>
                  <w:tcW w:w="1651" w:type="pct"/>
                  <w:noWrap w:val="0"/>
                  <w:vAlign w:val="center"/>
                </w:tcPr>
                <w:p w14:paraId="5414A9EF">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《污水综合排放标准》表4的三级标准浓度限值</w:t>
                  </w:r>
                </w:p>
              </w:tc>
              <w:tc>
                <w:tcPr>
                  <w:tcW w:w="1457" w:type="pct"/>
                  <w:noWrap w:val="0"/>
                  <w:vAlign w:val="center"/>
                </w:tcPr>
                <w:p w14:paraId="0AFF8C2D">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eastAsia="宋体" w:cs="Times New Roman"/>
                      <w:b/>
                      <w:bCs/>
                      <w:color w:val="auto"/>
                      <w:lang w:eastAsia="zh-CN"/>
                    </w:rPr>
                  </w:pPr>
                  <w:r>
                    <w:rPr>
                      <w:rFonts w:hint="default" w:ascii="Times New Roman" w:hAnsi="Times New Roman" w:eastAsia="宋体" w:cs="Times New Roman"/>
                      <w:b/>
                      <w:bCs/>
                      <w:color w:val="auto"/>
                    </w:rPr>
                    <w:t>淮北蓝海水处理有限公司</w:t>
                  </w:r>
                  <w:r>
                    <w:rPr>
                      <w:rFonts w:hint="eastAsia" w:ascii="Times New Roman" w:hAnsi="Times New Roman" w:eastAsia="宋体" w:cs="Times New Roman"/>
                      <w:b/>
                      <w:bCs/>
                      <w:color w:val="auto"/>
                      <w:lang w:eastAsia="zh-CN"/>
                    </w:rPr>
                    <w:t>接管限值</w:t>
                  </w:r>
                </w:p>
              </w:tc>
              <w:tc>
                <w:tcPr>
                  <w:tcW w:w="1126" w:type="pct"/>
                  <w:noWrap w:val="0"/>
                  <w:vAlign w:val="center"/>
                </w:tcPr>
                <w:p w14:paraId="6AFF8833">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本项目执行标准</w:t>
                  </w:r>
                </w:p>
              </w:tc>
            </w:tr>
            <w:tr w14:paraId="2898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pct"/>
                  <w:noWrap w:val="0"/>
                  <w:vAlign w:val="center"/>
                </w:tcPr>
                <w:p w14:paraId="5E84638B">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pH</w:t>
                  </w:r>
                </w:p>
              </w:tc>
              <w:tc>
                <w:tcPr>
                  <w:tcW w:w="1651" w:type="pct"/>
                  <w:noWrap w:val="0"/>
                  <w:vAlign w:val="center"/>
                </w:tcPr>
                <w:p w14:paraId="168ECEF8">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6~9（无量纲）</w:t>
                  </w:r>
                </w:p>
              </w:tc>
              <w:tc>
                <w:tcPr>
                  <w:tcW w:w="1457" w:type="pct"/>
                  <w:noWrap w:val="0"/>
                  <w:vAlign w:val="center"/>
                </w:tcPr>
                <w:p w14:paraId="4EA5B5CD">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6~9（无量纲）</w:t>
                  </w:r>
                </w:p>
              </w:tc>
              <w:tc>
                <w:tcPr>
                  <w:tcW w:w="1126" w:type="pct"/>
                  <w:noWrap w:val="0"/>
                  <w:vAlign w:val="center"/>
                </w:tcPr>
                <w:p w14:paraId="68C31590">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6~9（无量纲）</w:t>
                  </w:r>
                </w:p>
              </w:tc>
            </w:tr>
            <w:tr w14:paraId="2153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pct"/>
                  <w:noWrap w:val="0"/>
                  <w:vAlign w:val="center"/>
                </w:tcPr>
                <w:p w14:paraId="6CFED4FE">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COD</w:t>
                  </w:r>
                </w:p>
              </w:tc>
              <w:tc>
                <w:tcPr>
                  <w:tcW w:w="1651" w:type="pct"/>
                  <w:noWrap w:val="0"/>
                  <w:vAlign w:val="center"/>
                </w:tcPr>
                <w:p w14:paraId="1DAACCB3">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500</w:t>
                  </w:r>
                </w:p>
              </w:tc>
              <w:tc>
                <w:tcPr>
                  <w:tcW w:w="1457" w:type="pct"/>
                  <w:noWrap w:val="0"/>
                  <w:vAlign w:val="center"/>
                </w:tcPr>
                <w:p w14:paraId="621F13C7">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480</w:t>
                  </w:r>
                </w:p>
              </w:tc>
              <w:tc>
                <w:tcPr>
                  <w:tcW w:w="1126" w:type="pct"/>
                  <w:noWrap w:val="0"/>
                  <w:vAlign w:val="center"/>
                </w:tcPr>
                <w:p w14:paraId="48F40146">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eastAsia" w:ascii="Times New Roman" w:hAnsi="Times New Roman" w:eastAsia="宋体" w:cs="Times New Roman"/>
                      <w:b w:val="0"/>
                      <w:bCs w:val="0"/>
                      <w:color w:val="auto"/>
                      <w:lang w:val="en-US" w:eastAsia="zh-CN"/>
                    </w:rPr>
                    <w:t>480</w:t>
                  </w:r>
                </w:p>
              </w:tc>
            </w:tr>
            <w:tr w14:paraId="3AFC6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pct"/>
                  <w:noWrap w:val="0"/>
                  <w:vAlign w:val="center"/>
                </w:tcPr>
                <w:p w14:paraId="6B592BE2">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BOD</w:t>
                  </w:r>
                  <w:r>
                    <w:rPr>
                      <w:rFonts w:hint="default" w:ascii="Times New Roman" w:hAnsi="Times New Roman" w:eastAsia="宋体" w:cs="Times New Roman"/>
                      <w:b w:val="0"/>
                      <w:bCs w:val="0"/>
                      <w:color w:val="auto"/>
                      <w:vertAlign w:val="subscript"/>
                    </w:rPr>
                    <w:t>5</w:t>
                  </w:r>
                </w:p>
              </w:tc>
              <w:tc>
                <w:tcPr>
                  <w:tcW w:w="1651" w:type="pct"/>
                  <w:noWrap w:val="0"/>
                  <w:vAlign w:val="center"/>
                </w:tcPr>
                <w:p w14:paraId="7632FAD5">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300</w:t>
                  </w:r>
                </w:p>
              </w:tc>
              <w:tc>
                <w:tcPr>
                  <w:tcW w:w="1457" w:type="pct"/>
                  <w:noWrap w:val="0"/>
                  <w:vAlign w:val="center"/>
                </w:tcPr>
                <w:p w14:paraId="4872D556">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120</w:t>
                  </w:r>
                </w:p>
              </w:tc>
              <w:tc>
                <w:tcPr>
                  <w:tcW w:w="1126" w:type="pct"/>
                  <w:noWrap w:val="0"/>
                  <w:vAlign w:val="center"/>
                </w:tcPr>
                <w:p w14:paraId="4307899B">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120</w:t>
                  </w:r>
                </w:p>
              </w:tc>
            </w:tr>
            <w:tr w14:paraId="73B1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pct"/>
                  <w:noWrap w:val="0"/>
                  <w:vAlign w:val="center"/>
                </w:tcPr>
                <w:p w14:paraId="765DAF76">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SS</w:t>
                  </w:r>
                </w:p>
              </w:tc>
              <w:tc>
                <w:tcPr>
                  <w:tcW w:w="1651" w:type="pct"/>
                  <w:noWrap w:val="0"/>
                  <w:vAlign w:val="center"/>
                </w:tcPr>
                <w:p w14:paraId="0AC9FB0B">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400</w:t>
                  </w:r>
                </w:p>
              </w:tc>
              <w:tc>
                <w:tcPr>
                  <w:tcW w:w="1457" w:type="pct"/>
                  <w:noWrap w:val="0"/>
                  <w:vAlign w:val="center"/>
                </w:tcPr>
                <w:p w14:paraId="7BBA7DFD">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lang w:val="en-US" w:eastAsia="zh-CN"/>
                    </w:rPr>
                    <w:t>310</w:t>
                  </w:r>
                </w:p>
              </w:tc>
              <w:tc>
                <w:tcPr>
                  <w:tcW w:w="1126" w:type="pct"/>
                  <w:noWrap w:val="0"/>
                  <w:vAlign w:val="center"/>
                </w:tcPr>
                <w:p w14:paraId="3E564DE8">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eastAsia" w:ascii="Times New Roman" w:hAnsi="Times New Roman" w:eastAsia="宋体" w:cs="Times New Roman"/>
                      <w:b w:val="0"/>
                      <w:bCs w:val="0"/>
                      <w:color w:val="auto"/>
                      <w:lang w:val="en-US" w:eastAsia="zh-CN"/>
                    </w:rPr>
                    <w:t>310</w:t>
                  </w:r>
                </w:p>
              </w:tc>
            </w:tr>
            <w:tr w14:paraId="65DE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4" w:type="pct"/>
                  <w:noWrap w:val="0"/>
                  <w:vAlign w:val="center"/>
                </w:tcPr>
                <w:p w14:paraId="69D543A6">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NH</w:t>
                  </w:r>
                  <w:r>
                    <w:rPr>
                      <w:rFonts w:hint="default" w:ascii="Times New Roman" w:hAnsi="Times New Roman" w:eastAsia="宋体" w:cs="Times New Roman"/>
                      <w:b w:val="0"/>
                      <w:bCs w:val="0"/>
                      <w:color w:val="auto"/>
                      <w:vertAlign w:val="subscript"/>
                    </w:rPr>
                    <w:t>3</w:t>
                  </w:r>
                  <w:r>
                    <w:rPr>
                      <w:rFonts w:hint="default" w:ascii="Times New Roman" w:hAnsi="Times New Roman" w:eastAsia="宋体" w:cs="Times New Roman"/>
                      <w:b w:val="0"/>
                      <w:bCs w:val="0"/>
                      <w:color w:val="auto"/>
                    </w:rPr>
                    <w:t>-N</w:t>
                  </w:r>
                </w:p>
              </w:tc>
              <w:tc>
                <w:tcPr>
                  <w:tcW w:w="1651" w:type="pct"/>
                  <w:noWrap w:val="0"/>
                  <w:vAlign w:val="center"/>
                </w:tcPr>
                <w:p w14:paraId="71C42B52">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lang w:val="en-US" w:eastAsia="zh-CN"/>
                    </w:rPr>
                    <w:t>/</w:t>
                  </w:r>
                </w:p>
              </w:tc>
              <w:tc>
                <w:tcPr>
                  <w:tcW w:w="1457" w:type="pct"/>
                  <w:noWrap w:val="0"/>
                  <w:vAlign w:val="center"/>
                </w:tcPr>
                <w:p w14:paraId="789564F5">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35</w:t>
                  </w:r>
                </w:p>
              </w:tc>
              <w:tc>
                <w:tcPr>
                  <w:tcW w:w="1126" w:type="pct"/>
                  <w:noWrap w:val="0"/>
                  <w:vAlign w:val="center"/>
                </w:tcPr>
                <w:p w14:paraId="35C01825">
                  <w:pPr>
                    <w:pStyle w:val="3"/>
                    <w:keepNext/>
                    <w:keepLines/>
                    <w:pageBreakBefore w:val="0"/>
                    <w:widowControl w:val="0"/>
                    <w:suppressLineNumbers w:val="0"/>
                    <w:kinsoku/>
                    <w:wordWrap/>
                    <w:overflowPunct/>
                    <w:topLinePunct w:val="0"/>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35</w:t>
                  </w:r>
                </w:p>
              </w:tc>
            </w:tr>
          </w:tbl>
          <w:p w14:paraId="05E3A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宋体"/>
                <w:b/>
                <w:bCs/>
                <w:color w:val="auto"/>
                <w:spacing w:val="2"/>
                <w:sz w:val="24"/>
                <w:szCs w:val="24"/>
                <w:lang w:val="en-US" w:eastAsia="zh-CN"/>
              </w:rPr>
            </w:pPr>
            <w:r>
              <w:rPr>
                <w:rFonts w:hint="default" w:ascii="Times New Roman" w:hAnsi="Times New Roman" w:eastAsia="宋体" w:cs="宋体"/>
                <w:b/>
                <w:bCs/>
                <w:color w:val="auto"/>
                <w:spacing w:val="2"/>
                <w:sz w:val="24"/>
                <w:szCs w:val="24"/>
                <w:lang w:val="en-US" w:eastAsia="zh-CN"/>
              </w:rPr>
              <w:t>表</w:t>
            </w:r>
            <w:r>
              <w:rPr>
                <w:rFonts w:hint="eastAsia" w:ascii="Times New Roman" w:hAnsi="Times New Roman" w:eastAsia="宋体" w:cs="宋体"/>
                <w:b/>
                <w:bCs/>
                <w:color w:val="auto"/>
                <w:spacing w:val="2"/>
                <w:sz w:val="24"/>
                <w:szCs w:val="24"/>
                <w:lang w:val="en-US" w:eastAsia="zh-CN"/>
              </w:rPr>
              <w:t>3</w:t>
            </w:r>
            <w:r>
              <w:rPr>
                <w:rFonts w:hint="default" w:ascii="Times New Roman" w:hAnsi="Times New Roman" w:eastAsia="宋体" w:cs="宋体"/>
                <w:b/>
                <w:bCs/>
                <w:color w:val="auto"/>
                <w:spacing w:val="2"/>
                <w:sz w:val="24"/>
                <w:szCs w:val="24"/>
                <w:lang w:val="en-US" w:eastAsia="zh-CN"/>
              </w:rPr>
              <w:t>-</w:t>
            </w:r>
            <w:r>
              <w:rPr>
                <w:rFonts w:hint="eastAsia" w:cs="宋体"/>
                <w:b/>
                <w:bCs/>
                <w:color w:val="auto"/>
                <w:spacing w:val="2"/>
                <w:sz w:val="24"/>
                <w:szCs w:val="24"/>
                <w:lang w:val="en-US" w:eastAsia="zh-CN"/>
              </w:rPr>
              <w:t>9</w:t>
            </w:r>
            <w:r>
              <w:rPr>
                <w:rFonts w:hint="default" w:ascii="Times New Roman" w:hAnsi="Times New Roman" w:eastAsia="宋体" w:cs="宋体"/>
                <w:b/>
                <w:bCs/>
                <w:color w:val="auto"/>
                <w:spacing w:val="2"/>
                <w:sz w:val="24"/>
                <w:szCs w:val="24"/>
                <w:lang w:val="en-US" w:eastAsia="zh-CN"/>
              </w:rPr>
              <w:t xml:space="preserve"> 城镇污水处理厂污染物排放标准  单位：mg/L（pH值除外）</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2823"/>
              <w:gridCol w:w="3211"/>
            </w:tblGrid>
            <w:tr w14:paraId="0C78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noWrap w:val="0"/>
                  <w:vAlign w:val="center"/>
                </w:tcPr>
                <w:p w14:paraId="450F2C4D">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污染物</w:t>
                  </w:r>
                </w:p>
              </w:tc>
              <w:tc>
                <w:tcPr>
                  <w:tcW w:w="2809" w:type="dxa"/>
                  <w:noWrap w:val="0"/>
                  <w:vAlign w:val="center"/>
                </w:tcPr>
                <w:p w14:paraId="1AF9F80B">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浓度限值</w:t>
                  </w:r>
                </w:p>
              </w:tc>
              <w:tc>
                <w:tcPr>
                  <w:tcW w:w="3196" w:type="dxa"/>
                  <w:noWrap w:val="0"/>
                  <w:vAlign w:val="center"/>
                </w:tcPr>
                <w:p w14:paraId="7A41E1AF">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依据</w:t>
                  </w:r>
                </w:p>
              </w:tc>
            </w:tr>
            <w:tr w14:paraId="410A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noWrap w:val="0"/>
                  <w:vAlign w:val="center"/>
                </w:tcPr>
                <w:p w14:paraId="0518D43C">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pH</w:t>
                  </w:r>
                </w:p>
              </w:tc>
              <w:tc>
                <w:tcPr>
                  <w:tcW w:w="2809" w:type="dxa"/>
                  <w:noWrap w:val="0"/>
                  <w:vAlign w:val="center"/>
                </w:tcPr>
                <w:p w14:paraId="1C5203C6">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6~9</w:t>
                  </w:r>
                </w:p>
              </w:tc>
              <w:tc>
                <w:tcPr>
                  <w:tcW w:w="3196" w:type="dxa"/>
                  <w:vMerge w:val="restart"/>
                  <w:noWrap w:val="0"/>
                  <w:vAlign w:val="center"/>
                </w:tcPr>
                <w:p w14:paraId="3D1049DE">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《城镇污水处理厂污染物排放标准》（GB18918-2002）中一级A标准</w:t>
                  </w:r>
                </w:p>
              </w:tc>
            </w:tr>
            <w:tr w14:paraId="1AD9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noWrap w:val="0"/>
                  <w:vAlign w:val="center"/>
                </w:tcPr>
                <w:p w14:paraId="52EF3696">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COD</w:t>
                  </w:r>
                </w:p>
              </w:tc>
              <w:tc>
                <w:tcPr>
                  <w:tcW w:w="2809" w:type="dxa"/>
                  <w:noWrap w:val="0"/>
                  <w:vAlign w:val="center"/>
                </w:tcPr>
                <w:p w14:paraId="08959676">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50</w:t>
                  </w:r>
                </w:p>
              </w:tc>
              <w:tc>
                <w:tcPr>
                  <w:tcW w:w="3196" w:type="dxa"/>
                  <w:vMerge w:val="continue"/>
                  <w:noWrap w:val="0"/>
                  <w:vAlign w:val="center"/>
                </w:tcPr>
                <w:p w14:paraId="67035162">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rPr>
                  </w:pPr>
                </w:p>
              </w:tc>
            </w:tr>
            <w:tr w14:paraId="31FF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noWrap w:val="0"/>
                  <w:vAlign w:val="center"/>
                </w:tcPr>
                <w:p w14:paraId="7BEB4633">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BOD</w:t>
                  </w:r>
                  <w:r>
                    <w:rPr>
                      <w:rFonts w:hint="default" w:ascii="Times New Roman" w:hAnsi="Times New Roman" w:eastAsia="宋体" w:cs="Times New Roman"/>
                      <w:color w:val="auto"/>
                      <w:sz w:val="21"/>
                      <w:szCs w:val="21"/>
                      <w:vertAlign w:val="subscript"/>
                    </w:rPr>
                    <w:t>5</w:t>
                  </w:r>
                </w:p>
              </w:tc>
              <w:tc>
                <w:tcPr>
                  <w:tcW w:w="2809" w:type="dxa"/>
                  <w:noWrap w:val="0"/>
                  <w:vAlign w:val="center"/>
                </w:tcPr>
                <w:p w14:paraId="43A77B08">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10</w:t>
                  </w:r>
                </w:p>
              </w:tc>
              <w:tc>
                <w:tcPr>
                  <w:tcW w:w="3196" w:type="dxa"/>
                  <w:vMerge w:val="continue"/>
                  <w:noWrap w:val="0"/>
                  <w:vAlign w:val="center"/>
                </w:tcPr>
                <w:p w14:paraId="5DA61A8E">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rPr>
                  </w:pPr>
                </w:p>
              </w:tc>
            </w:tr>
            <w:tr w14:paraId="3BB2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noWrap w:val="0"/>
                  <w:vAlign w:val="center"/>
                </w:tcPr>
                <w:p w14:paraId="78DF9B4B">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SS</w:t>
                  </w:r>
                </w:p>
              </w:tc>
              <w:tc>
                <w:tcPr>
                  <w:tcW w:w="2809" w:type="dxa"/>
                  <w:noWrap w:val="0"/>
                  <w:vAlign w:val="center"/>
                </w:tcPr>
                <w:p w14:paraId="506C7928">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10</w:t>
                  </w:r>
                </w:p>
              </w:tc>
              <w:tc>
                <w:tcPr>
                  <w:tcW w:w="3196" w:type="dxa"/>
                  <w:vMerge w:val="continue"/>
                  <w:noWrap w:val="0"/>
                  <w:vAlign w:val="center"/>
                </w:tcPr>
                <w:p w14:paraId="7988E5D5">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rPr>
                  </w:pPr>
                </w:p>
              </w:tc>
            </w:tr>
            <w:tr w14:paraId="6388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060" w:type="dxa"/>
                  <w:noWrap w:val="0"/>
                  <w:vAlign w:val="center"/>
                </w:tcPr>
                <w:p w14:paraId="1BB7209D">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w:t>
                  </w:r>
                </w:p>
              </w:tc>
              <w:tc>
                <w:tcPr>
                  <w:tcW w:w="2809" w:type="dxa"/>
                  <w:noWrap w:val="0"/>
                  <w:vAlign w:val="center"/>
                </w:tcPr>
                <w:p w14:paraId="0A24F0D7">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sz w:val="21"/>
                      <w:szCs w:val="21"/>
                    </w:rPr>
                    <w:t>5（8）</w:t>
                  </w:r>
                </w:p>
              </w:tc>
              <w:tc>
                <w:tcPr>
                  <w:tcW w:w="3196" w:type="dxa"/>
                  <w:vMerge w:val="continue"/>
                  <w:noWrap w:val="0"/>
                  <w:vAlign w:val="center"/>
                </w:tcPr>
                <w:p w14:paraId="322CA15A">
                  <w:pPr>
                    <w:pStyle w:val="3"/>
                    <w:keepNext/>
                    <w:keepLines/>
                    <w:pageBreakBefore w:val="0"/>
                    <w:widowControl w:val="0"/>
                    <w:suppressLineNumbers w:val="0"/>
                    <w:kinsoku/>
                    <w:wordWrap w:val="0"/>
                    <w:overflowPunct/>
                    <w:topLinePunct/>
                    <w:autoSpaceDE/>
                    <w:autoSpaceDN/>
                    <w:bidi w:val="0"/>
                    <w:adjustRightInd/>
                    <w:snapToGrid/>
                    <w:spacing w:before="0" w:after="0" w:line="240" w:lineRule="auto"/>
                    <w:ind w:left="0" w:right="0"/>
                    <w:jc w:val="center"/>
                    <w:textAlignment w:val="auto"/>
                    <w:rPr>
                      <w:rFonts w:hint="default" w:ascii="Times New Roman" w:hAnsi="Times New Roman" w:eastAsia="宋体" w:cs="Times New Roman"/>
                      <w:color w:val="auto"/>
                    </w:rPr>
                  </w:pPr>
                </w:p>
              </w:tc>
            </w:tr>
          </w:tbl>
          <w:p w14:paraId="63647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b/>
                <w:bCs/>
                <w:sz w:val="24"/>
                <w:szCs w:val="24"/>
              </w:rPr>
            </w:pPr>
            <w:r>
              <w:rPr>
                <w:rFonts w:hint="default"/>
                <w:b/>
                <w:bCs/>
                <w:sz w:val="24"/>
                <w:szCs w:val="24"/>
              </w:rPr>
              <w:t>3</w:t>
            </w:r>
            <w:r>
              <w:rPr>
                <w:rFonts w:hint="eastAsia" w:cs="宋体"/>
                <w:b/>
                <w:bCs/>
                <w:sz w:val="24"/>
                <w:szCs w:val="24"/>
              </w:rPr>
              <w:t>、噪声</w:t>
            </w:r>
          </w:p>
          <w:p w14:paraId="04E410E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宋体"/>
                <w:sz w:val="24"/>
                <w:szCs w:val="24"/>
                <w:lang w:val="en-AU"/>
              </w:rPr>
            </w:pPr>
            <w:r>
              <w:rPr>
                <w:rFonts w:hint="eastAsia" w:ascii="Times New Roman" w:hAnsi="Times New Roman" w:eastAsia="宋体" w:cs="宋体"/>
                <w:sz w:val="24"/>
                <w:szCs w:val="24"/>
                <w:lang w:val="en-AU"/>
              </w:rPr>
              <w:t>运营期厂界噪声执行《工业企业厂界环境噪声排放标准》（</w:t>
            </w:r>
            <w:r>
              <w:rPr>
                <w:rFonts w:hint="default" w:ascii="Times New Roman" w:hAnsi="Times New Roman" w:eastAsia="宋体" w:cs="宋体"/>
                <w:sz w:val="24"/>
                <w:szCs w:val="24"/>
                <w:lang w:val="en-AU"/>
              </w:rPr>
              <w:t>GB12348-2008</w:t>
            </w:r>
            <w:r>
              <w:rPr>
                <w:rFonts w:hint="eastAsia" w:ascii="Times New Roman" w:hAnsi="Times New Roman" w:eastAsia="宋体" w:cs="宋体"/>
                <w:sz w:val="24"/>
                <w:szCs w:val="24"/>
                <w:lang w:val="en-AU"/>
              </w:rPr>
              <w:t>）中</w:t>
            </w:r>
            <w:r>
              <w:rPr>
                <w:rFonts w:hint="eastAsia" w:cs="宋体"/>
                <w:sz w:val="24"/>
                <w:szCs w:val="24"/>
                <w:lang w:val="en-US" w:eastAsia="zh-CN"/>
              </w:rPr>
              <w:t>3类</w:t>
            </w:r>
            <w:r>
              <w:rPr>
                <w:rFonts w:hint="eastAsia" w:ascii="Times New Roman" w:hAnsi="Times New Roman" w:eastAsia="宋体" w:cs="宋体"/>
                <w:sz w:val="24"/>
                <w:szCs w:val="24"/>
                <w:lang w:val="en-AU"/>
              </w:rPr>
              <w:t>标准，具体标准限值</w:t>
            </w:r>
            <w:r>
              <w:rPr>
                <w:rFonts w:hint="eastAsia" w:ascii="Times New Roman" w:hAnsi="Times New Roman" w:eastAsia="宋体" w:cs="宋体"/>
                <w:sz w:val="24"/>
                <w:szCs w:val="24"/>
              </w:rPr>
              <w:t>见下表</w:t>
            </w:r>
            <w:r>
              <w:rPr>
                <w:rFonts w:hint="eastAsia" w:ascii="Times New Roman" w:hAnsi="Times New Roman" w:eastAsia="宋体" w:cs="宋体"/>
                <w:sz w:val="24"/>
                <w:szCs w:val="24"/>
                <w:lang w:val="en-AU"/>
              </w:rPr>
              <w:t>。</w:t>
            </w:r>
          </w:p>
          <w:p w14:paraId="19D161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w:t>
            </w:r>
            <w:r>
              <w:rPr>
                <w:rFonts w:hint="eastAsia"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w:t>
            </w:r>
            <w:r>
              <w:rPr>
                <w:rFonts w:hint="eastAsia" w:cs="Times New Roman"/>
                <w:b/>
                <w:bCs/>
                <w:color w:val="auto"/>
                <w:sz w:val="24"/>
                <w:szCs w:val="24"/>
                <w:lang w:val="en-US" w:eastAsia="zh-CN"/>
              </w:rPr>
              <w:t xml:space="preserve">10 </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环境噪声排放标准  单位：dB（A）</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7"/>
              <w:gridCol w:w="809"/>
              <w:gridCol w:w="1008"/>
              <w:gridCol w:w="5320"/>
            </w:tblGrid>
            <w:tr w14:paraId="1F40E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63" w:type="dxa"/>
                  <w:noWrap w:val="0"/>
                  <w:vAlign w:val="center"/>
                </w:tcPr>
                <w:p w14:paraId="50688B55">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时段</w:t>
                  </w:r>
                </w:p>
              </w:tc>
              <w:tc>
                <w:tcPr>
                  <w:tcW w:w="805" w:type="dxa"/>
                  <w:noWrap w:val="0"/>
                  <w:vAlign w:val="center"/>
                </w:tcPr>
                <w:p w14:paraId="466376B9">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昼间</w:t>
                  </w:r>
                </w:p>
              </w:tc>
              <w:tc>
                <w:tcPr>
                  <w:tcW w:w="1003" w:type="dxa"/>
                  <w:noWrap w:val="0"/>
                  <w:vAlign w:val="center"/>
                </w:tcPr>
                <w:p w14:paraId="225B04C2">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夜间</w:t>
                  </w:r>
                </w:p>
              </w:tc>
              <w:tc>
                <w:tcPr>
                  <w:tcW w:w="5294" w:type="dxa"/>
                  <w:noWrap w:val="0"/>
                  <w:vAlign w:val="center"/>
                </w:tcPr>
                <w:p w14:paraId="2DD47198">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标准</w:t>
                  </w:r>
                </w:p>
              </w:tc>
            </w:tr>
            <w:tr w14:paraId="5A7E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63" w:type="dxa"/>
                  <w:noWrap w:val="0"/>
                  <w:vAlign w:val="center"/>
                </w:tcPr>
                <w:p w14:paraId="0E20F706">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运营</w:t>
                  </w:r>
                  <w:r>
                    <w:rPr>
                      <w:rFonts w:hint="default" w:ascii="Times New Roman" w:hAnsi="Times New Roman" w:eastAsia="宋体" w:cs="Times New Roman"/>
                      <w:sz w:val="21"/>
                      <w:szCs w:val="21"/>
                      <w:lang w:val="en-US" w:eastAsia="zh-CN"/>
                    </w:rPr>
                    <w:t>期</w:t>
                  </w:r>
                </w:p>
              </w:tc>
              <w:tc>
                <w:tcPr>
                  <w:tcW w:w="805" w:type="dxa"/>
                  <w:noWrap w:val="0"/>
                  <w:vAlign w:val="center"/>
                </w:tcPr>
                <w:p w14:paraId="1A9485B3">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r>
                    <w:rPr>
                      <w:rFonts w:hint="eastAsia" w:cs="Times New Roman"/>
                      <w:sz w:val="21"/>
                      <w:szCs w:val="21"/>
                      <w:lang w:val="en-US" w:eastAsia="zh-CN"/>
                    </w:rPr>
                    <w:t>5</w:t>
                  </w:r>
                </w:p>
              </w:tc>
              <w:tc>
                <w:tcPr>
                  <w:tcW w:w="1003" w:type="dxa"/>
                  <w:noWrap w:val="0"/>
                  <w:vAlign w:val="center"/>
                </w:tcPr>
                <w:p w14:paraId="64DEB10B">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r>
                    <w:rPr>
                      <w:rFonts w:hint="eastAsia" w:cs="Times New Roman"/>
                      <w:sz w:val="21"/>
                      <w:szCs w:val="21"/>
                      <w:lang w:val="en-US" w:eastAsia="zh-CN"/>
                    </w:rPr>
                    <w:t>5</w:t>
                  </w:r>
                </w:p>
              </w:tc>
              <w:tc>
                <w:tcPr>
                  <w:tcW w:w="5294" w:type="dxa"/>
                  <w:noWrap w:val="0"/>
                  <w:vAlign w:val="center"/>
                </w:tcPr>
                <w:p w14:paraId="4DDFC0D9">
                  <w:pPr>
                    <w:pStyle w:val="2"/>
                    <w:keepNext/>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《工业企业厂界环境噪声排放标准》（GB12348-2008）</w:t>
                  </w:r>
                </w:p>
              </w:tc>
            </w:tr>
          </w:tbl>
          <w:p w14:paraId="07BCD4C4">
            <w:pPr>
              <w:keepNext w:val="0"/>
              <w:keepLines w:val="0"/>
              <w:suppressLineNumbers w:val="0"/>
              <w:spacing w:before="0" w:beforeAutospacing="0" w:after="0" w:afterAutospacing="0" w:line="360" w:lineRule="auto"/>
              <w:ind w:left="0" w:right="0"/>
              <w:jc w:val="left"/>
              <w:rPr>
                <w:rFonts w:hint="default"/>
                <w:b/>
                <w:bCs/>
                <w:snapToGrid w:val="0"/>
                <w:sz w:val="24"/>
                <w:szCs w:val="24"/>
              </w:rPr>
            </w:pPr>
            <w:r>
              <w:rPr>
                <w:rFonts w:hint="default"/>
                <w:b/>
                <w:bCs/>
                <w:snapToGrid w:val="0"/>
                <w:sz w:val="24"/>
                <w:szCs w:val="24"/>
              </w:rPr>
              <w:t>4</w:t>
            </w:r>
            <w:r>
              <w:rPr>
                <w:rFonts w:hint="eastAsia" w:cs="宋体"/>
                <w:b/>
                <w:bCs/>
                <w:snapToGrid w:val="0"/>
                <w:sz w:val="24"/>
                <w:szCs w:val="24"/>
              </w:rPr>
              <w:t>、固体废物</w:t>
            </w:r>
          </w:p>
          <w:p w14:paraId="21218E5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宋体" w:eastAsia="宋体"/>
                <w:kern w:val="0"/>
                <w:lang w:val="en-US" w:eastAsia="zh-CN"/>
              </w:rPr>
            </w:pPr>
            <w:r>
              <w:rPr>
                <w:rFonts w:hint="eastAsia" w:ascii="Times New Roman" w:hAnsi="Times New Roman" w:eastAsia="宋体" w:cs="Times New Roman"/>
                <w:color w:val="auto"/>
                <w:sz w:val="24"/>
                <w:szCs w:val="24"/>
                <w:lang w:val="en-US" w:eastAsia="zh-CN"/>
              </w:rPr>
              <w:t>工业固体废物的贮存、处置执行《一般工业固体废物贮存和填埋污染控制标准》（GB18599-2020）中相关规定。危险废物贮存执行《危险废物贮存污染控制标准》（GB 18597—2023）中相关规定。</w:t>
            </w:r>
          </w:p>
        </w:tc>
      </w:tr>
      <w:tr w14:paraId="5EE48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397" w:hRule="atLeast"/>
          <w:jc w:val="center"/>
        </w:trPr>
        <w:tc>
          <w:tcPr>
            <w:tcW w:w="492" w:type="dxa"/>
            <w:tcBorders>
              <w:bottom w:val="single" w:color="auto" w:sz="8" w:space="0"/>
            </w:tcBorders>
            <w:tcMar>
              <w:left w:w="28" w:type="dxa"/>
              <w:right w:w="28" w:type="dxa"/>
            </w:tcMar>
            <w:vAlign w:val="center"/>
          </w:tcPr>
          <w:p w14:paraId="778A68EA">
            <w:pPr>
              <w:keepNext w:val="0"/>
              <w:keepLines w:val="0"/>
              <w:suppressLineNumbers w:val="0"/>
              <w:adjustRightInd w:val="0"/>
              <w:snapToGrid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总量</w:t>
            </w:r>
          </w:p>
          <w:p w14:paraId="4F835931">
            <w:pPr>
              <w:keepNext w:val="0"/>
              <w:keepLines w:val="0"/>
              <w:suppressLineNumbers w:val="0"/>
              <w:adjustRightInd w:val="0"/>
              <w:snapToGrid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控制</w:t>
            </w:r>
          </w:p>
          <w:p w14:paraId="17959350">
            <w:pPr>
              <w:keepNext w:val="0"/>
              <w:keepLines w:val="0"/>
              <w:suppressLineNumbers w:val="0"/>
              <w:adjustRightInd w:val="0"/>
              <w:snapToGrid w:val="0"/>
              <w:spacing w:before="0" w:beforeAutospacing="0" w:after="0" w:afterAutospacing="0" w:line="240" w:lineRule="auto"/>
              <w:ind w:left="0" w:right="0"/>
              <w:jc w:val="center"/>
              <w:rPr>
                <w:rFonts w:hint="default" w:ascii="宋体"/>
                <w:b/>
                <w:bCs/>
                <w:kern w:val="0"/>
                <w:sz w:val="24"/>
                <w:szCs w:val="24"/>
              </w:rPr>
            </w:pPr>
            <w:r>
              <w:rPr>
                <w:rFonts w:hint="eastAsia" w:ascii="宋体" w:hAnsi="宋体" w:cs="宋体"/>
                <w:b/>
                <w:bCs/>
                <w:kern w:val="0"/>
                <w:sz w:val="24"/>
                <w:szCs w:val="24"/>
              </w:rPr>
              <w:t>指标</w:t>
            </w:r>
          </w:p>
        </w:tc>
        <w:tc>
          <w:tcPr>
            <w:tcW w:w="8291" w:type="dxa"/>
            <w:tcBorders>
              <w:bottom w:val="single" w:color="auto" w:sz="8" w:space="0"/>
            </w:tcBorders>
            <w:vAlign w:val="center"/>
          </w:tcPr>
          <w:p w14:paraId="7EDC1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安徽省环保厅关于进一步加强建设项目新增大气主要污染物总量指标管理工作的通知》皖环发〔2017〕19号文件：三、大气主要污染物总量指标实行区域内等量或倍量削减替代。上年度空气质量不达标的城市，相应污染物指标应执行</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倍量替代</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。其中，上年度PM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lang w:val="en-US" w:eastAsia="zh-CN"/>
              </w:rPr>
              <w:t>不达标的城市，新增SO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lang w:val="en-US" w:eastAsia="zh-CN"/>
              </w:rPr>
              <w:t>、NOx和VOCs指标均要执行</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倍量替代</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。上年度PM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lang w:val="en-US" w:eastAsia="zh-CN"/>
              </w:rPr>
              <w:t>不达标的城市，新增烟（粉）尘指标要执行</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倍量替代</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。达到超低排放标准的新建火电项目无需执行</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倍量替代</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w:t>
            </w:r>
          </w:p>
          <w:p w14:paraId="510EF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项目雨污分流、雨水排入雨水管网，经化粪池预处理生活污水与定期排放的</w:t>
            </w:r>
            <w:r>
              <w:rPr>
                <w:rFonts w:hint="eastAsia" w:cs="Times New Roman"/>
                <w:color w:val="auto"/>
                <w:sz w:val="24"/>
                <w:szCs w:val="24"/>
                <w:lang w:val="en-US" w:eastAsia="zh-CN"/>
              </w:rPr>
              <w:t>循环冷却定期排污水</w:t>
            </w:r>
            <w:r>
              <w:rPr>
                <w:rFonts w:hint="default" w:ascii="Times New Roman" w:hAnsi="Times New Roman" w:eastAsia="宋体" w:cs="Times New Roman"/>
                <w:color w:val="auto"/>
                <w:sz w:val="24"/>
                <w:szCs w:val="24"/>
                <w:lang w:val="en-US" w:eastAsia="zh-CN"/>
              </w:rPr>
              <w:t>，汇同纯水制备浓水接管进入淮北蓝海水处理有限公司进一步处理，处理达标后部分作为平山电厂冷却循环水，剩余部分排入萧濉新河。废水纳入淮北蓝海水处理有限公司，无需申请水污染物总量指标。</w:t>
            </w:r>
          </w:p>
          <w:p w14:paraId="2A498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val="en-US" w:eastAsia="zh-CN"/>
              </w:rPr>
              <w:t>有组织废气主要为</w:t>
            </w:r>
            <w:r>
              <w:rPr>
                <w:rFonts w:hint="eastAsia" w:cs="Times New Roman"/>
                <w:color w:val="auto"/>
                <w:sz w:val="24"/>
                <w:szCs w:val="24"/>
                <w:highlight w:val="none"/>
                <w:lang w:val="en-US" w:eastAsia="zh-CN"/>
              </w:rPr>
              <w:t>颗粒物、SO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、NOx</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颗粒物</w:t>
            </w:r>
            <w:r>
              <w:rPr>
                <w:rFonts w:hint="default" w:ascii="Times New Roman" w:hAnsi="Times New Roman" w:eastAsia="宋体" w:cs="Times New Roman"/>
                <w:color w:val="auto"/>
                <w:sz w:val="24"/>
                <w:szCs w:val="24"/>
                <w:highlight w:val="none"/>
                <w:lang w:val="en-US" w:eastAsia="zh-CN"/>
              </w:rPr>
              <w:t>排放量0</w:t>
            </w:r>
            <w:r>
              <w:rPr>
                <w:rFonts w:hint="eastAsia" w:cs="Times New Roman"/>
                <w:color w:val="auto"/>
                <w:sz w:val="24"/>
                <w:szCs w:val="24"/>
                <w:highlight w:val="none"/>
                <w:lang w:val="en-US" w:eastAsia="zh-CN"/>
              </w:rPr>
              <w:t>.118</w:t>
            </w:r>
            <w:r>
              <w:rPr>
                <w:rFonts w:hint="default" w:ascii="Times New Roman" w:hAnsi="Times New Roman" w:cs="Times New Roman"/>
                <w:color w:val="auto"/>
                <w:sz w:val="24"/>
                <w:szCs w:val="24"/>
                <w:highlight w:val="none"/>
                <w:lang w:val="en-US" w:eastAsia="zh-CN"/>
              </w:rPr>
              <w:t>t/a</w:t>
            </w:r>
            <w:r>
              <w:rPr>
                <w:rFonts w:hint="eastAsia" w:cs="Times New Roman"/>
                <w:color w:val="auto"/>
                <w:sz w:val="24"/>
                <w:szCs w:val="24"/>
                <w:highlight w:val="none"/>
                <w:lang w:val="en-US" w:eastAsia="zh-CN"/>
              </w:rPr>
              <w:t>、SO</w:t>
            </w:r>
            <w:r>
              <w:rPr>
                <w:rFonts w:hint="eastAsia" w:cs="Times New Roman"/>
                <w:color w:val="auto"/>
                <w:sz w:val="24"/>
                <w:szCs w:val="24"/>
                <w:highlight w:val="none"/>
                <w:vertAlign w:val="subscript"/>
                <w:lang w:val="en-US" w:eastAsia="zh-CN"/>
              </w:rPr>
              <w:t>2</w:t>
            </w:r>
            <w:r>
              <w:rPr>
                <w:rFonts w:hint="default" w:ascii="Times New Roman" w:hAnsi="Times New Roman" w:eastAsia="宋体" w:cs="Times New Roman"/>
                <w:color w:val="auto"/>
                <w:sz w:val="24"/>
                <w:szCs w:val="24"/>
                <w:highlight w:val="none"/>
                <w:lang w:val="en-US" w:eastAsia="zh-CN"/>
              </w:rPr>
              <w:t>排放量</w:t>
            </w:r>
            <w:r>
              <w:rPr>
                <w:rFonts w:hint="eastAsia" w:cs="Times New Roman"/>
                <w:color w:val="auto"/>
                <w:sz w:val="24"/>
                <w:szCs w:val="24"/>
                <w:highlight w:val="none"/>
                <w:lang w:val="en-US" w:eastAsia="zh-CN"/>
              </w:rPr>
              <w:t>0.017</w:t>
            </w:r>
            <w:r>
              <w:rPr>
                <w:rFonts w:hint="default" w:ascii="Times New Roman" w:hAnsi="Times New Roman" w:cs="Times New Roman"/>
                <w:color w:val="auto"/>
                <w:sz w:val="24"/>
                <w:szCs w:val="24"/>
                <w:highlight w:val="none"/>
                <w:lang w:val="en-US" w:eastAsia="zh-CN"/>
              </w:rPr>
              <w:t>t/a</w:t>
            </w:r>
            <w:r>
              <w:rPr>
                <w:rFonts w:hint="eastAsia" w:cs="Times New Roman"/>
                <w:color w:val="auto"/>
                <w:sz w:val="24"/>
                <w:szCs w:val="24"/>
                <w:highlight w:val="none"/>
                <w:lang w:val="en-US" w:eastAsia="zh-CN"/>
              </w:rPr>
              <w:t>、NOx</w:t>
            </w:r>
            <w:r>
              <w:rPr>
                <w:rFonts w:hint="default" w:ascii="Times New Roman" w:hAnsi="Times New Roman" w:eastAsia="宋体" w:cs="Times New Roman"/>
                <w:color w:val="auto"/>
                <w:sz w:val="24"/>
                <w:szCs w:val="24"/>
                <w:highlight w:val="none"/>
                <w:lang w:val="en-US" w:eastAsia="zh-CN"/>
              </w:rPr>
              <w:t>排放量0</w:t>
            </w:r>
            <w:r>
              <w:rPr>
                <w:rFonts w:hint="eastAsia" w:cs="Times New Roman"/>
                <w:color w:val="auto"/>
                <w:sz w:val="24"/>
                <w:szCs w:val="24"/>
                <w:highlight w:val="none"/>
                <w:lang w:val="en-US" w:eastAsia="zh-CN"/>
              </w:rPr>
              <w:t>.155</w:t>
            </w:r>
            <w:r>
              <w:rPr>
                <w:rFonts w:hint="default" w:ascii="Times New Roman" w:hAnsi="Times New Roman" w:cs="Times New Roman"/>
                <w:color w:val="auto"/>
                <w:sz w:val="24"/>
                <w:szCs w:val="24"/>
                <w:highlight w:val="none"/>
                <w:lang w:val="en-US" w:eastAsia="zh-CN"/>
              </w:rPr>
              <w:t>t/a</w:t>
            </w:r>
            <w:r>
              <w:rPr>
                <w:rFonts w:hint="default" w:ascii="Times New Roman" w:hAnsi="Times New Roman" w:eastAsia="宋体" w:cs="Times New Roman"/>
                <w:color w:val="auto"/>
                <w:sz w:val="24"/>
                <w:szCs w:val="24"/>
                <w:highlight w:val="none"/>
                <w:lang w:val="en-US" w:eastAsia="zh-CN"/>
              </w:rPr>
              <w:t>。</w:t>
            </w:r>
          </w:p>
          <w:p w14:paraId="1ED35D3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textAlignment w:val="auto"/>
              <w:rPr>
                <w:rFonts w:hint="default"/>
                <w:sz w:val="24"/>
                <w:szCs w:val="24"/>
              </w:rPr>
            </w:pPr>
            <w:r>
              <w:rPr>
                <w:rFonts w:hint="eastAsia" w:cs="宋?"/>
                <w:sz w:val="24"/>
                <w:szCs w:val="24"/>
                <w:lang w:val="en-US" w:eastAsia="zh-CN"/>
              </w:rPr>
              <w:t>因此，</w:t>
            </w:r>
            <w:r>
              <w:rPr>
                <w:rFonts w:hint="eastAsia" w:cs="宋?"/>
                <w:sz w:val="24"/>
                <w:szCs w:val="24"/>
              </w:rPr>
              <w:t>本项目污染物申请指标为：</w:t>
            </w:r>
          </w:p>
          <w:p w14:paraId="2CF66068">
            <w:pPr>
              <w:pStyle w:val="14"/>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textAlignment w:val="auto"/>
              <w:rPr>
                <w:rFonts w:hint="default"/>
                <w:sz w:val="24"/>
                <w:szCs w:val="24"/>
              </w:rPr>
            </w:pPr>
            <w:r>
              <w:rPr>
                <w:rFonts w:hint="eastAsia" w:cs="Times New Roman"/>
                <w:color w:val="auto"/>
                <w:sz w:val="24"/>
                <w:szCs w:val="24"/>
                <w:highlight w:val="none"/>
                <w:lang w:val="en-US" w:eastAsia="zh-CN"/>
              </w:rPr>
              <w:t>颗粒物</w:t>
            </w:r>
            <w:r>
              <w:rPr>
                <w:rFonts w:hint="eastAsia"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.118</w:t>
            </w:r>
            <w:r>
              <w:rPr>
                <w:rFonts w:hint="default" w:ascii="Times New Roman" w:hAnsi="Times New Roman" w:cs="Times New Roman"/>
                <w:color w:val="auto"/>
                <w:sz w:val="24"/>
                <w:szCs w:val="24"/>
                <w:highlight w:val="none"/>
                <w:lang w:val="en-US" w:eastAsia="zh-CN"/>
              </w:rPr>
              <w:t>t/a</w:t>
            </w:r>
          </w:p>
          <w:p w14:paraId="4D6A6A29">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left"/>
              <w:textAlignment w:val="auto"/>
              <w:rPr>
                <w:rFonts w:hint="eastAsia"/>
                <w:snapToGrid w:val="0"/>
                <w:sz w:val="24"/>
                <w:szCs w:val="24"/>
                <w:lang w:val="en-US" w:eastAsia="zh-CN"/>
              </w:rPr>
            </w:pPr>
            <w:r>
              <w:rPr>
                <w:rFonts w:hint="eastAsia" w:cs="Times New Roman"/>
                <w:color w:val="auto"/>
                <w:sz w:val="24"/>
                <w:szCs w:val="24"/>
                <w:highlight w:val="none"/>
                <w:lang w:val="en-US" w:eastAsia="zh-CN"/>
              </w:rPr>
              <w:t>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：0.017</w:t>
            </w:r>
            <w:r>
              <w:rPr>
                <w:rFonts w:hint="default" w:ascii="Times New Roman" w:hAnsi="Times New Roman" w:cs="Times New Roman"/>
                <w:color w:val="auto"/>
                <w:sz w:val="24"/>
                <w:szCs w:val="24"/>
                <w:highlight w:val="none"/>
                <w:lang w:val="en-US" w:eastAsia="zh-CN"/>
              </w:rPr>
              <w:t>t/a</w:t>
            </w:r>
          </w:p>
          <w:p w14:paraId="6753E95E">
            <w:pPr>
              <w:keepNext w:val="0"/>
              <w:keepLines w:val="0"/>
              <w:suppressLineNumbers w:val="0"/>
              <w:spacing w:before="0" w:beforeAutospacing="0" w:after="0" w:afterAutospacing="0" w:line="360" w:lineRule="auto"/>
              <w:ind w:left="0" w:right="0" w:firstLine="480" w:firstLineChars="200"/>
              <w:jc w:val="left"/>
              <w:rPr>
                <w:rFonts w:hint="eastAsia"/>
                <w:snapToGrid w:val="0"/>
                <w:sz w:val="24"/>
                <w:szCs w:val="24"/>
                <w:lang w:val="en-US" w:eastAsia="zh-CN"/>
              </w:rPr>
            </w:pPr>
            <w:r>
              <w:rPr>
                <w:rFonts w:hint="eastAsia" w:cs="Times New Roman"/>
                <w:color w:val="auto"/>
                <w:sz w:val="24"/>
                <w:szCs w:val="24"/>
                <w:highlight w:val="none"/>
                <w:lang w:val="en-US" w:eastAsia="zh-CN"/>
              </w:rPr>
              <w:t>NOx：</w:t>
            </w:r>
            <w:r>
              <w:rPr>
                <w:rFonts w:hint="default"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.155</w:t>
            </w:r>
            <w:r>
              <w:rPr>
                <w:rFonts w:hint="default" w:ascii="Times New Roman" w:hAnsi="Times New Roman" w:cs="Times New Roman"/>
                <w:color w:val="auto"/>
                <w:sz w:val="24"/>
                <w:szCs w:val="24"/>
                <w:highlight w:val="none"/>
                <w:lang w:val="en-US" w:eastAsia="zh-CN"/>
              </w:rPr>
              <w:t>t/a</w:t>
            </w:r>
            <w:r>
              <w:rPr>
                <w:rFonts w:hint="default" w:ascii="Times New Roman" w:hAnsi="Times New Roman" w:eastAsia="宋体" w:cs="Times New Roman"/>
                <w:color w:val="auto"/>
                <w:sz w:val="24"/>
                <w:szCs w:val="24"/>
                <w:highlight w:val="none"/>
                <w:lang w:val="en-US" w:eastAsia="zh-CN"/>
              </w:rPr>
              <w:t>。</w:t>
            </w:r>
          </w:p>
          <w:p w14:paraId="70671D84">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5442B7FD">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3C7B6CFA">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06D76C56">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4F01B401">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79428F21">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4EDCC17C">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1DA2C107">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29FAE7F8">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362923E5">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2B3BFB10">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32D61DA1">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5B8C7E66">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255FF0E6">
            <w:pPr>
              <w:keepNext w:val="0"/>
              <w:keepLines w:val="0"/>
              <w:suppressLineNumbers w:val="0"/>
              <w:spacing w:before="0" w:beforeAutospacing="0" w:after="0" w:afterAutospacing="0" w:line="360" w:lineRule="auto"/>
              <w:ind w:left="0" w:right="0"/>
              <w:jc w:val="left"/>
              <w:rPr>
                <w:rFonts w:hint="eastAsia"/>
                <w:snapToGrid w:val="0"/>
                <w:sz w:val="24"/>
                <w:szCs w:val="24"/>
                <w:lang w:val="en-US" w:eastAsia="zh-CN"/>
              </w:rPr>
            </w:pPr>
          </w:p>
          <w:p w14:paraId="6BA07684">
            <w:pPr>
              <w:keepNext w:val="0"/>
              <w:keepLines w:val="0"/>
              <w:suppressLineNumbers w:val="0"/>
              <w:spacing w:before="0" w:beforeAutospacing="0" w:after="0" w:afterAutospacing="0" w:line="360" w:lineRule="auto"/>
              <w:ind w:left="0" w:right="0"/>
              <w:jc w:val="left"/>
              <w:rPr>
                <w:rFonts w:hint="default" w:eastAsia="宋体"/>
                <w:snapToGrid w:val="0"/>
                <w:sz w:val="24"/>
                <w:szCs w:val="24"/>
                <w:lang w:val="en-US" w:eastAsia="zh-CN"/>
              </w:rPr>
            </w:pPr>
          </w:p>
        </w:tc>
      </w:tr>
    </w:tbl>
    <w:p w14:paraId="5B1B65E3">
      <w:pPr>
        <w:pStyle w:val="28"/>
        <w:spacing w:before="0" w:beforeAutospacing="0" w:after="0" w:afterAutospacing="0" w:line="360" w:lineRule="auto"/>
        <w:jc w:val="center"/>
        <w:outlineLvl w:val="0"/>
        <w:rPr>
          <w:rFonts w:ascii="黑体" w:hAnsi="黑体" w:eastAsia="黑体" w:cs="Times New Roman"/>
          <w:snapToGrid w:val="0"/>
          <w:sz w:val="30"/>
          <w:szCs w:val="30"/>
        </w:rPr>
      </w:pPr>
      <w:bookmarkStart w:id="8" w:name="_Toc16030"/>
      <w:r>
        <w:rPr>
          <w:rFonts w:hint="eastAsia" w:ascii="黑体" w:hAnsi="黑体" w:eastAsia="黑体" w:cs="黑体"/>
          <w:snapToGrid w:val="0"/>
          <w:sz w:val="30"/>
          <w:szCs w:val="30"/>
        </w:rPr>
        <w:t>四、主要环境影响和保护措施</w:t>
      </w:r>
      <w:bookmarkEnd w:id="8"/>
    </w:p>
    <w:tbl>
      <w:tblPr>
        <w:tblStyle w:val="30"/>
        <w:tblW w:w="882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6"/>
        <w:gridCol w:w="8301"/>
      </w:tblGrid>
      <w:tr w14:paraId="4A780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526" w:type="dxa"/>
            <w:tcBorders>
              <w:top w:val="single" w:color="auto" w:sz="4" w:space="0"/>
              <w:left w:val="single" w:color="auto" w:sz="4" w:space="0"/>
            </w:tcBorders>
            <w:tcMar>
              <w:left w:w="28" w:type="dxa"/>
              <w:right w:w="28" w:type="dxa"/>
            </w:tcMar>
            <w:vAlign w:val="center"/>
          </w:tcPr>
          <w:p w14:paraId="73DFD43D">
            <w:pPr>
              <w:pStyle w:val="28"/>
              <w:keepNext w:val="0"/>
              <w:keepLines w:val="0"/>
              <w:suppressLineNumbers w:val="0"/>
              <w:spacing w:before="0" w:beforeAutospacing="0" w:after="0" w:afterAutospacing="0" w:line="240" w:lineRule="auto"/>
              <w:ind w:left="0" w:right="0"/>
              <w:jc w:val="center"/>
              <w:rPr>
                <w:rFonts w:hint="default" w:cs="Times New Roman"/>
                <w:b/>
                <w:bCs/>
                <w:kern w:val="2"/>
              </w:rPr>
            </w:pPr>
            <w:r>
              <w:rPr>
                <w:rFonts w:hint="eastAsia"/>
                <w:b/>
                <w:bCs/>
                <w:kern w:val="2"/>
              </w:rPr>
              <w:t>施工</w:t>
            </w:r>
          </w:p>
          <w:p w14:paraId="217F43C6">
            <w:pPr>
              <w:pStyle w:val="28"/>
              <w:keepNext w:val="0"/>
              <w:keepLines w:val="0"/>
              <w:suppressLineNumbers w:val="0"/>
              <w:spacing w:before="0" w:beforeAutospacing="0" w:after="0" w:afterAutospacing="0" w:line="240" w:lineRule="auto"/>
              <w:ind w:left="0" w:right="0"/>
              <w:jc w:val="center"/>
              <w:rPr>
                <w:rFonts w:hint="default" w:cs="Times New Roman"/>
                <w:b/>
                <w:bCs/>
                <w:kern w:val="2"/>
              </w:rPr>
            </w:pPr>
            <w:r>
              <w:rPr>
                <w:rFonts w:hint="eastAsia"/>
                <w:b/>
                <w:bCs/>
                <w:kern w:val="2"/>
              </w:rPr>
              <w:t>期环</w:t>
            </w:r>
          </w:p>
          <w:p w14:paraId="1FCA42CE">
            <w:pPr>
              <w:pStyle w:val="28"/>
              <w:keepNext w:val="0"/>
              <w:keepLines w:val="0"/>
              <w:suppressLineNumbers w:val="0"/>
              <w:spacing w:before="0" w:beforeAutospacing="0" w:after="0" w:afterAutospacing="0" w:line="240" w:lineRule="auto"/>
              <w:ind w:left="0" w:right="0"/>
              <w:jc w:val="center"/>
              <w:rPr>
                <w:rFonts w:hint="default" w:cs="Times New Roman"/>
                <w:b/>
                <w:bCs/>
                <w:kern w:val="2"/>
              </w:rPr>
            </w:pPr>
            <w:r>
              <w:rPr>
                <w:rFonts w:hint="eastAsia"/>
                <w:b/>
                <w:bCs/>
                <w:kern w:val="2"/>
              </w:rPr>
              <w:t>境保</w:t>
            </w:r>
          </w:p>
          <w:p w14:paraId="704916D1">
            <w:pPr>
              <w:pStyle w:val="28"/>
              <w:keepNext w:val="0"/>
              <w:keepLines w:val="0"/>
              <w:suppressLineNumbers w:val="0"/>
              <w:spacing w:before="0" w:beforeAutospacing="0" w:after="0" w:afterAutospacing="0" w:line="240" w:lineRule="auto"/>
              <w:ind w:left="0" w:right="0"/>
              <w:jc w:val="center"/>
              <w:rPr>
                <w:rFonts w:hint="default" w:cs="Times New Roman"/>
                <w:b/>
                <w:bCs/>
                <w:kern w:val="2"/>
              </w:rPr>
            </w:pPr>
            <w:r>
              <w:rPr>
                <w:rFonts w:hint="eastAsia"/>
                <w:b/>
                <w:bCs/>
                <w:kern w:val="2"/>
              </w:rPr>
              <w:t>护措</w:t>
            </w:r>
          </w:p>
          <w:p w14:paraId="7FB67B58">
            <w:pPr>
              <w:pStyle w:val="28"/>
              <w:keepNext w:val="0"/>
              <w:keepLines w:val="0"/>
              <w:suppressLineNumbers w:val="0"/>
              <w:spacing w:before="0" w:beforeAutospacing="0" w:after="0" w:afterAutospacing="0" w:line="240" w:lineRule="auto"/>
              <w:ind w:left="0" w:right="0"/>
              <w:jc w:val="center"/>
              <w:rPr>
                <w:rFonts w:hint="default" w:cs="Times New Roman"/>
                <w:b/>
                <w:bCs/>
                <w:kern w:val="2"/>
              </w:rPr>
            </w:pPr>
            <w:r>
              <w:rPr>
                <w:rFonts w:hint="eastAsia"/>
                <w:b/>
                <w:bCs/>
                <w:kern w:val="2"/>
              </w:rPr>
              <w:t>施</w:t>
            </w:r>
          </w:p>
        </w:tc>
        <w:tc>
          <w:tcPr>
            <w:tcW w:w="8301" w:type="dxa"/>
            <w:tcBorders>
              <w:top w:val="single" w:color="auto" w:sz="4" w:space="0"/>
              <w:right w:val="single" w:color="auto" w:sz="4" w:space="0"/>
            </w:tcBorders>
            <w:vAlign w:val="center"/>
          </w:tcPr>
          <w:p w14:paraId="7E9B863F">
            <w:pPr>
              <w:pStyle w:val="2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一、施工期环境影响简要分析：</w:t>
            </w:r>
          </w:p>
          <w:p w14:paraId="76855F6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本项目的厂房为租赁，施工期仅需对厂房进行简单装修后安装设备，施工期很短，且施工影响很小。</w:t>
            </w:r>
          </w:p>
          <w:p w14:paraId="4F67E8A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施工期对环境影响如下：</w:t>
            </w:r>
          </w:p>
          <w:p w14:paraId="5C3E9A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color w:val="auto"/>
                <w:sz w:val="24"/>
                <w:szCs w:val="24"/>
                <w:lang w:val="en-US" w:eastAsia="zh-CN"/>
              </w:rPr>
            </w:pPr>
            <w:r>
              <w:rPr>
                <w:rFonts w:hint="eastAsia" w:cs="宋体"/>
                <w:color w:val="auto"/>
                <w:sz w:val="24"/>
                <w:szCs w:val="24"/>
                <w:lang w:val="en-US" w:eastAsia="zh-CN"/>
              </w:rPr>
              <w:t>1、废气：装修过程中会产生车辆运输扬尘、装修粉尘及非甲烷总烃</w:t>
            </w:r>
            <w:r>
              <w:rPr>
                <w:rFonts w:hint="eastAsia"/>
                <w:color w:val="auto"/>
                <w:sz w:val="24"/>
                <w:szCs w:val="24"/>
                <w:lang w:eastAsia="zh-CN"/>
              </w:rPr>
              <w:t>。</w:t>
            </w:r>
            <w:r>
              <w:rPr>
                <w:rFonts w:hint="eastAsia"/>
                <w:color w:val="auto"/>
                <w:sz w:val="24"/>
                <w:szCs w:val="24"/>
                <w:lang w:val="en-US" w:eastAsia="zh-CN"/>
              </w:rPr>
              <w:t>废气污染物</w:t>
            </w:r>
            <w:r>
              <w:rPr>
                <w:rFonts w:hint="default"/>
                <w:color w:val="auto"/>
                <w:sz w:val="24"/>
                <w:szCs w:val="24"/>
              </w:rPr>
              <w:t>只要合理规划、科学管理，切实按照规定执行，不会明显影响场地周围的环境空气质量，而且随着施工活动的结束，这些污染也将消失。</w:t>
            </w:r>
          </w:p>
          <w:p w14:paraId="1CD6EFD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rPr>
            </w:pPr>
            <w:r>
              <w:rPr>
                <w:rFonts w:hint="eastAsia" w:cs="宋体"/>
                <w:color w:val="auto"/>
                <w:sz w:val="24"/>
                <w:szCs w:val="24"/>
                <w:lang w:val="en-US" w:eastAsia="zh-CN"/>
              </w:rPr>
              <w:t>2</w:t>
            </w:r>
            <w:r>
              <w:rPr>
                <w:rFonts w:hint="eastAsia" w:ascii="Times New Roman" w:hAnsi="Times New Roman" w:eastAsia="宋体" w:cs="宋体"/>
                <w:color w:val="auto"/>
                <w:sz w:val="24"/>
                <w:szCs w:val="24"/>
                <w:lang w:val="en-US" w:eastAsia="zh-CN"/>
              </w:rPr>
              <w:t>、噪声：本项目施工期噪声主要来自于内部装修、设备安装阶段的机械设备产生的噪声，其噪声值在65~80dB（A）。</w:t>
            </w:r>
          </w:p>
          <w:p w14:paraId="59A53B5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rPr>
            </w:pPr>
            <w:r>
              <w:rPr>
                <w:rFonts w:hint="eastAsia" w:cs="宋体"/>
                <w:color w:val="auto"/>
                <w:sz w:val="24"/>
                <w:szCs w:val="24"/>
                <w:lang w:val="en-US" w:eastAsia="zh-CN"/>
              </w:rPr>
              <w:t>3</w:t>
            </w:r>
            <w:r>
              <w:rPr>
                <w:rFonts w:hint="eastAsia" w:ascii="Times New Roman" w:hAnsi="Times New Roman" w:eastAsia="宋体" w:cs="宋体"/>
                <w:color w:val="auto"/>
                <w:sz w:val="24"/>
                <w:szCs w:val="24"/>
                <w:lang w:val="en-US" w:eastAsia="zh-CN"/>
              </w:rPr>
              <w:t>、废水：本项目施工期产生的废水主要为施工人员产生的生活污水，生活污水经厂房内设置的下水管，进入化粪池，后经开发区污水管网入淮北蓝海水处理有限公司集中处理。</w:t>
            </w:r>
          </w:p>
          <w:p w14:paraId="4FDEC6F9">
            <w:pPr>
              <w:pStyle w:val="23"/>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sz w:val="24"/>
                <w:szCs w:val="24"/>
                <w:lang w:val="en-US" w:eastAsia="zh-CN"/>
              </w:rPr>
            </w:pPr>
            <w:r>
              <w:rPr>
                <w:rFonts w:hint="eastAsia" w:cs="宋体"/>
                <w:color w:val="auto"/>
                <w:sz w:val="24"/>
                <w:szCs w:val="24"/>
                <w:lang w:val="en-US" w:eastAsia="zh-CN"/>
              </w:rPr>
              <w:t>4</w:t>
            </w:r>
            <w:r>
              <w:rPr>
                <w:rFonts w:hint="eastAsia" w:ascii="Times New Roman" w:hAnsi="Times New Roman" w:eastAsia="宋体" w:cs="宋体"/>
                <w:color w:val="auto"/>
                <w:sz w:val="24"/>
                <w:szCs w:val="24"/>
                <w:lang w:val="en-US" w:eastAsia="zh-CN"/>
              </w:rPr>
              <w:t>、固废：本项目施工期产生的固体废物主要为生产设备的外包装物、装修材料的边角料等及施工人员生活垃圾。</w:t>
            </w:r>
          </w:p>
          <w:p w14:paraId="42D41A31">
            <w:pPr>
              <w:pStyle w:val="2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二、施工环境保护措施：</w:t>
            </w:r>
          </w:p>
          <w:p w14:paraId="26DEE08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1、施工噪声环境保护措施</w:t>
            </w:r>
          </w:p>
          <w:p w14:paraId="68B661A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施工时有很多施工机械设备会产生很强的噪声污染，声级在65~80dB（A）之间，影响范围可达200m。同时建筑材料、设备等的运输也会加重噪声的影响，施工期间必须加强产噪设备的运行管理，严格执行《建筑施工场界环境噪声排放标准》（GB12523-2011），选用低噪声施工机械，以减少噪声对声学环境的影响。施工量较小，随着施工的结束，噪声影响也随之结束，对环境影响较小。</w:t>
            </w:r>
          </w:p>
          <w:p w14:paraId="2689E3F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2、施工废水环境保护措施</w:t>
            </w:r>
          </w:p>
          <w:p w14:paraId="34D0E9F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项目施工期产生的废水主要为施工人员产生的生活污水，生活污水经厂房内设置的下水管，进入化粪池，后经开发区污水管网入淮北蓝海水处理有限公司集中处理。由于排放量小、排放时间短，对环境的影响随着施工期的结束而消失。</w:t>
            </w:r>
          </w:p>
          <w:p w14:paraId="2F97FFC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3、建筑垃圾排放环境影响分析及处置措施</w:t>
            </w:r>
          </w:p>
          <w:p w14:paraId="1C69220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宋体"/>
                <w:spacing w:val="-10"/>
                <w:sz w:val="24"/>
                <w:szCs w:val="24"/>
                <w:lang w:val="en-US"/>
              </w:rPr>
            </w:pPr>
            <w:r>
              <w:rPr>
                <w:rFonts w:hint="eastAsia" w:ascii="Times New Roman" w:hAnsi="Times New Roman" w:eastAsia="宋体" w:cs="宋体"/>
                <w:color w:val="auto"/>
                <w:sz w:val="24"/>
                <w:szCs w:val="24"/>
                <w:lang w:val="en-US" w:eastAsia="zh-CN"/>
              </w:rPr>
              <w:t>本项目施工期产生的固体废物主要为生产设备的外包装物、装修材料的边角料等，会对环境产生一定影响，因此要注意回收利用，对不能利用的要妥善处置，在运输过程中要防止洒落。生活垃圾集中收集，并与市容部门联系，每天统一清运。</w:t>
            </w:r>
          </w:p>
        </w:tc>
      </w:tr>
      <w:tr w14:paraId="2AF80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526" w:type="dxa"/>
            <w:tcBorders>
              <w:bottom w:val="single" w:color="auto" w:sz="8" w:space="0"/>
            </w:tcBorders>
            <w:tcMar>
              <w:left w:w="28" w:type="dxa"/>
              <w:right w:w="28" w:type="dxa"/>
            </w:tcMar>
            <w:vAlign w:val="center"/>
          </w:tcPr>
          <w:p w14:paraId="4F6F847A">
            <w:pPr>
              <w:keepNext w:val="0"/>
              <w:keepLines w:val="0"/>
              <w:suppressLineNumbers w:val="0"/>
              <w:spacing w:before="0" w:beforeAutospacing="0" w:after="0" w:afterAutospacing="0" w:line="360" w:lineRule="auto"/>
              <w:ind w:left="0" w:right="0"/>
              <w:jc w:val="center"/>
              <w:rPr>
                <w:rFonts w:hint="default" w:ascii="宋体"/>
                <w:b/>
                <w:bCs/>
                <w:sz w:val="24"/>
                <w:szCs w:val="24"/>
              </w:rPr>
            </w:pPr>
            <w:r>
              <w:rPr>
                <w:rFonts w:hint="eastAsia" w:ascii="宋体" w:hAnsi="宋体" w:cs="宋体"/>
                <w:b/>
                <w:bCs/>
                <w:sz w:val="24"/>
                <w:szCs w:val="24"/>
              </w:rPr>
              <w:t>运营</w:t>
            </w:r>
          </w:p>
          <w:p w14:paraId="07F9D2A8">
            <w:pPr>
              <w:keepNext w:val="0"/>
              <w:keepLines w:val="0"/>
              <w:suppressLineNumbers w:val="0"/>
              <w:spacing w:before="0" w:beforeAutospacing="0" w:after="0" w:afterAutospacing="0" w:line="360" w:lineRule="auto"/>
              <w:ind w:left="0" w:right="0"/>
              <w:jc w:val="center"/>
              <w:rPr>
                <w:rFonts w:hint="default" w:ascii="宋体"/>
                <w:b/>
                <w:bCs/>
                <w:sz w:val="24"/>
                <w:szCs w:val="24"/>
              </w:rPr>
            </w:pPr>
            <w:r>
              <w:rPr>
                <w:rFonts w:hint="eastAsia" w:ascii="宋体" w:hAnsi="宋体" w:cs="宋体"/>
                <w:b/>
                <w:bCs/>
                <w:sz w:val="24"/>
                <w:szCs w:val="24"/>
              </w:rPr>
              <w:t>期环</w:t>
            </w:r>
          </w:p>
          <w:p w14:paraId="40DA7A22">
            <w:pPr>
              <w:keepNext w:val="0"/>
              <w:keepLines w:val="0"/>
              <w:suppressLineNumbers w:val="0"/>
              <w:spacing w:before="0" w:beforeAutospacing="0" w:after="0" w:afterAutospacing="0" w:line="360" w:lineRule="auto"/>
              <w:ind w:left="0" w:right="0"/>
              <w:jc w:val="center"/>
              <w:rPr>
                <w:rFonts w:hint="default" w:ascii="宋体"/>
                <w:b/>
                <w:bCs/>
                <w:sz w:val="24"/>
                <w:szCs w:val="24"/>
              </w:rPr>
            </w:pPr>
            <w:r>
              <w:rPr>
                <w:rFonts w:hint="eastAsia" w:ascii="宋体" w:hAnsi="宋体" w:cs="宋体"/>
                <w:b/>
                <w:bCs/>
                <w:sz w:val="24"/>
                <w:szCs w:val="24"/>
              </w:rPr>
              <w:t>境影</w:t>
            </w:r>
          </w:p>
          <w:p w14:paraId="4577211C">
            <w:pPr>
              <w:keepNext w:val="0"/>
              <w:keepLines w:val="0"/>
              <w:suppressLineNumbers w:val="0"/>
              <w:spacing w:before="0" w:beforeAutospacing="0" w:after="0" w:afterAutospacing="0" w:line="360" w:lineRule="auto"/>
              <w:ind w:left="0" w:right="0"/>
              <w:jc w:val="center"/>
              <w:rPr>
                <w:rFonts w:hint="default" w:ascii="宋体"/>
                <w:b/>
                <w:bCs/>
                <w:sz w:val="24"/>
                <w:szCs w:val="24"/>
              </w:rPr>
            </w:pPr>
            <w:r>
              <w:rPr>
                <w:rFonts w:hint="eastAsia" w:ascii="宋体" w:hAnsi="宋体" w:cs="宋体"/>
                <w:b/>
                <w:bCs/>
                <w:sz w:val="24"/>
                <w:szCs w:val="24"/>
              </w:rPr>
              <w:t>响和</w:t>
            </w:r>
          </w:p>
          <w:p w14:paraId="4AE42FEE">
            <w:pPr>
              <w:keepNext w:val="0"/>
              <w:keepLines w:val="0"/>
              <w:suppressLineNumbers w:val="0"/>
              <w:spacing w:before="0" w:beforeAutospacing="0" w:after="0" w:afterAutospacing="0" w:line="360" w:lineRule="auto"/>
              <w:ind w:left="0" w:right="0"/>
              <w:jc w:val="center"/>
              <w:rPr>
                <w:rFonts w:hint="default" w:ascii="宋体"/>
                <w:b/>
                <w:bCs/>
                <w:sz w:val="24"/>
                <w:szCs w:val="24"/>
              </w:rPr>
            </w:pPr>
            <w:r>
              <w:rPr>
                <w:rFonts w:hint="eastAsia" w:ascii="宋体" w:hAnsi="宋体" w:cs="宋体"/>
                <w:b/>
                <w:bCs/>
                <w:sz w:val="24"/>
                <w:szCs w:val="24"/>
              </w:rPr>
              <w:t>保护</w:t>
            </w:r>
          </w:p>
          <w:p w14:paraId="2267DF88">
            <w:pPr>
              <w:keepNext w:val="0"/>
              <w:keepLines w:val="0"/>
              <w:suppressLineNumbers w:val="0"/>
              <w:spacing w:before="0" w:beforeAutospacing="0" w:after="0" w:afterAutospacing="0" w:line="360" w:lineRule="auto"/>
              <w:ind w:left="0" w:right="0"/>
              <w:jc w:val="center"/>
              <w:rPr>
                <w:rFonts w:hint="default" w:ascii="宋体"/>
                <w:b/>
                <w:bCs/>
                <w:sz w:val="24"/>
                <w:szCs w:val="24"/>
              </w:rPr>
            </w:pPr>
            <w:r>
              <w:rPr>
                <w:rFonts w:hint="eastAsia" w:ascii="宋体" w:hAnsi="宋体" w:cs="宋体"/>
                <w:b/>
                <w:bCs/>
                <w:sz w:val="24"/>
                <w:szCs w:val="24"/>
              </w:rPr>
              <w:t>措施</w:t>
            </w:r>
          </w:p>
        </w:tc>
        <w:tc>
          <w:tcPr>
            <w:tcW w:w="8301" w:type="dxa"/>
            <w:vAlign w:val="center"/>
          </w:tcPr>
          <w:p w14:paraId="1645C677">
            <w:pPr>
              <w:keepNext w:val="0"/>
              <w:keepLines w:val="0"/>
              <w:suppressLineNumbers w:val="0"/>
              <w:spacing w:before="0" w:beforeAutospacing="0" w:after="0" w:afterAutospacing="0" w:line="360" w:lineRule="auto"/>
              <w:ind w:left="0" w:right="0"/>
              <w:rPr>
                <w:rFonts w:hint="default"/>
                <w:b/>
                <w:bCs/>
                <w:color w:val="1D41D5"/>
                <w:sz w:val="24"/>
                <w:szCs w:val="24"/>
              </w:rPr>
            </w:pPr>
            <w:r>
              <w:rPr>
                <w:rFonts w:hint="default"/>
                <w:b/>
                <w:bCs/>
                <w:sz w:val="24"/>
                <w:szCs w:val="24"/>
              </w:rPr>
              <w:t>1</w:t>
            </w:r>
            <w:r>
              <w:rPr>
                <w:rFonts w:hint="eastAsia" w:cs="宋体"/>
                <w:b/>
                <w:bCs/>
                <w:sz w:val="24"/>
                <w:szCs w:val="24"/>
              </w:rPr>
              <w:t>、废水</w:t>
            </w:r>
          </w:p>
          <w:p w14:paraId="62148212">
            <w:pPr>
              <w:pStyle w:val="18"/>
              <w:keepNext w:val="0"/>
              <w:keepLines w:val="0"/>
              <w:suppressLineNumbers w:val="0"/>
              <w:spacing w:before="0" w:beforeAutospacing="0" w:after="0" w:afterAutospacing="0" w:line="360" w:lineRule="auto"/>
              <w:ind w:left="0" w:right="0" w:firstLine="0"/>
              <w:rPr>
                <w:rFonts w:hint="default"/>
                <w:b/>
                <w:bCs/>
                <w:sz w:val="24"/>
                <w:szCs w:val="24"/>
              </w:rPr>
            </w:pPr>
            <w:r>
              <w:rPr>
                <w:rFonts w:hint="default"/>
                <w:b/>
                <w:bCs/>
                <w:sz w:val="24"/>
                <w:szCs w:val="24"/>
              </w:rPr>
              <w:t>1.</w:t>
            </w:r>
            <w:r>
              <w:rPr>
                <w:rFonts w:hint="eastAsia"/>
                <w:b/>
                <w:bCs/>
                <w:sz w:val="24"/>
                <w:szCs w:val="24"/>
                <w:lang w:val="en-US" w:eastAsia="zh-CN"/>
              </w:rPr>
              <w:t>1</w:t>
            </w:r>
            <w:r>
              <w:rPr>
                <w:rFonts w:hint="eastAsia" w:cs="宋体"/>
                <w:b/>
                <w:bCs/>
                <w:sz w:val="24"/>
                <w:szCs w:val="24"/>
              </w:rPr>
              <w:t>污水产排概况</w:t>
            </w:r>
          </w:p>
          <w:p w14:paraId="659718F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eastAsia="宋体" w:cs="宋体"/>
                <w:sz w:val="24"/>
                <w:szCs w:val="24"/>
                <w:lang w:val="en-US" w:eastAsia="zh-CN"/>
              </w:rPr>
            </w:pPr>
            <w:r>
              <w:rPr>
                <w:rFonts w:hint="eastAsia" w:cs="宋体"/>
                <w:sz w:val="24"/>
                <w:szCs w:val="24"/>
              </w:rPr>
              <w:t>本项目废水主要为生活污水，厂区排水系统按照清污分流的原则设计，共设两套排水系统。一是雨水系统，厂区雨水汇入</w:t>
            </w:r>
            <w:r>
              <w:rPr>
                <w:rFonts w:hint="eastAsia" w:cs="宋体"/>
                <w:sz w:val="24"/>
                <w:szCs w:val="24"/>
                <w:lang w:val="en-US" w:eastAsia="zh-CN"/>
              </w:rPr>
              <w:t>雨水管网</w:t>
            </w:r>
            <w:r>
              <w:rPr>
                <w:rFonts w:hint="eastAsia" w:cs="宋体"/>
                <w:sz w:val="24"/>
                <w:szCs w:val="24"/>
              </w:rPr>
              <w:t>；二是污水系统，本项目</w:t>
            </w:r>
            <w:r>
              <w:rPr>
                <w:rFonts w:hint="eastAsia" w:cs="宋体"/>
                <w:sz w:val="24"/>
                <w:szCs w:val="24"/>
                <w:lang w:val="en-US" w:eastAsia="zh-CN"/>
              </w:rPr>
              <w:t>废水为生活污水。全厂</w:t>
            </w:r>
            <w:r>
              <w:rPr>
                <w:rFonts w:hint="eastAsia" w:cs="宋体"/>
                <w:sz w:val="24"/>
                <w:szCs w:val="24"/>
              </w:rPr>
              <w:t>生活污水</w:t>
            </w:r>
            <w:r>
              <w:rPr>
                <w:rFonts w:hint="eastAsia" w:cs="宋体"/>
                <w:sz w:val="24"/>
                <w:szCs w:val="24"/>
                <w:lang w:val="en-US" w:eastAsia="zh-CN"/>
              </w:rPr>
              <w:t>及生产废水</w:t>
            </w:r>
            <w:r>
              <w:rPr>
                <w:rFonts w:hint="eastAsia" w:cs="宋体"/>
                <w:sz w:val="24"/>
                <w:szCs w:val="24"/>
              </w:rPr>
              <w:t>产生量约为</w:t>
            </w:r>
            <w:r>
              <w:rPr>
                <w:rFonts w:hint="eastAsia" w:cs="宋体"/>
                <w:sz w:val="24"/>
                <w:szCs w:val="24"/>
                <w:lang w:val="en-US" w:eastAsia="zh-CN"/>
              </w:rPr>
              <w:t>9924</w:t>
            </w:r>
            <w:r>
              <w:rPr>
                <w:rFonts w:hint="default"/>
                <w:sz w:val="24"/>
                <w:szCs w:val="24"/>
              </w:rPr>
              <w:t>m</w:t>
            </w:r>
            <w:r>
              <w:rPr>
                <w:rFonts w:hint="default"/>
                <w:sz w:val="24"/>
                <w:szCs w:val="24"/>
                <w:vertAlign w:val="superscript"/>
              </w:rPr>
              <w:t>3</w:t>
            </w:r>
            <w:r>
              <w:rPr>
                <w:rFonts w:hint="default"/>
                <w:sz w:val="24"/>
                <w:szCs w:val="24"/>
              </w:rPr>
              <w:t>/a</w:t>
            </w:r>
            <w:r>
              <w:rPr>
                <w:rFonts w:hint="eastAsia" w:cs="宋体"/>
                <w:sz w:val="24"/>
                <w:szCs w:val="24"/>
                <w:lang w:eastAsia="zh-CN"/>
              </w:rPr>
              <w:t>。</w:t>
            </w:r>
          </w:p>
          <w:p w14:paraId="44CCE9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color w:val="auto"/>
                <w:sz w:val="24"/>
                <w:szCs w:val="24"/>
              </w:rPr>
            </w:pPr>
            <w:r>
              <w:rPr>
                <w:rFonts w:hint="default" w:ascii="Times New Roman" w:hAnsi="Times New Roman" w:cs="Times New Roman"/>
                <w:sz w:val="24"/>
                <w:szCs w:val="24"/>
                <w:lang w:val="en-US" w:eastAsia="zh-CN"/>
              </w:rPr>
              <w:t>雨污分流、雨水排入雨水管网，经化粪池预处理生活污水与定期排放的</w:t>
            </w:r>
            <w:r>
              <w:rPr>
                <w:rFonts w:hint="eastAsia" w:cs="Times New Roman"/>
                <w:sz w:val="24"/>
                <w:szCs w:val="24"/>
                <w:lang w:val="en-US" w:eastAsia="zh-CN"/>
              </w:rPr>
              <w:t>循环冷却定期排污水</w:t>
            </w:r>
            <w:r>
              <w:rPr>
                <w:rFonts w:hint="default" w:ascii="Times New Roman" w:hAnsi="Times New Roman" w:cs="Times New Roman"/>
                <w:sz w:val="24"/>
                <w:szCs w:val="24"/>
                <w:lang w:val="en-US" w:eastAsia="zh-CN"/>
              </w:rPr>
              <w:t>，汇同纯水制备浓水接管进入淮北蓝海水处理有限公司进一步处理，处理达标后部分作为平山电厂冷却循环水，剩余部分排入萧濉新河。具体产排概况如下：</w:t>
            </w:r>
          </w:p>
          <w:p w14:paraId="27EEE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rPr>
            </w:pPr>
            <w:r>
              <w:rPr>
                <w:rFonts w:hint="default" w:ascii="Times New Roman" w:hAnsi="Times New Roman" w:eastAsia="宋体" w:cs="Times New Roman"/>
                <w:b/>
                <w:color w:val="auto"/>
                <w:sz w:val="24"/>
                <w:szCs w:val="24"/>
              </w:rPr>
              <w:t>表4-</w:t>
            </w:r>
            <w:r>
              <w:rPr>
                <w:rFonts w:hint="eastAsia" w:cs="Times New Roman"/>
                <w:b/>
                <w:color w:val="auto"/>
                <w:sz w:val="24"/>
                <w:szCs w:val="24"/>
                <w:lang w:val="en-US" w:eastAsia="zh-CN"/>
              </w:rPr>
              <w:t>1</w:t>
            </w:r>
            <w:r>
              <w:rPr>
                <w:rFonts w:hint="default" w:ascii="Times New Roman" w:hAnsi="Times New Roman" w:eastAsia="宋体" w:cs="Times New Roman"/>
                <w:b/>
                <w:color w:val="auto"/>
                <w:sz w:val="24"/>
                <w:szCs w:val="24"/>
              </w:rPr>
              <w:t xml:space="preserve"> 项目</w:t>
            </w:r>
            <w:r>
              <w:rPr>
                <w:rFonts w:hint="eastAsia" w:ascii="Times New Roman" w:hAnsi="Times New Roman" w:eastAsia="宋体" w:cs="Times New Roman"/>
                <w:b/>
                <w:color w:val="auto"/>
                <w:sz w:val="24"/>
                <w:szCs w:val="24"/>
              </w:rPr>
              <w:t>废水污染源源强</w:t>
            </w:r>
            <w:r>
              <w:rPr>
                <w:rFonts w:hint="default" w:ascii="Times New Roman" w:hAnsi="Times New Roman" w:eastAsia="宋体" w:cs="Times New Roman"/>
                <w:b/>
                <w:color w:val="auto"/>
                <w:sz w:val="24"/>
                <w:szCs w:val="24"/>
              </w:rPr>
              <w:t>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736"/>
              <w:gridCol w:w="552"/>
              <w:gridCol w:w="790"/>
              <w:gridCol w:w="701"/>
              <w:gridCol w:w="695"/>
              <w:gridCol w:w="490"/>
              <w:gridCol w:w="774"/>
              <w:gridCol w:w="697"/>
              <w:gridCol w:w="471"/>
              <w:gridCol w:w="404"/>
              <w:gridCol w:w="502"/>
              <w:gridCol w:w="757"/>
            </w:tblGrid>
            <w:tr w14:paraId="793D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restart"/>
                  <w:tcBorders>
                    <w:tl2br w:val="nil"/>
                    <w:tr2bl w:val="nil"/>
                  </w:tcBorders>
                  <w:vAlign w:val="center"/>
                </w:tcPr>
                <w:p w14:paraId="7BE3F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产污环节</w:t>
                  </w:r>
                </w:p>
              </w:tc>
              <w:tc>
                <w:tcPr>
                  <w:tcW w:w="736" w:type="dxa"/>
                  <w:vMerge w:val="restart"/>
                  <w:tcBorders>
                    <w:tl2br w:val="nil"/>
                    <w:tr2bl w:val="nil"/>
                  </w:tcBorders>
                  <w:vAlign w:val="center"/>
                </w:tcPr>
                <w:p w14:paraId="27B84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类别（</w:t>
                  </w:r>
                  <w:r>
                    <w:rPr>
                      <w:rFonts w:hint="default" w:ascii="Times New Roman" w:hAnsi="Times New Roman" w:cs="Times New Roman"/>
                      <w:b/>
                      <w:bCs/>
                      <w:i w:val="0"/>
                      <w:iCs w:val="0"/>
                      <w:color w:val="auto"/>
                      <w:kern w:val="0"/>
                      <w:sz w:val="21"/>
                      <w:szCs w:val="21"/>
                      <w:u w:val="none"/>
                      <w:lang w:val="en-US" w:eastAsia="zh-CN" w:bidi="ar"/>
                    </w:rPr>
                    <w:t>m</w:t>
                  </w:r>
                  <w:r>
                    <w:rPr>
                      <w:rFonts w:hint="default" w:ascii="Times New Roman" w:hAnsi="Times New Roman" w:cs="Times New Roman"/>
                      <w:b/>
                      <w:bCs/>
                      <w:i w:val="0"/>
                      <w:iCs w:val="0"/>
                      <w:color w:val="auto"/>
                      <w:kern w:val="0"/>
                      <w:sz w:val="21"/>
                      <w:szCs w:val="21"/>
                      <w:u w:val="none"/>
                      <w:vertAlign w:val="superscript"/>
                      <w:lang w:val="en-US" w:eastAsia="zh-CN" w:bidi="ar"/>
                    </w:rPr>
                    <w:t>3</w:t>
                  </w:r>
                  <w:r>
                    <w:rPr>
                      <w:rFonts w:hint="default" w:ascii="Times New Roman" w:hAnsi="Times New Roman" w:cs="Times New Roman"/>
                      <w:b/>
                      <w:bCs/>
                      <w:i w:val="0"/>
                      <w:iCs w:val="0"/>
                      <w:color w:val="auto"/>
                      <w:kern w:val="0"/>
                      <w:sz w:val="21"/>
                      <w:szCs w:val="21"/>
                      <w:u w:val="none"/>
                      <w:lang w:val="en-US" w:eastAsia="zh-CN" w:bidi="ar"/>
                    </w:rPr>
                    <w:t>/a</w:t>
                  </w:r>
                  <w:r>
                    <w:rPr>
                      <w:rFonts w:hint="default" w:ascii="Times New Roman" w:hAnsi="Times New Roman" w:eastAsia="宋体" w:cs="Times New Roman"/>
                      <w:b/>
                      <w:bCs/>
                      <w:i w:val="0"/>
                      <w:iCs w:val="0"/>
                      <w:color w:val="auto"/>
                      <w:kern w:val="0"/>
                      <w:sz w:val="21"/>
                      <w:szCs w:val="21"/>
                      <w:u w:val="none"/>
                      <w:lang w:val="en-US" w:eastAsia="zh-CN" w:bidi="ar"/>
                    </w:rPr>
                    <w:t>）</w:t>
                  </w:r>
                </w:p>
              </w:tc>
              <w:tc>
                <w:tcPr>
                  <w:tcW w:w="552" w:type="dxa"/>
                  <w:vMerge w:val="restart"/>
                  <w:tcBorders>
                    <w:tl2br w:val="nil"/>
                    <w:tr2bl w:val="nil"/>
                  </w:tcBorders>
                  <w:vAlign w:val="center"/>
                </w:tcPr>
                <w:p w14:paraId="58480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污染物种类</w:t>
                  </w:r>
                </w:p>
              </w:tc>
              <w:tc>
                <w:tcPr>
                  <w:tcW w:w="1491" w:type="dxa"/>
                  <w:gridSpan w:val="2"/>
                  <w:tcBorders>
                    <w:tl2br w:val="nil"/>
                    <w:tr2bl w:val="nil"/>
                  </w:tcBorders>
                  <w:vAlign w:val="center"/>
                </w:tcPr>
                <w:p w14:paraId="0F9C8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产生情况</w:t>
                  </w:r>
                </w:p>
              </w:tc>
              <w:tc>
                <w:tcPr>
                  <w:tcW w:w="1185" w:type="dxa"/>
                  <w:gridSpan w:val="2"/>
                  <w:tcBorders>
                    <w:tl2br w:val="nil"/>
                    <w:tr2bl w:val="nil"/>
                  </w:tcBorders>
                  <w:vAlign w:val="center"/>
                </w:tcPr>
                <w:p w14:paraId="1A1086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治理措施</w:t>
                  </w:r>
                </w:p>
              </w:tc>
              <w:tc>
                <w:tcPr>
                  <w:tcW w:w="3605" w:type="dxa"/>
                  <w:gridSpan w:val="6"/>
                  <w:tcBorders>
                    <w:tl2br w:val="nil"/>
                    <w:tr2bl w:val="nil"/>
                  </w:tcBorders>
                  <w:vAlign w:val="center"/>
                </w:tcPr>
                <w:p w14:paraId="45A8D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污染物排放情况</w:t>
                  </w:r>
                </w:p>
              </w:tc>
            </w:tr>
            <w:tr w14:paraId="3CC5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tcBorders>
                    <w:tl2br w:val="nil"/>
                    <w:tr2bl w:val="nil"/>
                  </w:tcBorders>
                  <w:vAlign w:val="center"/>
                </w:tcPr>
                <w:p w14:paraId="624128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u w:val="none"/>
                    </w:rPr>
                  </w:pPr>
                </w:p>
              </w:tc>
              <w:tc>
                <w:tcPr>
                  <w:tcW w:w="736" w:type="dxa"/>
                  <w:vMerge w:val="continue"/>
                  <w:tcBorders>
                    <w:tl2br w:val="nil"/>
                    <w:tr2bl w:val="nil"/>
                  </w:tcBorders>
                  <w:vAlign w:val="center"/>
                </w:tcPr>
                <w:p w14:paraId="043B8E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u w:val="none"/>
                    </w:rPr>
                  </w:pPr>
                </w:p>
              </w:tc>
              <w:tc>
                <w:tcPr>
                  <w:tcW w:w="552" w:type="dxa"/>
                  <w:vMerge w:val="continue"/>
                  <w:tcBorders>
                    <w:tl2br w:val="nil"/>
                    <w:tr2bl w:val="nil"/>
                  </w:tcBorders>
                  <w:vAlign w:val="center"/>
                </w:tcPr>
                <w:p w14:paraId="0FB215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u w:val="none"/>
                    </w:rPr>
                  </w:pPr>
                </w:p>
              </w:tc>
              <w:tc>
                <w:tcPr>
                  <w:tcW w:w="790" w:type="dxa"/>
                  <w:tcBorders>
                    <w:tl2br w:val="nil"/>
                    <w:tr2bl w:val="nil"/>
                  </w:tcBorders>
                  <w:vAlign w:val="center"/>
                </w:tcPr>
                <w:p w14:paraId="2C9B2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产生量（t/a）</w:t>
                  </w:r>
                </w:p>
              </w:tc>
              <w:tc>
                <w:tcPr>
                  <w:tcW w:w="701" w:type="dxa"/>
                  <w:tcBorders>
                    <w:tl2br w:val="nil"/>
                    <w:tr2bl w:val="nil"/>
                  </w:tcBorders>
                  <w:vAlign w:val="center"/>
                </w:tcPr>
                <w:p w14:paraId="50D0A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浓度</w:t>
                  </w:r>
                </w:p>
                <w:p w14:paraId="45076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（mg/L）</w:t>
                  </w:r>
                </w:p>
              </w:tc>
              <w:tc>
                <w:tcPr>
                  <w:tcW w:w="695" w:type="dxa"/>
                  <w:tcBorders>
                    <w:tl2br w:val="nil"/>
                    <w:tr2bl w:val="nil"/>
                  </w:tcBorders>
                  <w:vAlign w:val="center"/>
                </w:tcPr>
                <w:p w14:paraId="2E03A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处理措施</w:t>
                  </w:r>
                </w:p>
              </w:tc>
              <w:tc>
                <w:tcPr>
                  <w:tcW w:w="490" w:type="dxa"/>
                  <w:tcBorders>
                    <w:tl2br w:val="nil"/>
                    <w:tr2bl w:val="nil"/>
                  </w:tcBorders>
                  <w:vAlign w:val="center"/>
                </w:tcPr>
                <w:p w14:paraId="2FFA0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是否可行技术</w:t>
                  </w:r>
                </w:p>
              </w:tc>
              <w:tc>
                <w:tcPr>
                  <w:tcW w:w="774" w:type="dxa"/>
                  <w:tcBorders>
                    <w:tl2br w:val="nil"/>
                    <w:tr2bl w:val="nil"/>
                  </w:tcBorders>
                  <w:vAlign w:val="center"/>
                </w:tcPr>
                <w:p w14:paraId="06198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排放量（t/a）</w:t>
                  </w:r>
                </w:p>
              </w:tc>
              <w:tc>
                <w:tcPr>
                  <w:tcW w:w="697" w:type="dxa"/>
                  <w:tcBorders>
                    <w:tl2br w:val="nil"/>
                    <w:tr2bl w:val="nil"/>
                  </w:tcBorders>
                  <w:vAlign w:val="center"/>
                </w:tcPr>
                <w:p w14:paraId="0425A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浓度</w:t>
                  </w:r>
                </w:p>
                <w:p w14:paraId="3774C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（mg/L）</w:t>
                  </w:r>
                </w:p>
              </w:tc>
              <w:tc>
                <w:tcPr>
                  <w:tcW w:w="471" w:type="dxa"/>
                  <w:tcBorders>
                    <w:tl2br w:val="nil"/>
                    <w:tr2bl w:val="nil"/>
                  </w:tcBorders>
                  <w:vAlign w:val="center"/>
                </w:tcPr>
                <w:p w14:paraId="334575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排放口编号</w:t>
                  </w:r>
                </w:p>
              </w:tc>
              <w:tc>
                <w:tcPr>
                  <w:tcW w:w="404" w:type="dxa"/>
                  <w:tcBorders>
                    <w:tl2br w:val="nil"/>
                    <w:tr2bl w:val="nil"/>
                  </w:tcBorders>
                  <w:vAlign w:val="center"/>
                </w:tcPr>
                <w:p w14:paraId="0427F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排放方式</w:t>
                  </w:r>
                </w:p>
              </w:tc>
              <w:tc>
                <w:tcPr>
                  <w:tcW w:w="502" w:type="dxa"/>
                  <w:tcBorders>
                    <w:tl2br w:val="nil"/>
                    <w:tr2bl w:val="nil"/>
                  </w:tcBorders>
                  <w:vAlign w:val="center"/>
                </w:tcPr>
                <w:p w14:paraId="5C0E4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排放去向</w:t>
                  </w:r>
                </w:p>
              </w:tc>
              <w:tc>
                <w:tcPr>
                  <w:tcW w:w="757" w:type="dxa"/>
                  <w:tcBorders>
                    <w:tl2br w:val="nil"/>
                    <w:tr2bl w:val="nil"/>
                  </w:tcBorders>
                  <w:vAlign w:val="center"/>
                </w:tcPr>
                <w:p w14:paraId="7F4ED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排放规律</w:t>
                  </w:r>
                </w:p>
              </w:tc>
            </w:tr>
            <w:tr w14:paraId="0CE4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restart"/>
                  <w:tcBorders>
                    <w:tl2br w:val="nil"/>
                    <w:tr2bl w:val="nil"/>
                  </w:tcBorders>
                  <w:vAlign w:val="center"/>
                </w:tcPr>
                <w:p w14:paraId="3F233E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办公生活</w:t>
                  </w:r>
                </w:p>
              </w:tc>
              <w:tc>
                <w:tcPr>
                  <w:tcW w:w="736" w:type="dxa"/>
                  <w:vMerge w:val="restart"/>
                  <w:tcBorders>
                    <w:tl2br w:val="nil"/>
                    <w:tr2bl w:val="nil"/>
                  </w:tcBorders>
                  <w:vAlign w:val="center"/>
                </w:tcPr>
                <w:p w14:paraId="0B5BB8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生活</w:t>
                  </w:r>
                  <w:r>
                    <w:rPr>
                      <w:rFonts w:hint="default" w:ascii="Times New Roman" w:hAnsi="Times New Roman" w:eastAsia="宋体" w:cs="Times New Roman"/>
                      <w:i w:val="0"/>
                      <w:iCs w:val="0"/>
                      <w:color w:val="auto"/>
                      <w:kern w:val="0"/>
                      <w:sz w:val="21"/>
                      <w:szCs w:val="21"/>
                      <w:u w:val="none"/>
                      <w:lang w:val="en-US" w:eastAsia="zh-CN" w:bidi="ar"/>
                    </w:rPr>
                    <w:t>污水</w:t>
                  </w:r>
                  <w:r>
                    <w:rPr>
                      <w:rFonts w:hint="default" w:ascii="Times New Roman" w:hAnsi="Times New Roman" w:cs="Times New Roman"/>
                      <w:i w:val="0"/>
                      <w:iCs w:val="0"/>
                      <w:color w:val="auto"/>
                      <w:kern w:val="0"/>
                      <w:sz w:val="21"/>
                      <w:szCs w:val="21"/>
                      <w:u w:val="none"/>
                      <w:lang w:val="en-US" w:eastAsia="zh-CN" w:bidi="ar"/>
                    </w:rPr>
                    <w:t>（1824）</w:t>
                  </w:r>
                </w:p>
              </w:tc>
              <w:tc>
                <w:tcPr>
                  <w:tcW w:w="552" w:type="dxa"/>
                  <w:tcBorders>
                    <w:tl2br w:val="nil"/>
                    <w:tr2bl w:val="nil"/>
                  </w:tcBorders>
                  <w:vAlign w:val="center"/>
                </w:tcPr>
                <w:p w14:paraId="09D036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COD</w:t>
                  </w:r>
                </w:p>
              </w:tc>
              <w:tc>
                <w:tcPr>
                  <w:tcW w:w="790" w:type="dxa"/>
                  <w:tcBorders>
                    <w:tl2br w:val="nil"/>
                    <w:tr2bl w:val="nil"/>
                  </w:tcBorders>
                  <w:vAlign w:val="center"/>
                </w:tcPr>
                <w:p w14:paraId="7DE190C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0.766 </w:t>
                  </w:r>
                </w:p>
              </w:tc>
              <w:tc>
                <w:tcPr>
                  <w:tcW w:w="701" w:type="dxa"/>
                  <w:tcBorders>
                    <w:tl2br w:val="nil"/>
                    <w:tr2bl w:val="nil"/>
                  </w:tcBorders>
                  <w:vAlign w:val="center"/>
                </w:tcPr>
                <w:p w14:paraId="03CCD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420</w:t>
                  </w:r>
                </w:p>
              </w:tc>
              <w:tc>
                <w:tcPr>
                  <w:tcW w:w="695" w:type="dxa"/>
                  <w:vMerge w:val="restart"/>
                  <w:tcBorders>
                    <w:tl2br w:val="nil"/>
                    <w:tr2bl w:val="nil"/>
                  </w:tcBorders>
                  <w:vAlign w:val="center"/>
                </w:tcPr>
                <w:p w14:paraId="4B7888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w:t>
                  </w:r>
                </w:p>
              </w:tc>
              <w:tc>
                <w:tcPr>
                  <w:tcW w:w="490" w:type="dxa"/>
                  <w:vMerge w:val="restart"/>
                  <w:tcBorders>
                    <w:tl2br w:val="nil"/>
                    <w:tr2bl w:val="nil"/>
                  </w:tcBorders>
                  <w:vAlign w:val="center"/>
                </w:tcPr>
                <w:p w14:paraId="5BC093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是</w:t>
                  </w:r>
                </w:p>
              </w:tc>
              <w:tc>
                <w:tcPr>
                  <w:tcW w:w="774" w:type="dxa"/>
                  <w:tcBorders>
                    <w:tl2br w:val="nil"/>
                    <w:tr2bl w:val="nil"/>
                  </w:tcBorders>
                  <w:vAlign w:val="center"/>
                </w:tcPr>
                <w:p w14:paraId="31A61C3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0.766 </w:t>
                  </w:r>
                </w:p>
              </w:tc>
              <w:tc>
                <w:tcPr>
                  <w:tcW w:w="697" w:type="dxa"/>
                  <w:tcBorders>
                    <w:tl2br w:val="nil"/>
                    <w:tr2bl w:val="nil"/>
                  </w:tcBorders>
                  <w:vAlign w:val="center"/>
                </w:tcPr>
                <w:p w14:paraId="7D10D5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420</w:t>
                  </w:r>
                </w:p>
              </w:tc>
              <w:tc>
                <w:tcPr>
                  <w:tcW w:w="471" w:type="dxa"/>
                  <w:vMerge w:val="restart"/>
                  <w:tcBorders>
                    <w:tl2br w:val="nil"/>
                    <w:tr2bl w:val="nil"/>
                  </w:tcBorders>
                  <w:vAlign w:val="center"/>
                </w:tcPr>
                <w:p w14:paraId="401F7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DW001</w:t>
                  </w:r>
                </w:p>
              </w:tc>
              <w:tc>
                <w:tcPr>
                  <w:tcW w:w="404" w:type="dxa"/>
                  <w:vMerge w:val="restart"/>
                  <w:tcBorders>
                    <w:tl2br w:val="nil"/>
                    <w:tr2bl w:val="nil"/>
                  </w:tcBorders>
                  <w:vAlign w:val="center"/>
                </w:tcPr>
                <w:p w14:paraId="6AB8B3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间接排放</w:t>
                  </w:r>
                </w:p>
              </w:tc>
              <w:tc>
                <w:tcPr>
                  <w:tcW w:w="502" w:type="dxa"/>
                  <w:vMerge w:val="restart"/>
                  <w:tcBorders>
                    <w:tl2br w:val="nil"/>
                    <w:tr2bl w:val="nil"/>
                  </w:tcBorders>
                  <w:vAlign w:val="center"/>
                </w:tcPr>
                <w:p w14:paraId="43F27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color w:val="auto"/>
                      <w:kern w:val="0"/>
                      <w:sz w:val="21"/>
                      <w:szCs w:val="21"/>
                      <w:u w:val="none"/>
                      <w:lang w:val="en-US" w:eastAsia="zh-CN" w:bidi="ar"/>
                    </w:rPr>
                    <w:t>淮北蓝海水处理有限公司</w:t>
                  </w:r>
                </w:p>
              </w:tc>
              <w:tc>
                <w:tcPr>
                  <w:tcW w:w="757" w:type="dxa"/>
                  <w:vMerge w:val="restart"/>
                  <w:tcBorders>
                    <w:tl2br w:val="nil"/>
                    <w:tr2bl w:val="nil"/>
                  </w:tcBorders>
                  <w:vAlign w:val="center"/>
                </w:tcPr>
                <w:p w14:paraId="6AD967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cs="Times New Roman"/>
                      <w:color w:val="auto"/>
                      <w:sz w:val="21"/>
                      <w:szCs w:val="21"/>
                      <w:lang w:val="en-US" w:eastAsia="zh-CN"/>
                    </w:rPr>
                    <w:t>间断</w:t>
                  </w:r>
                  <w:r>
                    <w:rPr>
                      <w:rFonts w:hint="default" w:ascii="Times New Roman" w:hAnsi="Times New Roman" w:eastAsia="宋体" w:cs="Times New Roman"/>
                      <w:color w:val="auto"/>
                      <w:sz w:val="21"/>
                      <w:szCs w:val="21"/>
                      <w:lang w:val="en-US" w:eastAsia="zh-CN"/>
                    </w:rPr>
                    <w:t>排放</w:t>
                  </w:r>
                  <w:r>
                    <w:rPr>
                      <w:rFonts w:hint="default" w:ascii="Times New Roman" w:hAnsi="Times New Roman" w:eastAsia="宋体" w:cs="Times New Roman"/>
                      <w:color w:val="auto"/>
                      <w:sz w:val="21"/>
                      <w:szCs w:val="21"/>
                    </w:rPr>
                    <w:t>，排放期间流量稳定</w:t>
                  </w:r>
                </w:p>
              </w:tc>
            </w:tr>
            <w:tr w14:paraId="0F4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tcBorders>
                    <w:tl2br w:val="nil"/>
                    <w:tr2bl w:val="nil"/>
                  </w:tcBorders>
                  <w:vAlign w:val="center"/>
                </w:tcPr>
                <w:p w14:paraId="633BA3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sz w:val="21"/>
                      <w:szCs w:val="21"/>
                      <w:u w:val="none"/>
                      <w:lang w:val="en-US" w:eastAsia="zh-CN"/>
                    </w:rPr>
                  </w:pPr>
                </w:p>
              </w:tc>
              <w:tc>
                <w:tcPr>
                  <w:tcW w:w="736" w:type="dxa"/>
                  <w:vMerge w:val="continue"/>
                  <w:tcBorders>
                    <w:tl2br w:val="nil"/>
                    <w:tr2bl w:val="nil"/>
                  </w:tcBorders>
                  <w:vAlign w:val="center"/>
                </w:tcPr>
                <w:p w14:paraId="6802BF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p>
              </w:tc>
              <w:tc>
                <w:tcPr>
                  <w:tcW w:w="552" w:type="dxa"/>
                  <w:tcBorders>
                    <w:tl2br w:val="nil"/>
                    <w:tr2bl w:val="nil"/>
                  </w:tcBorders>
                  <w:vAlign w:val="center"/>
                </w:tcPr>
                <w:p w14:paraId="148EE5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BOD</w:t>
                  </w:r>
                  <w:r>
                    <w:rPr>
                      <w:rFonts w:hint="default" w:ascii="Times New Roman" w:hAnsi="Times New Roman" w:cs="Times New Roman"/>
                      <w:color w:val="auto"/>
                      <w:sz w:val="21"/>
                      <w:szCs w:val="21"/>
                      <w:vertAlign w:val="subscript"/>
                      <w:lang w:val="en-US" w:eastAsia="zh-CN"/>
                    </w:rPr>
                    <w:t>5</w:t>
                  </w:r>
                </w:p>
              </w:tc>
              <w:tc>
                <w:tcPr>
                  <w:tcW w:w="790" w:type="dxa"/>
                  <w:tcBorders>
                    <w:tl2br w:val="nil"/>
                    <w:tr2bl w:val="nil"/>
                  </w:tcBorders>
                  <w:vAlign w:val="center"/>
                </w:tcPr>
                <w:p w14:paraId="6C3ECF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0.182 </w:t>
                  </w:r>
                </w:p>
              </w:tc>
              <w:tc>
                <w:tcPr>
                  <w:tcW w:w="701" w:type="dxa"/>
                  <w:tcBorders>
                    <w:tl2br w:val="nil"/>
                    <w:tr2bl w:val="nil"/>
                  </w:tcBorders>
                  <w:vAlign w:val="center"/>
                </w:tcPr>
                <w:p w14:paraId="288E7F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1</w:t>
                  </w:r>
                  <w:r>
                    <w:rPr>
                      <w:rFonts w:hint="eastAsia" w:cs="Times New Roman"/>
                      <w:i w:val="0"/>
                      <w:iCs w:val="0"/>
                      <w:color w:val="auto"/>
                      <w:kern w:val="0"/>
                      <w:sz w:val="21"/>
                      <w:szCs w:val="21"/>
                      <w:u w:val="none"/>
                      <w:lang w:val="en-US" w:eastAsia="zh-CN" w:bidi="ar"/>
                    </w:rPr>
                    <w:t>00</w:t>
                  </w:r>
                </w:p>
              </w:tc>
              <w:tc>
                <w:tcPr>
                  <w:tcW w:w="695" w:type="dxa"/>
                  <w:vMerge w:val="continue"/>
                  <w:tcBorders>
                    <w:tl2br w:val="nil"/>
                    <w:tr2bl w:val="nil"/>
                  </w:tcBorders>
                  <w:vAlign w:val="center"/>
                </w:tcPr>
                <w:p w14:paraId="6DC064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p>
              </w:tc>
              <w:tc>
                <w:tcPr>
                  <w:tcW w:w="490" w:type="dxa"/>
                  <w:vMerge w:val="continue"/>
                  <w:tcBorders>
                    <w:tl2br w:val="nil"/>
                    <w:tr2bl w:val="nil"/>
                  </w:tcBorders>
                  <w:vAlign w:val="center"/>
                </w:tcPr>
                <w:p w14:paraId="1C5C2B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p>
              </w:tc>
              <w:tc>
                <w:tcPr>
                  <w:tcW w:w="774" w:type="dxa"/>
                  <w:tcBorders>
                    <w:tl2br w:val="nil"/>
                    <w:tr2bl w:val="nil"/>
                  </w:tcBorders>
                  <w:vAlign w:val="center"/>
                </w:tcPr>
                <w:p w14:paraId="444A4D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0.182 </w:t>
                  </w:r>
                </w:p>
              </w:tc>
              <w:tc>
                <w:tcPr>
                  <w:tcW w:w="697" w:type="dxa"/>
                  <w:tcBorders>
                    <w:tl2br w:val="nil"/>
                    <w:tr2bl w:val="nil"/>
                  </w:tcBorders>
                  <w:vAlign w:val="center"/>
                </w:tcPr>
                <w:p w14:paraId="0D0A0E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471" w:type="dxa"/>
                  <w:vMerge w:val="continue"/>
                  <w:tcBorders>
                    <w:tl2br w:val="nil"/>
                    <w:tr2bl w:val="nil"/>
                  </w:tcBorders>
                  <w:vAlign w:val="center"/>
                </w:tcPr>
                <w:p w14:paraId="11195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404" w:type="dxa"/>
                  <w:vMerge w:val="continue"/>
                  <w:tcBorders>
                    <w:tl2br w:val="nil"/>
                    <w:tr2bl w:val="nil"/>
                  </w:tcBorders>
                  <w:vAlign w:val="center"/>
                </w:tcPr>
                <w:p w14:paraId="50A04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502" w:type="dxa"/>
                  <w:vMerge w:val="continue"/>
                  <w:tcBorders>
                    <w:tl2br w:val="nil"/>
                    <w:tr2bl w:val="nil"/>
                  </w:tcBorders>
                  <w:vAlign w:val="center"/>
                </w:tcPr>
                <w:p w14:paraId="481464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757" w:type="dxa"/>
                  <w:vMerge w:val="continue"/>
                  <w:tcBorders>
                    <w:tl2br w:val="nil"/>
                    <w:tr2bl w:val="nil"/>
                  </w:tcBorders>
                  <w:vAlign w:val="center"/>
                </w:tcPr>
                <w:p w14:paraId="73703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cs="Times New Roman"/>
                      <w:color w:val="auto"/>
                      <w:sz w:val="21"/>
                      <w:szCs w:val="21"/>
                      <w:lang w:val="en-US" w:eastAsia="zh-CN"/>
                    </w:rPr>
                  </w:pPr>
                </w:p>
              </w:tc>
            </w:tr>
            <w:tr w14:paraId="2F48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tcBorders>
                    <w:tl2br w:val="nil"/>
                    <w:tr2bl w:val="nil"/>
                  </w:tcBorders>
                  <w:vAlign w:val="center"/>
                </w:tcPr>
                <w:p w14:paraId="04C145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sz w:val="21"/>
                      <w:szCs w:val="21"/>
                      <w:u w:val="none"/>
                      <w:lang w:val="en-US" w:eastAsia="zh-CN"/>
                    </w:rPr>
                  </w:pPr>
                </w:p>
              </w:tc>
              <w:tc>
                <w:tcPr>
                  <w:tcW w:w="736" w:type="dxa"/>
                  <w:vMerge w:val="continue"/>
                  <w:tcBorders>
                    <w:tl2br w:val="nil"/>
                    <w:tr2bl w:val="nil"/>
                  </w:tcBorders>
                  <w:vAlign w:val="center"/>
                </w:tcPr>
                <w:p w14:paraId="619EFE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p>
              </w:tc>
              <w:tc>
                <w:tcPr>
                  <w:tcW w:w="552" w:type="dxa"/>
                  <w:tcBorders>
                    <w:tl2br w:val="nil"/>
                    <w:tr2bl w:val="nil"/>
                  </w:tcBorders>
                  <w:vAlign w:val="center"/>
                </w:tcPr>
                <w:p w14:paraId="2A2AF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SS</w:t>
                  </w:r>
                </w:p>
              </w:tc>
              <w:tc>
                <w:tcPr>
                  <w:tcW w:w="790" w:type="dxa"/>
                  <w:tcBorders>
                    <w:tl2br w:val="nil"/>
                    <w:tr2bl w:val="nil"/>
                  </w:tcBorders>
                  <w:vAlign w:val="center"/>
                </w:tcPr>
                <w:p w14:paraId="6D8AECA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0.456 </w:t>
                  </w:r>
                </w:p>
              </w:tc>
              <w:tc>
                <w:tcPr>
                  <w:tcW w:w="701" w:type="dxa"/>
                  <w:tcBorders>
                    <w:tl2br w:val="nil"/>
                    <w:tr2bl w:val="nil"/>
                  </w:tcBorders>
                  <w:vAlign w:val="center"/>
                </w:tcPr>
                <w:p w14:paraId="73D69A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2</w:t>
                  </w:r>
                  <w:r>
                    <w:rPr>
                      <w:rFonts w:hint="default" w:ascii="Times New Roman" w:hAnsi="Times New Roman" w:eastAsia="宋体" w:cs="Times New Roman"/>
                      <w:i w:val="0"/>
                      <w:iCs w:val="0"/>
                      <w:color w:val="auto"/>
                      <w:kern w:val="0"/>
                      <w:sz w:val="21"/>
                      <w:szCs w:val="21"/>
                      <w:u w:val="none"/>
                      <w:lang w:val="en-US" w:eastAsia="zh-CN" w:bidi="ar"/>
                    </w:rPr>
                    <w:t>50</w:t>
                  </w:r>
                </w:p>
              </w:tc>
              <w:tc>
                <w:tcPr>
                  <w:tcW w:w="695" w:type="dxa"/>
                  <w:vMerge w:val="continue"/>
                  <w:tcBorders>
                    <w:tl2br w:val="nil"/>
                    <w:tr2bl w:val="nil"/>
                  </w:tcBorders>
                  <w:vAlign w:val="center"/>
                </w:tcPr>
                <w:p w14:paraId="6B5BA6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p>
              </w:tc>
              <w:tc>
                <w:tcPr>
                  <w:tcW w:w="490" w:type="dxa"/>
                  <w:vMerge w:val="continue"/>
                  <w:tcBorders>
                    <w:tl2br w:val="nil"/>
                    <w:tr2bl w:val="nil"/>
                  </w:tcBorders>
                  <w:vAlign w:val="center"/>
                </w:tcPr>
                <w:p w14:paraId="25DEE9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p>
              </w:tc>
              <w:tc>
                <w:tcPr>
                  <w:tcW w:w="774" w:type="dxa"/>
                  <w:tcBorders>
                    <w:tl2br w:val="nil"/>
                    <w:tr2bl w:val="nil"/>
                  </w:tcBorders>
                  <w:vAlign w:val="center"/>
                </w:tcPr>
                <w:p w14:paraId="3F786CD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0.456 </w:t>
                  </w:r>
                </w:p>
              </w:tc>
              <w:tc>
                <w:tcPr>
                  <w:tcW w:w="697" w:type="dxa"/>
                  <w:tcBorders>
                    <w:tl2br w:val="nil"/>
                    <w:tr2bl w:val="nil"/>
                  </w:tcBorders>
                  <w:vAlign w:val="center"/>
                </w:tcPr>
                <w:p w14:paraId="26235A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250</w:t>
                  </w:r>
                </w:p>
              </w:tc>
              <w:tc>
                <w:tcPr>
                  <w:tcW w:w="471" w:type="dxa"/>
                  <w:vMerge w:val="continue"/>
                  <w:tcBorders>
                    <w:tl2br w:val="nil"/>
                    <w:tr2bl w:val="nil"/>
                  </w:tcBorders>
                  <w:vAlign w:val="center"/>
                </w:tcPr>
                <w:p w14:paraId="244617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404" w:type="dxa"/>
                  <w:vMerge w:val="continue"/>
                  <w:tcBorders>
                    <w:tl2br w:val="nil"/>
                    <w:tr2bl w:val="nil"/>
                  </w:tcBorders>
                  <w:vAlign w:val="center"/>
                </w:tcPr>
                <w:p w14:paraId="2C4F7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502" w:type="dxa"/>
                  <w:vMerge w:val="continue"/>
                  <w:tcBorders>
                    <w:tl2br w:val="nil"/>
                    <w:tr2bl w:val="nil"/>
                  </w:tcBorders>
                  <w:vAlign w:val="center"/>
                </w:tcPr>
                <w:p w14:paraId="167F8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757" w:type="dxa"/>
                  <w:vMerge w:val="continue"/>
                  <w:tcBorders>
                    <w:tl2br w:val="nil"/>
                    <w:tr2bl w:val="nil"/>
                  </w:tcBorders>
                  <w:vAlign w:val="center"/>
                </w:tcPr>
                <w:p w14:paraId="16E10D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cs="Times New Roman"/>
                      <w:color w:val="auto"/>
                      <w:sz w:val="21"/>
                      <w:szCs w:val="21"/>
                      <w:lang w:val="en-US" w:eastAsia="zh-CN"/>
                    </w:rPr>
                  </w:pPr>
                </w:p>
              </w:tc>
            </w:tr>
            <w:tr w14:paraId="3FE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tcBorders>
                    <w:tl2br w:val="nil"/>
                    <w:tr2bl w:val="nil"/>
                  </w:tcBorders>
                  <w:vAlign w:val="center"/>
                </w:tcPr>
                <w:p w14:paraId="008F8A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sz w:val="21"/>
                      <w:szCs w:val="21"/>
                      <w:u w:val="none"/>
                      <w:lang w:val="en-US" w:eastAsia="zh-CN"/>
                    </w:rPr>
                  </w:pPr>
                </w:p>
              </w:tc>
              <w:tc>
                <w:tcPr>
                  <w:tcW w:w="736" w:type="dxa"/>
                  <w:vMerge w:val="continue"/>
                  <w:tcBorders>
                    <w:tl2br w:val="nil"/>
                    <w:tr2bl w:val="nil"/>
                  </w:tcBorders>
                  <w:vAlign w:val="center"/>
                </w:tcPr>
                <w:p w14:paraId="7B7B15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p>
              </w:tc>
              <w:tc>
                <w:tcPr>
                  <w:tcW w:w="552" w:type="dxa"/>
                  <w:tcBorders>
                    <w:tl2br w:val="nil"/>
                    <w:tr2bl w:val="nil"/>
                  </w:tcBorders>
                  <w:vAlign w:val="center"/>
                </w:tcPr>
                <w:p w14:paraId="40C225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vertAlign w:val="baseline"/>
                      <w:lang w:val="en-US" w:eastAsia="zh-CN"/>
                    </w:rPr>
                    <w:t>-H</w:t>
                  </w:r>
                </w:p>
              </w:tc>
              <w:tc>
                <w:tcPr>
                  <w:tcW w:w="790" w:type="dxa"/>
                  <w:tcBorders>
                    <w:tl2br w:val="nil"/>
                    <w:tr2bl w:val="nil"/>
                  </w:tcBorders>
                  <w:vAlign w:val="center"/>
                </w:tcPr>
                <w:p w14:paraId="55548FF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0.055 </w:t>
                  </w:r>
                </w:p>
              </w:tc>
              <w:tc>
                <w:tcPr>
                  <w:tcW w:w="701" w:type="dxa"/>
                  <w:tcBorders>
                    <w:tl2br w:val="nil"/>
                    <w:tr2bl w:val="nil"/>
                  </w:tcBorders>
                  <w:vAlign w:val="center"/>
                </w:tcPr>
                <w:p w14:paraId="427228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30</w:t>
                  </w:r>
                </w:p>
              </w:tc>
              <w:tc>
                <w:tcPr>
                  <w:tcW w:w="695" w:type="dxa"/>
                  <w:vMerge w:val="continue"/>
                  <w:tcBorders>
                    <w:tl2br w:val="nil"/>
                    <w:tr2bl w:val="nil"/>
                  </w:tcBorders>
                  <w:vAlign w:val="center"/>
                </w:tcPr>
                <w:p w14:paraId="26C6C0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p>
              </w:tc>
              <w:tc>
                <w:tcPr>
                  <w:tcW w:w="490" w:type="dxa"/>
                  <w:vMerge w:val="continue"/>
                  <w:tcBorders>
                    <w:tl2br w:val="nil"/>
                    <w:tr2bl w:val="nil"/>
                  </w:tcBorders>
                  <w:vAlign w:val="center"/>
                </w:tcPr>
                <w:p w14:paraId="1DDF61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p>
              </w:tc>
              <w:tc>
                <w:tcPr>
                  <w:tcW w:w="774" w:type="dxa"/>
                  <w:tcBorders>
                    <w:tl2br w:val="nil"/>
                    <w:tr2bl w:val="nil"/>
                  </w:tcBorders>
                  <w:vAlign w:val="center"/>
                </w:tcPr>
                <w:p w14:paraId="1E840AA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0.055 </w:t>
                  </w:r>
                </w:p>
              </w:tc>
              <w:tc>
                <w:tcPr>
                  <w:tcW w:w="697" w:type="dxa"/>
                  <w:tcBorders>
                    <w:tl2br w:val="nil"/>
                    <w:tr2bl w:val="nil"/>
                  </w:tcBorders>
                  <w:vAlign w:val="center"/>
                </w:tcPr>
                <w:p w14:paraId="10A1E7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471" w:type="dxa"/>
                  <w:vMerge w:val="continue"/>
                  <w:tcBorders>
                    <w:tl2br w:val="nil"/>
                    <w:tr2bl w:val="nil"/>
                  </w:tcBorders>
                  <w:vAlign w:val="center"/>
                </w:tcPr>
                <w:p w14:paraId="72488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404" w:type="dxa"/>
                  <w:vMerge w:val="continue"/>
                  <w:tcBorders>
                    <w:tl2br w:val="nil"/>
                    <w:tr2bl w:val="nil"/>
                  </w:tcBorders>
                  <w:vAlign w:val="center"/>
                </w:tcPr>
                <w:p w14:paraId="4A102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502" w:type="dxa"/>
                  <w:vMerge w:val="continue"/>
                  <w:tcBorders>
                    <w:tl2br w:val="nil"/>
                    <w:tr2bl w:val="nil"/>
                  </w:tcBorders>
                  <w:vAlign w:val="center"/>
                </w:tcPr>
                <w:p w14:paraId="250AE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757" w:type="dxa"/>
                  <w:vMerge w:val="continue"/>
                  <w:tcBorders>
                    <w:tl2br w:val="nil"/>
                    <w:tr2bl w:val="nil"/>
                  </w:tcBorders>
                  <w:vAlign w:val="center"/>
                </w:tcPr>
                <w:p w14:paraId="31644D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cs="Times New Roman"/>
                      <w:color w:val="auto"/>
                      <w:sz w:val="21"/>
                      <w:szCs w:val="21"/>
                      <w:lang w:val="en-US" w:eastAsia="zh-CN"/>
                    </w:rPr>
                  </w:pPr>
                </w:p>
              </w:tc>
            </w:tr>
            <w:tr w14:paraId="040D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restart"/>
                  <w:tcBorders>
                    <w:tl2br w:val="nil"/>
                    <w:tr2bl w:val="nil"/>
                  </w:tcBorders>
                  <w:vAlign w:val="center"/>
                </w:tcPr>
                <w:p w14:paraId="7C9CB8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生产过程</w:t>
                  </w:r>
                </w:p>
              </w:tc>
              <w:tc>
                <w:tcPr>
                  <w:tcW w:w="736" w:type="dxa"/>
                  <w:vMerge w:val="restart"/>
                  <w:tcBorders>
                    <w:tl2br w:val="nil"/>
                    <w:tr2bl w:val="nil"/>
                  </w:tcBorders>
                  <w:vAlign w:val="center"/>
                </w:tcPr>
                <w:p w14:paraId="73686A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kern w:val="0"/>
                      <w:sz w:val="21"/>
                      <w:szCs w:val="21"/>
                      <w:u w:val="none"/>
                      <w:lang w:val="en-US" w:eastAsia="zh-CN" w:bidi="ar"/>
                    </w:rPr>
                    <w:t>纯水制备浓水（</w:t>
                  </w:r>
                  <w:r>
                    <w:rPr>
                      <w:rFonts w:hint="eastAsia" w:cs="Times New Roman"/>
                      <w:i w:val="0"/>
                      <w:iCs w:val="0"/>
                      <w:color w:val="auto"/>
                      <w:kern w:val="0"/>
                      <w:sz w:val="21"/>
                      <w:szCs w:val="21"/>
                      <w:u w:val="none"/>
                      <w:lang w:val="en-US" w:eastAsia="zh-CN" w:bidi="ar"/>
                    </w:rPr>
                    <w:t>7137.6</w:t>
                  </w:r>
                  <w:r>
                    <w:rPr>
                      <w:rFonts w:hint="default" w:ascii="Times New Roman" w:hAnsi="Times New Roman" w:cs="Times New Roman"/>
                      <w:i w:val="0"/>
                      <w:iCs w:val="0"/>
                      <w:color w:val="auto"/>
                      <w:kern w:val="0"/>
                      <w:sz w:val="21"/>
                      <w:szCs w:val="21"/>
                      <w:u w:val="none"/>
                      <w:lang w:val="en-US" w:eastAsia="zh-CN" w:bidi="ar"/>
                    </w:rPr>
                    <w:t>）</w:t>
                  </w:r>
                </w:p>
              </w:tc>
              <w:tc>
                <w:tcPr>
                  <w:tcW w:w="552" w:type="dxa"/>
                  <w:tcBorders>
                    <w:tl2br w:val="nil"/>
                    <w:tr2bl w:val="nil"/>
                  </w:tcBorders>
                  <w:vAlign w:val="center"/>
                </w:tcPr>
                <w:p w14:paraId="7023F7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color w:val="auto"/>
                      <w:sz w:val="21"/>
                      <w:szCs w:val="21"/>
                      <w:vertAlign w:val="baseline"/>
                      <w:lang w:val="en-US" w:eastAsia="zh-CN"/>
                    </w:rPr>
                    <w:t>COD</w:t>
                  </w:r>
                </w:p>
              </w:tc>
              <w:tc>
                <w:tcPr>
                  <w:tcW w:w="790" w:type="dxa"/>
                  <w:tcBorders>
                    <w:tl2br w:val="nil"/>
                    <w:tr2bl w:val="nil"/>
                  </w:tcBorders>
                  <w:vAlign w:val="center"/>
                </w:tcPr>
                <w:p w14:paraId="1A70F84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0.714 </w:t>
                  </w:r>
                </w:p>
              </w:tc>
              <w:tc>
                <w:tcPr>
                  <w:tcW w:w="701" w:type="dxa"/>
                  <w:tcBorders>
                    <w:tl2br w:val="nil"/>
                    <w:tr2bl w:val="nil"/>
                  </w:tcBorders>
                  <w:vAlign w:val="center"/>
                </w:tcPr>
                <w:p w14:paraId="777BB63B">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000000" w:themeColor="text1"/>
                      <w14:textFill>
                        <w14:solidFill>
                          <w14:schemeClr w14:val="tx1"/>
                        </w14:solidFill>
                      </w14:textFill>
                    </w:rPr>
                    <w:t>100</w:t>
                  </w:r>
                </w:p>
              </w:tc>
              <w:tc>
                <w:tcPr>
                  <w:tcW w:w="695" w:type="dxa"/>
                  <w:vMerge w:val="restart"/>
                  <w:tcBorders>
                    <w:tl2br w:val="nil"/>
                    <w:tr2bl w:val="nil"/>
                  </w:tcBorders>
                  <w:vAlign w:val="center"/>
                </w:tcPr>
                <w:p w14:paraId="69954C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lang w:val="en-US" w:eastAsia="zh-CN"/>
                    </w:rPr>
                    <w:t>/</w:t>
                  </w:r>
                </w:p>
              </w:tc>
              <w:tc>
                <w:tcPr>
                  <w:tcW w:w="490" w:type="dxa"/>
                  <w:vMerge w:val="restart"/>
                  <w:tcBorders>
                    <w:tl2br w:val="nil"/>
                    <w:tr2bl w:val="nil"/>
                  </w:tcBorders>
                  <w:vAlign w:val="center"/>
                </w:tcPr>
                <w:p w14:paraId="71698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eastAsia="宋体" w:cs="Times New Roman"/>
                      <w:i w:val="0"/>
                      <w:iCs w:val="0"/>
                      <w:color w:val="auto"/>
                      <w:sz w:val="21"/>
                      <w:szCs w:val="21"/>
                      <w:u w:val="none"/>
                      <w:lang w:val="en-US" w:eastAsia="zh-CN"/>
                    </w:rPr>
                    <w:t>是</w:t>
                  </w:r>
                </w:p>
              </w:tc>
              <w:tc>
                <w:tcPr>
                  <w:tcW w:w="774" w:type="dxa"/>
                  <w:tcBorders>
                    <w:tl2br w:val="nil"/>
                    <w:tr2bl w:val="nil"/>
                  </w:tcBorders>
                  <w:vAlign w:val="center"/>
                </w:tcPr>
                <w:p w14:paraId="696614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0.714 </w:t>
                  </w:r>
                </w:p>
              </w:tc>
              <w:tc>
                <w:tcPr>
                  <w:tcW w:w="697" w:type="dxa"/>
                  <w:tcBorders>
                    <w:tl2br w:val="nil"/>
                    <w:tr2bl w:val="nil"/>
                  </w:tcBorders>
                  <w:vAlign w:val="center"/>
                </w:tcPr>
                <w:p w14:paraId="3E55C3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471" w:type="dxa"/>
                  <w:vMerge w:val="continue"/>
                  <w:tcBorders>
                    <w:tl2br w:val="nil"/>
                    <w:tr2bl w:val="nil"/>
                  </w:tcBorders>
                  <w:vAlign w:val="center"/>
                </w:tcPr>
                <w:p w14:paraId="1A815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404" w:type="dxa"/>
                  <w:vMerge w:val="continue"/>
                  <w:tcBorders>
                    <w:tl2br w:val="nil"/>
                    <w:tr2bl w:val="nil"/>
                  </w:tcBorders>
                  <w:vAlign w:val="center"/>
                </w:tcPr>
                <w:p w14:paraId="2101E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502" w:type="dxa"/>
                  <w:vMerge w:val="continue"/>
                  <w:tcBorders>
                    <w:tl2br w:val="nil"/>
                    <w:tr2bl w:val="nil"/>
                  </w:tcBorders>
                  <w:vAlign w:val="center"/>
                </w:tcPr>
                <w:p w14:paraId="10211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757" w:type="dxa"/>
                  <w:vMerge w:val="continue"/>
                  <w:tcBorders>
                    <w:tl2br w:val="nil"/>
                    <w:tr2bl w:val="nil"/>
                  </w:tcBorders>
                  <w:vAlign w:val="center"/>
                </w:tcPr>
                <w:p w14:paraId="2D6C0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14:paraId="4ADF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tcBorders>
                    <w:tl2br w:val="nil"/>
                    <w:tr2bl w:val="nil"/>
                  </w:tcBorders>
                  <w:vAlign w:val="center"/>
                </w:tcPr>
                <w:p w14:paraId="5999F4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736" w:type="dxa"/>
                  <w:vMerge w:val="continue"/>
                  <w:tcBorders>
                    <w:tl2br w:val="nil"/>
                    <w:tr2bl w:val="nil"/>
                  </w:tcBorders>
                  <w:vAlign w:val="center"/>
                </w:tcPr>
                <w:p w14:paraId="1821D0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552" w:type="dxa"/>
                  <w:tcBorders>
                    <w:tl2br w:val="nil"/>
                    <w:tr2bl w:val="nil"/>
                  </w:tcBorders>
                  <w:vAlign w:val="center"/>
                </w:tcPr>
                <w:p w14:paraId="048668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color w:val="auto"/>
                      <w:sz w:val="21"/>
                      <w:szCs w:val="21"/>
                      <w:vertAlign w:val="baseline"/>
                      <w:lang w:val="en-US" w:eastAsia="zh-CN"/>
                    </w:rPr>
                    <w:t>SS</w:t>
                  </w:r>
                </w:p>
              </w:tc>
              <w:tc>
                <w:tcPr>
                  <w:tcW w:w="790" w:type="dxa"/>
                  <w:tcBorders>
                    <w:tl2br w:val="nil"/>
                    <w:tr2bl w:val="nil"/>
                  </w:tcBorders>
                  <w:vAlign w:val="center"/>
                </w:tcPr>
                <w:p w14:paraId="4E23B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1.071 </w:t>
                  </w:r>
                </w:p>
              </w:tc>
              <w:tc>
                <w:tcPr>
                  <w:tcW w:w="701" w:type="dxa"/>
                  <w:tcBorders>
                    <w:tl2br w:val="nil"/>
                    <w:tr2bl w:val="nil"/>
                  </w:tcBorders>
                  <w:vAlign w:val="center"/>
                </w:tcPr>
                <w:p w14:paraId="5B1FFE6D">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color w:val="000000" w:themeColor="text1"/>
                      <w14:textFill>
                        <w14:solidFill>
                          <w14:schemeClr w14:val="tx1"/>
                        </w14:solidFill>
                      </w14:textFill>
                    </w:rPr>
                    <w:t>150</w:t>
                  </w:r>
                </w:p>
              </w:tc>
              <w:tc>
                <w:tcPr>
                  <w:tcW w:w="695" w:type="dxa"/>
                  <w:vMerge w:val="continue"/>
                  <w:tcBorders>
                    <w:tl2br w:val="nil"/>
                    <w:tr2bl w:val="nil"/>
                  </w:tcBorders>
                  <w:vAlign w:val="center"/>
                </w:tcPr>
                <w:p w14:paraId="494869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490" w:type="dxa"/>
                  <w:vMerge w:val="continue"/>
                  <w:tcBorders>
                    <w:tl2br w:val="nil"/>
                    <w:tr2bl w:val="nil"/>
                  </w:tcBorders>
                  <w:vAlign w:val="center"/>
                </w:tcPr>
                <w:p w14:paraId="11E7F1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774" w:type="dxa"/>
                  <w:tcBorders>
                    <w:tl2br w:val="nil"/>
                    <w:tr2bl w:val="nil"/>
                  </w:tcBorders>
                  <w:vAlign w:val="center"/>
                </w:tcPr>
                <w:p w14:paraId="256DF58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1.071 </w:t>
                  </w:r>
                </w:p>
              </w:tc>
              <w:tc>
                <w:tcPr>
                  <w:tcW w:w="697" w:type="dxa"/>
                  <w:tcBorders>
                    <w:tl2br w:val="nil"/>
                    <w:tr2bl w:val="nil"/>
                  </w:tcBorders>
                  <w:vAlign w:val="center"/>
                </w:tcPr>
                <w:p w14:paraId="61B7AA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471" w:type="dxa"/>
                  <w:vMerge w:val="continue"/>
                  <w:tcBorders>
                    <w:tl2br w:val="nil"/>
                    <w:tr2bl w:val="nil"/>
                  </w:tcBorders>
                  <w:vAlign w:val="center"/>
                </w:tcPr>
                <w:p w14:paraId="394330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404" w:type="dxa"/>
                  <w:vMerge w:val="continue"/>
                  <w:tcBorders>
                    <w:tl2br w:val="nil"/>
                    <w:tr2bl w:val="nil"/>
                  </w:tcBorders>
                  <w:vAlign w:val="center"/>
                </w:tcPr>
                <w:p w14:paraId="02BE6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502" w:type="dxa"/>
                  <w:vMerge w:val="continue"/>
                  <w:tcBorders>
                    <w:tl2br w:val="nil"/>
                    <w:tr2bl w:val="nil"/>
                  </w:tcBorders>
                  <w:vAlign w:val="center"/>
                </w:tcPr>
                <w:p w14:paraId="42576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757" w:type="dxa"/>
                  <w:vMerge w:val="continue"/>
                  <w:tcBorders>
                    <w:tl2br w:val="nil"/>
                    <w:tr2bl w:val="nil"/>
                  </w:tcBorders>
                  <w:vAlign w:val="center"/>
                </w:tcPr>
                <w:p w14:paraId="17008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14:paraId="47CF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tcBorders>
                    <w:tl2br w:val="nil"/>
                    <w:tr2bl w:val="nil"/>
                  </w:tcBorders>
                  <w:vAlign w:val="center"/>
                </w:tcPr>
                <w:p w14:paraId="4C1D1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736" w:type="dxa"/>
                  <w:vMerge w:val="restart"/>
                  <w:tcBorders>
                    <w:tl2br w:val="nil"/>
                    <w:tr2bl w:val="nil"/>
                  </w:tcBorders>
                  <w:vAlign w:val="center"/>
                </w:tcPr>
                <w:p w14:paraId="36F04F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循环冷却定期排污水（</w:t>
                  </w:r>
                  <w:r>
                    <w:rPr>
                      <w:rFonts w:hint="eastAsia" w:cs="Times New Roman"/>
                      <w:bCs/>
                      <w:color w:val="000000"/>
                      <w:highlight w:val="none"/>
                      <w:lang w:val="en-US" w:eastAsia="zh-CN"/>
                    </w:rPr>
                    <w:t>962.4</w:t>
                  </w:r>
                  <w:r>
                    <w:rPr>
                      <w:rFonts w:hint="eastAsia" w:cs="Times New Roman"/>
                      <w:i w:val="0"/>
                      <w:iCs w:val="0"/>
                      <w:color w:val="auto"/>
                      <w:kern w:val="0"/>
                      <w:sz w:val="21"/>
                      <w:szCs w:val="21"/>
                      <w:u w:val="none"/>
                      <w:lang w:val="en-US" w:eastAsia="zh-CN" w:bidi="ar"/>
                    </w:rPr>
                    <w:t>）</w:t>
                  </w:r>
                </w:p>
              </w:tc>
              <w:tc>
                <w:tcPr>
                  <w:tcW w:w="552" w:type="dxa"/>
                  <w:tcBorders>
                    <w:tl2br w:val="nil"/>
                    <w:tr2bl w:val="nil"/>
                  </w:tcBorders>
                  <w:vAlign w:val="center"/>
                </w:tcPr>
                <w:p w14:paraId="523456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vertAlign w:val="baseline"/>
                      <w:lang w:val="en-US" w:eastAsia="zh-CN"/>
                    </w:rPr>
                    <w:t>COD</w:t>
                  </w:r>
                </w:p>
              </w:tc>
              <w:tc>
                <w:tcPr>
                  <w:tcW w:w="790" w:type="dxa"/>
                  <w:tcBorders>
                    <w:tl2br w:val="nil"/>
                    <w:tr2bl w:val="nil"/>
                  </w:tcBorders>
                  <w:vAlign w:val="center"/>
                </w:tcPr>
                <w:p w14:paraId="33DB5E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0.077 </w:t>
                  </w:r>
                </w:p>
              </w:tc>
              <w:tc>
                <w:tcPr>
                  <w:tcW w:w="701" w:type="dxa"/>
                  <w:tcBorders>
                    <w:tl2br w:val="nil"/>
                    <w:tr2bl w:val="nil"/>
                  </w:tcBorders>
                  <w:vAlign w:val="center"/>
                </w:tcPr>
                <w:p w14:paraId="0FC40BE5">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themeColor="text1"/>
                      <w:lang w:val="en-US" w:eastAsia="zh-CN"/>
                      <w14:textFill>
                        <w14:solidFill>
                          <w14:schemeClr w14:val="tx1"/>
                        </w14:solidFill>
                      </w14:textFill>
                    </w:rPr>
                    <w:t>8</w:t>
                  </w:r>
                  <w:r>
                    <w:rPr>
                      <w:rFonts w:hint="default" w:ascii="Times New Roman" w:hAnsi="Times New Roman" w:cs="Times New Roman"/>
                      <w:color w:val="000000" w:themeColor="text1"/>
                      <w14:textFill>
                        <w14:solidFill>
                          <w14:schemeClr w14:val="tx1"/>
                        </w14:solidFill>
                      </w14:textFill>
                    </w:rPr>
                    <w:t>0</w:t>
                  </w:r>
                </w:p>
              </w:tc>
              <w:tc>
                <w:tcPr>
                  <w:tcW w:w="695" w:type="dxa"/>
                  <w:vMerge w:val="restart"/>
                  <w:tcBorders>
                    <w:tl2br w:val="nil"/>
                    <w:tr2bl w:val="nil"/>
                  </w:tcBorders>
                  <w:vAlign w:val="center"/>
                </w:tcPr>
                <w:p w14:paraId="3F2BD9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cs="Times New Roman"/>
                      <w:i w:val="0"/>
                      <w:iCs w:val="0"/>
                      <w:color w:val="auto"/>
                      <w:sz w:val="21"/>
                      <w:szCs w:val="21"/>
                      <w:u w:val="none"/>
                      <w:lang w:val="en-US" w:eastAsia="zh-CN"/>
                    </w:rPr>
                    <w:t>/</w:t>
                  </w:r>
                </w:p>
              </w:tc>
              <w:tc>
                <w:tcPr>
                  <w:tcW w:w="490" w:type="dxa"/>
                  <w:vMerge w:val="restart"/>
                  <w:tcBorders>
                    <w:tl2br w:val="nil"/>
                    <w:tr2bl w:val="nil"/>
                  </w:tcBorders>
                  <w:vAlign w:val="center"/>
                </w:tcPr>
                <w:p w14:paraId="792A33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sz w:val="21"/>
                      <w:szCs w:val="21"/>
                      <w:u w:val="none"/>
                      <w:lang w:val="en-US" w:eastAsia="zh-CN"/>
                    </w:rPr>
                    <w:t>是</w:t>
                  </w:r>
                </w:p>
              </w:tc>
              <w:tc>
                <w:tcPr>
                  <w:tcW w:w="774" w:type="dxa"/>
                  <w:tcBorders>
                    <w:tl2br w:val="nil"/>
                    <w:tr2bl w:val="nil"/>
                  </w:tcBorders>
                  <w:vAlign w:val="center"/>
                </w:tcPr>
                <w:p w14:paraId="3C65D1C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0.077 </w:t>
                  </w:r>
                </w:p>
              </w:tc>
              <w:tc>
                <w:tcPr>
                  <w:tcW w:w="697" w:type="dxa"/>
                  <w:tcBorders>
                    <w:tl2br w:val="nil"/>
                    <w:tr2bl w:val="nil"/>
                  </w:tcBorders>
                  <w:vAlign w:val="center"/>
                </w:tcPr>
                <w:p w14:paraId="1F6A4B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71" w:type="dxa"/>
                  <w:vMerge w:val="continue"/>
                  <w:tcBorders>
                    <w:tl2br w:val="nil"/>
                    <w:tr2bl w:val="nil"/>
                  </w:tcBorders>
                  <w:vAlign w:val="center"/>
                </w:tcPr>
                <w:p w14:paraId="2DD8B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404" w:type="dxa"/>
                  <w:vMerge w:val="continue"/>
                  <w:tcBorders>
                    <w:tl2br w:val="nil"/>
                    <w:tr2bl w:val="nil"/>
                  </w:tcBorders>
                  <w:vAlign w:val="center"/>
                </w:tcPr>
                <w:p w14:paraId="6CDB7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502" w:type="dxa"/>
                  <w:vMerge w:val="continue"/>
                  <w:tcBorders>
                    <w:tl2br w:val="nil"/>
                    <w:tr2bl w:val="nil"/>
                  </w:tcBorders>
                  <w:vAlign w:val="center"/>
                </w:tcPr>
                <w:p w14:paraId="5B840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757" w:type="dxa"/>
                  <w:vMerge w:val="continue"/>
                  <w:tcBorders>
                    <w:tl2br w:val="nil"/>
                    <w:tr2bl w:val="nil"/>
                  </w:tcBorders>
                  <w:vAlign w:val="center"/>
                </w:tcPr>
                <w:p w14:paraId="78A16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r w14:paraId="00EA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6" w:type="dxa"/>
                  <w:vMerge w:val="continue"/>
                  <w:tcBorders>
                    <w:tl2br w:val="nil"/>
                    <w:tr2bl w:val="nil"/>
                  </w:tcBorders>
                  <w:vAlign w:val="center"/>
                </w:tcPr>
                <w:p w14:paraId="1FB6F6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736" w:type="dxa"/>
                  <w:vMerge w:val="continue"/>
                  <w:tcBorders>
                    <w:tl2br w:val="nil"/>
                    <w:tr2bl w:val="nil"/>
                  </w:tcBorders>
                  <w:vAlign w:val="center"/>
                </w:tcPr>
                <w:p w14:paraId="79D4EB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p>
              </w:tc>
              <w:tc>
                <w:tcPr>
                  <w:tcW w:w="552" w:type="dxa"/>
                  <w:tcBorders>
                    <w:tl2br w:val="nil"/>
                    <w:tr2bl w:val="nil"/>
                  </w:tcBorders>
                  <w:vAlign w:val="center"/>
                </w:tcPr>
                <w:p w14:paraId="103893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cs="Times New Roman"/>
                      <w:color w:val="auto"/>
                      <w:sz w:val="21"/>
                      <w:szCs w:val="21"/>
                      <w:vertAlign w:val="baseline"/>
                      <w:lang w:val="en-US" w:eastAsia="zh-CN"/>
                    </w:rPr>
                    <w:t>SS</w:t>
                  </w:r>
                </w:p>
              </w:tc>
              <w:tc>
                <w:tcPr>
                  <w:tcW w:w="790" w:type="dxa"/>
                  <w:tcBorders>
                    <w:tl2br w:val="nil"/>
                    <w:tr2bl w:val="nil"/>
                  </w:tcBorders>
                  <w:vAlign w:val="center"/>
                </w:tcPr>
                <w:p w14:paraId="2646805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701" w:type="dxa"/>
                  <w:tcBorders>
                    <w:tl2br w:val="nil"/>
                    <w:tr2bl w:val="nil"/>
                  </w:tcBorders>
                  <w:vAlign w:val="center"/>
                </w:tcPr>
                <w:p w14:paraId="349BFF4A">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cs="Times New Roman"/>
                      <w:color w:val="000000" w:themeColor="text1"/>
                      <w14:textFill>
                        <w14:solidFill>
                          <w14:schemeClr w14:val="tx1"/>
                        </w14:solidFill>
                      </w14:textFill>
                    </w:rPr>
                    <w:t>1</w:t>
                  </w:r>
                  <w:r>
                    <w:rPr>
                      <w:rFonts w:hint="default" w:ascii="Times New Roman" w:hAnsi="Times New Roman" w:cs="Times New Roman"/>
                      <w:color w:val="000000" w:themeColor="text1"/>
                      <w:lang w:val="en-US" w:eastAsia="zh-CN"/>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0</w:t>
                  </w:r>
                </w:p>
              </w:tc>
              <w:tc>
                <w:tcPr>
                  <w:tcW w:w="695" w:type="dxa"/>
                  <w:vMerge w:val="continue"/>
                  <w:tcBorders>
                    <w:tl2br w:val="nil"/>
                    <w:tr2bl w:val="nil"/>
                  </w:tcBorders>
                  <w:vAlign w:val="center"/>
                </w:tcPr>
                <w:p w14:paraId="2D2EC8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490" w:type="dxa"/>
                  <w:vMerge w:val="continue"/>
                  <w:tcBorders>
                    <w:tl2br w:val="nil"/>
                    <w:tr2bl w:val="nil"/>
                  </w:tcBorders>
                  <w:vAlign w:val="center"/>
                </w:tcPr>
                <w:p w14:paraId="544B6E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auto"/>
                      <w:sz w:val="21"/>
                      <w:szCs w:val="21"/>
                      <w:u w:val="none"/>
                    </w:rPr>
                  </w:pPr>
                </w:p>
              </w:tc>
              <w:tc>
                <w:tcPr>
                  <w:tcW w:w="774" w:type="dxa"/>
                  <w:tcBorders>
                    <w:tl2br w:val="nil"/>
                    <w:tr2bl w:val="nil"/>
                  </w:tcBorders>
                  <w:vAlign w:val="center"/>
                </w:tcPr>
                <w:p w14:paraId="53FF572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0.115 </w:t>
                  </w:r>
                </w:p>
              </w:tc>
              <w:tc>
                <w:tcPr>
                  <w:tcW w:w="697" w:type="dxa"/>
                  <w:tcBorders>
                    <w:tl2br w:val="nil"/>
                    <w:tr2bl w:val="nil"/>
                  </w:tcBorders>
                  <w:vAlign w:val="center"/>
                </w:tcPr>
                <w:p w14:paraId="4F8482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471" w:type="dxa"/>
                  <w:vMerge w:val="continue"/>
                  <w:tcBorders>
                    <w:tl2br w:val="nil"/>
                    <w:tr2bl w:val="nil"/>
                  </w:tcBorders>
                  <w:vAlign w:val="center"/>
                </w:tcPr>
                <w:p w14:paraId="610FB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404" w:type="dxa"/>
                  <w:vMerge w:val="continue"/>
                  <w:tcBorders>
                    <w:tl2br w:val="nil"/>
                    <w:tr2bl w:val="nil"/>
                  </w:tcBorders>
                  <w:vAlign w:val="center"/>
                </w:tcPr>
                <w:p w14:paraId="34271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502" w:type="dxa"/>
                  <w:vMerge w:val="continue"/>
                  <w:tcBorders>
                    <w:tl2br w:val="nil"/>
                    <w:tr2bl w:val="nil"/>
                  </w:tcBorders>
                  <w:vAlign w:val="center"/>
                </w:tcPr>
                <w:p w14:paraId="43923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c>
                <w:tcPr>
                  <w:tcW w:w="757" w:type="dxa"/>
                  <w:vMerge w:val="continue"/>
                  <w:tcBorders>
                    <w:tl2br w:val="nil"/>
                    <w:tr2bl w:val="nil"/>
                  </w:tcBorders>
                  <w:vAlign w:val="center"/>
                </w:tcPr>
                <w:p w14:paraId="43ECA0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u w:val="none"/>
                      <w:lang w:val="en-US" w:eastAsia="zh-CN" w:bidi="ar"/>
                    </w:rPr>
                  </w:pPr>
                </w:p>
              </w:tc>
            </w:tr>
          </w:tbl>
          <w:p w14:paraId="5156D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rPr>
            </w:pPr>
            <w:r>
              <w:rPr>
                <w:rFonts w:hint="default" w:ascii="Times New Roman" w:hAnsi="Times New Roman" w:eastAsia="宋体" w:cs="Times New Roman"/>
                <w:b/>
                <w:color w:val="auto"/>
                <w:sz w:val="24"/>
                <w:szCs w:val="24"/>
              </w:rPr>
              <w:t>表4-</w:t>
            </w:r>
            <w:r>
              <w:rPr>
                <w:rFonts w:hint="eastAsia" w:cs="Times New Roman"/>
                <w:b/>
                <w:color w:val="auto"/>
                <w:sz w:val="24"/>
                <w:szCs w:val="24"/>
                <w:lang w:val="en-US" w:eastAsia="zh-CN"/>
              </w:rPr>
              <w:t>2</w:t>
            </w:r>
            <w:r>
              <w:rPr>
                <w:rFonts w:hint="default" w:ascii="Times New Roman" w:hAnsi="Times New Roman" w:eastAsia="宋体" w:cs="Times New Roman"/>
                <w:b/>
                <w:color w:val="auto"/>
                <w:sz w:val="24"/>
                <w:szCs w:val="24"/>
              </w:rPr>
              <w:t xml:space="preserve"> 项目</w:t>
            </w:r>
            <w:r>
              <w:rPr>
                <w:rFonts w:hint="eastAsia" w:ascii="Times New Roman" w:hAnsi="Times New Roman" w:eastAsia="宋体" w:cs="Times New Roman"/>
                <w:b/>
                <w:color w:val="auto"/>
                <w:sz w:val="24"/>
                <w:szCs w:val="24"/>
              </w:rPr>
              <w:t>废水污染源源强</w:t>
            </w:r>
            <w:r>
              <w:rPr>
                <w:rFonts w:hint="default" w:ascii="Times New Roman" w:hAnsi="Times New Roman" w:eastAsia="宋体" w:cs="Times New Roman"/>
                <w:b/>
                <w:color w:val="auto"/>
                <w:sz w:val="24"/>
                <w:szCs w:val="24"/>
              </w:rPr>
              <w:t>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027"/>
              <w:gridCol w:w="946"/>
              <w:gridCol w:w="1091"/>
              <w:gridCol w:w="1107"/>
              <w:gridCol w:w="762"/>
              <w:gridCol w:w="865"/>
              <w:gridCol w:w="1107"/>
            </w:tblGrid>
            <w:tr w14:paraId="3A4F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3" w:type="dxa"/>
                  <w:vMerge w:val="restart"/>
                  <w:tcBorders>
                    <w:tl2br w:val="nil"/>
                    <w:tr2bl w:val="nil"/>
                  </w:tcBorders>
                  <w:vAlign w:val="center"/>
                </w:tcPr>
                <w:p w14:paraId="01EE18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废水量（</w:t>
                  </w:r>
                  <w:r>
                    <w:rPr>
                      <w:rFonts w:hint="default" w:ascii="Times New Roman" w:hAnsi="Times New Roman" w:cs="Times New Roman"/>
                      <w:b/>
                      <w:bCs/>
                      <w:i w:val="0"/>
                      <w:iCs w:val="0"/>
                      <w:color w:val="auto"/>
                      <w:kern w:val="0"/>
                      <w:sz w:val="21"/>
                      <w:szCs w:val="21"/>
                      <w:u w:val="none"/>
                      <w:lang w:val="en-US" w:eastAsia="zh-CN" w:bidi="ar"/>
                    </w:rPr>
                    <w:t>m</w:t>
                  </w:r>
                  <w:r>
                    <w:rPr>
                      <w:rFonts w:hint="default" w:ascii="Times New Roman" w:hAnsi="Times New Roman" w:cs="Times New Roman"/>
                      <w:b/>
                      <w:bCs/>
                      <w:i w:val="0"/>
                      <w:iCs w:val="0"/>
                      <w:color w:val="auto"/>
                      <w:kern w:val="0"/>
                      <w:sz w:val="21"/>
                      <w:szCs w:val="21"/>
                      <w:u w:val="none"/>
                      <w:vertAlign w:val="superscript"/>
                      <w:lang w:val="en-US" w:eastAsia="zh-CN" w:bidi="ar"/>
                    </w:rPr>
                    <w:t>3</w:t>
                  </w:r>
                  <w:r>
                    <w:rPr>
                      <w:rFonts w:hint="default" w:ascii="Times New Roman" w:hAnsi="Times New Roman" w:cs="Times New Roman"/>
                      <w:b/>
                      <w:bCs/>
                      <w:i w:val="0"/>
                      <w:iCs w:val="0"/>
                      <w:color w:val="auto"/>
                      <w:kern w:val="0"/>
                      <w:sz w:val="21"/>
                      <w:szCs w:val="21"/>
                      <w:u w:val="none"/>
                      <w:lang w:val="en-US" w:eastAsia="zh-CN" w:bidi="ar"/>
                    </w:rPr>
                    <w:t>/a</w:t>
                  </w:r>
                  <w:r>
                    <w:rPr>
                      <w:rFonts w:hint="default" w:ascii="Times New Roman" w:hAnsi="Times New Roman" w:eastAsia="宋体" w:cs="Times New Roman"/>
                      <w:b/>
                      <w:bCs/>
                      <w:i w:val="0"/>
                      <w:iCs w:val="0"/>
                      <w:color w:val="auto"/>
                      <w:kern w:val="0"/>
                      <w:sz w:val="21"/>
                      <w:szCs w:val="21"/>
                      <w:u w:val="none"/>
                      <w:lang w:val="en-US" w:eastAsia="zh-CN" w:bidi="ar"/>
                    </w:rPr>
                    <w:t>）</w:t>
                  </w:r>
                </w:p>
              </w:tc>
              <w:tc>
                <w:tcPr>
                  <w:tcW w:w="942" w:type="dxa"/>
                  <w:vMerge w:val="restart"/>
                  <w:tcBorders>
                    <w:tl2br w:val="nil"/>
                    <w:tr2bl w:val="nil"/>
                  </w:tcBorders>
                  <w:vAlign w:val="center"/>
                </w:tcPr>
                <w:p w14:paraId="14E7F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污染物种类</w:t>
                  </w:r>
                </w:p>
              </w:tc>
              <w:tc>
                <w:tcPr>
                  <w:tcW w:w="1867" w:type="dxa"/>
                  <w:gridSpan w:val="2"/>
                  <w:tcBorders>
                    <w:tl2br w:val="nil"/>
                    <w:tr2bl w:val="nil"/>
                  </w:tcBorders>
                  <w:vAlign w:val="center"/>
                </w:tcPr>
                <w:p w14:paraId="471D0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产生情况</w:t>
                  </w:r>
                </w:p>
              </w:tc>
              <w:tc>
                <w:tcPr>
                  <w:tcW w:w="1714" w:type="dxa"/>
                  <w:gridSpan w:val="2"/>
                  <w:tcBorders>
                    <w:tl2br w:val="nil"/>
                    <w:tr2bl w:val="nil"/>
                  </w:tcBorders>
                  <w:vAlign w:val="center"/>
                </w:tcPr>
                <w:p w14:paraId="67BF4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治理措施</w:t>
                  </w:r>
                </w:p>
              </w:tc>
              <w:tc>
                <w:tcPr>
                  <w:tcW w:w="1808" w:type="dxa"/>
                  <w:gridSpan w:val="2"/>
                  <w:tcBorders>
                    <w:tl2br w:val="nil"/>
                    <w:tr2bl w:val="nil"/>
                  </w:tcBorders>
                  <w:vAlign w:val="center"/>
                </w:tcPr>
                <w:p w14:paraId="137EC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排放情况</w:t>
                  </w:r>
                </w:p>
              </w:tc>
            </w:tr>
            <w:tr w14:paraId="5C97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3" w:type="dxa"/>
                  <w:vMerge w:val="continue"/>
                  <w:tcBorders>
                    <w:tl2br w:val="nil"/>
                    <w:tr2bl w:val="nil"/>
                  </w:tcBorders>
                  <w:vAlign w:val="center"/>
                </w:tcPr>
                <w:p w14:paraId="06AD26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u w:val="none"/>
                    </w:rPr>
                  </w:pPr>
                </w:p>
              </w:tc>
              <w:tc>
                <w:tcPr>
                  <w:tcW w:w="942" w:type="dxa"/>
                  <w:vMerge w:val="continue"/>
                  <w:tcBorders>
                    <w:tl2br w:val="nil"/>
                    <w:tr2bl w:val="nil"/>
                  </w:tcBorders>
                  <w:vAlign w:val="center"/>
                </w:tcPr>
                <w:p w14:paraId="67B4F3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
                      <w:bCs/>
                      <w:i w:val="0"/>
                      <w:iCs w:val="0"/>
                      <w:color w:val="auto"/>
                      <w:sz w:val="21"/>
                      <w:szCs w:val="21"/>
                      <w:u w:val="none"/>
                    </w:rPr>
                  </w:pPr>
                </w:p>
              </w:tc>
              <w:tc>
                <w:tcPr>
                  <w:tcW w:w="867" w:type="dxa"/>
                  <w:tcBorders>
                    <w:tl2br w:val="nil"/>
                    <w:tr2bl w:val="nil"/>
                  </w:tcBorders>
                  <w:vAlign w:val="center"/>
                </w:tcPr>
                <w:p w14:paraId="06871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产生量（t/a）</w:t>
                  </w:r>
                </w:p>
              </w:tc>
              <w:tc>
                <w:tcPr>
                  <w:tcW w:w="1000" w:type="dxa"/>
                  <w:tcBorders>
                    <w:tl2br w:val="nil"/>
                    <w:tr2bl w:val="nil"/>
                  </w:tcBorders>
                  <w:vAlign w:val="center"/>
                </w:tcPr>
                <w:p w14:paraId="0C47F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浓度</w:t>
                  </w:r>
                </w:p>
                <w:p w14:paraId="37C75B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（mg/L）</w:t>
                  </w:r>
                </w:p>
              </w:tc>
              <w:tc>
                <w:tcPr>
                  <w:tcW w:w="1015" w:type="dxa"/>
                  <w:tcBorders>
                    <w:tl2br w:val="nil"/>
                    <w:tr2bl w:val="nil"/>
                  </w:tcBorders>
                  <w:vAlign w:val="center"/>
                </w:tcPr>
                <w:p w14:paraId="4BF78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lang w:val="en-US"/>
                    </w:rPr>
                  </w:pPr>
                  <w:r>
                    <w:rPr>
                      <w:rFonts w:hint="default" w:ascii="Times New Roman" w:hAnsi="Times New Roman" w:eastAsia="宋体" w:cs="Times New Roman"/>
                      <w:b/>
                      <w:bCs/>
                      <w:i w:val="0"/>
                      <w:iCs w:val="0"/>
                      <w:color w:val="auto"/>
                      <w:kern w:val="0"/>
                      <w:sz w:val="21"/>
                      <w:szCs w:val="21"/>
                      <w:u w:val="none"/>
                      <w:lang w:val="en-US" w:eastAsia="zh-CN" w:bidi="ar"/>
                    </w:rPr>
                    <w:t>处理措施</w:t>
                  </w:r>
                </w:p>
              </w:tc>
              <w:tc>
                <w:tcPr>
                  <w:tcW w:w="699" w:type="dxa"/>
                  <w:tcBorders>
                    <w:tl2br w:val="nil"/>
                    <w:tr2bl w:val="nil"/>
                  </w:tcBorders>
                  <w:vAlign w:val="center"/>
                </w:tcPr>
                <w:p w14:paraId="7E28E0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是否可行技术</w:t>
                  </w:r>
                </w:p>
              </w:tc>
              <w:tc>
                <w:tcPr>
                  <w:tcW w:w="793" w:type="dxa"/>
                  <w:tcBorders>
                    <w:tl2br w:val="nil"/>
                    <w:tr2bl w:val="nil"/>
                  </w:tcBorders>
                  <w:vAlign w:val="center"/>
                </w:tcPr>
                <w:p w14:paraId="3DBFD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排放量（t/a）</w:t>
                  </w:r>
                </w:p>
              </w:tc>
              <w:tc>
                <w:tcPr>
                  <w:tcW w:w="1015" w:type="dxa"/>
                  <w:tcBorders>
                    <w:tl2br w:val="nil"/>
                    <w:tr2bl w:val="nil"/>
                  </w:tcBorders>
                  <w:vAlign w:val="center"/>
                </w:tcPr>
                <w:p w14:paraId="05114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bCs/>
                      <w:i w:val="0"/>
                      <w:iCs w:val="0"/>
                      <w:color w:val="auto"/>
                      <w:kern w:val="0"/>
                      <w:sz w:val="21"/>
                      <w:szCs w:val="21"/>
                      <w:u w:val="none"/>
                      <w:lang w:val="en-US" w:eastAsia="zh-CN" w:bidi="ar"/>
                    </w:rPr>
                    <w:t>浓度</w:t>
                  </w:r>
                </w:p>
                <w:p w14:paraId="50430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（mg/L）</w:t>
                  </w:r>
                </w:p>
              </w:tc>
            </w:tr>
            <w:tr w14:paraId="3F24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3" w:type="dxa"/>
                  <w:vMerge w:val="restart"/>
                  <w:tcBorders>
                    <w:tl2br w:val="nil"/>
                    <w:tr2bl w:val="nil"/>
                  </w:tcBorders>
                  <w:shd w:val="clear" w:color="auto" w:fill="auto"/>
                  <w:vAlign w:val="center"/>
                </w:tcPr>
                <w:p w14:paraId="5E57A0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cs="Times New Roman"/>
                      <w:i w:val="0"/>
                      <w:iCs w:val="0"/>
                      <w:color w:val="auto"/>
                      <w:kern w:val="0"/>
                      <w:sz w:val="21"/>
                      <w:szCs w:val="21"/>
                      <w:u w:val="none"/>
                      <w:lang w:val="en-US" w:eastAsia="zh-CN" w:bidi="ar"/>
                    </w:rPr>
                    <w:t>总排口混合废水（</w:t>
                  </w:r>
                  <w:r>
                    <w:rPr>
                      <w:rFonts w:hint="eastAsia" w:cs="Times New Roman"/>
                      <w:i w:val="0"/>
                      <w:iCs w:val="0"/>
                      <w:color w:val="auto"/>
                      <w:kern w:val="0"/>
                      <w:sz w:val="21"/>
                      <w:szCs w:val="21"/>
                      <w:u w:val="none"/>
                      <w:lang w:val="en-US" w:eastAsia="zh-CN" w:bidi="ar"/>
                    </w:rPr>
                    <w:t>9924</w:t>
                  </w:r>
                  <w:r>
                    <w:rPr>
                      <w:rFonts w:hint="default" w:ascii="Times New Roman" w:hAnsi="Times New Roman" w:cs="Times New Roman"/>
                      <w:i w:val="0"/>
                      <w:iCs w:val="0"/>
                      <w:color w:val="auto"/>
                      <w:kern w:val="0"/>
                      <w:sz w:val="21"/>
                      <w:szCs w:val="21"/>
                      <w:u w:val="none"/>
                      <w:lang w:val="en-US" w:eastAsia="zh-CN" w:bidi="ar"/>
                    </w:rPr>
                    <w:t>m</w:t>
                  </w:r>
                  <w:r>
                    <w:rPr>
                      <w:rFonts w:hint="default" w:ascii="Times New Roman" w:hAnsi="Times New Roman" w:cs="Times New Roman"/>
                      <w:i w:val="0"/>
                      <w:iCs w:val="0"/>
                      <w:color w:val="auto"/>
                      <w:kern w:val="0"/>
                      <w:sz w:val="21"/>
                      <w:szCs w:val="21"/>
                      <w:u w:val="none"/>
                      <w:vertAlign w:val="superscript"/>
                      <w:lang w:val="en-US" w:eastAsia="zh-CN" w:bidi="ar"/>
                    </w:rPr>
                    <w:t>3</w:t>
                  </w:r>
                  <w:r>
                    <w:rPr>
                      <w:rFonts w:hint="default" w:ascii="Times New Roman" w:hAnsi="Times New Roman" w:cs="Times New Roman"/>
                      <w:i w:val="0"/>
                      <w:iCs w:val="0"/>
                      <w:color w:val="auto"/>
                      <w:kern w:val="0"/>
                      <w:sz w:val="21"/>
                      <w:szCs w:val="21"/>
                      <w:u w:val="none"/>
                      <w:lang w:val="en-US" w:eastAsia="zh-CN" w:bidi="ar"/>
                    </w:rPr>
                    <w:t>/a）</w:t>
                  </w:r>
                </w:p>
              </w:tc>
              <w:tc>
                <w:tcPr>
                  <w:tcW w:w="942" w:type="dxa"/>
                  <w:tcBorders>
                    <w:tl2br w:val="nil"/>
                    <w:tr2bl w:val="nil"/>
                  </w:tcBorders>
                  <w:shd w:val="clear" w:color="auto" w:fill="auto"/>
                  <w:vAlign w:val="center"/>
                </w:tcPr>
                <w:p w14:paraId="50524C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cs="Times New Roman"/>
                      <w:color w:val="auto"/>
                      <w:sz w:val="21"/>
                      <w:szCs w:val="21"/>
                      <w:vertAlign w:val="baseline"/>
                      <w:lang w:val="en-US" w:eastAsia="zh-CN"/>
                    </w:rPr>
                    <w:t>COD</w:t>
                  </w:r>
                </w:p>
              </w:tc>
              <w:tc>
                <w:tcPr>
                  <w:tcW w:w="867" w:type="dxa"/>
                  <w:tcBorders>
                    <w:tl2br w:val="nil"/>
                    <w:tr2bl w:val="nil"/>
                  </w:tcBorders>
                  <w:shd w:val="clear" w:color="auto" w:fill="auto"/>
                  <w:vAlign w:val="center"/>
                </w:tcPr>
                <w:p w14:paraId="4C9AD6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1.557 </w:t>
                  </w:r>
                </w:p>
              </w:tc>
              <w:tc>
                <w:tcPr>
                  <w:tcW w:w="1000" w:type="dxa"/>
                  <w:tcBorders>
                    <w:tl2br w:val="nil"/>
                    <w:tr2bl w:val="nil"/>
                  </w:tcBorders>
                  <w:shd w:val="clear" w:color="auto" w:fill="auto"/>
                  <w:vAlign w:val="center"/>
                </w:tcPr>
                <w:p w14:paraId="7ECE6E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156.875 </w:t>
                  </w:r>
                </w:p>
              </w:tc>
              <w:tc>
                <w:tcPr>
                  <w:tcW w:w="1015" w:type="dxa"/>
                  <w:vMerge w:val="restart"/>
                  <w:tcBorders>
                    <w:tl2br w:val="nil"/>
                    <w:tr2bl w:val="nil"/>
                  </w:tcBorders>
                  <w:shd w:val="clear" w:color="auto" w:fill="auto"/>
                  <w:vAlign w:val="center"/>
                </w:tcPr>
                <w:p w14:paraId="4AE121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淮北蓝海水处理有限公司</w:t>
                  </w:r>
                </w:p>
              </w:tc>
              <w:tc>
                <w:tcPr>
                  <w:tcW w:w="699" w:type="dxa"/>
                  <w:vMerge w:val="restart"/>
                  <w:tcBorders>
                    <w:tl2br w:val="nil"/>
                    <w:tr2bl w:val="nil"/>
                  </w:tcBorders>
                  <w:shd w:val="clear" w:color="auto" w:fill="auto"/>
                  <w:vAlign w:val="center"/>
                </w:tcPr>
                <w:p w14:paraId="6326CE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是</w:t>
                  </w:r>
                </w:p>
              </w:tc>
              <w:tc>
                <w:tcPr>
                  <w:tcW w:w="793" w:type="dxa"/>
                  <w:tcBorders>
                    <w:tl2br w:val="nil"/>
                    <w:tr2bl w:val="nil"/>
                  </w:tcBorders>
                  <w:shd w:val="clear" w:color="auto" w:fill="auto"/>
                  <w:vAlign w:val="center"/>
                </w:tcPr>
                <w:p w14:paraId="4B68C5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0.496 </w:t>
                  </w:r>
                </w:p>
              </w:tc>
              <w:tc>
                <w:tcPr>
                  <w:tcW w:w="1015" w:type="dxa"/>
                  <w:tcBorders>
                    <w:tl2br w:val="nil"/>
                    <w:tr2bl w:val="nil"/>
                  </w:tcBorders>
                  <w:shd w:val="clear" w:color="auto" w:fill="auto"/>
                  <w:vAlign w:val="center"/>
                </w:tcPr>
                <w:p w14:paraId="1EE806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w:t>
                  </w:r>
                </w:p>
              </w:tc>
            </w:tr>
            <w:tr w14:paraId="6F50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3" w:type="dxa"/>
                  <w:vMerge w:val="continue"/>
                  <w:tcBorders>
                    <w:tl2br w:val="nil"/>
                    <w:tr2bl w:val="nil"/>
                  </w:tcBorders>
                  <w:vAlign w:val="center"/>
                </w:tcPr>
                <w:p w14:paraId="6CB0ED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p>
              </w:tc>
              <w:tc>
                <w:tcPr>
                  <w:tcW w:w="942" w:type="dxa"/>
                  <w:tcBorders>
                    <w:tl2br w:val="nil"/>
                    <w:tr2bl w:val="nil"/>
                  </w:tcBorders>
                  <w:shd w:val="clear" w:color="auto" w:fill="auto"/>
                  <w:vAlign w:val="center"/>
                </w:tcPr>
                <w:p w14:paraId="27840B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cs="Times New Roman"/>
                      <w:color w:val="auto"/>
                      <w:sz w:val="21"/>
                      <w:szCs w:val="21"/>
                      <w:vertAlign w:val="baseline"/>
                      <w:lang w:val="en-US" w:eastAsia="zh-CN"/>
                    </w:rPr>
                    <w:t>BOD</w:t>
                  </w:r>
                  <w:r>
                    <w:rPr>
                      <w:rFonts w:hint="default" w:ascii="Times New Roman" w:hAnsi="Times New Roman" w:cs="Times New Roman"/>
                      <w:color w:val="auto"/>
                      <w:sz w:val="21"/>
                      <w:szCs w:val="21"/>
                      <w:vertAlign w:val="subscript"/>
                      <w:lang w:val="en-US" w:eastAsia="zh-CN"/>
                    </w:rPr>
                    <w:t>5</w:t>
                  </w:r>
                </w:p>
              </w:tc>
              <w:tc>
                <w:tcPr>
                  <w:tcW w:w="867" w:type="dxa"/>
                  <w:tcBorders>
                    <w:tl2br w:val="nil"/>
                    <w:tr2bl w:val="nil"/>
                  </w:tcBorders>
                  <w:shd w:val="clear" w:color="auto" w:fill="auto"/>
                  <w:vAlign w:val="center"/>
                </w:tcPr>
                <w:p w14:paraId="1610E6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0.182 </w:t>
                  </w:r>
                </w:p>
              </w:tc>
              <w:tc>
                <w:tcPr>
                  <w:tcW w:w="1000" w:type="dxa"/>
                  <w:tcBorders>
                    <w:tl2br w:val="nil"/>
                    <w:tr2bl w:val="nil"/>
                  </w:tcBorders>
                  <w:shd w:val="clear" w:color="auto" w:fill="auto"/>
                  <w:vAlign w:val="center"/>
                </w:tcPr>
                <w:p w14:paraId="647D43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18.380 </w:t>
                  </w:r>
                </w:p>
              </w:tc>
              <w:tc>
                <w:tcPr>
                  <w:tcW w:w="1015" w:type="dxa"/>
                  <w:vMerge w:val="continue"/>
                  <w:tcBorders>
                    <w:tl2br w:val="nil"/>
                    <w:tr2bl w:val="nil"/>
                  </w:tcBorders>
                  <w:vAlign w:val="center"/>
                </w:tcPr>
                <w:p w14:paraId="4E4AAB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99" w:type="dxa"/>
                  <w:vMerge w:val="continue"/>
                  <w:tcBorders>
                    <w:tl2br w:val="nil"/>
                    <w:tr2bl w:val="nil"/>
                  </w:tcBorders>
                  <w:vAlign w:val="center"/>
                </w:tcPr>
                <w:p w14:paraId="3FD628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93" w:type="dxa"/>
                  <w:tcBorders>
                    <w:tl2br w:val="nil"/>
                    <w:tr2bl w:val="nil"/>
                  </w:tcBorders>
                  <w:shd w:val="clear" w:color="auto" w:fill="auto"/>
                  <w:vAlign w:val="center"/>
                </w:tcPr>
                <w:p w14:paraId="20E5C6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0.099 </w:t>
                  </w:r>
                </w:p>
              </w:tc>
              <w:tc>
                <w:tcPr>
                  <w:tcW w:w="1015" w:type="dxa"/>
                  <w:tcBorders>
                    <w:tl2br w:val="nil"/>
                    <w:tr2bl w:val="nil"/>
                  </w:tcBorders>
                  <w:shd w:val="clear" w:color="auto" w:fill="auto"/>
                  <w:vAlign w:val="center"/>
                </w:tcPr>
                <w:p w14:paraId="4ED5DB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3B8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3" w:type="dxa"/>
                  <w:vMerge w:val="continue"/>
                  <w:tcBorders>
                    <w:tl2br w:val="nil"/>
                    <w:tr2bl w:val="nil"/>
                  </w:tcBorders>
                  <w:vAlign w:val="center"/>
                </w:tcPr>
                <w:p w14:paraId="1AA582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p>
              </w:tc>
              <w:tc>
                <w:tcPr>
                  <w:tcW w:w="942" w:type="dxa"/>
                  <w:tcBorders>
                    <w:tl2br w:val="nil"/>
                    <w:tr2bl w:val="nil"/>
                  </w:tcBorders>
                  <w:shd w:val="clear" w:color="auto" w:fill="auto"/>
                  <w:vAlign w:val="center"/>
                </w:tcPr>
                <w:p w14:paraId="70A109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cs="Times New Roman"/>
                      <w:color w:val="auto"/>
                      <w:sz w:val="21"/>
                      <w:szCs w:val="21"/>
                      <w:vertAlign w:val="baseline"/>
                      <w:lang w:val="en-US" w:eastAsia="zh-CN"/>
                    </w:rPr>
                    <w:t>SS</w:t>
                  </w:r>
                </w:p>
              </w:tc>
              <w:tc>
                <w:tcPr>
                  <w:tcW w:w="867" w:type="dxa"/>
                  <w:tcBorders>
                    <w:tl2br w:val="nil"/>
                    <w:tr2bl w:val="nil"/>
                  </w:tcBorders>
                  <w:shd w:val="clear" w:color="auto" w:fill="auto"/>
                  <w:vAlign w:val="center"/>
                </w:tcPr>
                <w:p w14:paraId="075C69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1.642 </w:t>
                  </w:r>
                </w:p>
              </w:tc>
              <w:tc>
                <w:tcPr>
                  <w:tcW w:w="1000" w:type="dxa"/>
                  <w:tcBorders>
                    <w:tl2br w:val="nil"/>
                    <w:tr2bl w:val="nil"/>
                  </w:tcBorders>
                  <w:shd w:val="clear" w:color="auto" w:fill="auto"/>
                  <w:vAlign w:val="center"/>
                </w:tcPr>
                <w:p w14:paraId="2362D3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165.470 </w:t>
                  </w:r>
                </w:p>
              </w:tc>
              <w:tc>
                <w:tcPr>
                  <w:tcW w:w="1015" w:type="dxa"/>
                  <w:vMerge w:val="continue"/>
                  <w:tcBorders>
                    <w:tl2br w:val="nil"/>
                    <w:tr2bl w:val="nil"/>
                  </w:tcBorders>
                  <w:vAlign w:val="center"/>
                </w:tcPr>
                <w:p w14:paraId="21B43B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99" w:type="dxa"/>
                  <w:vMerge w:val="continue"/>
                  <w:tcBorders>
                    <w:tl2br w:val="nil"/>
                    <w:tr2bl w:val="nil"/>
                  </w:tcBorders>
                  <w:vAlign w:val="center"/>
                </w:tcPr>
                <w:p w14:paraId="7610FC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93" w:type="dxa"/>
                  <w:tcBorders>
                    <w:tl2br w:val="nil"/>
                    <w:tr2bl w:val="nil"/>
                  </w:tcBorders>
                  <w:shd w:val="clear" w:color="auto" w:fill="auto"/>
                  <w:vAlign w:val="center"/>
                </w:tcPr>
                <w:p w14:paraId="290313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0.099 </w:t>
                  </w:r>
                </w:p>
              </w:tc>
              <w:tc>
                <w:tcPr>
                  <w:tcW w:w="1015" w:type="dxa"/>
                  <w:tcBorders>
                    <w:tl2br w:val="nil"/>
                    <w:tr2bl w:val="nil"/>
                  </w:tcBorders>
                  <w:shd w:val="clear" w:color="auto" w:fill="auto"/>
                  <w:vAlign w:val="center"/>
                </w:tcPr>
                <w:p w14:paraId="1EF9EE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w:t>
                  </w:r>
                </w:p>
              </w:tc>
            </w:tr>
            <w:tr w14:paraId="440B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3" w:type="dxa"/>
                  <w:vMerge w:val="continue"/>
                  <w:tcBorders>
                    <w:tl2br w:val="nil"/>
                    <w:tr2bl w:val="nil"/>
                  </w:tcBorders>
                  <w:vAlign w:val="center"/>
                </w:tcPr>
                <w:p w14:paraId="7F45E4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cs="Times New Roman"/>
                      <w:i w:val="0"/>
                      <w:iCs w:val="0"/>
                      <w:color w:val="auto"/>
                      <w:kern w:val="0"/>
                      <w:sz w:val="21"/>
                      <w:szCs w:val="21"/>
                      <w:u w:val="none"/>
                      <w:lang w:val="en-US" w:eastAsia="zh-CN" w:bidi="ar"/>
                    </w:rPr>
                  </w:pPr>
                </w:p>
              </w:tc>
              <w:tc>
                <w:tcPr>
                  <w:tcW w:w="942" w:type="dxa"/>
                  <w:tcBorders>
                    <w:tl2br w:val="nil"/>
                    <w:tr2bl w:val="nil"/>
                  </w:tcBorders>
                  <w:shd w:val="clear" w:color="auto" w:fill="auto"/>
                  <w:vAlign w:val="center"/>
                </w:tcPr>
                <w:p w14:paraId="7B4754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cs="Times New Roman"/>
                      <w:color w:val="auto"/>
                      <w:sz w:val="21"/>
                      <w:szCs w:val="21"/>
                      <w:vertAlign w:val="baseline"/>
                      <w:lang w:val="en-US" w:eastAsia="zh-CN"/>
                    </w:rPr>
                    <w:t>NH</w:t>
                  </w:r>
                  <w:r>
                    <w:rPr>
                      <w:rFonts w:hint="default" w:ascii="Times New Roman" w:hAnsi="Times New Roman" w:cs="Times New Roman"/>
                      <w:color w:val="auto"/>
                      <w:sz w:val="21"/>
                      <w:szCs w:val="21"/>
                      <w:vertAlign w:val="subscript"/>
                      <w:lang w:val="en-US" w:eastAsia="zh-CN"/>
                    </w:rPr>
                    <w:t>3</w:t>
                  </w:r>
                  <w:r>
                    <w:rPr>
                      <w:rFonts w:hint="default" w:ascii="Times New Roman" w:hAnsi="Times New Roman" w:cs="Times New Roman"/>
                      <w:color w:val="auto"/>
                      <w:sz w:val="21"/>
                      <w:szCs w:val="21"/>
                      <w:vertAlign w:val="baseline"/>
                      <w:lang w:val="en-US" w:eastAsia="zh-CN"/>
                    </w:rPr>
                    <w:t>-H</w:t>
                  </w:r>
                </w:p>
              </w:tc>
              <w:tc>
                <w:tcPr>
                  <w:tcW w:w="867" w:type="dxa"/>
                  <w:tcBorders>
                    <w:tl2br w:val="nil"/>
                    <w:tr2bl w:val="nil"/>
                  </w:tcBorders>
                  <w:shd w:val="clear" w:color="auto" w:fill="auto"/>
                  <w:vAlign w:val="center"/>
                </w:tcPr>
                <w:p w14:paraId="252385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0.055 </w:t>
                  </w:r>
                </w:p>
              </w:tc>
              <w:tc>
                <w:tcPr>
                  <w:tcW w:w="1000" w:type="dxa"/>
                  <w:tcBorders>
                    <w:tl2br w:val="nil"/>
                    <w:tr2bl w:val="nil"/>
                  </w:tcBorders>
                  <w:shd w:val="clear" w:color="auto" w:fill="auto"/>
                  <w:vAlign w:val="center"/>
                </w:tcPr>
                <w:p w14:paraId="797030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5.514 </w:t>
                  </w:r>
                </w:p>
              </w:tc>
              <w:tc>
                <w:tcPr>
                  <w:tcW w:w="1015" w:type="dxa"/>
                  <w:vMerge w:val="continue"/>
                  <w:tcBorders>
                    <w:tl2br w:val="nil"/>
                    <w:tr2bl w:val="nil"/>
                  </w:tcBorders>
                  <w:vAlign w:val="center"/>
                </w:tcPr>
                <w:p w14:paraId="65D2C2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99" w:type="dxa"/>
                  <w:vMerge w:val="continue"/>
                  <w:tcBorders>
                    <w:tl2br w:val="nil"/>
                    <w:tr2bl w:val="nil"/>
                  </w:tcBorders>
                  <w:vAlign w:val="center"/>
                </w:tcPr>
                <w:p w14:paraId="28D771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93" w:type="dxa"/>
                  <w:tcBorders>
                    <w:tl2br w:val="nil"/>
                    <w:tr2bl w:val="nil"/>
                  </w:tcBorders>
                  <w:shd w:val="clear" w:color="auto" w:fill="auto"/>
                  <w:vAlign w:val="center"/>
                </w:tcPr>
                <w:p w14:paraId="09D6F5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0.050 </w:t>
                  </w:r>
                </w:p>
              </w:tc>
              <w:tc>
                <w:tcPr>
                  <w:tcW w:w="1015" w:type="dxa"/>
                  <w:tcBorders>
                    <w:tl2br w:val="nil"/>
                    <w:tr2bl w:val="nil"/>
                  </w:tcBorders>
                  <w:shd w:val="clear" w:color="auto" w:fill="auto"/>
                  <w:vAlign w:val="center"/>
                </w:tcPr>
                <w:p w14:paraId="3F579B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w:t>
                  </w:r>
                </w:p>
              </w:tc>
            </w:tr>
          </w:tbl>
          <w:p w14:paraId="42803833">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cs="宋体"/>
                <w:b/>
                <w:bCs/>
                <w:sz w:val="24"/>
                <w:szCs w:val="24"/>
                <w:lang w:val="en-US" w:eastAsia="zh-CN"/>
              </w:rPr>
            </w:pPr>
            <w:r>
              <w:rPr>
                <w:rFonts w:hint="eastAsia" w:cs="宋体"/>
                <w:b/>
                <w:bCs/>
                <w:sz w:val="24"/>
                <w:szCs w:val="24"/>
                <w:lang w:val="en-US" w:eastAsia="zh-CN"/>
              </w:rPr>
              <w:t>1.2 废水处理可行性分析</w:t>
            </w:r>
          </w:p>
          <w:p w14:paraId="10C21E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（1）淮北蓝海水处理有限公司</w:t>
            </w:r>
            <w:r>
              <w:rPr>
                <w:rFonts w:hint="default" w:ascii="Times New Roman" w:hAnsi="Times New Roman" w:eastAsia="宋体" w:cs="Times New Roman"/>
                <w:bCs/>
                <w:color w:val="auto"/>
                <w:sz w:val="24"/>
                <w:szCs w:val="24"/>
                <w:lang w:val="en-US" w:eastAsia="zh-CN"/>
              </w:rPr>
              <w:t>概况</w:t>
            </w:r>
          </w:p>
          <w:p w14:paraId="25A872E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淮北蓝海水处理有限公司于2014年建设，目前已建成并投入运营。淮北蓝海水处理有限公司一期规模2万m</w:t>
            </w:r>
            <w:r>
              <w:rPr>
                <w:rFonts w:hint="eastAsia" w:ascii="Times New Roman" w:hAnsi="Times New Roman" w:eastAsia="宋体" w:cs="Times New Roman"/>
                <w:bCs/>
                <w:color w:val="auto"/>
                <w:sz w:val="24"/>
                <w:szCs w:val="24"/>
                <w:vertAlign w:val="superscript"/>
                <w:lang w:val="en-US" w:eastAsia="zh-CN"/>
              </w:rPr>
              <w:t>3</w:t>
            </w:r>
            <w:r>
              <w:rPr>
                <w:rFonts w:hint="eastAsia" w:ascii="Times New Roman" w:hAnsi="Times New Roman" w:eastAsia="宋体" w:cs="Times New Roman"/>
                <w:bCs/>
                <w:color w:val="auto"/>
                <w:sz w:val="24"/>
                <w:szCs w:val="24"/>
                <w:lang w:val="en-US" w:eastAsia="zh-CN"/>
              </w:rPr>
              <w:t>/d，位于滨河路与土山路交口东南角。处理工艺为：曝气生物滤池+转盘滤池+二氧化氯消毒，废水经处理后达到《城镇排水公司污染物排放标准》（GB18918-2002）中一级A排放标准，一部分排入萧濉新河，一部分作为中水回用。中水主要用途：作为平原电厂冷却水，其余排入萧濉新河。</w:t>
            </w:r>
          </w:p>
          <w:p w14:paraId="7876C8B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（2）污废水接管的水量的可行性分析</w:t>
            </w:r>
          </w:p>
          <w:p w14:paraId="1FE8942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本项目</w:t>
            </w:r>
            <w:r>
              <w:rPr>
                <w:rFonts w:hint="eastAsia" w:cs="Times New Roman"/>
                <w:bCs/>
                <w:color w:val="auto"/>
                <w:sz w:val="24"/>
                <w:szCs w:val="24"/>
                <w:lang w:val="en-US" w:eastAsia="zh-CN"/>
              </w:rPr>
              <w:t>废水</w:t>
            </w:r>
            <w:r>
              <w:rPr>
                <w:rFonts w:hint="eastAsia" w:ascii="Times New Roman" w:hAnsi="Times New Roman" w:eastAsia="宋体" w:cs="Times New Roman"/>
                <w:bCs/>
                <w:color w:val="auto"/>
                <w:sz w:val="24"/>
                <w:szCs w:val="24"/>
                <w:lang w:val="en-US" w:eastAsia="zh-CN"/>
              </w:rPr>
              <w:t>排放量约为</w:t>
            </w:r>
            <w:r>
              <w:rPr>
                <w:rFonts w:hint="eastAsia" w:cs="Times New Roman"/>
                <w:bCs/>
                <w:color w:val="auto"/>
                <w:sz w:val="24"/>
                <w:szCs w:val="24"/>
                <w:lang w:val="en-US" w:eastAsia="zh-CN"/>
              </w:rPr>
              <w:t>27.189</w:t>
            </w:r>
            <w:r>
              <w:rPr>
                <w:rFonts w:hint="default" w:ascii="Times New Roman" w:hAnsi="Times New Roman" w:eastAsia="宋体" w:cs="Times New Roman"/>
                <w:bCs/>
                <w:color w:val="auto"/>
                <w:sz w:val="24"/>
                <w:szCs w:val="24"/>
                <w:lang w:val="en-US" w:eastAsia="zh-CN"/>
              </w:rPr>
              <w:t>m</w:t>
            </w:r>
            <w:r>
              <w:rPr>
                <w:rFonts w:hint="default" w:ascii="Times New Roman" w:hAnsi="Times New Roman" w:eastAsia="宋体" w:cs="Times New Roman"/>
                <w:bCs/>
                <w:color w:val="auto"/>
                <w:sz w:val="24"/>
                <w:szCs w:val="24"/>
                <w:vertAlign w:val="superscript"/>
                <w:lang w:val="en-US" w:eastAsia="zh-CN"/>
              </w:rPr>
              <w:t>3</w:t>
            </w:r>
            <w:r>
              <w:rPr>
                <w:rFonts w:hint="default" w:ascii="Times New Roman" w:hAnsi="Times New Roman" w:eastAsia="宋体" w:cs="Times New Roman"/>
                <w:bCs/>
                <w:color w:val="auto"/>
                <w:sz w:val="24"/>
                <w:szCs w:val="24"/>
                <w:lang w:val="en-US" w:eastAsia="zh-CN"/>
              </w:rPr>
              <w:t>/d</w:t>
            </w:r>
            <w:r>
              <w:rPr>
                <w:rFonts w:hint="eastAsia" w:ascii="Times New Roman" w:hAnsi="Times New Roman" w:eastAsia="宋体" w:cs="Times New Roman"/>
                <w:bCs/>
                <w:color w:val="auto"/>
                <w:sz w:val="24"/>
                <w:szCs w:val="24"/>
                <w:lang w:val="en-US" w:eastAsia="zh-CN"/>
              </w:rPr>
              <w:t>。淮北蓝海水处理有限公司</w:t>
            </w:r>
            <w:r>
              <w:rPr>
                <w:rFonts w:hint="default" w:ascii="Times New Roman" w:hAnsi="Times New Roman" w:eastAsia="宋体" w:cs="Times New Roman"/>
                <w:bCs/>
                <w:color w:val="auto"/>
                <w:sz w:val="24"/>
                <w:szCs w:val="24"/>
                <w:lang w:val="en-US" w:eastAsia="zh-CN"/>
              </w:rPr>
              <w:t>实际接纳污水量约</w:t>
            </w:r>
            <w:r>
              <w:rPr>
                <w:rFonts w:hint="eastAsia" w:cs="Times New Roman"/>
                <w:bCs/>
                <w:color w:val="auto"/>
                <w:sz w:val="24"/>
                <w:szCs w:val="24"/>
                <w:lang w:val="en-US" w:eastAsia="zh-CN"/>
              </w:rPr>
              <w:t>占总处理规模的80%。</w:t>
            </w:r>
            <w:r>
              <w:rPr>
                <w:rFonts w:hint="default" w:ascii="Times New Roman" w:hAnsi="Times New Roman" w:eastAsia="宋体" w:cs="Times New Roman"/>
                <w:bCs/>
                <w:color w:val="auto"/>
                <w:sz w:val="24"/>
                <w:szCs w:val="24"/>
                <w:lang w:val="en-US" w:eastAsia="zh-CN"/>
              </w:rPr>
              <w:t>项目建成后，</w:t>
            </w:r>
            <w:r>
              <w:rPr>
                <w:rFonts w:hint="eastAsia" w:ascii="Times New Roman" w:hAnsi="Times New Roman" w:eastAsia="宋体" w:cs="Times New Roman"/>
                <w:bCs/>
                <w:color w:val="auto"/>
                <w:sz w:val="24"/>
                <w:szCs w:val="24"/>
                <w:lang w:val="en-US" w:eastAsia="zh-CN"/>
              </w:rPr>
              <w:t>淮北蓝海水处理有限公司</w:t>
            </w:r>
            <w:r>
              <w:rPr>
                <w:rFonts w:hint="default" w:ascii="Times New Roman" w:hAnsi="Times New Roman" w:eastAsia="宋体" w:cs="Times New Roman"/>
                <w:bCs/>
                <w:color w:val="auto"/>
                <w:sz w:val="24"/>
                <w:szCs w:val="24"/>
                <w:lang w:val="en-US" w:eastAsia="zh-CN"/>
              </w:rPr>
              <w:t>完全有能力接收本项目废水，在水量上不会对污水处理厂造成冲击。可确保本项目接管处理的废水得到有效处理。</w:t>
            </w:r>
          </w:p>
          <w:p w14:paraId="718FA63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（3）污废水接管的水质可行性分析</w:t>
            </w:r>
          </w:p>
          <w:p w14:paraId="1B59351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为了确保污水处理厂废水能稳定达标</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淮北蓝海水处理有限公司给处理接管限值。由工程分析可知</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该项目废水经化粪池处理后出水水质达到淮北蓝海水处理有限公司接管限值，不会对其产生冲击负荷。</w:t>
            </w:r>
          </w:p>
          <w:p w14:paraId="461D028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根据对开发区内污水管网的建设调查和分析，目前雨污分流式污水主干管网的建设已基本实现了全覆盖。根据管网敷设范围，本项目处于其收水范围内。</w:t>
            </w:r>
          </w:p>
          <w:p w14:paraId="69C0BE6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（4）废、污水接管的可行性分析</w:t>
            </w:r>
          </w:p>
          <w:p w14:paraId="7D63E2D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根据对现场污水管网的建设调查和分析，目前雨污分流式污水主干管网的建设已基本实现了全覆盖。根据管网敷设范围，本项目处于其收水范围内，目前已接通。</w:t>
            </w:r>
          </w:p>
          <w:p w14:paraId="160A3FC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（5）处理工艺可行性</w:t>
            </w:r>
          </w:p>
          <w:p w14:paraId="7E54054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4"/>
                <w:lang w:val="en-US" w:eastAsia="zh-CN"/>
              </w:rPr>
            </w:pPr>
            <w:r>
              <w:rPr>
                <w:rFonts w:hint="eastAsia" w:ascii="Times New Roman" w:hAnsi="Times New Roman" w:eastAsia="宋体" w:cs="Times New Roman"/>
                <w:bCs/>
                <w:color w:val="auto"/>
                <w:sz w:val="24"/>
                <w:szCs w:val="24"/>
                <w:lang w:val="en-US" w:eastAsia="zh-CN"/>
              </w:rPr>
              <w:t>淮北蓝海水处理有限公司</w:t>
            </w:r>
            <w:r>
              <w:rPr>
                <w:rFonts w:hint="default" w:ascii="Times New Roman" w:hAnsi="Times New Roman" w:eastAsia="宋体" w:cs="Times New Roman"/>
                <w:bCs/>
                <w:color w:val="auto"/>
                <w:sz w:val="24"/>
                <w:szCs w:val="24"/>
                <w:lang w:val="en-US" w:eastAsia="zh-CN"/>
              </w:rPr>
              <w:t>目前总处理规模为2万m</w:t>
            </w:r>
            <w:r>
              <w:rPr>
                <w:rFonts w:hint="default" w:ascii="Times New Roman" w:hAnsi="Times New Roman" w:eastAsia="宋体" w:cs="Times New Roman"/>
                <w:bCs/>
                <w:color w:val="auto"/>
                <w:sz w:val="24"/>
                <w:szCs w:val="24"/>
                <w:vertAlign w:val="superscript"/>
                <w:lang w:val="en-US" w:eastAsia="zh-CN"/>
              </w:rPr>
              <w:t>3</w:t>
            </w:r>
            <w:r>
              <w:rPr>
                <w:rFonts w:hint="default" w:ascii="Times New Roman" w:hAnsi="Times New Roman" w:eastAsia="宋体" w:cs="Times New Roman"/>
                <w:bCs/>
                <w:color w:val="auto"/>
                <w:sz w:val="24"/>
                <w:szCs w:val="24"/>
                <w:lang w:val="en-US" w:eastAsia="zh-CN"/>
              </w:rPr>
              <w:t>/d，主要去除COD、BOD</w:t>
            </w:r>
            <w:r>
              <w:rPr>
                <w:rFonts w:hint="default" w:ascii="Times New Roman" w:hAnsi="Times New Roman" w:eastAsia="宋体" w:cs="Times New Roman"/>
                <w:bCs/>
                <w:color w:val="auto"/>
                <w:sz w:val="24"/>
                <w:szCs w:val="24"/>
                <w:vertAlign w:val="subscript"/>
                <w:lang w:val="en-US" w:eastAsia="zh-CN"/>
              </w:rPr>
              <w:t>5</w:t>
            </w:r>
            <w:r>
              <w:rPr>
                <w:rFonts w:hint="default" w:ascii="Times New Roman" w:hAnsi="Times New Roman" w:eastAsia="宋体" w:cs="Times New Roman"/>
                <w:bCs/>
                <w:color w:val="auto"/>
                <w:sz w:val="24"/>
                <w:szCs w:val="24"/>
                <w:lang w:val="en-US" w:eastAsia="zh-CN"/>
              </w:rPr>
              <w:t>、氨氮和总磷、石油类。本项目废水量小、水质简单，项目区的废水预处理效果完全在</w:t>
            </w:r>
            <w:r>
              <w:rPr>
                <w:rFonts w:hint="eastAsia" w:ascii="Times New Roman" w:hAnsi="Times New Roman" w:eastAsia="宋体" w:cs="Times New Roman"/>
                <w:bCs/>
                <w:color w:val="auto"/>
                <w:sz w:val="24"/>
                <w:szCs w:val="24"/>
                <w:lang w:val="en-US" w:eastAsia="zh-CN"/>
              </w:rPr>
              <w:t>淮北蓝海水处理有限公司</w:t>
            </w:r>
            <w:r>
              <w:rPr>
                <w:rFonts w:hint="default" w:ascii="Times New Roman" w:hAnsi="Times New Roman" w:eastAsia="宋体" w:cs="Times New Roman"/>
                <w:bCs/>
                <w:color w:val="auto"/>
                <w:sz w:val="24"/>
                <w:szCs w:val="24"/>
                <w:lang w:val="en-US" w:eastAsia="zh-CN"/>
              </w:rPr>
              <w:t>的进水水质范围内，完全可采用污水处理厂的处理工艺进行处理，不会对其工艺造成冲击。</w:t>
            </w:r>
          </w:p>
          <w:p w14:paraId="0E942BA9">
            <w:pPr>
              <w:pStyle w:val="18"/>
              <w:keepNext w:val="0"/>
              <w:keepLines w:val="0"/>
              <w:pageBreakBefore w:val="0"/>
              <w:widowControl w:val="0"/>
              <w:suppressLineNumbers w:val="0"/>
              <w:tabs>
                <w:tab w:val="left" w:pos="180"/>
              </w:tabs>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因此，本项目</w:t>
            </w:r>
            <w:r>
              <w:rPr>
                <w:rFonts w:hint="eastAsia" w:ascii="Times New Roman" w:hAnsi="Times New Roman" w:eastAsia="宋体" w:cs="Times New Roman"/>
                <w:bCs/>
                <w:color w:val="auto"/>
                <w:sz w:val="24"/>
                <w:szCs w:val="24"/>
                <w:lang w:val="en-US" w:eastAsia="zh-CN"/>
              </w:rPr>
              <w:t>废水接管网</w:t>
            </w:r>
            <w:r>
              <w:rPr>
                <w:rFonts w:hint="default" w:ascii="Times New Roman" w:hAnsi="Times New Roman" w:eastAsia="宋体" w:cs="Times New Roman"/>
                <w:bCs/>
                <w:color w:val="auto"/>
                <w:sz w:val="24"/>
                <w:szCs w:val="24"/>
                <w:lang w:val="en-US" w:eastAsia="zh-CN"/>
              </w:rPr>
              <w:t>排入</w:t>
            </w:r>
            <w:r>
              <w:rPr>
                <w:rFonts w:hint="eastAsia" w:ascii="Times New Roman" w:hAnsi="Times New Roman" w:eastAsia="宋体" w:cs="Times New Roman"/>
                <w:bCs/>
                <w:color w:val="auto"/>
                <w:sz w:val="24"/>
                <w:szCs w:val="24"/>
                <w:lang w:val="en-US" w:eastAsia="zh-CN"/>
              </w:rPr>
              <w:t>淮北蓝海水处理有限公司</w:t>
            </w:r>
            <w:r>
              <w:rPr>
                <w:rFonts w:hint="default" w:ascii="Times New Roman" w:hAnsi="Times New Roman" w:eastAsia="宋体" w:cs="Times New Roman"/>
                <w:bCs/>
                <w:color w:val="auto"/>
                <w:sz w:val="24"/>
                <w:szCs w:val="24"/>
                <w:lang w:val="en-US" w:eastAsia="zh-CN"/>
              </w:rPr>
              <w:t>进一步处理，达标</w:t>
            </w:r>
            <w:r>
              <w:rPr>
                <w:rFonts w:hint="eastAsia" w:ascii="Times New Roman" w:hAnsi="Times New Roman" w:eastAsia="宋体" w:cs="Times New Roman"/>
                <w:bCs/>
                <w:color w:val="auto"/>
                <w:sz w:val="24"/>
                <w:szCs w:val="24"/>
                <w:lang w:val="en-US" w:eastAsia="zh-CN"/>
              </w:rPr>
              <w:t>后部分水作为平山电厂冷却循环用水，剩余部分排入萧濉新河</w:t>
            </w:r>
            <w:r>
              <w:rPr>
                <w:rFonts w:hint="default" w:ascii="Times New Roman" w:hAnsi="Times New Roman" w:eastAsia="宋体" w:cs="Times New Roman"/>
                <w:bCs/>
                <w:color w:val="auto"/>
                <w:sz w:val="24"/>
                <w:szCs w:val="24"/>
                <w:lang w:val="en-US" w:eastAsia="zh-CN"/>
              </w:rPr>
              <w:t>，对周边环境影响较小。</w:t>
            </w:r>
          </w:p>
          <w:p w14:paraId="062C1EE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eastAsia" w:cs="宋体"/>
                <w:b/>
                <w:bCs/>
                <w:color w:val="auto"/>
                <w:sz w:val="24"/>
                <w:szCs w:val="24"/>
              </w:rPr>
            </w:pPr>
            <w:r>
              <w:rPr>
                <w:rFonts w:hint="default"/>
                <w:b/>
                <w:bCs/>
                <w:color w:val="auto"/>
                <w:sz w:val="24"/>
                <w:szCs w:val="24"/>
              </w:rPr>
              <w:t>1.</w:t>
            </w:r>
            <w:r>
              <w:rPr>
                <w:rFonts w:hint="eastAsia"/>
                <w:b/>
                <w:bCs/>
                <w:color w:val="auto"/>
                <w:sz w:val="24"/>
                <w:szCs w:val="24"/>
                <w:lang w:val="en-US" w:eastAsia="zh-CN"/>
              </w:rPr>
              <w:t>4</w:t>
            </w:r>
            <w:r>
              <w:rPr>
                <w:rFonts w:hint="eastAsia" w:cs="宋体"/>
                <w:b/>
                <w:bCs/>
                <w:color w:val="auto"/>
                <w:sz w:val="24"/>
                <w:szCs w:val="24"/>
              </w:rPr>
              <w:t>建设项目废水污染物排放信息表</w:t>
            </w:r>
          </w:p>
          <w:p w14:paraId="590DBC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eastAsia" w:cs="宋体"/>
                <w:color w:val="auto"/>
                <w:sz w:val="24"/>
                <w:szCs w:val="24"/>
              </w:rPr>
            </w:pPr>
            <w:r>
              <w:rPr>
                <w:rFonts w:hint="eastAsia" w:cs="宋体"/>
                <w:color w:val="auto"/>
                <w:sz w:val="24"/>
                <w:szCs w:val="24"/>
              </w:rPr>
              <w:t>废水类别、污染物及污染物治理设施信息表以及废水间接排放口基本情况表、废水污染物排放执行标准表、废水污染物排放信息表，分别如下表所示：</w:t>
            </w:r>
          </w:p>
          <w:p w14:paraId="6E9F0F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rPr>
              <w:t>-</w:t>
            </w:r>
            <w:r>
              <w:rPr>
                <w:rFonts w:hint="eastAsia" w:cs="Times New Roman"/>
                <w:b/>
                <w:color w:val="auto"/>
                <w:sz w:val="24"/>
                <w:szCs w:val="24"/>
                <w:lang w:val="en-US" w:eastAsia="zh-CN"/>
              </w:rPr>
              <w:t>3</w:t>
            </w:r>
            <w:r>
              <w:rPr>
                <w:rFonts w:hint="default" w:ascii="Times New Roman" w:hAnsi="Times New Roman" w:eastAsia="宋体" w:cs="Times New Roman"/>
                <w:b/>
                <w:color w:val="auto"/>
                <w:sz w:val="24"/>
                <w:szCs w:val="24"/>
              </w:rPr>
              <w:t xml:space="preserve">   废水类别、污染物及污染物治理设施信息表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
              <w:gridCol w:w="736"/>
              <w:gridCol w:w="881"/>
              <w:gridCol w:w="775"/>
              <w:gridCol w:w="1019"/>
              <w:gridCol w:w="687"/>
              <w:gridCol w:w="682"/>
              <w:gridCol w:w="702"/>
              <w:gridCol w:w="476"/>
              <w:gridCol w:w="701"/>
              <w:gridCol w:w="1055"/>
            </w:tblGrid>
            <w:tr w14:paraId="048B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restart"/>
                  <w:noWrap w:val="0"/>
                  <w:vAlign w:val="center"/>
                </w:tcPr>
                <w:p w14:paraId="38689A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736" w:type="dxa"/>
                  <w:vMerge w:val="restart"/>
                  <w:noWrap w:val="0"/>
                  <w:vAlign w:val="center"/>
                </w:tcPr>
                <w:p w14:paraId="1DD6AD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废水类别</w:t>
                  </w:r>
                </w:p>
              </w:tc>
              <w:tc>
                <w:tcPr>
                  <w:tcW w:w="881" w:type="dxa"/>
                  <w:vMerge w:val="restart"/>
                  <w:noWrap w:val="0"/>
                  <w:vAlign w:val="center"/>
                </w:tcPr>
                <w:p w14:paraId="60DEC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污染物种类</w:t>
                  </w:r>
                </w:p>
              </w:tc>
              <w:tc>
                <w:tcPr>
                  <w:tcW w:w="775" w:type="dxa"/>
                  <w:vMerge w:val="restart"/>
                  <w:noWrap w:val="0"/>
                  <w:vAlign w:val="center"/>
                </w:tcPr>
                <w:p w14:paraId="53E08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排放去向</w:t>
                  </w:r>
                </w:p>
              </w:tc>
              <w:tc>
                <w:tcPr>
                  <w:tcW w:w="1019" w:type="dxa"/>
                  <w:vMerge w:val="restart"/>
                  <w:noWrap w:val="0"/>
                  <w:vAlign w:val="center"/>
                </w:tcPr>
                <w:p w14:paraId="416EF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排放规律</w:t>
                  </w:r>
                </w:p>
              </w:tc>
              <w:tc>
                <w:tcPr>
                  <w:tcW w:w="2071" w:type="dxa"/>
                  <w:gridSpan w:val="3"/>
                  <w:noWrap w:val="0"/>
                  <w:vAlign w:val="center"/>
                </w:tcPr>
                <w:p w14:paraId="788E7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污染物治理设施</w:t>
                  </w:r>
                </w:p>
              </w:tc>
              <w:tc>
                <w:tcPr>
                  <w:tcW w:w="476" w:type="dxa"/>
                  <w:vMerge w:val="restart"/>
                  <w:noWrap w:val="0"/>
                  <w:vAlign w:val="center"/>
                </w:tcPr>
                <w:p w14:paraId="54C56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排放口编号</w:t>
                  </w:r>
                </w:p>
              </w:tc>
              <w:tc>
                <w:tcPr>
                  <w:tcW w:w="701" w:type="dxa"/>
                  <w:vMerge w:val="restart"/>
                  <w:noWrap w:val="0"/>
                  <w:vAlign w:val="center"/>
                </w:tcPr>
                <w:p w14:paraId="7BDD88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排放口设置是否符合要求</w:t>
                  </w:r>
                </w:p>
              </w:tc>
              <w:tc>
                <w:tcPr>
                  <w:tcW w:w="1055" w:type="dxa"/>
                  <w:vMerge w:val="restart"/>
                  <w:noWrap w:val="0"/>
                  <w:vAlign w:val="center"/>
                </w:tcPr>
                <w:p w14:paraId="57B22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排放口类型</w:t>
                  </w:r>
                </w:p>
              </w:tc>
            </w:tr>
            <w:tr w14:paraId="543A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vMerge w:val="continue"/>
                  <w:noWrap w:val="0"/>
                  <w:vAlign w:val="center"/>
                </w:tcPr>
                <w:p w14:paraId="2F8D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736" w:type="dxa"/>
                  <w:vMerge w:val="continue"/>
                  <w:noWrap w:val="0"/>
                  <w:vAlign w:val="center"/>
                </w:tcPr>
                <w:p w14:paraId="391F73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881" w:type="dxa"/>
                  <w:vMerge w:val="continue"/>
                  <w:noWrap w:val="0"/>
                  <w:vAlign w:val="center"/>
                </w:tcPr>
                <w:p w14:paraId="06CD2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775" w:type="dxa"/>
                  <w:vMerge w:val="continue"/>
                  <w:noWrap w:val="0"/>
                  <w:vAlign w:val="center"/>
                </w:tcPr>
                <w:p w14:paraId="49AFB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1019" w:type="dxa"/>
                  <w:vMerge w:val="continue"/>
                  <w:noWrap w:val="0"/>
                  <w:vAlign w:val="center"/>
                </w:tcPr>
                <w:p w14:paraId="07369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687" w:type="dxa"/>
                  <w:noWrap w:val="0"/>
                  <w:vAlign w:val="center"/>
                </w:tcPr>
                <w:p w14:paraId="395F9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污染治理设施编号</w:t>
                  </w:r>
                </w:p>
              </w:tc>
              <w:tc>
                <w:tcPr>
                  <w:tcW w:w="682" w:type="dxa"/>
                  <w:noWrap w:val="0"/>
                  <w:vAlign w:val="center"/>
                </w:tcPr>
                <w:p w14:paraId="3C4E5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污染治理设施名称</w:t>
                  </w:r>
                </w:p>
              </w:tc>
              <w:tc>
                <w:tcPr>
                  <w:tcW w:w="702" w:type="dxa"/>
                  <w:noWrap w:val="0"/>
                  <w:vAlign w:val="center"/>
                </w:tcPr>
                <w:p w14:paraId="29626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污染治理设施工艺</w:t>
                  </w:r>
                </w:p>
              </w:tc>
              <w:tc>
                <w:tcPr>
                  <w:tcW w:w="476" w:type="dxa"/>
                  <w:vMerge w:val="continue"/>
                  <w:noWrap w:val="0"/>
                  <w:vAlign w:val="center"/>
                </w:tcPr>
                <w:p w14:paraId="7AA812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701" w:type="dxa"/>
                  <w:vMerge w:val="continue"/>
                  <w:noWrap w:val="0"/>
                  <w:vAlign w:val="center"/>
                </w:tcPr>
                <w:p w14:paraId="4495CE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c>
                <w:tcPr>
                  <w:tcW w:w="1055" w:type="dxa"/>
                  <w:vMerge w:val="continue"/>
                  <w:noWrap w:val="0"/>
                  <w:vAlign w:val="center"/>
                </w:tcPr>
                <w:p w14:paraId="607B2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rPr>
                  </w:pPr>
                </w:p>
              </w:tc>
            </w:tr>
            <w:tr w14:paraId="5997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noWrap w:val="0"/>
                  <w:vAlign w:val="center"/>
                </w:tcPr>
                <w:p w14:paraId="162313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736" w:type="dxa"/>
                  <w:noWrap w:val="0"/>
                  <w:vAlign w:val="center"/>
                </w:tcPr>
                <w:p w14:paraId="173665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生活污水</w:t>
                  </w:r>
                </w:p>
              </w:tc>
              <w:tc>
                <w:tcPr>
                  <w:tcW w:w="881" w:type="dxa"/>
                  <w:noWrap w:val="0"/>
                  <w:vAlign w:val="center"/>
                </w:tcPr>
                <w:p w14:paraId="0E5B3D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COD、BOD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、SS、氨氮</w:t>
                  </w:r>
                </w:p>
              </w:tc>
              <w:tc>
                <w:tcPr>
                  <w:tcW w:w="775" w:type="dxa"/>
                  <w:noWrap w:val="0"/>
                  <w:vAlign w:val="center"/>
                </w:tcPr>
                <w:p w14:paraId="01C7D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进入化粪池</w:t>
                  </w:r>
                </w:p>
              </w:tc>
              <w:tc>
                <w:tcPr>
                  <w:tcW w:w="1019" w:type="dxa"/>
                  <w:noWrap w:val="0"/>
                  <w:vAlign w:val="center"/>
                </w:tcPr>
                <w:p w14:paraId="594A25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连续排放</w:t>
                  </w:r>
                  <w:r>
                    <w:rPr>
                      <w:rFonts w:hint="default" w:ascii="Times New Roman" w:hAnsi="Times New Roman" w:eastAsia="宋体" w:cs="Times New Roman"/>
                      <w:color w:val="auto"/>
                      <w:sz w:val="21"/>
                      <w:szCs w:val="21"/>
                    </w:rPr>
                    <w:t>，排放期间流量稳定</w:t>
                  </w:r>
                </w:p>
              </w:tc>
              <w:tc>
                <w:tcPr>
                  <w:tcW w:w="687" w:type="dxa"/>
                  <w:noWrap w:val="0"/>
                  <w:vAlign w:val="center"/>
                </w:tcPr>
                <w:p w14:paraId="511AE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val="en-US" w:eastAsia="zh-CN"/>
                    </w:rPr>
                    <w:t>TW00</w:t>
                  </w:r>
                  <w:r>
                    <w:rPr>
                      <w:rFonts w:hint="default" w:ascii="Times New Roman" w:hAnsi="Times New Roman" w:eastAsia="宋体" w:cs="Times New Roman"/>
                      <w:color w:val="auto"/>
                      <w:sz w:val="21"/>
                      <w:szCs w:val="21"/>
                    </w:rPr>
                    <w:t>1</w:t>
                  </w:r>
                </w:p>
              </w:tc>
              <w:tc>
                <w:tcPr>
                  <w:tcW w:w="682" w:type="dxa"/>
                  <w:noWrap w:val="0"/>
                  <w:vAlign w:val="center"/>
                </w:tcPr>
                <w:p w14:paraId="4FDF81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化粪池</w:t>
                  </w:r>
                </w:p>
              </w:tc>
              <w:tc>
                <w:tcPr>
                  <w:tcW w:w="702" w:type="dxa"/>
                  <w:noWrap w:val="0"/>
                  <w:vAlign w:val="center"/>
                </w:tcPr>
                <w:p w14:paraId="79DC8E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沉淀+厌氧发酵</w:t>
                  </w:r>
                </w:p>
              </w:tc>
              <w:tc>
                <w:tcPr>
                  <w:tcW w:w="476" w:type="dxa"/>
                  <w:vMerge w:val="restart"/>
                  <w:noWrap w:val="0"/>
                  <w:vAlign w:val="center"/>
                </w:tcPr>
                <w:p w14:paraId="52B622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DW001</w:t>
                  </w:r>
                </w:p>
              </w:tc>
              <w:tc>
                <w:tcPr>
                  <w:tcW w:w="701" w:type="dxa"/>
                  <w:vMerge w:val="restart"/>
                  <w:noWrap w:val="0"/>
                  <w:vAlign w:val="center"/>
                </w:tcPr>
                <w:p w14:paraId="6C402E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w:char="00FE"/>
                  </w:r>
                  <w:r>
                    <w:rPr>
                      <w:rFonts w:hint="default" w:ascii="Times New Roman" w:hAnsi="Times New Roman" w:eastAsia="宋体" w:cs="Times New Roman"/>
                      <w:color w:val="auto"/>
                      <w:sz w:val="21"/>
                      <w:szCs w:val="21"/>
                    </w:rPr>
                    <w:t>是</w:t>
                  </w:r>
                </w:p>
                <w:p w14:paraId="31166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否</w:t>
                  </w:r>
                </w:p>
                <w:p w14:paraId="6F1BA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55" w:type="dxa"/>
                  <w:vMerge w:val="restart"/>
                  <w:noWrap w:val="0"/>
                  <w:vAlign w:val="center"/>
                </w:tcPr>
                <w:p w14:paraId="167BB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w:char="00FE"/>
                  </w:r>
                  <w:r>
                    <w:rPr>
                      <w:rFonts w:hint="default" w:ascii="Times New Roman" w:hAnsi="Times New Roman" w:eastAsia="宋体" w:cs="Times New Roman"/>
                      <w:color w:val="auto"/>
                      <w:sz w:val="21"/>
                      <w:szCs w:val="21"/>
                    </w:rPr>
                    <w:t>企业总排</w:t>
                  </w:r>
                </w:p>
                <w:p w14:paraId="3A410A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雨水排放</w:t>
                  </w:r>
                </w:p>
                <w:p w14:paraId="2DCF15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清净下水排放</w:t>
                  </w:r>
                </w:p>
                <w:p w14:paraId="31FB0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温排水排放</w:t>
                  </w:r>
                </w:p>
                <w:p w14:paraId="21A0A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sym w:font="Wingdings" w:char="00A8"/>
                  </w:r>
                  <w:r>
                    <w:rPr>
                      <w:rFonts w:hint="default" w:ascii="Times New Roman" w:hAnsi="Times New Roman" w:eastAsia="宋体" w:cs="Times New Roman"/>
                      <w:color w:val="auto"/>
                      <w:sz w:val="21"/>
                      <w:szCs w:val="21"/>
                    </w:rPr>
                    <w:t>车间或车间处理设施排放</w:t>
                  </w:r>
                </w:p>
              </w:tc>
            </w:tr>
            <w:tr w14:paraId="24B7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noWrap w:val="0"/>
                  <w:vAlign w:val="center"/>
                </w:tcPr>
                <w:p w14:paraId="0D249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w:t>
                  </w:r>
                </w:p>
              </w:tc>
              <w:tc>
                <w:tcPr>
                  <w:tcW w:w="736" w:type="dxa"/>
                  <w:noWrap w:val="0"/>
                  <w:vAlign w:val="center"/>
                </w:tcPr>
                <w:p w14:paraId="780372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纯水制备浓水</w:t>
                  </w:r>
                </w:p>
              </w:tc>
              <w:tc>
                <w:tcPr>
                  <w:tcW w:w="881" w:type="dxa"/>
                  <w:noWrap w:val="0"/>
                  <w:vAlign w:val="center"/>
                </w:tcPr>
                <w:p w14:paraId="7A8B5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COD、SS</w:t>
                  </w:r>
                </w:p>
              </w:tc>
              <w:tc>
                <w:tcPr>
                  <w:tcW w:w="775" w:type="dxa"/>
                  <w:noWrap w:val="0"/>
                  <w:vAlign w:val="center"/>
                </w:tcPr>
                <w:p w14:paraId="5B2DC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进入污水处理厂</w:t>
                  </w:r>
                </w:p>
              </w:tc>
              <w:tc>
                <w:tcPr>
                  <w:tcW w:w="1019" w:type="dxa"/>
                  <w:noWrap w:val="0"/>
                  <w:vAlign w:val="center"/>
                </w:tcPr>
                <w:p w14:paraId="20CDDF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间断</w:t>
                  </w:r>
                  <w:r>
                    <w:rPr>
                      <w:rFonts w:hint="default" w:ascii="Times New Roman" w:hAnsi="Times New Roman" w:eastAsia="宋体" w:cs="Times New Roman"/>
                      <w:color w:val="auto"/>
                      <w:sz w:val="21"/>
                      <w:szCs w:val="21"/>
                      <w:lang w:val="en-US" w:eastAsia="zh-CN"/>
                    </w:rPr>
                    <w:t>排放</w:t>
                  </w:r>
                  <w:r>
                    <w:rPr>
                      <w:rFonts w:hint="default" w:ascii="Times New Roman" w:hAnsi="Times New Roman" w:eastAsia="宋体" w:cs="Times New Roman"/>
                      <w:color w:val="auto"/>
                      <w:sz w:val="21"/>
                      <w:szCs w:val="21"/>
                    </w:rPr>
                    <w:t>，排放期间流量稳定</w:t>
                  </w:r>
                </w:p>
              </w:tc>
              <w:tc>
                <w:tcPr>
                  <w:tcW w:w="687" w:type="dxa"/>
                  <w:noWrap w:val="0"/>
                  <w:vAlign w:val="center"/>
                </w:tcPr>
                <w:p w14:paraId="016F9F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682" w:type="dxa"/>
                  <w:noWrap w:val="0"/>
                  <w:vAlign w:val="center"/>
                </w:tcPr>
                <w:p w14:paraId="0EE02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02" w:type="dxa"/>
                  <w:noWrap w:val="0"/>
                  <w:vAlign w:val="center"/>
                </w:tcPr>
                <w:p w14:paraId="45323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76" w:type="dxa"/>
                  <w:vMerge w:val="continue"/>
                  <w:noWrap w:val="0"/>
                  <w:vAlign w:val="center"/>
                </w:tcPr>
                <w:p w14:paraId="3A0770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701" w:type="dxa"/>
                  <w:vMerge w:val="continue"/>
                  <w:noWrap w:val="0"/>
                  <w:vAlign w:val="center"/>
                </w:tcPr>
                <w:p w14:paraId="72665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55" w:type="dxa"/>
                  <w:vMerge w:val="continue"/>
                  <w:noWrap w:val="0"/>
                  <w:vAlign w:val="center"/>
                </w:tcPr>
                <w:p w14:paraId="58F41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r>
            <w:tr w14:paraId="4D08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1" w:type="dxa"/>
                  <w:noWrap w:val="0"/>
                  <w:vAlign w:val="center"/>
                </w:tcPr>
                <w:p w14:paraId="7D79C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3</w:t>
                  </w:r>
                </w:p>
              </w:tc>
              <w:tc>
                <w:tcPr>
                  <w:tcW w:w="736" w:type="dxa"/>
                  <w:noWrap w:val="0"/>
                  <w:vAlign w:val="center"/>
                </w:tcPr>
                <w:p w14:paraId="2ACA50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循环冷却定期排污水</w:t>
                  </w:r>
                </w:p>
              </w:tc>
              <w:tc>
                <w:tcPr>
                  <w:tcW w:w="881" w:type="dxa"/>
                  <w:noWrap w:val="0"/>
                  <w:vAlign w:val="center"/>
                </w:tcPr>
                <w:p w14:paraId="626576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COD、SS</w:t>
                  </w:r>
                </w:p>
              </w:tc>
              <w:tc>
                <w:tcPr>
                  <w:tcW w:w="775" w:type="dxa"/>
                  <w:noWrap w:val="0"/>
                  <w:vAlign w:val="center"/>
                </w:tcPr>
                <w:p w14:paraId="34DAA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进入污水处理厂</w:t>
                  </w:r>
                </w:p>
              </w:tc>
              <w:tc>
                <w:tcPr>
                  <w:tcW w:w="1019" w:type="dxa"/>
                  <w:noWrap w:val="0"/>
                  <w:vAlign w:val="center"/>
                </w:tcPr>
                <w:p w14:paraId="17F05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间断</w:t>
                  </w:r>
                  <w:r>
                    <w:rPr>
                      <w:rFonts w:hint="default" w:ascii="Times New Roman" w:hAnsi="Times New Roman" w:eastAsia="宋体" w:cs="Times New Roman"/>
                      <w:color w:val="auto"/>
                      <w:sz w:val="21"/>
                      <w:szCs w:val="21"/>
                      <w:lang w:val="en-US" w:eastAsia="zh-CN"/>
                    </w:rPr>
                    <w:t>排放</w:t>
                  </w:r>
                  <w:r>
                    <w:rPr>
                      <w:rFonts w:hint="default" w:ascii="Times New Roman" w:hAnsi="Times New Roman" w:eastAsia="宋体" w:cs="Times New Roman"/>
                      <w:color w:val="auto"/>
                      <w:sz w:val="21"/>
                      <w:szCs w:val="21"/>
                    </w:rPr>
                    <w:t>，排放期间流量稳定</w:t>
                  </w:r>
                </w:p>
              </w:tc>
              <w:tc>
                <w:tcPr>
                  <w:tcW w:w="687" w:type="dxa"/>
                  <w:noWrap w:val="0"/>
                  <w:vAlign w:val="center"/>
                </w:tcPr>
                <w:p w14:paraId="68FBE8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682" w:type="dxa"/>
                  <w:noWrap w:val="0"/>
                  <w:vAlign w:val="center"/>
                </w:tcPr>
                <w:p w14:paraId="1297E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702" w:type="dxa"/>
                  <w:noWrap w:val="0"/>
                  <w:vAlign w:val="center"/>
                </w:tcPr>
                <w:p w14:paraId="7C899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476" w:type="dxa"/>
                  <w:vMerge w:val="continue"/>
                  <w:noWrap w:val="0"/>
                  <w:vAlign w:val="center"/>
                </w:tcPr>
                <w:p w14:paraId="2112F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p>
              </w:tc>
              <w:tc>
                <w:tcPr>
                  <w:tcW w:w="701" w:type="dxa"/>
                  <w:vMerge w:val="continue"/>
                  <w:noWrap w:val="0"/>
                  <w:vAlign w:val="center"/>
                </w:tcPr>
                <w:p w14:paraId="52B500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c>
                <w:tcPr>
                  <w:tcW w:w="1055" w:type="dxa"/>
                  <w:vMerge w:val="continue"/>
                  <w:noWrap w:val="0"/>
                  <w:vAlign w:val="center"/>
                </w:tcPr>
                <w:p w14:paraId="66F1A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rPr>
                  </w:pPr>
                </w:p>
              </w:tc>
            </w:tr>
          </w:tbl>
          <w:p w14:paraId="535F7E1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w:t>
            </w: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rPr>
              <w:t xml:space="preserve"> 废水排放口基本情况表</w:t>
            </w:r>
          </w:p>
          <w:p w14:paraId="6EB741C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废水间接排放口基本情况表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详见下表</w:t>
            </w:r>
            <w:r>
              <w:rPr>
                <w:rFonts w:hint="default" w:ascii="Times New Roman" w:hAnsi="Times New Roman" w:cs="Times New Roman"/>
                <w:color w:val="auto"/>
                <w:sz w:val="24"/>
                <w:szCs w:val="24"/>
              </w:rPr>
              <w:t>：</w:t>
            </w:r>
          </w:p>
          <w:p w14:paraId="28E5AB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rPr>
              <w:t>-</w:t>
            </w:r>
            <w:r>
              <w:rPr>
                <w:rFonts w:hint="eastAsia" w:cs="Times New Roman"/>
                <w:b/>
                <w:color w:val="auto"/>
                <w:sz w:val="24"/>
                <w:szCs w:val="24"/>
                <w:lang w:val="en-US" w:eastAsia="zh-CN"/>
              </w:rPr>
              <w:t>4</w:t>
            </w:r>
            <w:r>
              <w:rPr>
                <w:rFonts w:hint="eastAsia" w:ascii="Times New Roman" w:hAnsi="Times New Roman" w:eastAsia="宋体" w:cs="Times New Roman"/>
                <w:b/>
                <w:color w:val="auto"/>
                <w:sz w:val="24"/>
                <w:szCs w:val="24"/>
                <w:lang w:val="en-US" w:eastAsia="zh-CN"/>
              </w:rPr>
              <w:t xml:space="preserve"> </w:t>
            </w:r>
            <w:r>
              <w:rPr>
                <w:rFonts w:hint="default" w:ascii="Times New Roman" w:hAnsi="Times New Roman" w:eastAsia="宋体" w:cs="Times New Roman"/>
                <w:b/>
                <w:color w:val="auto"/>
                <w:sz w:val="24"/>
                <w:szCs w:val="24"/>
              </w:rPr>
              <w:t xml:space="preserve"> 废水间接排放口基本情况表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49"/>
              <w:gridCol w:w="682"/>
              <w:gridCol w:w="673"/>
              <w:gridCol w:w="980"/>
              <w:gridCol w:w="766"/>
              <w:gridCol w:w="596"/>
              <w:gridCol w:w="886"/>
              <w:gridCol w:w="912"/>
              <w:gridCol w:w="1175"/>
            </w:tblGrid>
            <w:tr w14:paraId="2AC2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restart"/>
                  <w:noWrap w:val="0"/>
                  <w:vAlign w:val="center"/>
                </w:tcPr>
                <w:p w14:paraId="7B8A9E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排放口编号</w:t>
                  </w:r>
                </w:p>
              </w:tc>
              <w:tc>
                <w:tcPr>
                  <w:tcW w:w="1431" w:type="dxa"/>
                  <w:gridSpan w:val="2"/>
                  <w:noWrap w:val="0"/>
                  <w:vAlign w:val="center"/>
                </w:tcPr>
                <w:p w14:paraId="5DC28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排放口地理坐标</w:t>
                  </w:r>
                </w:p>
              </w:tc>
              <w:tc>
                <w:tcPr>
                  <w:tcW w:w="673" w:type="dxa"/>
                  <w:vMerge w:val="restart"/>
                  <w:noWrap w:val="0"/>
                  <w:vAlign w:val="center"/>
                </w:tcPr>
                <w:p w14:paraId="137B52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废水排放量（t/a）</w:t>
                  </w:r>
                </w:p>
              </w:tc>
              <w:tc>
                <w:tcPr>
                  <w:tcW w:w="980" w:type="dxa"/>
                  <w:vMerge w:val="restart"/>
                  <w:noWrap w:val="0"/>
                  <w:vAlign w:val="center"/>
                </w:tcPr>
                <w:p w14:paraId="7D0A65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排放去向</w:t>
                  </w:r>
                </w:p>
              </w:tc>
              <w:tc>
                <w:tcPr>
                  <w:tcW w:w="766" w:type="dxa"/>
                  <w:vMerge w:val="restart"/>
                  <w:noWrap w:val="0"/>
                  <w:vAlign w:val="center"/>
                </w:tcPr>
                <w:p w14:paraId="06A602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排放规律</w:t>
                  </w:r>
                </w:p>
              </w:tc>
              <w:tc>
                <w:tcPr>
                  <w:tcW w:w="596" w:type="dxa"/>
                  <w:vMerge w:val="restart"/>
                  <w:noWrap w:val="0"/>
                  <w:vAlign w:val="center"/>
                </w:tcPr>
                <w:p w14:paraId="4E434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间歇排放时段</w:t>
                  </w:r>
                </w:p>
              </w:tc>
              <w:tc>
                <w:tcPr>
                  <w:tcW w:w="2973" w:type="dxa"/>
                  <w:gridSpan w:val="3"/>
                  <w:noWrap w:val="0"/>
                  <w:vAlign w:val="center"/>
                </w:tcPr>
                <w:p w14:paraId="1FE56D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受纳污水处理厂信息</w:t>
                  </w:r>
                </w:p>
              </w:tc>
            </w:tr>
            <w:tr w14:paraId="546E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noWrap w:val="0"/>
                  <w:vAlign w:val="center"/>
                </w:tcPr>
                <w:p w14:paraId="06A7F1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749" w:type="dxa"/>
                  <w:noWrap w:val="0"/>
                  <w:vAlign w:val="center"/>
                </w:tcPr>
                <w:p w14:paraId="1EF886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经度</w:t>
                  </w:r>
                </w:p>
              </w:tc>
              <w:tc>
                <w:tcPr>
                  <w:tcW w:w="682" w:type="dxa"/>
                  <w:noWrap w:val="0"/>
                  <w:vAlign w:val="center"/>
                </w:tcPr>
                <w:p w14:paraId="39B5FB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纬度</w:t>
                  </w:r>
                </w:p>
              </w:tc>
              <w:tc>
                <w:tcPr>
                  <w:tcW w:w="673" w:type="dxa"/>
                  <w:vMerge w:val="continue"/>
                  <w:noWrap w:val="0"/>
                  <w:vAlign w:val="center"/>
                </w:tcPr>
                <w:p w14:paraId="21FB7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980" w:type="dxa"/>
                  <w:vMerge w:val="continue"/>
                  <w:noWrap w:val="0"/>
                  <w:vAlign w:val="center"/>
                </w:tcPr>
                <w:p w14:paraId="58659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766" w:type="dxa"/>
                  <w:vMerge w:val="continue"/>
                  <w:noWrap w:val="0"/>
                  <w:vAlign w:val="center"/>
                </w:tcPr>
                <w:p w14:paraId="61955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596" w:type="dxa"/>
                  <w:vMerge w:val="continue"/>
                  <w:noWrap w:val="0"/>
                  <w:vAlign w:val="center"/>
                </w:tcPr>
                <w:p w14:paraId="07E2A8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886" w:type="dxa"/>
                  <w:noWrap w:val="0"/>
                  <w:vAlign w:val="center"/>
                </w:tcPr>
                <w:p w14:paraId="78DAA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912" w:type="dxa"/>
                  <w:noWrap w:val="0"/>
                  <w:vAlign w:val="center"/>
                </w:tcPr>
                <w:p w14:paraId="561D6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污染物种类</w:t>
                  </w:r>
                </w:p>
              </w:tc>
              <w:tc>
                <w:tcPr>
                  <w:tcW w:w="1175" w:type="dxa"/>
                  <w:noWrap w:val="0"/>
                  <w:vAlign w:val="center"/>
                </w:tcPr>
                <w:p w14:paraId="47905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国家或地放污染物排放标准浓度限值（mg/L）</w:t>
                  </w:r>
                </w:p>
              </w:tc>
            </w:tr>
            <w:tr w14:paraId="375F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restart"/>
                  <w:noWrap w:val="0"/>
                  <w:vAlign w:val="center"/>
                </w:tcPr>
                <w:p w14:paraId="21F50E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DW001</w:t>
                  </w:r>
                </w:p>
              </w:tc>
              <w:tc>
                <w:tcPr>
                  <w:tcW w:w="749" w:type="dxa"/>
                  <w:vMerge w:val="restart"/>
                  <w:noWrap w:val="0"/>
                  <w:vAlign w:val="center"/>
                </w:tcPr>
                <w:p w14:paraId="109B5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116.719016</w:t>
                  </w:r>
                </w:p>
              </w:tc>
              <w:tc>
                <w:tcPr>
                  <w:tcW w:w="682" w:type="dxa"/>
                  <w:vMerge w:val="restart"/>
                  <w:noWrap w:val="0"/>
                  <w:vAlign w:val="center"/>
                </w:tcPr>
                <w:p w14:paraId="5D940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33.825317</w:t>
                  </w:r>
                </w:p>
              </w:tc>
              <w:tc>
                <w:tcPr>
                  <w:tcW w:w="673" w:type="dxa"/>
                  <w:vMerge w:val="restart"/>
                  <w:noWrap w:val="0"/>
                  <w:vAlign w:val="center"/>
                </w:tcPr>
                <w:p w14:paraId="183F4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9924</w:t>
                  </w:r>
                </w:p>
              </w:tc>
              <w:tc>
                <w:tcPr>
                  <w:tcW w:w="980" w:type="dxa"/>
                  <w:vMerge w:val="restart"/>
                  <w:noWrap w:val="0"/>
                  <w:vAlign w:val="center"/>
                </w:tcPr>
                <w:p w14:paraId="70C7FD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1"/>
                      <w:szCs w:val="21"/>
                      <w:lang w:val="en-US" w:eastAsia="zh-CN"/>
                    </w:rPr>
                    <w:t>淮北蓝海水处理有限公司</w:t>
                  </w:r>
                  <w:r>
                    <w:rPr>
                      <w:rFonts w:hint="eastAsia" w:ascii="Times New Roman" w:hAnsi="Times New Roman" w:cs="Times New Roman"/>
                      <w:color w:val="auto"/>
                      <w:sz w:val="21"/>
                      <w:szCs w:val="21"/>
                      <w:lang w:val="en-US" w:eastAsia="zh-CN"/>
                    </w:rPr>
                    <w:t>排至</w:t>
                  </w:r>
                  <w:r>
                    <w:rPr>
                      <w:rFonts w:hint="eastAsia" w:cs="Times New Roman"/>
                      <w:color w:val="auto"/>
                      <w:sz w:val="21"/>
                      <w:szCs w:val="21"/>
                      <w:lang w:val="en-US" w:eastAsia="zh-CN"/>
                    </w:rPr>
                    <w:t>萧濉新河</w:t>
                  </w:r>
                </w:p>
              </w:tc>
              <w:tc>
                <w:tcPr>
                  <w:tcW w:w="766" w:type="dxa"/>
                  <w:vMerge w:val="restart"/>
                  <w:noWrap w:val="0"/>
                  <w:vAlign w:val="center"/>
                </w:tcPr>
                <w:p w14:paraId="550B95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连续排放</w:t>
                  </w:r>
                </w:p>
              </w:tc>
              <w:tc>
                <w:tcPr>
                  <w:tcW w:w="596" w:type="dxa"/>
                  <w:vMerge w:val="restart"/>
                  <w:noWrap w:val="0"/>
                  <w:vAlign w:val="center"/>
                </w:tcPr>
                <w:p w14:paraId="400C4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886" w:type="dxa"/>
                  <w:vMerge w:val="restart"/>
                  <w:noWrap w:val="0"/>
                  <w:vAlign w:val="center"/>
                </w:tcPr>
                <w:p w14:paraId="067FDA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sz w:val="21"/>
                      <w:szCs w:val="21"/>
                      <w:lang w:val="en-US" w:eastAsia="zh-CN"/>
                    </w:rPr>
                    <w:t>淮北蓝海水处理有限公司</w:t>
                  </w:r>
                </w:p>
              </w:tc>
              <w:tc>
                <w:tcPr>
                  <w:tcW w:w="912" w:type="dxa"/>
                  <w:noWrap w:val="0"/>
                  <w:vAlign w:val="center"/>
                </w:tcPr>
                <w:p w14:paraId="7D79F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175" w:type="dxa"/>
                  <w:noWrap w:val="0"/>
                  <w:vAlign w:val="center"/>
                </w:tcPr>
                <w:p w14:paraId="7E8FB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480</w:t>
                  </w:r>
                </w:p>
              </w:tc>
            </w:tr>
            <w:tr w14:paraId="2CAE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noWrap w:val="0"/>
                  <w:vAlign w:val="center"/>
                </w:tcPr>
                <w:p w14:paraId="12583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749" w:type="dxa"/>
                  <w:vMerge w:val="continue"/>
                  <w:noWrap w:val="0"/>
                  <w:vAlign w:val="center"/>
                </w:tcPr>
                <w:p w14:paraId="2E246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682" w:type="dxa"/>
                  <w:vMerge w:val="continue"/>
                  <w:noWrap w:val="0"/>
                  <w:vAlign w:val="center"/>
                </w:tcPr>
                <w:p w14:paraId="6FA4B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673" w:type="dxa"/>
                  <w:vMerge w:val="continue"/>
                  <w:noWrap w:val="0"/>
                  <w:vAlign w:val="center"/>
                </w:tcPr>
                <w:p w14:paraId="542761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980" w:type="dxa"/>
                  <w:vMerge w:val="continue"/>
                  <w:noWrap w:val="0"/>
                  <w:vAlign w:val="center"/>
                </w:tcPr>
                <w:p w14:paraId="7CD10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766" w:type="dxa"/>
                  <w:vMerge w:val="continue"/>
                  <w:noWrap w:val="0"/>
                  <w:vAlign w:val="center"/>
                </w:tcPr>
                <w:p w14:paraId="37B0C0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596" w:type="dxa"/>
                  <w:vMerge w:val="continue"/>
                  <w:noWrap w:val="0"/>
                  <w:vAlign w:val="center"/>
                </w:tcPr>
                <w:p w14:paraId="44B913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886" w:type="dxa"/>
                  <w:vMerge w:val="continue"/>
                  <w:noWrap w:val="0"/>
                  <w:vAlign w:val="center"/>
                </w:tcPr>
                <w:p w14:paraId="78DA4E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912" w:type="dxa"/>
                  <w:noWrap w:val="0"/>
                  <w:vAlign w:val="center"/>
                </w:tcPr>
                <w:p w14:paraId="40E75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175" w:type="dxa"/>
                  <w:noWrap w:val="0"/>
                  <w:vAlign w:val="center"/>
                </w:tcPr>
                <w:p w14:paraId="110041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w:t>
                  </w:r>
                </w:p>
              </w:tc>
            </w:tr>
            <w:tr w14:paraId="0A68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noWrap w:val="0"/>
                  <w:vAlign w:val="center"/>
                </w:tcPr>
                <w:p w14:paraId="38FD9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749" w:type="dxa"/>
                  <w:vMerge w:val="continue"/>
                  <w:noWrap w:val="0"/>
                  <w:vAlign w:val="center"/>
                </w:tcPr>
                <w:p w14:paraId="473CD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682" w:type="dxa"/>
                  <w:vMerge w:val="continue"/>
                  <w:noWrap w:val="0"/>
                  <w:vAlign w:val="center"/>
                </w:tcPr>
                <w:p w14:paraId="6F0FA2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673" w:type="dxa"/>
                  <w:vMerge w:val="continue"/>
                  <w:noWrap w:val="0"/>
                  <w:vAlign w:val="center"/>
                </w:tcPr>
                <w:p w14:paraId="5B7B12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980" w:type="dxa"/>
                  <w:vMerge w:val="continue"/>
                  <w:noWrap w:val="0"/>
                  <w:vAlign w:val="center"/>
                </w:tcPr>
                <w:p w14:paraId="757510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766" w:type="dxa"/>
                  <w:vMerge w:val="continue"/>
                  <w:noWrap w:val="0"/>
                  <w:vAlign w:val="center"/>
                </w:tcPr>
                <w:p w14:paraId="08926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596" w:type="dxa"/>
                  <w:vMerge w:val="continue"/>
                  <w:noWrap w:val="0"/>
                  <w:vAlign w:val="center"/>
                </w:tcPr>
                <w:p w14:paraId="4A5E9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886" w:type="dxa"/>
                  <w:vMerge w:val="continue"/>
                  <w:noWrap w:val="0"/>
                  <w:vAlign w:val="center"/>
                </w:tcPr>
                <w:p w14:paraId="5A76C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912" w:type="dxa"/>
                  <w:noWrap w:val="0"/>
                  <w:vAlign w:val="center"/>
                </w:tcPr>
                <w:p w14:paraId="40DEE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175" w:type="dxa"/>
                  <w:noWrap w:val="0"/>
                  <w:vAlign w:val="center"/>
                </w:tcPr>
                <w:p w14:paraId="4B08B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35</w:t>
                  </w:r>
                </w:p>
              </w:tc>
            </w:tr>
            <w:tr w14:paraId="3024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6" w:type="dxa"/>
                  <w:vMerge w:val="continue"/>
                  <w:noWrap w:val="0"/>
                  <w:vAlign w:val="center"/>
                </w:tcPr>
                <w:p w14:paraId="154D2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749" w:type="dxa"/>
                  <w:vMerge w:val="continue"/>
                  <w:noWrap w:val="0"/>
                  <w:vAlign w:val="center"/>
                </w:tcPr>
                <w:p w14:paraId="704A4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682" w:type="dxa"/>
                  <w:vMerge w:val="continue"/>
                  <w:noWrap w:val="0"/>
                  <w:vAlign w:val="center"/>
                </w:tcPr>
                <w:p w14:paraId="4D1D9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673" w:type="dxa"/>
                  <w:vMerge w:val="continue"/>
                  <w:noWrap w:val="0"/>
                  <w:vAlign w:val="center"/>
                </w:tcPr>
                <w:p w14:paraId="5CBE7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980" w:type="dxa"/>
                  <w:vMerge w:val="continue"/>
                  <w:noWrap w:val="0"/>
                  <w:vAlign w:val="center"/>
                </w:tcPr>
                <w:p w14:paraId="5F7BD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766" w:type="dxa"/>
                  <w:vMerge w:val="continue"/>
                  <w:noWrap w:val="0"/>
                  <w:vAlign w:val="center"/>
                </w:tcPr>
                <w:p w14:paraId="47F8C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596" w:type="dxa"/>
                  <w:vMerge w:val="continue"/>
                  <w:noWrap w:val="0"/>
                  <w:vAlign w:val="center"/>
                </w:tcPr>
                <w:p w14:paraId="2ECBAF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886" w:type="dxa"/>
                  <w:vMerge w:val="continue"/>
                  <w:noWrap w:val="0"/>
                  <w:vAlign w:val="center"/>
                </w:tcPr>
                <w:p w14:paraId="3D7F02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912" w:type="dxa"/>
                  <w:noWrap w:val="0"/>
                  <w:vAlign w:val="center"/>
                </w:tcPr>
                <w:p w14:paraId="2618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175" w:type="dxa"/>
                  <w:noWrap w:val="0"/>
                  <w:vAlign w:val="center"/>
                </w:tcPr>
                <w:p w14:paraId="2CC80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310</w:t>
                  </w:r>
                </w:p>
              </w:tc>
            </w:tr>
          </w:tbl>
          <w:p w14:paraId="4B3BCE7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1.</w:t>
            </w:r>
            <w:r>
              <w:rPr>
                <w:rFonts w:hint="eastAsia" w:cs="Times New Roman"/>
                <w:b/>
                <w:bCs/>
                <w:color w:val="auto"/>
                <w:sz w:val="24"/>
                <w:szCs w:val="24"/>
                <w:lang w:val="en-US" w:eastAsia="zh-CN"/>
              </w:rPr>
              <w:t>6</w:t>
            </w:r>
            <w:r>
              <w:rPr>
                <w:rFonts w:hint="default" w:ascii="Times New Roman" w:hAnsi="Times New Roman" w:cs="Times New Roman"/>
                <w:b/>
                <w:bCs/>
                <w:color w:val="auto"/>
                <w:sz w:val="24"/>
                <w:szCs w:val="24"/>
              </w:rPr>
              <w:t xml:space="preserve"> 废水污染物排放执行标准表</w:t>
            </w:r>
          </w:p>
          <w:p w14:paraId="1F5EA6E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
                <w:bCs/>
                <w:color w:val="auto"/>
                <w:sz w:val="24"/>
                <w:szCs w:val="24"/>
              </w:rPr>
            </w:pPr>
            <w:r>
              <w:rPr>
                <w:rFonts w:hint="default" w:ascii="Times New Roman" w:hAnsi="Times New Roman" w:cs="Times New Roman"/>
                <w:color w:val="auto"/>
                <w:sz w:val="24"/>
                <w:szCs w:val="24"/>
              </w:rPr>
              <w:t>废水污染物排放执行标准表</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详见下表</w:t>
            </w:r>
            <w:r>
              <w:rPr>
                <w:rFonts w:hint="default" w:ascii="Times New Roman" w:hAnsi="Times New Roman" w:cs="Times New Roman"/>
                <w:color w:val="auto"/>
                <w:sz w:val="24"/>
                <w:szCs w:val="24"/>
              </w:rPr>
              <w:t>：</w:t>
            </w:r>
          </w:p>
          <w:p w14:paraId="49B64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lang w:val="en-US" w:eastAsia="zh-CN"/>
              </w:rPr>
              <w:t>4</w:t>
            </w:r>
            <w:r>
              <w:rPr>
                <w:rFonts w:hint="default" w:ascii="Times New Roman" w:hAnsi="Times New Roman" w:eastAsia="宋体" w:cs="Times New Roman"/>
                <w:b/>
                <w:color w:val="auto"/>
                <w:sz w:val="24"/>
                <w:szCs w:val="24"/>
              </w:rPr>
              <w:t>-</w:t>
            </w:r>
            <w:r>
              <w:rPr>
                <w:rFonts w:hint="eastAsia" w:cs="Times New Roman"/>
                <w:b/>
                <w:color w:val="auto"/>
                <w:sz w:val="24"/>
                <w:szCs w:val="24"/>
                <w:lang w:val="en-US" w:eastAsia="zh-CN"/>
              </w:rPr>
              <w:t>5</w:t>
            </w:r>
            <w:r>
              <w:rPr>
                <w:rFonts w:hint="default" w:ascii="Times New Roman" w:hAnsi="Times New Roman" w:eastAsia="宋体" w:cs="Times New Roman"/>
                <w:b/>
                <w:color w:val="auto"/>
                <w:sz w:val="24"/>
                <w:szCs w:val="24"/>
              </w:rPr>
              <w:t xml:space="preserve">  废水污染物排放执行标准表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5"/>
              <w:gridCol w:w="1462"/>
              <w:gridCol w:w="2738"/>
              <w:gridCol w:w="2030"/>
            </w:tblGrid>
            <w:tr w14:paraId="6AC5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vMerge w:val="restart"/>
                  <w:noWrap w:val="0"/>
                  <w:vAlign w:val="center"/>
                </w:tcPr>
                <w:p w14:paraId="33FD6A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序号</w:t>
                  </w:r>
                </w:p>
              </w:tc>
              <w:tc>
                <w:tcPr>
                  <w:tcW w:w="1673" w:type="dxa"/>
                  <w:vMerge w:val="restart"/>
                  <w:noWrap w:val="0"/>
                  <w:vAlign w:val="center"/>
                </w:tcPr>
                <w:p w14:paraId="1EF1F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排放口编号</w:t>
                  </w:r>
                </w:p>
              </w:tc>
              <w:tc>
                <w:tcPr>
                  <w:tcW w:w="2172" w:type="dxa"/>
                  <w:vMerge w:val="restart"/>
                  <w:noWrap w:val="0"/>
                  <w:vAlign w:val="center"/>
                </w:tcPr>
                <w:p w14:paraId="4C64D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污染物种类</w:t>
                  </w:r>
                </w:p>
              </w:tc>
              <w:tc>
                <w:tcPr>
                  <w:tcW w:w="7241" w:type="dxa"/>
                  <w:gridSpan w:val="2"/>
                  <w:noWrap w:val="0"/>
                  <w:vAlign w:val="center"/>
                </w:tcPr>
                <w:p w14:paraId="2E297A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国家或地方污染物排放标准及其他按规定商定的排放协议</w:t>
                  </w:r>
                </w:p>
              </w:tc>
            </w:tr>
            <w:tr w14:paraId="3C0D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vMerge w:val="continue"/>
                  <w:noWrap w:val="0"/>
                  <w:vAlign w:val="center"/>
                </w:tcPr>
                <w:p w14:paraId="38E64F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1673" w:type="dxa"/>
                  <w:vMerge w:val="continue"/>
                  <w:noWrap w:val="0"/>
                  <w:vAlign w:val="center"/>
                </w:tcPr>
                <w:p w14:paraId="5C26E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2172" w:type="dxa"/>
                  <w:vMerge w:val="continue"/>
                  <w:noWrap w:val="0"/>
                  <w:vAlign w:val="center"/>
                </w:tcPr>
                <w:p w14:paraId="0B4F3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p>
              </w:tc>
              <w:tc>
                <w:tcPr>
                  <w:tcW w:w="4178" w:type="dxa"/>
                  <w:noWrap w:val="0"/>
                  <w:vAlign w:val="center"/>
                </w:tcPr>
                <w:p w14:paraId="703A1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名称</w:t>
                  </w:r>
                </w:p>
              </w:tc>
              <w:tc>
                <w:tcPr>
                  <w:tcW w:w="3063" w:type="dxa"/>
                  <w:noWrap w:val="0"/>
                  <w:vAlign w:val="center"/>
                </w:tcPr>
                <w:p w14:paraId="3CC46B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浓度限值（mg/L）</w:t>
                  </w:r>
                </w:p>
              </w:tc>
            </w:tr>
            <w:tr w14:paraId="5117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vMerge w:val="restart"/>
                  <w:noWrap w:val="0"/>
                  <w:vAlign w:val="center"/>
                </w:tcPr>
                <w:p w14:paraId="3387F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673" w:type="dxa"/>
                  <w:vMerge w:val="restart"/>
                  <w:noWrap w:val="0"/>
                  <w:vAlign w:val="center"/>
                </w:tcPr>
                <w:p w14:paraId="74438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D</w:t>
                  </w:r>
                  <w:r>
                    <w:rPr>
                      <w:rFonts w:hint="default" w:ascii="Times New Roman" w:hAnsi="Times New Roman" w:cs="Times New Roman"/>
                      <w:color w:val="auto"/>
                      <w:sz w:val="21"/>
                      <w:szCs w:val="21"/>
                    </w:rPr>
                    <w:t>W001</w:t>
                  </w:r>
                </w:p>
              </w:tc>
              <w:tc>
                <w:tcPr>
                  <w:tcW w:w="2172" w:type="dxa"/>
                  <w:noWrap w:val="0"/>
                  <w:vAlign w:val="center"/>
                </w:tcPr>
                <w:p w14:paraId="6339B0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4178" w:type="dxa"/>
                  <w:vMerge w:val="restart"/>
                  <w:noWrap w:val="0"/>
                  <w:vAlign w:val="center"/>
                </w:tcPr>
                <w:p w14:paraId="45DDF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eastAsia="宋体" w:cs="Times New Roman"/>
                      <w:bCs/>
                      <w:color w:val="auto"/>
                      <w:sz w:val="21"/>
                      <w:szCs w:val="21"/>
                      <w:lang w:val="en-US" w:eastAsia="zh-CN"/>
                    </w:rPr>
                    <w:t>淮北蓝海水处理有限公司</w:t>
                  </w:r>
                  <w:r>
                    <w:rPr>
                      <w:rFonts w:hint="default" w:ascii="Times New Roman" w:hAnsi="Times New Roman" w:cs="Times New Roman"/>
                      <w:color w:val="auto"/>
                      <w:sz w:val="21"/>
                      <w:szCs w:val="21"/>
                      <w:lang w:val="en-US" w:eastAsia="zh-CN"/>
                    </w:rPr>
                    <w:t>接管</w:t>
                  </w:r>
                  <w:r>
                    <w:rPr>
                      <w:rFonts w:hint="eastAsia" w:cs="Times New Roman"/>
                      <w:color w:val="auto"/>
                      <w:sz w:val="21"/>
                      <w:szCs w:val="21"/>
                      <w:lang w:val="en-US" w:eastAsia="zh-CN"/>
                    </w:rPr>
                    <w:t>限制</w:t>
                  </w:r>
                  <w:r>
                    <w:rPr>
                      <w:rFonts w:hint="default" w:ascii="Times New Roman" w:hAnsi="Times New Roman" w:cs="Times New Roman"/>
                      <w:color w:val="auto"/>
                      <w:sz w:val="21"/>
                      <w:szCs w:val="21"/>
                      <w:lang w:val="en-US" w:eastAsia="zh-CN"/>
                    </w:rPr>
                    <w:t>和《污水综合排放标准》（GB8978</w:t>
                  </w:r>
                  <w:r>
                    <w:rPr>
                      <w:rFonts w:hint="eastAsia" w:cs="Times New Roman"/>
                      <w:color w:val="auto"/>
                      <w:sz w:val="21"/>
                      <w:szCs w:val="21"/>
                      <w:lang w:val="en-US" w:eastAsia="zh-CN"/>
                    </w:rPr>
                    <w:t xml:space="preserve"> </w:t>
                  </w:r>
                  <w:r>
                    <w:rPr>
                      <w:rFonts w:hint="default" w:ascii="Times New Roman" w:hAnsi="Times New Roman" w:cs="Times New Roman"/>
                      <w:color w:val="auto"/>
                      <w:sz w:val="21"/>
                      <w:szCs w:val="21"/>
                      <w:lang w:val="en-US" w:eastAsia="zh-CN"/>
                    </w:rPr>
                    <w:t>1996）三级标准</w:t>
                  </w:r>
                </w:p>
              </w:tc>
              <w:tc>
                <w:tcPr>
                  <w:tcW w:w="3063" w:type="dxa"/>
                  <w:noWrap w:val="0"/>
                  <w:vAlign w:val="center"/>
                </w:tcPr>
                <w:p w14:paraId="5CA0B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50</w:t>
                  </w:r>
                </w:p>
              </w:tc>
            </w:tr>
            <w:tr w14:paraId="5A36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vMerge w:val="continue"/>
                  <w:noWrap w:val="0"/>
                  <w:vAlign w:val="center"/>
                </w:tcPr>
                <w:p w14:paraId="25EDE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1673" w:type="dxa"/>
                  <w:vMerge w:val="continue"/>
                  <w:noWrap w:val="0"/>
                  <w:vAlign w:val="center"/>
                </w:tcPr>
                <w:p w14:paraId="48883E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2172" w:type="dxa"/>
                  <w:noWrap w:val="0"/>
                  <w:vAlign w:val="center"/>
                </w:tcPr>
                <w:p w14:paraId="5BA9C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4178" w:type="dxa"/>
                  <w:vMerge w:val="continue"/>
                  <w:noWrap w:val="0"/>
                  <w:vAlign w:val="center"/>
                </w:tcPr>
                <w:p w14:paraId="181E6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3063" w:type="dxa"/>
                  <w:noWrap w:val="0"/>
                  <w:vAlign w:val="center"/>
                </w:tcPr>
                <w:p w14:paraId="53EEE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w:t>
                  </w:r>
                </w:p>
              </w:tc>
            </w:tr>
            <w:tr w14:paraId="507D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vMerge w:val="continue"/>
                  <w:noWrap w:val="0"/>
                  <w:vAlign w:val="center"/>
                </w:tcPr>
                <w:p w14:paraId="45DEE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1673" w:type="dxa"/>
                  <w:vMerge w:val="continue"/>
                  <w:noWrap w:val="0"/>
                  <w:vAlign w:val="center"/>
                </w:tcPr>
                <w:p w14:paraId="6A97E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2172" w:type="dxa"/>
                  <w:noWrap w:val="0"/>
                  <w:vAlign w:val="center"/>
                </w:tcPr>
                <w:p w14:paraId="3037F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4178" w:type="dxa"/>
                  <w:vMerge w:val="continue"/>
                  <w:noWrap w:val="0"/>
                  <w:vAlign w:val="center"/>
                </w:tcPr>
                <w:p w14:paraId="07177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3063" w:type="dxa"/>
                  <w:noWrap w:val="0"/>
                  <w:vAlign w:val="center"/>
                </w:tcPr>
                <w:p w14:paraId="1CFE0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5</w:t>
                  </w:r>
                </w:p>
              </w:tc>
            </w:tr>
            <w:tr w14:paraId="5E7E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4" w:type="dxa"/>
                  <w:vMerge w:val="continue"/>
                  <w:noWrap w:val="0"/>
                  <w:vAlign w:val="center"/>
                </w:tcPr>
                <w:p w14:paraId="2EE2CB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1673" w:type="dxa"/>
                  <w:vMerge w:val="continue"/>
                  <w:noWrap w:val="0"/>
                  <w:vAlign w:val="center"/>
                </w:tcPr>
                <w:p w14:paraId="080A2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2172" w:type="dxa"/>
                  <w:noWrap w:val="0"/>
                  <w:vAlign w:val="center"/>
                </w:tcPr>
                <w:p w14:paraId="0C37B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4178" w:type="dxa"/>
                  <w:vMerge w:val="continue"/>
                  <w:noWrap w:val="0"/>
                  <w:vAlign w:val="center"/>
                </w:tcPr>
                <w:p w14:paraId="129C7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rPr>
                  </w:pPr>
                </w:p>
              </w:tc>
              <w:tc>
                <w:tcPr>
                  <w:tcW w:w="3063" w:type="dxa"/>
                  <w:noWrap w:val="0"/>
                  <w:vAlign w:val="center"/>
                </w:tcPr>
                <w:p w14:paraId="0ABE0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10</w:t>
                  </w:r>
                </w:p>
              </w:tc>
            </w:tr>
          </w:tbl>
          <w:p w14:paraId="25C53D1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eastAsia" w:ascii="Times New Roman" w:hAnsi="Times New Roman" w:cs="Times New Roman"/>
                <w:b/>
                <w:color w:val="auto"/>
                <w:sz w:val="24"/>
                <w:lang w:val="en-US" w:eastAsia="zh-CN"/>
              </w:rPr>
            </w:pPr>
            <w:r>
              <w:rPr>
                <w:rFonts w:hint="eastAsia" w:ascii="Times New Roman" w:hAnsi="Times New Roman" w:cs="Times New Roman"/>
                <w:b/>
                <w:color w:val="auto"/>
                <w:sz w:val="24"/>
                <w:lang w:val="en-US" w:eastAsia="zh-CN"/>
              </w:rPr>
              <w:t>1.</w:t>
            </w:r>
            <w:r>
              <w:rPr>
                <w:rFonts w:hint="eastAsia" w:cs="Times New Roman"/>
                <w:b/>
                <w:color w:val="auto"/>
                <w:sz w:val="24"/>
                <w:lang w:val="en-US" w:eastAsia="zh-CN"/>
              </w:rPr>
              <w:t>7</w:t>
            </w:r>
            <w:r>
              <w:rPr>
                <w:rFonts w:hint="eastAsia" w:ascii="Times New Roman" w:hAnsi="Times New Roman" w:cs="Times New Roman"/>
                <w:b/>
                <w:color w:val="auto"/>
                <w:sz w:val="24"/>
                <w:lang w:val="en-US" w:eastAsia="zh-CN"/>
              </w:rPr>
              <w:t>废水污染物排放信息表</w:t>
            </w:r>
          </w:p>
          <w:p w14:paraId="3EC11F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cs="Times New Roman"/>
                <w:b/>
                <w:color w:val="auto"/>
                <w:sz w:val="24"/>
                <w:lang w:val="en-US" w:eastAsia="zh-CN"/>
              </w:rPr>
            </w:pPr>
            <w:r>
              <w:rPr>
                <w:rFonts w:hint="eastAsia" w:ascii="Times New Roman" w:hAnsi="Times New Roman" w:cs="Times New Roman"/>
                <w:b w:val="0"/>
                <w:bCs/>
                <w:color w:val="auto"/>
                <w:sz w:val="24"/>
                <w:lang w:val="en-US" w:eastAsia="zh-CN"/>
              </w:rPr>
              <w:t>废水污染物排放信息表，详见下表：</w:t>
            </w:r>
          </w:p>
          <w:p w14:paraId="6D2D2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表4-</w:t>
            </w:r>
            <w:r>
              <w:rPr>
                <w:rFonts w:hint="eastAsia" w:cs="Times New Roman"/>
                <w:b/>
                <w:color w:val="auto"/>
                <w:sz w:val="24"/>
                <w:szCs w:val="24"/>
                <w:lang w:val="en-US" w:eastAsia="zh-CN"/>
              </w:rPr>
              <w:t>6</w:t>
            </w:r>
            <w:r>
              <w:rPr>
                <w:rFonts w:hint="eastAsia" w:ascii="Times New Roman" w:hAnsi="Times New Roman" w:eastAsia="宋体" w:cs="Times New Roman"/>
                <w:b/>
                <w:color w:val="auto"/>
                <w:sz w:val="24"/>
                <w:szCs w:val="24"/>
                <w:lang w:val="en-US" w:eastAsia="zh-CN"/>
              </w:rPr>
              <w:t xml:space="preserve">  废水污染物排放信息</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07"/>
              <w:gridCol w:w="1578"/>
              <w:gridCol w:w="1478"/>
              <w:gridCol w:w="1478"/>
              <w:gridCol w:w="1484"/>
            </w:tblGrid>
            <w:tr w14:paraId="7E24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noWrap w:val="0"/>
                  <w:vAlign w:val="center"/>
                </w:tcPr>
                <w:p w14:paraId="5FE02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序号</w:t>
                  </w:r>
                </w:p>
              </w:tc>
              <w:tc>
                <w:tcPr>
                  <w:tcW w:w="1307" w:type="dxa"/>
                  <w:noWrap w:val="0"/>
                  <w:vAlign w:val="center"/>
                </w:tcPr>
                <w:p w14:paraId="72EF6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排放口编号</w:t>
                  </w:r>
                </w:p>
              </w:tc>
              <w:tc>
                <w:tcPr>
                  <w:tcW w:w="1578" w:type="dxa"/>
                  <w:noWrap w:val="0"/>
                  <w:vAlign w:val="center"/>
                </w:tcPr>
                <w:p w14:paraId="33C65D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污染物种类</w:t>
                  </w:r>
                </w:p>
              </w:tc>
              <w:tc>
                <w:tcPr>
                  <w:tcW w:w="1478" w:type="dxa"/>
                  <w:noWrap w:val="0"/>
                  <w:vAlign w:val="center"/>
                </w:tcPr>
                <w:p w14:paraId="495A0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排放浓度（mg/</w:t>
                  </w:r>
                  <w:r>
                    <w:rPr>
                      <w:rFonts w:hint="eastAsia" w:ascii="Times New Roman" w:hAnsi="Times New Roman" w:cs="Times New Roman"/>
                      <w:b/>
                      <w:bCs/>
                      <w:color w:val="auto"/>
                      <w:sz w:val="21"/>
                      <w:szCs w:val="21"/>
                      <w:lang w:val="en-US" w:eastAsia="zh-CN"/>
                    </w:rPr>
                    <w:t>L</w:t>
                  </w:r>
                  <w:r>
                    <w:rPr>
                      <w:rFonts w:hint="default" w:ascii="Times New Roman" w:hAnsi="Times New Roman" w:cs="Times New Roman"/>
                      <w:b/>
                      <w:bCs/>
                      <w:color w:val="auto"/>
                      <w:sz w:val="21"/>
                      <w:szCs w:val="21"/>
                      <w:lang w:val="en-US" w:eastAsia="zh-CN"/>
                    </w:rPr>
                    <w:t>）</w:t>
                  </w:r>
                </w:p>
              </w:tc>
              <w:tc>
                <w:tcPr>
                  <w:tcW w:w="1478" w:type="dxa"/>
                  <w:noWrap w:val="0"/>
                  <w:vAlign w:val="center"/>
                </w:tcPr>
                <w:p w14:paraId="6DD79F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日排放量（</w:t>
                  </w:r>
                  <w:r>
                    <w:rPr>
                      <w:rFonts w:hint="eastAsia" w:ascii="Times New Roman" w:hAnsi="Times New Roman" w:cs="Times New Roman"/>
                      <w:b/>
                      <w:bCs/>
                      <w:color w:val="auto"/>
                      <w:sz w:val="21"/>
                      <w:szCs w:val="21"/>
                      <w:lang w:val="en-US" w:eastAsia="zh-CN"/>
                    </w:rPr>
                    <w:t>t</w:t>
                  </w:r>
                  <w:r>
                    <w:rPr>
                      <w:rFonts w:hint="default" w:ascii="Times New Roman" w:hAnsi="Times New Roman" w:cs="Times New Roman"/>
                      <w:b/>
                      <w:bCs/>
                      <w:color w:val="auto"/>
                      <w:sz w:val="21"/>
                      <w:szCs w:val="21"/>
                      <w:lang w:val="en-US" w:eastAsia="zh-CN"/>
                    </w:rPr>
                    <w:t>/</w:t>
                  </w:r>
                  <w:r>
                    <w:rPr>
                      <w:rFonts w:hint="eastAsia" w:ascii="Times New Roman" w:hAnsi="Times New Roman" w:cs="Times New Roman"/>
                      <w:b/>
                      <w:bCs/>
                      <w:color w:val="auto"/>
                      <w:sz w:val="21"/>
                      <w:szCs w:val="21"/>
                      <w:lang w:val="en-US" w:eastAsia="zh-CN"/>
                    </w:rPr>
                    <w:t>d</w:t>
                  </w:r>
                  <w:r>
                    <w:rPr>
                      <w:rFonts w:hint="default" w:ascii="Times New Roman" w:hAnsi="Times New Roman" w:cs="Times New Roman"/>
                      <w:b/>
                      <w:bCs/>
                      <w:color w:val="auto"/>
                      <w:sz w:val="21"/>
                      <w:szCs w:val="21"/>
                      <w:lang w:val="en-US" w:eastAsia="zh-CN"/>
                    </w:rPr>
                    <w:t>）</w:t>
                  </w:r>
                </w:p>
              </w:tc>
              <w:tc>
                <w:tcPr>
                  <w:tcW w:w="1484" w:type="dxa"/>
                  <w:noWrap w:val="0"/>
                  <w:vAlign w:val="center"/>
                </w:tcPr>
                <w:p w14:paraId="1A6DA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年排放量（t/a）</w:t>
                  </w:r>
                </w:p>
              </w:tc>
            </w:tr>
            <w:tr w14:paraId="57C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Merge w:val="restart"/>
                  <w:noWrap w:val="0"/>
                  <w:vAlign w:val="center"/>
                </w:tcPr>
                <w:p w14:paraId="682DA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w:t>
                  </w:r>
                </w:p>
              </w:tc>
              <w:tc>
                <w:tcPr>
                  <w:tcW w:w="1307" w:type="dxa"/>
                  <w:vMerge w:val="restart"/>
                  <w:noWrap w:val="0"/>
                  <w:vAlign w:val="center"/>
                </w:tcPr>
                <w:p w14:paraId="7DC73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DW001</w:t>
                  </w:r>
                </w:p>
              </w:tc>
              <w:tc>
                <w:tcPr>
                  <w:tcW w:w="1578" w:type="dxa"/>
                  <w:noWrap w:val="0"/>
                  <w:vAlign w:val="center"/>
                </w:tcPr>
                <w:p w14:paraId="4C846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COD</w:t>
                  </w:r>
                </w:p>
              </w:tc>
              <w:tc>
                <w:tcPr>
                  <w:tcW w:w="1478" w:type="dxa"/>
                  <w:noWrap w:val="0"/>
                  <w:vAlign w:val="center"/>
                </w:tcPr>
                <w:p w14:paraId="523094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156.875 </w:t>
                  </w:r>
                </w:p>
              </w:tc>
              <w:tc>
                <w:tcPr>
                  <w:tcW w:w="1478" w:type="dxa"/>
                  <w:noWrap w:val="0"/>
                  <w:vAlign w:val="center"/>
                </w:tcPr>
                <w:p w14:paraId="18E6E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0.004 </w:t>
                  </w:r>
                </w:p>
              </w:tc>
              <w:tc>
                <w:tcPr>
                  <w:tcW w:w="1484" w:type="dxa"/>
                  <w:noWrap w:val="0"/>
                  <w:vAlign w:val="center"/>
                </w:tcPr>
                <w:p w14:paraId="141E6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1.557 </w:t>
                  </w:r>
                </w:p>
              </w:tc>
            </w:tr>
            <w:tr w14:paraId="5C7F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Merge w:val="continue"/>
                  <w:noWrap w:val="0"/>
                  <w:vAlign w:val="center"/>
                </w:tcPr>
                <w:p w14:paraId="33948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1307" w:type="dxa"/>
                  <w:vMerge w:val="continue"/>
                  <w:noWrap w:val="0"/>
                  <w:vAlign w:val="center"/>
                </w:tcPr>
                <w:p w14:paraId="39644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1578" w:type="dxa"/>
                  <w:noWrap w:val="0"/>
                  <w:vAlign w:val="center"/>
                </w:tcPr>
                <w:p w14:paraId="410A9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478" w:type="dxa"/>
                  <w:noWrap w:val="0"/>
                  <w:vAlign w:val="center"/>
                </w:tcPr>
                <w:p w14:paraId="70B14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18.380 </w:t>
                  </w:r>
                </w:p>
              </w:tc>
              <w:tc>
                <w:tcPr>
                  <w:tcW w:w="1478" w:type="dxa"/>
                  <w:noWrap w:val="0"/>
                  <w:vAlign w:val="center"/>
                </w:tcPr>
                <w:p w14:paraId="2D5E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0.0005 </w:t>
                  </w:r>
                </w:p>
              </w:tc>
              <w:tc>
                <w:tcPr>
                  <w:tcW w:w="1484" w:type="dxa"/>
                  <w:noWrap w:val="0"/>
                  <w:vAlign w:val="center"/>
                </w:tcPr>
                <w:p w14:paraId="2F975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0.182 </w:t>
                  </w:r>
                </w:p>
              </w:tc>
            </w:tr>
            <w:tr w14:paraId="3220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Merge w:val="continue"/>
                  <w:noWrap w:val="0"/>
                  <w:vAlign w:val="center"/>
                </w:tcPr>
                <w:p w14:paraId="6D79EA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1307" w:type="dxa"/>
                  <w:vMerge w:val="continue"/>
                  <w:noWrap w:val="0"/>
                  <w:vAlign w:val="center"/>
                </w:tcPr>
                <w:p w14:paraId="47C92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1578" w:type="dxa"/>
                  <w:noWrap w:val="0"/>
                  <w:vAlign w:val="center"/>
                </w:tcPr>
                <w:p w14:paraId="7A8B9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SS</w:t>
                  </w:r>
                </w:p>
              </w:tc>
              <w:tc>
                <w:tcPr>
                  <w:tcW w:w="1478" w:type="dxa"/>
                  <w:noWrap w:val="0"/>
                  <w:vAlign w:val="center"/>
                </w:tcPr>
                <w:p w14:paraId="0CC5A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165.470 </w:t>
                  </w:r>
                </w:p>
              </w:tc>
              <w:tc>
                <w:tcPr>
                  <w:tcW w:w="1478" w:type="dxa"/>
                  <w:noWrap w:val="0"/>
                  <w:vAlign w:val="center"/>
                </w:tcPr>
                <w:p w14:paraId="5D96B4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0.004 </w:t>
                  </w:r>
                </w:p>
              </w:tc>
              <w:tc>
                <w:tcPr>
                  <w:tcW w:w="1484" w:type="dxa"/>
                  <w:noWrap w:val="0"/>
                  <w:vAlign w:val="center"/>
                </w:tcPr>
                <w:p w14:paraId="1EF16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1.642 </w:t>
                  </w:r>
                </w:p>
              </w:tc>
            </w:tr>
            <w:tr w14:paraId="42C8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0" w:type="dxa"/>
                  <w:vMerge w:val="continue"/>
                  <w:noWrap w:val="0"/>
                  <w:vAlign w:val="center"/>
                </w:tcPr>
                <w:p w14:paraId="4073B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1307" w:type="dxa"/>
                  <w:vMerge w:val="continue"/>
                  <w:noWrap w:val="0"/>
                  <w:vAlign w:val="center"/>
                </w:tcPr>
                <w:p w14:paraId="308180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1578" w:type="dxa"/>
                  <w:noWrap w:val="0"/>
                  <w:vAlign w:val="center"/>
                </w:tcPr>
                <w:p w14:paraId="62B37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478" w:type="dxa"/>
                  <w:noWrap w:val="0"/>
                  <w:vAlign w:val="center"/>
                </w:tcPr>
                <w:p w14:paraId="1B89F8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5.514 </w:t>
                  </w:r>
                </w:p>
              </w:tc>
              <w:tc>
                <w:tcPr>
                  <w:tcW w:w="1478" w:type="dxa"/>
                  <w:noWrap w:val="0"/>
                  <w:vAlign w:val="center"/>
                </w:tcPr>
                <w:p w14:paraId="41C60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0.0001 </w:t>
                  </w:r>
                </w:p>
              </w:tc>
              <w:tc>
                <w:tcPr>
                  <w:tcW w:w="1484" w:type="dxa"/>
                  <w:noWrap w:val="0"/>
                  <w:vAlign w:val="center"/>
                </w:tcPr>
                <w:p w14:paraId="30934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0.055 </w:t>
                  </w:r>
                </w:p>
              </w:tc>
            </w:tr>
            <w:tr w14:paraId="2F27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7" w:type="dxa"/>
                  <w:gridSpan w:val="2"/>
                  <w:vMerge w:val="restart"/>
                  <w:noWrap w:val="0"/>
                  <w:vAlign w:val="center"/>
                </w:tcPr>
                <w:p w14:paraId="2A6FD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全厂排放合计</w:t>
                  </w:r>
                </w:p>
              </w:tc>
              <w:tc>
                <w:tcPr>
                  <w:tcW w:w="4534" w:type="dxa"/>
                  <w:gridSpan w:val="3"/>
                  <w:noWrap w:val="0"/>
                  <w:vAlign w:val="center"/>
                </w:tcPr>
                <w:p w14:paraId="6F52B0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COD</w:t>
                  </w:r>
                </w:p>
              </w:tc>
              <w:tc>
                <w:tcPr>
                  <w:tcW w:w="1484" w:type="dxa"/>
                  <w:noWrap w:val="0"/>
                  <w:vAlign w:val="center"/>
                </w:tcPr>
                <w:p w14:paraId="75BAE7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1.557 </w:t>
                  </w:r>
                </w:p>
              </w:tc>
            </w:tr>
            <w:tr w14:paraId="068B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7" w:type="dxa"/>
                  <w:gridSpan w:val="2"/>
                  <w:vMerge w:val="continue"/>
                  <w:noWrap w:val="0"/>
                  <w:vAlign w:val="center"/>
                </w:tcPr>
                <w:p w14:paraId="3AF22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4534" w:type="dxa"/>
                  <w:gridSpan w:val="3"/>
                  <w:noWrap w:val="0"/>
                  <w:vAlign w:val="center"/>
                </w:tcPr>
                <w:p w14:paraId="3DB416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BOD</w:t>
                  </w:r>
                  <w:r>
                    <w:rPr>
                      <w:rFonts w:hint="default" w:ascii="Times New Roman" w:hAnsi="Times New Roman" w:cs="Times New Roman"/>
                      <w:color w:val="auto"/>
                      <w:sz w:val="21"/>
                      <w:szCs w:val="21"/>
                      <w:vertAlign w:val="subscript"/>
                    </w:rPr>
                    <w:t>5</w:t>
                  </w:r>
                </w:p>
              </w:tc>
              <w:tc>
                <w:tcPr>
                  <w:tcW w:w="1484" w:type="dxa"/>
                  <w:noWrap w:val="0"/>
                  <w:vAlign w:val="center"/>
                </w:tcPr>
                <w:p w14:paraId="0A387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0.182 </w:t>
                  </w:r>
                </w:p>
              </w:tc>
            </w:tr>
            <w:tr w14:paraId="2FE4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7" w:type="dxa"/>
                  <w:gridSpan w:val="2"/>
                  <w:vMerge w:val="continue"/>
                  <w:noWrap w:val="0"/>
                  <w:vAlign w:val="center"/>
                </w:tcPr>
                <w:p w14:paraId="2C8A2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4534" w:type="dxa"/>
                  <w:gridSpan w:val="3"/>
                  <w:noWrap w:val="0"/>
                  <w:vAlign w:val="center"/>
                </w:tcPr>
                <w:p w14:paraId="096920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SS</w:t>
                  </w:r>
                </w:p>
              </w:tc>
              <w:tc>
                <w:tcPr>
                  <w:tcW w:w="1484" w:type="dxa"/>
                  <w:noWrap w:val="0"/>
                  <w:vAlign w:val="center"/>
                </w:tcPr>
                <w:p w14:paraId="7A03A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1.642 </w:t>
                  </w:r>
                </w:p>
              </w:tc>
            </w:tr>
            <w:tr w14:paraId="6453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57" w:type="dxa"/>
                  <w:gridSpan w:val="2"/>
                  <w:vMerge w:val="continue"/>
                  <w:noWrap w:val="0"/>
                  <w:vAlign w:val="center"/>
                </w:tcPr>
                <w:p w14:paraId="30EFF8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p>
              </w:tc>
              <w:tc>
                <w:tcPr>
                  <w:tcW w:w="4534" w:type="dxa"/>
                  <w:gridSpan w:val="3"/>
                  <w:noWrap w:val="0"/>
                  <w:vAlign w:val="center"/>
                </w:tcPr>
                <w:p w14:paraId="5DF4A6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NH</w:t>
                  </w:r>
                  <w:r>
                    <w:rPr>
                      <w:rFonts w:hint="default" w:ascii="Times New Roman" w:hAnsi="Times New Roman" w:cs="Times New Roman"/>
                      <w:color w:val="auto"/>
                      <w:sz w:val="21"/>
                      <w:szCs w:val="21"/>
                      <w:vertAlign w:val="subscript"/>
                    </w:rPr>
                    <w:t>3</w:t>
                  </w:r>
                  <w:r>
                    <w:rPr>
                      <w:rFonts w:hint="default" w:ascii="Times New Roman" w:hAnsi="Times New Roman" w:cs="Times New Roman"/>
                      <w:color w:val="auto"/>
                      <w:sz w:val="21"/>
                      <w:szCs w:val="21"/>
                    </w:rPr>
                    <w:t>-N</w:t>
                  </w:r>
                </w:p>
              </w:tc>
              <w:tc>
                <w:tcPr>
                  <w:tcW w:w="1484" w:type="dxa"/>
                  <w:noWrap w:val="0"/>
                  <w:vAlign w:val="center"/>
                </w:tcPr>
                <w:p w14:paraId="55B2C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 xml:space="preserve">0.055 </w:t>
                  </w:r>
                </w:p>
              </w:tc>
            </w:tr>
          </w:tbl>
          <w:p w14:paraId="6636894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leftChars="0" w:right="0" w:firstLine="0" w:firstLineChars="0"/>
              <w:textAlignment w:val="auto"/>
              <w:rPr>
                <w:rFonts w:hint="default" w:ascii="Times New Roman" w:hAnsi="Times New Roman" w:cs="Times New Roman"/>
                <w:b/>
                <w:color w:val="auto"/>
                <w:sz w:val="24"/>
                <w:lang w:val="en-US" w:eastAsia="zh-CN"/>
              </w:rPr>
            </w:pPr>
            <w:r>
              <w:rPr>
                <w:rFonts w:hint="eastAsia" w:ascii="Times New Roman" w:hAnsi="Times New Roman" w:cs="Times New Roman"/>
                <w:b/>
                <w:color w:val="auto"/>
                <w:sz w:val="24"/>
                <w:lang w:val="en-US" w:eastAsia="zh-CN"/>
              </w:rPr>
              <w:t>1.</w:t>
            </w:r>
            <w:r>
              <w:rPr>
                <w:rFonts w:hint="eastAsia" w:cs="Times New Roman"/>
                <w:b/>
                <w:color w:val="auto"/>
                <w:sz w:val="24"/>
                <w:lang w:val="en-US" w:eastAsia="zh-CN"/>
              </w:rPr>
              <w:t>8</w:t>
            </w:r>
            <w:r>
              <w:rPr>
                <w:rFonts w:hint="eastAsia" w:ascii="Times New Roman" w:hAnsi="Times New Roman" w:cs="Times New Roman"/>
                <w:b/>
                <w:color w:val="auto"/>
                <w:sz w:val="24"/>
                <w:lang w:val="en-US" w:eastAsia="zh-CN"/>
              </w:rPr>
              <w:t>废水</w:t>
            </w:r>
            <w:r>
              <w:rPr>
                <w:rFonts w:hint="eastAsia" w:cs="Times New Roman"/>
                <w:b/>
                <w:color w:val="auto"/>
                <w:sz w:val="24"/>
                <w:lang w:val="en-US" w:eastAsia="zh-CN"/>
              </w:rPr>
              <w:t>监测计划</w:t>
            </w:r>
          </w:p>
          <w:p w14:paraId="22CE389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b/>
                <w:bCs/>
                <w:sz w:val="24"/>
                <w:szCs w:val="24"/>
              </w:rPr>
            </w:pPr>
            <w:r>
              <w:rPr>
                <w:rFonts w:hint="eastAsia" w:ascii="宋体" w:hAnsi="宋体" w:eastAsia="宋体" w:cs="宋体"/>
                <w:b w:val="0"/>
                <w:bCs w:val="0"/>
                <w:color w:val="000000"/>
                <w:kern w:val="0"/>
                <w:sz w:val="24"/>
                <w:szCs w:val="24"/>
                <w:lang w:val="en-US" w:eastAsia="zh-CN" w:bidi="ar-SA"/>
              </w:rPr>
              <w:t>本项目废水仅为生活污水、纯水制备浓水、</w:t>
            </w:r>
            <w:r>
              <w:rPr>
                <w:rFonts w:hint="default" w:ascii="宋体" w:hAnsi="宋体" w:eastAsia="宋体" w:cs="宋体"/>
                <w:b w:val="0"/>
                <w:bCs w:val="0"/>
                <w:color w:val="000000"/>
                <w:kern w:val="0"/>
                <w:sz w:val="24"/>
                <w:szCs w:val="24"/>
                <w:lang w:val="en-US" w:eastAsia="zh-CN" w:bidi="ar-SA"/>
              </w:rPr>
              <w:t>循环冷却定期排污水</w:t>
            </w:r>
            <w:r>
              <w:rPr>
                <w:rFonts w:hint="eastAsia" w:ascii="宋体" w:hAnsi="宋体" w:eastAsia="宋体" w:cs="宋体"/>
                <w:b w:val="0"/>
                <w:bCs w:val="0"/>
                <w:color w:val="000000"/>
                <w:kern w:val="0"/>
                <w:sz w:val="24"/>
                <w:szCs w:val="24"/>
                <w:lang w:val="en-US" w:eastAsia="zh-CN" w:bidi="ar-SA"/>
              </w:rPr>
              <w:t>，因此无需进行废水监测。</w:t>
            </w:r>
          </w:p>
          <w:p w14:paraId="79800AAE">
            <w:pPr>
              <w:keepNext w:val="0"/>
              <w:keepLines w:val="0"/>
              <w:suppressLineNumbers w:val="0"/>
              <w:spacing w:before="0" w:beforeAutospacing="0" w:after="0" w:afterAutospacing="0" w:line="360" w:lineRule="auto"/>
              <w:ind w:left="0" w:right="0"/>
              <w:rPr>
                <w:rFonts w:hint="default"/>
                <w:b/>
                <w:bCs/>
                <w:sz w:val="24"/>
                <w:szCs w:val="24"/>
              </w:rPr>
            </w:pPr>
            <w:r>
              <w:rPr>
                <w:rFonts w:hint="default"/>
                <w:b/>
                <w:bCs/>
                <w:sz w:val="24"/>
                <w:szCs w:val="24"/>
              </w:rPr>
              <w:t>2</w:t>
            </w:r>
            <w:r>
              <w:rPr>
                <w:rFonts w:hint="eastAsia" w:cs="宋体"/>
                <w:b/>
                <w:bCs/>
                <w:sz w:val="24"/>
                <w:szCs w:val="24"/>
              </w:rPr>
              <w:t>、废气</w:t>
            </w:r>
          </w:p>
          <w:p w14:paraId="0F4AFE07">
            <w:pPr>
              <w:keepNext w:val="0"/>
              <w:keepLines w:val="0"/>
              <w:suppressLineNumbers w:val="0"/>
              <w:spacing w:before="0" w:beforeAutospacing="0" w:after="0" w:afterAutospacing="0" w:line="360" w:lineRule="auto"/>
              <w:ind w:left="0" w:right="0"/>
              <w:rPr>
                <w:rFonts w:hint="default" w:eastAsia="宋体"/>
                <w:b/>
                <w:bCs/>
                <w:sz w:val="24"/>
                <w:szCs w:val="24"/>
                <w:lang w:val="en-US" w:eastAsia="zh-CN"/>
              </w:rPr>
            </w:pPr>
            <w:r>
              <w:rPr>
                <w:rFonts w:hint="default"/>
                <w:b/>
                <w:bCs/>
                <w:sz w:val="24"/>
                <w:szCs w:val="24"/>
              </w:rPr>
              <w:t>2.1</w:t>
            </w:r>
            <w:r>
              <w:rPr>
                <w:rFonts w:hint="eastAsia" w:cs="宋体"/>
                <w:b/>
                <w:bCs/>
                <w:sz w:val="24"/>
                <w:szCs w:val="24"/>
              </w:rPr>
              <w:t>废气量</w:t>
            </w:r>
            <w:r>
              <w:rPr>
                <w:rFonts w:hint="eastAsia" w:cs="宋体"/>
                <w:b/>
                <w:bCs/>
                <w:sz w:val="24"/>
                <w:szCs w:val="24"/>
                <w:lang w:val="en-US" w:eastAsia="zh-CN"/>
              </w:rPr>
              <w:t>产排核算</w:t>
            </w:r>
          </w:p>
          <w:p w14:paraId="33C0769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default" w:cs="Times New Roman"/>
                <w:b/>
                <w:bCs/>
                <w:color w:val="000000"/>
                <w:kern w:val="0"/>
                <w:sz w:val="24"/>
                <w:szCs w:val="24"/>
                <w:lang w:val="en-US" w:eastAsia="zh-CN"/>
              </w:rPr>
            </w:pPr>
            <w:bookmarkStart w:id="9" w:name="OLE_LINK14"/>
            <w:r>
              <w:rPr>
                <w:rFonts w:hint="eastAsia" w:cs="Times New Roman"/>
                <w:b/>
                <w:bCs/>
                <w:color w:val="000000"/>
                <w:kern w:val="0"/>
                <w:sz w:val="24"/>
                <w:szCs w:val="24"/>
                <w:lang w:val="en-US" w:eastAsia="zh-CN"/>
              </w:rPr>
              <w:t>2.1.1源强核算</w:t>
            </w:r>
          </w:p>
          <w:p w14:paraId="0B416A2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宋体" w:eastAsia="宋体" w:cs="Times New Roman"/>
                <w:b w:val="0"/>
                <w:bCs w:val="0"/>
                <w:color w:val="000000"/>
                <w:kern w:val="0"/>
                <w:sz w:val="24"/>
                <w:szCs w:val="24"/>
              </w:rPr>
            </w:pPr>
            <w:r>
              <w:rPr>
                <w:rFonts w:hint="eastAsia" w:ascii="宋体" w:hAnsi="宋体" w:eastAsia="宋体" w:cs="宋体"/>
                <w:b w:val="0"/>
                <w:bCs w:val="0"/>
                <w:color w:val="000000"/>
                <w:kern w:val="0"/>
                <w:sz w:val="24"/>
                <w:szCs w:val="24"/>
                <w:lang w:val="en-US" w:eastAsia="zh-CN" w:bidi="ar-SA"/>
              </w:rPr>
              <w:t>运营期废气主要包括：配料、混料粉尘、熔化废气、</w:t>
            </w:r>
            <w:r>
              <w:rPr>
                <w:rFonts w:hint="eastAsia" w:ascii="宋体" w:hAnsi="宋体" w:cs="宋体"/>
                <w:b w:val="0"/>
                <w:bCs w:val="0"/>
                <w:color w:val="000000"/>
                <w:kern w:val="0"/>
                <w:sz w:val="24"/>
                <w:szCs w:val="24"/>
                <w:lang w:val="en-US" w:eastAsia="zh-CN" w:bidi="ar-SA"/>
              </w:rPr>
              <w:t>布料粉尘、</w:t>
            </w:r>
            <w:r>
              <w:rPr>
                <w:rFonts w:hint="eastAsia" w:ascii="宋体" w:hAnsi="宋体" w:eastAsia="宋体" w:cs="宋体"/>
                <w:b w:val="0"/>
                <w:bCs w:val="0"/>
                <w:color w:val="000000"/>
                <w:kern w:val="0"/>
                <w:sz w:val="24"/>
                <w:szCs w:val="24"/>
                <w:lang w:val="en-US" w:eastAsia="zh-CN" w:bidi="ar-SA"/>
              </w:rPr>
              <w:t>裁切废气、清扫废气</w:t>
            </w:r>
            <w:r>
              <w:rPr>
                <w:rFonts w:hint="eastAsia" w:ascii="宋体" w:hAnsi="宋体" w:cs="宋体"/>
                <w:b w:val="0"/>
                <w:bCs w:val="0"/>
                <w:color w:val="000000"/>
                <w:kern w:val="0"/>
                <w:sz w:val="24"/>
                <w:szCs w:val="24"/>
                <w:lang w:val="en-US" w:eastAsia="zh-CN" w:bidi="ar-SA"/>
              </w:rPr>
              <w:t>、圆口废气、天然气燃烧废气，</w:t>
            </w:r>
            <w:r>
              <w:rPr>
                <w:rFonts w:hint="eastAsia" w:ascii="Times New Roman" w:hAnsi="Times New Roman" w:cs="Times New Roman"/>
                <w:b w:val="0"/>
                <w:bCs w:val="0"/>
                <w:sz w:val="24"/>
                <w:lang w:val="en-US" w:eastAsia="zh-CN"/>
              </w:rPr>
              <w:t>废气源强核算过程如下。</w:t>
            </w:r>
            <w:bookmarkEnd w:id="9"/>
          </w:p>
          <w:p w14:paraId="14CD78F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kern w:val="0"/>
                <w:sz w:val="24"/>
                <w:szCs w:val="24"/>
              </w:rPr>
            </w:pPr>
            <w:r>
              <w:rPr>
                <w:rFonts w:hint="eastAsia" w:cs="Times New Roman"/>
                <w:color w:val="000000"/>
                <w:kern w:val="0"/>
                <w:sz w:val="24"/>
                <w:szCs w:val="24"/>
                <w:lang w:val="en-US" w:eastAsia="zh-CN"/>
              </w:rPr>
              <w:t>（1）</w:t>
            </w:r>
            <w:r>
              <w:rPr>
                <w:rFonts w:hint="default" w:ascii="Times New Roman" w:hAnsi="Times New Roman" w:cs="Times New Roman"/>
                <w:color w:val="000000"/>
                <w:kern w:val="0"/>
                <w:sz w:val="24"/>
                <w:szCs w:val="24"/>
                <w:lang w:val="en-US" w:eastAsia="zh-CN"/>
              </w:rPr>
              <w:t>配料、混料粉尘</w:t>
            </w:r>
          </w:p>
          <w:p w14:paraId="0D03994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本项目配料、混料</w:t>
            </w:r>
            <w:r>
              <w:rPr>
                <w:rFonts w:hint="eastAsia" w:cs="Times New Roman"/>
                <w:color w:val="000000"/>
                <w:kern w:val="0"/>
                <w:sz w:val="24"/>
                <w:szCs w:val="24"/>
                <w:lang w:val="en-US" w:eastAsia="zh-CN"/>
              </w:rPr>
              <w:t>工序是采用行车将原料运送至二楼投料平台，人工将原辅材料投加进料仓，然后通过计量设备及输送带将配比好的原辅料密闭输送至混料机，物料在混料机内均匀混合后再采用输送带密闭输送至提升机。此过程中会产生一定量的粉尘，</w:t>
            </w:r>
            <w:r>
              <w:rPr>
                <w:rFonts w:hint="default" w:ascii="Times New Roman" w:hAnsi="Times New Roman" w:eastAsia="宋体" w:cs="Times New Roman"/>
                <w:color w:val="000000"/>
                <w:kern w:val="0"/>
                <w:sz w:val="24"/>
                <w:szCs w:val="24"/>
                <w:lang w:val="en-US" w:eastAsia="zh-CN"/>
              </w:rPr>
              <w:t>由于项目使用的</w:t>
            </w:r>
            <w:r>
              <w:rPr>
                <w:rFonts w:hint="eastAsia" w:cs="Times New Roman"/>
                <w:color w:val="000000"/>
                <w:kern w:val="0"/>
                <w:sz w:val="24"/>
                <w:szCs w:val="24"/>
                <w:lang w:val="en-US" w:eastAsia="zh-CN"/>
              </w:rPr>
              <w:t>原料均为结晶状、颗粒状</w:t>
            </w:r>
            <w:r>
              <w:rPr>
                <w:rFonts w:hint="default" w:ascii="Times New Roman" w:hAnsi="Times New Roman" w:eastAsia="宋体" w:cs="Times New Roman"/>
                <w:color w:val="000000"/>
                <w:kern w:val="0"/>
                <w:sz w:val="24"/>
                <w:szCs w:val="24"/>
                <w:lang w:val="en-US" w:eastAsia="zh-CN"/>
              </w:rPr>
              <w:t>，故在很大程度上减少了粉尘的产生量</w:t>
            </w:r>
            <w:r>
              <w:rPr>
                <w:rFonts w:hint="eastAsia" w:cs="Times New Roman"/>
                <w:color w:val="000000"/>
                <w:kern w:val="0"/>
                <w:sz w:val="24"/>
                <w:szCs w:val="24"/>
                <w:lang w:val="en-US" w:eastAsia="zh-CN"/>
              </w:rPr>
              <w:t>，且生产全过程均在密闭的配料间内进行</w:t>
            </w:r>
            <w:r>
              <w:rPr>
                <w:rFonts w:hint="default" w:ascii="Times New Roman" w:hAnsi="Times New Roman" w:eastAsia="宋体" w:cs="Times New Roman"/>
                <w:color w:val="000000"/>
                <w:kern w:val="0"/>
                <w:sz w:val="24"/>
                <w:szCs w:val="24"/>
                <w:lang w:val="en-US" w:eastAsia="zh-CN"/>
              </w:rPr>
              <w:t>，</w:t>
            </w:r>
            <w:r>
              <w:rPr>
                <w:rFonts w:hint="eastAsia" w:cs="Times New Roman"/>
                <w:color w:val="000000"/>
                <w:kern w:val="0"/>
                <w:sz w:val="24"/>
                <w:szCs w:val="24"/>
                <w:lang w:val="en-US" w:eastAsia="zh-CN"/>
              </w:rPr>
              <w:t>故</w:t>
            </w:r>
            <w:r>
              <w:rPr>
                <w:rFonts w:hint="default" w:ascii="Times New Roman" w:hAnsi="Times New Roman" w:cs="Times New Roman"/>
                <w:color w:val="000000"/>
                <w:kern w:val="0"/>
                <w:sz w:val="24"/>
                <w:szCs w:val="24"/>
                <w:lang w:val="en-US" w:eastAsia="zh-CN"/>
              </w:rPr>
              <w:t>配料、混料粉尘</w:t>
            </w:r>
            <w:r>
              <w:rPr>
                <w:rFonts w:hint="eastAsia" w:cs="Times New Roman"/>
                <w:color w:val="000000"/>
                <w:kern w:val="0"/>
                <w:sz w:val="24"/>
                <w:szCs w:val="24"/>
                <w:lang w:val="en-US" w:eastAsia="zh-CN"/>
              </w:rPr>
              <w:t>不进行定量分析，无组织降落至密闭配料间内，定期清扫地面。</w:t>
            </w:r>
          </w:p>
          <w:p w14:paraId="1E65B86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cs="Times New Roman"/>
                <w:color w:val="000000"/>
                <w:kern w:val="0"/>
                <w:sz w:val="24"/>
                <w:szCs w:val="24"/>
                <w:lang w:val="en-US" w:eastAsia="zh-CN"/>
              </w:rPr>
              <w:t>（2）</w:t>
            </w:r>
            <w:r>
              <w:rPr>
                <w:rFonts w:hint="default" w:ascii="Times New Roman" w:hAnsi="Times New Roman" w:eastAsia="宋体" w:cs="Times New Roman"/>
                <w:color w:val="000000"/>
                <w:kern w:val="0"/>
                <w:sz w:val="24"/>
                <w:szCs w:val="24"/>
                <w:lang w:val="en-US" w:eastAsia="zh-CN"/>
              </w:rPr>
              <w:t>熔化废气</w:t>
            </w:r>
          </w:p>
          <w:p w14:paraId="5FD2927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本项目</w:t>
            </w:r>
            <w:r>
              <w:rPr>
                <w:rFonts w:hint="eastAsia" w:cs="Times New Roman"/>
                <w:color w:val="000000"/>
                <w:kern w:val="0"/>
                <w:sz w:val="24"/>
                <w:szCs w:val="24"/>
                <w:lang w:val="en-US" w:eastAsia="zh-CN"/>
              </w:rPr>
              <w:t>所用原料石英砂、硼砂、硼酸、氢氧化铝、食盐等，不涉及含氟原料，电熔窑</w:t>
            </w:r>
            <w:r>
              <w:rPr>
                <w:rFonts w:hint="eastAsia" w:ascii="Times New Roman" w:hAnsi="Times New Roman" w:cs="Times New Roman"/>
                <w:color w:val="000000"/>
                <w:kern w:val="0"/>
                <w:sz w:val="24"/>
                <w:szCs w:val="24"/>
                <w:lang w:val="en-US" w:eastAsia="zh-CN"/>
              </w:rPr>
              <w:t>生产过程中</w:t>
            </w:r>
            <w:r>
              <w:rPr>
                <w:rFonts w:hint="default" w:ascii="Times New Roman" w:hAnsi="Times New Roman" w:eastAsia="宋体" w:cs="Times New Roman"/>
                <w:color w:val="000000"/>
                <w:kern w:val="0"/>
                <w:sz w:val="24"/>
                <w:szCs w:val="24"/>
                <w:lang w:val="en-US" w:eastAsia="zh-CN"/>
              </w:rPr>
              <w:t>会产生</w:t>
            </w:r>
            <w:r>
              <w:rPr>
                <w:rFonts w:hint="eastAsia" w:ascii="Times New Roman" w:hAnsi="Times New Roman" w:cs="Times New Roman"/>
                <w:color w:val="000000"/>
                <w:kern w:val="0"/>
                <w:sz w:val="24"/>
                <w:szCs w:val="24"/>
                <w:lang w:val="en-US" w:eastAsia="zh-CN"/>
              </w:rPr>
              <w:t>熔化烟尘</w:t>
            </w:r>
            <w:r>
              <w:rPr>
                <w:rFonts w:hint="default" w:ascii="Times New Roman" w:hAnsi="Times New Roman" w:eastAsia="宋体" w:cs="Times New Roman"/>
                <w:color w:val="000000"/>
                <w:kern w:val="0"/>
                <w:sz w:val="24"/>
                <w:szCs w:val="24"/>
                <w:lang w:val="en-US" w:eastAsia="zh-CN"/>
              </w:rPr>
              <w:t>，</w:t>
            </w:r>
            <w:r>
              <w:rPr>
                <w:rFonts w:hint="eastAsia" w:ascii="Times New Roman" w:hAnsi="Times New Roman" w:eastAsia="宋体" w:cs="Times New Roman"/>
                <w:color w:val="000000"/>
                <w:kern w:val="0"/>
                <w:sz w:val="24"/>
                <w:szCs w:val="24"/>
                <w:lang w:val="en-US" w:eastAsia="zh-CN"/>
              </w:rPr>
              <w:t>本项目防火玻璃、光热玻璃、玻璃制品产量</w:t>
            </w:r>
            <w:r>
              <w:rPr>
                <w:rFonts w:hint="eastAsia" w:ascii="Times New Roman" w:hAnsi="Times New Roman" w:cs="Times New Roman"/>
                <w:color w:val="000000"/>
                <w:kern w:val="0"/>
                <w:sz w:val="24"/>
                <w:szCs w:val="24"/>
                <w:lang w:val="en-US" w:eastAsia="zh-CN"/>
              </w:rPr>
              <w:t>为36500</w:t>
            </w:r>
            <w:r>
              <w:rPr>
                <w:rFonts w:hint="eastAsia" w:ascii="Times New Roman" w:hAnsi="Times New Roman" w:eastAsia="宋体" w:cs="Times New Roman"/>
                <w:color w:val="000000"/>
                <w:kern w:val="0"/>
                <w:sz w:val="24"/>
                <w:szCs w:val="24"/>
                <w:lang w:val="en-US" w:eastAsia="zh-CN"/>
              </w:rPr>
              <w:t>t/a，参照《排放源统计调查产排污核算方法和系数手册》（生态环境部公告</w:t>
            </w:r>
            <w:r>
              <w:rPr>
                <w:rFonts w:hint="default" w:ascii="Times New Roman" w:hAnsi="Times New Roman" w:eastAsia="宋体" w:cs="Times New Roman"/>
                <w:color w:val="000000"/>
                <w:kern w:val="0"/>
                <w:sz w:val="24"/>
                <w:szCs w:val="24"/>
                <w:lang w:val="en-US" w:eastAsia="zh-CN"/>
              </w:rPr>
              <w:t>2021</w:t>
            </w:r>
            <w:r>
              <w:rPr>
                <w:rFonts w:hint="eastAsia" w:ascii="Times New Roman" w:hAnsi="Times New Roman" w:eastAsia="宋体" w:cs="Times New Roman"/>
                <w:color w:val="000000"/>
                <w:kern w:val="0"/>
                <w:sz w:val="24"/>
                <w:szCs w:val="24"/>
                <w:lang w:val="en-US" w:eastAsia="zh-CN"/>
              </w:rPr>
              <w:t>第</w:t>
            </w:r>
            <w:r>
              <w:rPr>
                <w:rFonts w:hint="default" w:ascii="Times New Roman" w:hAnsi="Times New Roman" w:eastAsia="宋体" w:cs="Times New Roman"/>
                <w:color w:val="000000"/>
                <w:kern w:val="0"/>
                <w:sz w:val="24"/>
                <w:szCs w:val="24"/>
                <w:lang w:val="en-US" w:eastAsia="zh-CN"/>
              </w:rPr>
              <w:t>24</w:t>
            </w:r>
            <w:r>
              <w:rPr>
                <w:rFonts w:hint="eastAsia" w:ascii="Times New Roman" w:hAnsi="Times New Roman" w:eastAsia="宋体" w:cs="Times New Roman"/>
                <w:color w:val="000000"/>
                <w:kern w:val="0"/>
                <w:sz w:val="24"/>
                <w:szCs w:val="24"/>
                <w:lang w:val="en-US" w:eastAsia="zh-CN"/>
              </w:rPr>
              <w:t>号）“</w:t>
            </w:r>
            <w:r>
              <w:rPr>
                <w:rFonts w:hint="default" w:ascii="Times New Roman" w:hAnsi="Times New Roman" w:eastAsia="宋体" w:cs="Times New Roman"/>
                <w:color w:val="000000"/>
                <w:kern w:val="0"/>
                <w:sz w:val="24"/>
                <w:szCs w:val="24"/>
                <w:lang w:val="en-US" w:eastAsia="zh-CN"/>
              </w:rPr>
              <w:t xml:space="preserve">3051 </w:t>
            </w:r>
            <w:r>
              <w:rPr>
                <w:rFonts w:hint="eastAsia" w:ascii="Times New Roman" w:hAnsi="Times New Roman" w:eastAsia="宋体" w:cs="Times New Roman"/>
                <w:color w:val="000000"/>
                <w:kern w:val="0"/>
                <w:sz w:val="24"/>
                <w:szCs w:val="24"/>
                <w:lang w:val="en-US" w:eastAsia="zh-CN"/>
              </w:rPr>
              <w:t>技术玻璃制品制造行业系数手册”，高硼硅玻璃管混合备料（</w:t>
            </w:r>
            <w:r>
              <w:rPr>
                <w:rFonts w:hint="eastAsia" w:cs="Times New Roman"/>
                <w:color w:val="000000"/>
                <w:kern w:val="0"/>
                <w:sz w:val="24"/>
                <w:szCs w:val="24"/>
                <w:lang w:val="en-US" w:eastAsia="zh-CN"/>
              </w:rPr>
              <w:t>电熔窑</w:t>
            </w:r>
            <w:r>
              <w:rPr>
                <w:rFonts w:hint="eastAsia" w:ascii="Times New Roman" w:hAnsi="Times New Roman" w:eastAsia="宋体" w:cs="Times New Roman"/>
                <w:color w:val="000000"/>
                <w:kern w:val="0"/>
                <w:sz w:val="24"/>
                <w:szCs w:val="24"/>
                <w:lang w:val="en-US" w:eastAsia="zh-CN"/>
              </w:rPr>
              <w:t>）的颗粒物产污系数为</w:t>
            </w:r>
            <w:r>
              <w:rPr>
                <w:rFonts w:hint="default" w:ascii="Times New Roman" w:hAnsi="Times New Roman" w:eastAsia="宋体" w:cs="Times New Roman"/>
                <w:color w:val="000000"/>
                <w:kern w:val="0"/>
                <w:sz w:val="24"/>
                <w:szCs w:val="24"/>
                <w:lang w:val="en-US" w:eastAsia="zh-CN"/>
              </w:rPr>
              <w:t>0.24</w:t>
            </w:r>
            <w:r>
              <w:rPr>
                <w:rFonts w:hint="eastAsia" w:ascii="Times New Roman" w:hAnsi="Times New Roman" w:eastAsia="宋体" w:cs="Times New Roman"/>
                <w:color w:val="000000"/>
                <w:kern w:val="0"/>
                <w:sz w:val="24"/>
                <w:szCs w:val="24"/>
                <w:lang w:val="en-US" w:eastAsia="zh-CN"/>
              </w:rPr>
              <w:t>千克</w:t>
            </w:r>
            <w:r>
              <w:rPr>
                <w:rFonts w:hint="default" w:ascii="Times New Roman" w:hAnsi="Times New Roman" w:eastAsia="宋体" w:cs="Times New Roman"/>
                <w:color w:val="000000"/>
                <w:kern w:val="0"/>
                <w:sz w:val="24"/>
                <w:szCs w:val="24"/>
                <w:lang w:val="en-US" w:eastAsia="zh-CN"/>
              </w:rPr>
              <w:t>/</w:t>
            </w:r>
            <w:r>
              <w:rPr>
                <w:rFonts w:hint="eastAsia" w:ascii="Times New Roman" w:hAnsi="Times New Roman" w:eastAsia="宋体" w:cs="Times New Roman"/>
                <w:color w:val="000000"/>
                <w:kern w:val="0"/>
                <w:sz w:val="24"/>
                <w:szCs w:val="24"/>
                <w:lang w:val="en-US" w:eastAsia="zh-CN"/>
              </w:rPr>
              <w:t>吨</w:t>
            </w:r>
            <w:r>
              <w:rPr>
                <w:rFonts w:hint="default" w:ascii="Times New Roman" w:hAnsi="Times New Roman" w:eastAsia="宋体" w:cs="Times New Roman"/>
                <w:color w:val="000000"/>
                <w:kern w:val="0"/>
                <w:sz w:val="24"/>
                <w:szCs w:val="24"/>
                <w:lang w:val="en-US" w:eastAsia="zh-CN"/>
              </w:rPr>
              <w:t>·</w:t>
            </w:r>
            <w:r>
              <w:rPr>
                <w:rFonts w:hint="eastAsia" w:ascii="Times New Roman" w:hAnsi="Times New Roman" w:eastAsia="宋体" w:cs="Times New Roman"/>
                <w:color w:val="000000"/>
                <w:kern w:val="0"/>
                <w:sz w:val="24"/>
                <w:szCs w:val="24"/>
                <w:lang w:val="en-US" w:eastAsia="zh-CN"/>
              </w:rPr>
              <w:t>产品，则该项目熔制烟尘产生量为</w:t>
            </w:r>
            <w:r>
              <w:rPr>
                <w:rFonts w:hint="eastAsia" w:cs="Times New Roman"/>
                <w:color w:val="000000"/>
                <w:kern w:val="0"/>
                <w:sz w:val="24"/>
                <w:szCs w:val="24"/>
                <w:lang w:val="en-US" w:eastAsia="zh-CN"/>
              </w:rPr>
              <w:t>8.76</w:t>
            </w:r>
            <w:r>
              <w:rPr>
                <w:rFonts w:hint="default" w:ascii="Times New Roman" w:hAnsi="Times New Roman" w:eastAsia="宋体" w:cs="Times New Roman"/>
                <w:color w:val="000000"/>
                <w:kern w:val="0"/>
                <w:sz w:val="24"/>
                <w:szCs w:val="24"/>
                <w:lang w:val="en-US" w:eastAsia="zh-CN"/>
              </w:rPr>
              <w:t>t/a</w:t>
            </w:r>
            <w:r>
              <w:rPr>
                <w:rFonts w:hint="eastAsia" w:ascii="Times New Roman" w:hAnsi="Times New Roman" w:eastAsia="宋体" w:cs="Times New Roman"/>
                <w:color w:val="000000"/>
                <w:kern w:val="0"/>
                <w:sz w:val="24"/>
                <w:szCs w:val="24"/>
                <w:lang w:val="en-US" w:eastAsia="zh-CN"/>
              </w:rPr>
              <w:t>。</w:t>
            </w:r>
          </w:p>
          <w:p w14:paraId="060418B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b/>
                <w:bCs/>
                <w:sz w:val="24"/>
                <w:szCs w:val="24"/>
                <w:lang w:val="en-US" w:eastAsia="zh-CN"/>
              </w:rPr>
            </w:pPr>
            <w:r>
              <w:rPr>
                <w:rFonts w:hint="default" w:ascii="Times New Roman" w:hAnsi="Times New Roman" w:cs="Times New Roman"/>
                <w:color w:val="000000"/>
                <w:kern w:val="0"/>
                <w:sz w:val="24"/>
                <w:szCs w:val="24"/>
                <w:lang w:val="en-US" w:eastAsia="zh-CN"/>
              </w:rPr>
              <w:t>本项目2#生产车间设置1#、2#生产线，两条生产线分别产能为10950t/a</w:t>
            </w:r>
            <w:r>
              <w:rPr>
                <w:rFonts w:hint="eastAsia" w:ascii="Times New Roman" w:hAnsi="Times New Roman" w:cs="Times New Roman"/>
                <w:color w:val="000000"/>
                <w:kern w:val="0"/>
                <w:sz w:val="24"/>
                <w:szCs w:val="24"/>
                <w:lang w:val="en-US" w:eastAsia="zh-CN"/>
              </w:rPr>
              <w:t>；</w:t>
            </w:r>
            <w:r>
              <w:rPr>
                <w:rFonts w:hint="default" w:ascii="Times New Roman" w:hAnsi="Times New Roman" w:cs="Times New Roman"/>
                <w:color w:val="000000"/>
                <w:kern w:val="0"/>
                <w:sz w:val="24"/>
                <w:szCs w:val="24"/>
                <w:lang w:val="en-US" w:eastAsia="zh-CN"/>
              </w:rPr>
              <w:t>1#生产车间设置3#、4#生产线，</w:t>
            </w:r>
            <w:r>
              <w:rPr>
                <w:rFonts w:hint="eastAsia" w:ascii="Times New Roman" w:hAnsi="Times New Roman" w:cs="Times New Roman"/>
                <w:color w:val="000000"/>
                <w:kern w:val="0"/>
                <w:sz w:val="24"/>
                <w:szCs w:val="24"/>
                <w:lang w:val="en-US" w:eastAsia="zh-CN"/>
              </w:rPr>
              <w:t>其中3#生产线</w:t>
            </w:r>
            <w:r>
              <w:rPr>
                <w:rFonts w:hint="default" w:ascii="Times New Roman" w:hAnsi="Times New Roman" w:cs="Times New Roman"/>
                <w:color w:val="000000"/>
                <w:kern w:val="0"/>
                <w:sz w:val="24"/>
                <w:szCs w:val="24"/>
                <w:lang w:val="en-US" w:eastAsia="zh-CN"/>
              </w:rPr>
              <w:t>产能</w:t>
            </w:r>
            <w:r>
              <w:rPr>
                <w:rFonts w:hint="eastAsia" w:ascii="Times New Roman" w:hAnsi="Times New Roman" w:cs="Times New Roman"/>
                <w:color w:val="000000"/>
                <w:kern w:val="0"/>
                <w:sz w:val="24"/>
                <w:szCs w:val="24"/>
                <w:lang w:val="en-US" w:eastAsia="zh-CN"/>
              </w:rPr>
              <w:t>为350</w:t>
            </w:r>
            <w:r>
              <w:rPr>
                <w:rFonts w:hint="default" w:ascii="Times New Roman" w:hAnsi="Times New Roman" w:cs="Times New Roman"/>
                <w:color w:val="000000"/>
                <w:kern w:val="0"/>
                <w:sz w:val="24"/>
                <w:szCs w:val="24"/>
                <w:lang w:val="en-US" w:eastAsia="zh-CN"/>
              </w:rPr>
              <w:t>0t/a</w:t>
            </w:r>
            <w:r>
              <w:rPr>
                <w:rFonts w:hint="eastAsia" w:ascii="Times New Roman" w:hAnsi="Times New Roman" w:cs="Times New Roman"/>
                <w:color w:val="000000"/>
                <w:kern w:val="0"/>
                <w:sz w:val="24"/>
                <w:szCs w:val="24"/>
                <w:lang w:val="en-US" w:eastAsia="zh-CN"/>
              </w:rPr>
              <w:t>、</w:t>
            </w:r>
            <w:r>
              <w:rPr>
                <w:rFonts w:hint="default" w:ascii="Times New Roman" w:hAnsi="Times New Roman" w:cs="Times New Roman"/>
                <w:color w:val="000000"/>
                <w:kern w:val="0"/>
                <w:sz w:val="24"/>
                <w:szCs w:val="24"/>
                <w:lang w:val="en-US" w:eastAsia="zh-CN"/>
              </w:rPr>
              <w:t>4#生产线产能</w:t>
            </w:r>
            <w:r>
              <w:rPr>
                <w:rFonts w:hint="eastAsia" w:ascii="Times New Roman" w:hAnsi="Times New Roman" w:cs="Times New Roman"/>
                <w:color w:val="000000"/>
                <w:kern w:val="0"/>
                <w:sz w:val="24"/>
                <w:szCs w:val="24"/>
                <w:lang w:val="en-US" w:eastAsia="zh-CN"/>
              </w:rPr>
              <w:t>为1050</w:t>
            </w:r>
            <w:r>
              <w:rPr>
                <w:rFonts w:hint="default" w:ascii="Times New Roman" w:hAnsi="Times New Roman" w:cs="Times New Roman"/>
                <w:color w:val="000000"/>
                <w:kern w:val="0"/>
                <w:sz w:val="24"/>
                <w:szCs w:val="24"/>
                <w:lang w:val="en-US" w:eastAsia="zh-CN"/>
              </w:rPr>
              <w:t>0t/a</w:t>
            </w:r>
            <w:r>
              <w:rPr>
                <w:rFonts w:hint="eastAsia" w:ascii="Times New Roman" w:hAnsi="Times New Roman" w:cs="Times New Roman"/>
                <w:color w:val="000000"/>
                <w:kern w:val="0"/>
                <w:sz w:val="24"/>
                <w:szCs w:val="24"/>
                <w:lang w:val="en-US" w:eastAsia="zh-CN"/>
              </w:rPr>
              <w:t>；</w:t>
            </w:r>
            <w:r>
              <w:rPr>
                <w:rFonts w:hint="default" w:ascii="Times New Roman" w:hAnsi="Times New Roman" w:cs="Times New Roman"/>
                <w:color w:val="000000"/>
                <w:kern w:val="0"/>
                <w:sz w:val="24"/>
                <w:szCs w:val="24"/>
                <w:lang w:val="en-US" w:eastAsia="zh-CN"/>
              </w:rPr>
              <w:t>3#生产车间设置5#生产线</w:t>
            </w:r>
            <w:r>
              <w:rPr>
                <w:rFonts w:hint="eastAsia" w:ascii="Times New Roman" w:hAnsi="Times New Roman" w:cs="Times New Roman"/>
                <w:color w:val="000000"/>
                <w:kern w:val="0"/>
                <w:sz w:val="24"/>
                <w:szCs w:val="24"/>
                <w:lang w:val="en-US" w:eastAsia="zh-CN"/>
              </w:rPr>
              <w:t>，</w:t>
            </w:r>
            <w:r>
              <w:rPr>
                <w:rFonts w:hint="default" w:ascii="Times New Roman" w:hAnsi="Times New Roman" w:cs="Times New Roman"/>
                <w:color w:val="000000"/>
                <w:kern w:val="0"/>
                <w:sz w:val="24"/>
                <w:szCs w:val="24"/>
                <w:lang w:val="en-US" w:eastAsia="zh-CN"/>
              </w:rPr>
              <w:t>产能</w:t>
            </w:r>
            <w:r>
              <w:rPr>
                <w:rFonts w:hint="eastAsia" w:ascii="Times New Roman" w:hAnsi="Times New Roman" w:cs="Times New Roman"/>
                <w:color w:val="000000"/>
                <w:kern w:val="0"/>
                <w:sz w:val="24"/>
                <w:szCs w:val="24"/>
                <w:lang w:val="en-US" w:eastAsia="zh-CN"/>
              </w:rPr>
              <w:t>为60</w:t>
            </w:r>
            <w:r>
              <w:rPr>
                <w:rFonts w:hint="default" w:ascii="Times New Roman" w:hAnsi="Times New Roman" w:cs="Times New Roman"/>
                <w:color w:val="000000"/>
                <w:kern w:val="0"/>
                <w:sz w:val="24"/>
                <w:szCs w:val="24"/>
                <w:lang w:val="en-US" w:eastAsia="zh-CN"/>
              </w:rPr>
              <w:t>0t/a。</w:t>
            </w:r>
            <w:r>
              <w:rPr>
                <w:rFonts w:hint="eastAsia" w:cs="Times New Roman"/>
                <w:color w:val="000000"/>
                <w:kern w:val="0"/>
                <w:sz w:val="24"/>
                <w:szCs w:val="24"/>
                <w:lang w:val="en-US" w:eastAsia="zh-CN"/>
              </w:rPr>
              <w:t>每条生产线的熔化废气</w:t>
            </w:r>
            <w:r>
              <w:rPr>
                <w:rFonts w:hint="eastAsia" w:ascii="Times New Roman" w:hAnsi="Times New Roman" w:eastAsia="宋体" w:cs="Times New Roman"/>
                <w:b w:val="0"/>
                <w:bCs w:val="0"/>
                <w:sz w:val="24"/>
                <w:szCs w:val="24"/>
                <w:lang w:val="en-US" w:eastAsia="zh-CN"/>
              </w:rPr>
              <w:t>产生量</w:t>
            </w:r>
            <w:r>
              <w:rPr>
                <w:rFonts w:hint="eastAsia" w:cs="Times New Roman"/>
                <w:b w:val="0"/>
                <w:bCs w:val="0"/>
                <w:sz w:val="24"/>
                <w:szCs w:val="24"/>
                <w:lang w:val="en-US" w:eastAsia="zh-CN"/>
              </w:rPr>
              <w:t>见下</w:t>
            </w:r>
            <w:r>
              <w:rPr>
                <w:rFonts w:hint="eastAsia" w:ascii="Times New Roman" w:hAnsi="Times New Roman" w:eastAsia="宋体" w:cs="Times New Roman"/>
                <w:b w:val="0"/>
                <w:bCs w:val="0"/>
                <w:sz w:val="24"/>
                <w:szCs w:val="24"/>
                <w:lang w:val="en-US" w:eastAsia="zh-CN"/>
              </w:rPr>
              <w:t>表</w:t>
            </w:r>
            <w:r>
              <w:rPr>
                <w:rFonts w:hint="eastAsia" w:cs="Times New Roman"/>
                <w:b w:val="0"/>
                <w:bCs w:val="0"/>
                <w:sz w:val="24"/>
                <w:szCs w:val="24"/>
                <w:lang w:val="en-US" w:eastAsia="zh-CN"/>
              </w:rPr>
              <w:t>：</w:t>
            </w:r>
          </w:p>
          <w:p w14:paraId="637E5AA4">
            <w:pPr>
              <w:pStyle w:val="68"/>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w:t>
            </w:r>
            <w:r>
              <w:rPr>
                <w:rFonts w:hint="eastAsia" w:ascii="Times New Roman" w:hAnsi="Times New Roman" w:cs="Times New Roman"/>
                <w:b/>
                <w:bCs/>
                <w:sz w:val="24"/>
                <w:szCs w:val="24"/>
                <w:lang w:val="en-US" w:eastAsia="zh-CN"/>
              </w:rPr>
              <w:t>7</w:t>
            </w:r>
            <w:r>
              <w:rPr>
                <w:rFonts w:hint="eastAsia" w:ascii="Times New Roman" w:hAnsi="Times New Roman" w:eastAsia="宋体" w:cs="Times New Roman"/>
                <w:b/>
                <w:bCs/>
                <w:sz w:val="24"/>
                <w:szCs w:val="24"/>
                <w:lang w:val="en-US" w:eastAsia="zh-CN"/>
              </w:rPr>
              <w:t xml:space="preserve">  废气产生量汇总表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144"/>
              <w:gridCol w:w="692"/>
              <w:gridCol w:w="659"/>
              <w:gridCol w:w="2166"/>
              <w:gridCol w:w="1159"/>
              <w:gridCol w:w="1248"/>
            </w:tblGrid>
            <w:tr w14:paraId="4398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vAlign w:val="center"/>
                </w:tcPr>
                <w:p w14:paraId="19051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生产车间</w:t>
                  </w:r>
                </w:p>
              </w:tc>
              <w:tc>
                <w:tcPr>
                  <w:tcW w:w="708" w:type="pct"/>
                  <w:vAlign w:val="center"/>
                </w:tcPr>
                <w:p w14:paraId="1F4369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生产线</w:t>
                  </w:r>
                </w:p>
              </w:tc>
              <w:tc>
                <w:tcPr>
                  <w:tcW w:w="428" w:type="pct"/>
                  <w:vAlign w:val="center"/>
                </w:tcPr>
                <w:p w14:paraId="040988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工序</w:t>
                  </w:r>
                </w:p>
              </w:tc>
              <w:tc>
                <w:tcPr>
                  <w:tcW w:w="408" w:type="pct"/>
                  <w:vAlign w:val="center"/>
                </w:tcPr>
                <w:p w14:paraId="6F630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val="0"/>
                      <w:sz w:val="21"/>
                      <w:szCs w:val="21"/>
                      <w:lang w:eastAsia="zh-CN"/>
                    </w:rPr>
                  </w:pPr>
                  <w:r>
                    <w:rPr>
                      <w:rFonts w:hint="eastAsia" w:ascii="Times New Roman" w:hAnsi="Times New Roman" w:cs="Times New Roman"/>
                      <w:b/>
                      <w:bCs w:val="0"/>
                      <w:sz w:val="21"/>
                      <w:szCs w:val="21"/>
                      <w:lang w:val="en-US" w:eastAsia="zh-CN"/>
                    </w:rPr>
                    <w:t>污染物</w:t>
                  </w:r>
                </w:p>
              </w:tc>
              <w:tc>
                <w:tcPr>
                  <w:tcW w:w="1341" w:type="pct"/>
                  <w:vAlign w:val="center"/>
                </w:tcPr>
                <w:p w14:paraId="7A15D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产生系数</w:t>
                  </w:r>
                </w:p>
              </w:tc>
              <w:tc>
                <w:tcPr>
                  <w:tcW w:w="717" w:type="pct"/>
                  <w:vAlign w:val="center"/>
                </w:tcPr>
                <w:p w14:paraId="7AED7A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产品量</w:t>
                  </w:r>
                  <w:r>
                    <w:rPr>
                      <w:rFonts w:hint="eastAsia" w:ascii="Times New Roman" w:hAnsi="Times New Roman" w:cs="Times New Roman"/>
                      <w:b/>
                      <w:bCs w:val="0"/>
                      <w:sz w:val="21"/>
                      <w:szCs w:val="21"/>
                      <w:lang w:val="en-US" w:eastAsia="zh-CN"/>
                    </w:rPr>
                    <w:t>t/a</w:t>
                  </w:r>
                </w:p>
              </w:tc>
              <w:tc>
                <w:tcPr>
                  <w:tcW w:w="772" w:type="pct"/>
                  <w:vAlign w:val="center"/>
                </w:tcPr>
                <w:p w14:paraId="20FBE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污染物</w:t>
                  </w:r>
                  <w:r>
                    <w:rPr>
                      <w:rFonts w:hint="eastAsia" w:ascii="Times New Roman" w:hAnsi="Times New Roman" w:cs="Times New Roman"/>
                      <w:b/>
                      <w:bCs w:val="0"/>
                      <w:sz w:val="21"/>
                      <w:szCs w:val="21"/>
                      <w:lang w:val="en-US" w:eastAsia="zh-CN"/>
                    </w:rPr>
                    <w:t>产生量t/a</w:t>
                  </w:r>
                </w:p>
              </w:tc>
            </w:tr>
            <w:tr w14:paraId="67E5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vMerge w:val="restart"/>
                  <w:vAlign w:val="center"/>
                </w:tcPr>
                <w:p w14:paraId="608E1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2#生产车间</w:t>
                  </w:r>
                </w:p>
              </w:tc>
              <w:tc>
                <w:tcPr>
                  <w:tcW w:w="708" w:type="pct"/>
                  <w:vAlign w:val="center"/>
                </w:tcPr>
                <w:p w14:paraId="147BB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1#生产线</w:t>
                  </w:r>
                </w:p>
              </w:tc>
              <w:tc>
                <w:tcPr>
                  <w:tcW w:w="428" w:type="pct"/>
                  <w:vAlign w:val="center"/>
                </w:tcPr>
                <w:p w14:paraId="58A99E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408" w:type="pct"/>
                  <w:vMerge w:val="restart"/>
                  <w:vAlign w:val="center"/>
                </w:tcPr>
                <w:p w14:paraId="428BE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颗粒物</w:t>
                  </w:r>
                </w:p>
              </w:tc>
              <w:tc>
                <w:tcPr>
                  <w:tcW w:w="1341" w:type="pct"/>
                  <w:vAlign w:val="center"/>
                </w:tcPr>
                <w:p w14:paraId="29C1D6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17" w:type="pct"/>
                  <w:vAlign w:val="center"/>
                </w:tcPr>
                <w:p w14:paraId="484B80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10950</w:t>
                  </w:r>
                </w:p>
              </w:tc>
              <w:tc>
                <w:tcPr>
                  <w:tcW w:w="1248" w:type="dxa"/>
                  <w:vAlign w:val="center"/>
                </w:tcPr>
                <w:p w14:paraId="51C438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2.628</w:t>
                  </w:r>
                </w:p>
              </w:tc>
            </w:tr>
            <w:tr w14:paraId="03FD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vMerge w:val="continue"/>
                  <w:vAlign w:val="center"/>
                </w:tcPr>
                <w:p w14:paraId="3E999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p>
              </w:tc>
              <w:tc>
                <w:tcPr>
                  <w:tcW w:w="708" w:type="pct"/>
                  <w:vAlign w:val="center"/>
                </w:tcPr>
                <w:p w14:paraId="38AD3F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spacing w:val="-3"/>
                      <w:sz w:val="21"/>
                      <w:szCs w:val="21"/>
                      <w:vertAlign w:val="baseline"/>
                      <w:lang w:val="en-US" w:eastAsia="zh-CN"/>
                    </w:rPr>
                    <w:t>2#生产线</w:t>
                  </w:r>
                </w:p>
              </w:tc>
              <w:tc>
                <w:tcPr>
                  <w:tcW w:w="428" w:type="pct"/>
                  <w:vAlign w:val="center"/>
                </w:tcPr>
                <w:p w14:paraId="666102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rPr>
                  </w:pPr>
                  <w:r>
                    <w:rPr>
                      <w:rFonts w:hint="eastAsia" w:ascii="Times New Roman" w:hAnsi="Times New Roman" w:eastAsia="宋体" w:cs="宋体"/>
                      <w:spacing w:val="-3"/>
                      <w:sz w:val="21"/>
                      <w:szCs w:val="21"/>
                      <w:vertAlign w:val="baseline"/>
                      <w:lang w:val="en-US" w:eastAsia="zh-CN"/>
                    </w:rPr>
                    <w:t>熔化</w:t>
                  </w:r>
                </w:p>
              </w:tc>
              <w:tc>
                <w:tcPr>
                  <w:tcW w:w="408" w:type="pct"/>
                  <w:vMerge w:val="continue"/>
                  <w:vAlign w:val="center"/>
                </w:tcPr>
                <w:p w14:paraId="70502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p>
              </w:tc>
              <w:tc>
                <w:tcPr>
                  <w:tcW w:w="1341" w:type="pct"/>
                  <w:vAlign w:val="center"/>
                </w:tcPr>
                <w:p w14:paraId="782C4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17" w:type="pct"/>
                  <w:vAlign w:val="center"/>
                </w:tcPr>
                <w:p w14:paraId="22DFAE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10950</w:t>
                  </w:r>
                </w:p>
              </w:tc>
              <w:tc>
                <w:tcPr>
                  <w:tcW w:w="1248" w:type="dxa"/>
                  <w:vAlign w:val="center"/>
                </w:tcPr>
                <w:p w14:paraId="37A6A2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2.628</w:t>
                  </w:r>
                </w:p>
              </w:tc>
            </w:tr>
            <w:tr w14:paraId="61C2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vMerge w:val="restart"/>
                  <w:vAlign w:val="center"/>
                </w:tcPr>
                <w:p w14:paraId="6E1CF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rPr>
                  </w:pPr>
                  <w:r>
                    <w:rPr>
                      <w:rFonts w:hint="eastAsia" w:cs="宋体"/>
                      <w:spacing w:val="-3"/>
                      <w:sz w:val="21"/>
                      <w:szCs w:val="21"/>
                      <w:vertAlign w:val="baseline"/>
                      <w:lang w:val="en-US" w:eastAsia="zh-CN"/>
                    </w:rPr>
                    <w:t>1#生产车间</w:t>
                  </w:r>
                </w:p>
              </w:tc>
              <w:tc>
                <w:tcPr>
                  <w:tcW w:w="708" w:type="pct"/>
                  <w:vAlign w:val="center"/>
                </w:tcPr>
                <w:p w14:paraId="214D29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rPr>
                  </w:pP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#生产线</w:t>
                  </w:r>
                </w:p>
              </w:tc>
              <w:tc>
                <w:tcPr>
                  <w:tcW w:w="428" w:type="pct"/>
                  <w:vAlign w:val="center"/>
                </w:tcPr>
                <w:p w14:paraId="539C7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408" w:type="pct"/>
                  <w:vMerge w:val="continue"/>
                  <w:vAlign w:val="center"/>
                </w:tcPr>
                <w:p w14:paraId="5D24E2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p>
              </w:tc>
              <w:tc>
                <w:tcPr>
                  <w:tcW w:w="1341" w:type="pct"/>
                  <w:vAlign w:val="center"/>
                </w:tcPr>
                <w:p w14:paraId="598AFB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17" w:type="pct"/>
                  <w:vAlign w:val="center"/>
                </w:tcPr>
                <w:p w14:paraId="4DAB78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3500</w:t>
                  </w:r>
                </w:p>
              </w:tc>
              <w:tc>
                <w:tcPr>
                  <w:tcW w:w="1248" w:type="dxa"/>
                  <w:vAlign w:val="center"/>
                </w:tcPr>
                <w:p w14:paraId="40555F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0.84</w:t>
                  </w:r>
                </w:p>
              </w:tc>
            </w:tr>
            <w:tr w14:paraId="438C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vMerge w:val="continue"/>
                  <w:vAlign w:val="center"/>
                </w:tcPr>
                <w:p w14:paraId="55C9D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p>
              </w:tc>
              <w:tc>
                <w:tcPr>
                  <w:tcW w:w="708" w:type="pct"/>
                  <w:vAlign w:val="center"/>
                </w:tcPr>
                <w:p w14:paraId="65C02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rPr>
                  </w:pPr>
                  <w:r>
                    <w:rPr>
                      <w:rFonts w:hint="eastAsia" w:cs="宋体"/>
                      <w:spacing w:val="-3"/>
                      <w:sz w:val="21"/>
                      <w:szCs w:val="21"/>
                      <w:vertAlign w:val="baseline"/>
                      <w:lang w:val="en-US" w:eastAsia="zh-CN"/>
                    </w:rPr>
                    <w:t>4</w:t>
                  </w:r>
                  <w:r>
                    <w:rPr>
                      <w:rFonts w:hint="eastAsia" w:ascii="Times New Roman" w:hAnsi="Times New Roman" w:eastAsia="宋体" w:cs="宋体"/>
                      <w:spacing w:val="-3"/>
                      <w:sz w:val="21"/>
                      <w:szCs w:val="21"/>
                      <w:vertAlign w:val="baseline"/>
                      <w:lang w:val="en-US" w:eastAsia="zh-CN"/>
                    </w:rPr>
                    <w:t>#生产线</w:t>
                  </w:r>
                </w:p>
              </w:tc>
              <w:tc>
                <w:tcPr>
                  <w:tcW w:w="428" w:type="pct"/>
                  <w:vAlign w:val="center"/>
                </w:tcPr>
                <w:p w14:paraId="32CBA3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408" w:type="pct"/>
                  <w:vMerge w:val="continue"/>
                  <w:vAlign w:val="center"/>
                </w:tcPr>
                <w:p w14:paraId="35FE0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p>
              </w:tc>
              <w:tc>
                <w:tcPr>
                  <w:tcW w:w="1341" w:type="pct"/>
                  <w:vAlign w:val="center"/>
                </w:tcPr>
                <w:p w14:paraId="61971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17" w:type="pct"/>
                  <w:vAlign w:val="center"/>
                </w:tcPr>
                <w:p w14:paraId="7995FE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10500</w:t>
                  </w:r>
                </w:p>
              </w:tc>
              <w:tc>
                <w:tcPr>
                  <w:tcW w:w="1248" w:type="dxa"/>
                  <w:vAlign w:val="center"/>
                </w:tcPr>
                <w:p w14:paraId="31F0FC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2.52</w:t>
                  </w:r>
                </w:p>
              </w:tc>
            </w:tr>
            <w:tr w14:paraId="75A34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3" w:type="pct"/>
                  <w:vAlign w:val="center"/>
                </w:tcPr>
                <w:p w14:paraId="186E9B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rPr>
                  </w:pPr>
                  <w:r>
                    <w:rPr>
                      <w:rFonts w:hint="eastAsia" w:cs="宋体"/>
                      <w:spacing w:val="-3"/>
                      <w:sz w:val="21"/>
                      <w:szCs w:val="21"/>
                      <w:vertAlign w:val="baseline"/>
                      <w:lang w:val="en-US" w:eastAsia="zh-CN"/>
                    </w:rPr>
                    <w:t>3#生产车间</w:t>
                  </w:r>
                </w:p>
              </w:tc>
              <w:tc>
                <w:tcPr>
                  <w:tcW w:w="708" w:type="pct"/>
                  <w:vAlign w:val="center"/>
                </w:tcPr>
                <w:p w14:paraId="223EBE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r>
                    <w:rPr>
                      <w:rFonts w:hint="eastAsia" w:cs="宋体"/>
                      <w:spacing w:val="-3"/>
                      <w:sz w:val="21"/>
                      <w:szCs w:val="21"/>
                      <w:vertAlign w:val="baseline"/>
                      <w:lang w:val="en-US" w:eastAsia="zh-CN"/>
                    </w:rPr>
                    <w:t>5</w:t>
                  </w:r>
                  <w:r>
                    <w:rPr>
                      <w:rFonts w:hint="eastAsia" w:ascii="Times New Roman" w:hAnsi="Times New Roman" w:eastAsia="宋体" w:cs="宋体"/>
                      <w:spacing w:val="-3"/>
                      <w:sz w:val="21"/>
                      <w:szCs w:val="21"/>
                      <w:vertAlign w:val="baseline"/>
                      <w:lang w:val="en-US" w:eastAsia="zh-CN"/>
                    </w:rPr>
                    <w:t>#生产线</w:t>
                  </w:r>
                </w:p>
              </w:tc>
              <w:tc>
                <w:tcPr>
                  <w:tcW w:w="428" w:type="pct"/>
                  <w:vAlign w:val="center"/>
                </w:tcPr>
                <w:p w14:paraId="2C01CF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408" w:type="pct"/>
                  <w:vMerge w:val="continue"/>
                  <w:vAlign w:val="center"/>
                </w:tcPr>
                <w:p w14:paraId="2F5A3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p>
              </w:tc>
              <w:tc>
                <w:tcPr>
                  <w:tcW w:w="1341" w:type="pct"/>
                  <w:vAlign w:val="center"/>
                </w:tcPr>
                <w:p w14:paraId="06519B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17" w:type="pct"/>
                  <w:vAlign w:val="center"/>
                </w:tcPr>
                <w:p w14:paraId="6606B6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1248" w:type="dxa"/>
                  <w:vAlign w:val="center"/>
                </w:tcPr>
                <w:p w14:paraId="732205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0.144</w:t>
                  </w:r>
                </w:p>
              </w:tc>
            </w:tr>
          </w:tbl>
          <w:p w14:paraId="05BA0F2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（3）布料粉尘</w:t>
            </w:r>
          </w:p>
          <w:p w14:paraId="73C75EE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color w:val="000000"/>
                <w:kern w:val="0"/>
                <w:sz w:val="24"/>
                <w:szCs w:val="24"/>
                <w:lang w:val="en-US" w:eastAsia="zh-CN"/>
              </w:rPr>
              <w:t>本项目</w:t>
            </w:r>
            <w:r>
              <w:rPr>
                <w:rFonts w:hint="eastAsia" w:eastAsia="宋体" w:cs="Times New Roman"/>
                <w:color w:val="000000"/>
                <w:kern w:val="0"/>
                <w:sz w:val="24"/>
                <w:szCs w:val="24"/>
                <w:lang w:val="en-US" w:eastAsia="zh-CN"/>
              </w:rPr>
              <w:t>混料后的物料采用自动布料机输送至</w:t>
            </w:r>
            <w:r>
              <w:rPr>
                <w:rFonts w:hint="eastAsia" w:cs="Times New Roman"/>
                <w:color w:val="000000"/>
                <w:kern w:val="0"/>
                <w:sz w:val="24"/>
                <w:szCs w:val="24"/>
                <w:lang w:val="en-US" w:eastAsia="zh-CN"/>
              </w:rPr>
              <w:t>电熔窑。布料过程中产生一定量的粉尘。</w:t>
            </w:r>
            <w:r>
              <w:rPr>
                <w:rFonts w:hint="default" w:ascii="Times New Roman" w:hAnsi="Times New Roman" w:eastAsia="宋体" w:cs="Times New Roman"/>
                <w:color w:val="000000"/>
                <w:kern w:val="0"/>
                <w:sz w:val="24"/>
                <w:szCs w:val="24"/>
                <w:lang w:val="en-US" w:eastAsia="zh-CN"/>
              </w:rPr>
              <w:t>参照《逸散性工业粉尘控制技术》中</w:t>
            </w:r>
            <w:r>
              <w:rPr>
                <w:rFonts w:hint="eastAsia" w:eastAsia="宋体" w:cs="Times New Roman"/>
                <w:color w:val="000000"/>
                <w:kern w:val="0"/>
                <w:sz w:val="24"/>
                <w:szCs w:val="24"/>
                <w:lang w:val="en-US" w:eastAsia="zh-CN"/>
              </w:rPr>
              <w:t>表9-1</w:t>
            </w:r>
            <w:r>
              <w:rPr>
                <w:rFonts w:hint="default" w:ascii="Times New Roman" w:hAnsi="Times New Roman" w:eastAsia="宋体" w:cs="Times New Roman"/>
                <w:color w:val="000000"/>
                <w:kern w:val="0"/>
                <w:sz w:val="24"/>
                <w:szCs w:val="24"/>
                <w:lang w:val="en-US" w:eastAsia="zh-CN"/>
              </w:rPr>
              <w:t>玻璃制造厂逸散性粉尘排放因子中的粉尘产生系数，</w:t>
            </w:r>
            <w:r>
              <w:rPr>
                <w:rFonts w:hint="eastAsia" w:eastAsia="宋体" w:cs="Times New Roman"/>
                <w:color w:val="000000"/>
                <w:kern w:val="0"/>
                <w:sz w:val="24"/>
                <w:szCs w:val="24"/>
                <w:lang w:val="en-US" w:eastAsia="zh-CN"/>
              </w:rPr>
              <w:t>本项目布料粉尘</w:t>
            </w:r>
            <w:r>
              <w:rPr>
                <w:rFonts w:hint="default" w:ascii="Times New Roman" w:hAnsi="Times New Roman" w:eastAsia="宋体" w:cs="Times New Roman"/>
                <w:color w:val="000000"/>
                <w:kern w:val="0"/>
                <w:sz w:val="24"/>
                <w:szCs w:val="24"/>
                <w:lang w:val="en-US" w:eastAsia="zh-CN"/>
              </w:rPr>
              <w:t>按照0.03kg/t计，本项目生产防火玻璃</w:t>
            </w:r>
            <w:r>
              <w:rPr>
                <w:rFonts w:hint="eastAsia" w:cs="Times New Roman"/>
                <w:color w:val="000000"/>
                <w:kern w:val="0"/>
                <w:sz w:val="24"/>
                <w:szCs w:val="24"/>
                <w:lang w:val="en-US" w:eastAsia="zh-CN"/>
              </w:rPr>
              <w:t>、光热玻璃、玻璃制品合计36500</w:t>
            </w:r>
            <w:r>
              <w:rPr>
                <w:rFonts w:hint="default" w:ascii="Times New Roman" w:hAnsi="Times New Roman" w:eastAsia="宋体" w:cs="Times New Roman"/>
                <w:color w:val="000000"/>
                <w:kern w:val="0"/>
                <w:sz w:val="24"/>
                <w:szCs w:val="24"/>
                <w:lang w:val="en-US" w:eastAsia="zh-CN"/>
              </w:rPr>
              <w:t>t/a，</w:t>
            </w:r>
            <w:r>
              <w:rPr>
                <w:rFonts w:hint="eastAsia" w:ascii="Times New Roman" w:hAnsi="Times New Roman" w:eastAsia="宋体" w:cs="Times New Roman"/>
                <w:color w:val="000000"/>
                <w:kern w:val="0"/>
                <w:sz w:val="24"/>
                <w:szCs w:val="24"/>
                <w:lang w:val="en-US" w:eastAsia="zh-CN"/>
              </w:rPr>
              <w:t>则该项目布料粉尘产生量为</w:t>
            </w:r>
            <w:r>
              <w:rPr>
                <w:rFonts w:hint="eastAsia" w:cs="Times New Roman"/>
                <w:color w:val="000000"/>
                <w:kern w:val="0"/>
                <w:sz w:val="24"/>
                <w:szCs w:val="24"/>
                <w:lang w:val="en-US" w:eastAsia="zh-CN"/>
              </w:rPr>
              <w:t>1.095</w:t>
            </w:r>
            <w:r>
              <w:rPr>
                <w:rFonts w:hint="default" w:ascii="Times New Roman" w:hAnsi="Times New Roman" w:eastAsia="宋体" w:cs="Times New Roman"/>
                <w:color w:val="000000"/>
                <w:kern w:val="0"/>
                <w:sz w:val="24"/>
                <w:szCs w:val="24"/>
                <w:lang w:val="en-US" w:eastAsia="zh-CN"/>
              </w:rPr>
              <w:t>t/a</w:t>
            </w:r>
            <w:r>
              <w:rPr>
                <w:rFonts w:hint="eastAsia" w:ascii="Times New Roman" w:hAnsi="Times New Roman" w:eastAsia="宋体" w:cs="Times New Roman"/>
                <w:color w:val="000000"/>
                <w:kern w:val="0"/>
                <w:sz w:val="24"/>
                <w:szCs w:val="24"/>
                <w:lang w:val="en-US" w:eastAsia="zh-CN"/>
              </w:rPr>
              <w:t>。</w:t>
            </w:r>
            <w:r>
              <w:rPr>
                <w:rFonts w:hint="eastAsia" w:cs="Times New Roman"/>
                <w:color w:val="000000"/>
                <w:kern w:val="0"/>
                <w:sz w:val="24"/>
                <w:szCs w:val="24"/>
                <w:lang w:val="en-US" w:eastAsia="zh-CN"/>
              </w:rPr>
              <w:t>每条生产线的布料粉尘</w:t>
            </w:r>
            <w:r>
              <w:rPr>
                <w:rFonts w:hint="eastAsia" w:ascii="Times New Roman" w:hAnsi="Times New Roman" w:eastAsia="宋体" w:cs="Times New Roman"/>
                <w:b w:val="0"/>
                <w:bCs w:val="0"/>
                <w:sz w:val="24"/>
                <w:szCs w:val="24"/>
                <w:lang w:val="en-US" w:eastAsia="zh-CN"/>
              </w:rPr>
              <w:t>产生量</w:t>
            </w:r>
            <w:r>
              <w:rPr>
                <w:rFonts w:hint="eastAsia" w:cs="Times New Roman"/>
                <w:b w:val="0"/>
                <w:bCs w:val="0"/>
                <w:sz w:val="24"/>
                <w:szCs w:val="24"/>
                <w:lang w:val="en-US" w:eastAsia="zh-CN"/>
              </w:rPr>
              <w:t>见下</w:t>
            </w:r>
            <w:r>
              <w:rPr>
                <w:rFonts w:hint="eastAsia" w:ascii="Times New Roman" w:hAnsi="Times New Roman" w:eastAsia="宋体" w:cs="Times New Roman"/>
                <w:b w:val="0"/>
                <w:bCs w:val="0"/>
                <w:sz w:val="24"/>
                <w:szCs w:val="24"/>
                <w:lang w:val="en-US" w:eastAsia="zh-CN"/>
              </w:rPr>
              <w:t>表</w:t>
            </w:r>
            <w:r>
              <w:rPr>
                <w:rFonts w:hint="eastAsia" w:cs="Times New Roman"/>
                <w:b w:val="0"/>
                <w:bCs w:val="0"/>
                <w:sz w:val="24"/>
                <w:szCs w:val="24"/>
                <w:lang w:val="en-US" w:eastAsia="zh-CN"/>
              </w:rPr>
              <w:t>：</w:t>
            </w:r>
          </w:p>
          <w:p w14:paraId="0FE61E4C">
            <w:pPr>
              <w:pStyle w:val="68"/>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w:t>
            </w:r>
            <w:r>
              <w:rPr>
                <w:rFonts w:hint="eastAsia" w:ascii="Times New Roman" w:hAnsi="Times New Roman" w:cs="Times New Roman"/>
                <w:b/>
                <w:bCs/>
                <w:sz w:val="24"/>
                <w:szCs w:val="24"/>
                <w:lang w:val="en-US" w:eastAsia="zh-CN"/>
              </w:rPr>
              <w:t>8</w:t>
            </w:r>
            <w:r>
              <w:rPr>
                <w:rFonts w:hint="eastAsia" w:ascii="Times New Roman" w:hAnsi="Times New Roman" w:eastAsia="宋体" w:cs="Times New Roman"/>
                <w:b/>
                <w:bCs/>
                <w:sz w:val="24"/>
                <w:szCs w:val="24"/>
                <w:lang w:val="en-US" w:eastAsia="zh-CN"/>
              </w:rPr>
              <w:t xml:space="preserve">  废气产生量汇总表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032"/>
              <w:gridCol w:w="720"/>
              <w:gridCol w:w="684"/>
              <w:gridCol w:w="2016"/>
              <w:gridCol w:w="1120"/>
              <w:gridCol w:w="1248"/>
            </w:tblGrid>
            <w:tr w14:paraId="3070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pct"/>
                  <w:vAlign w:val="center"/>
                </w:tcPr>
                <w:p w14:paraId="6747B9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生产车间</w:t>
                  </w:r>
                </w:p>
              </w:tc>
              <w:tc>
                <w:tcPr>
                  <w:tcW w:w="639" w:type="pct"/>
                  <w:vAlign w:val="center"/>
                </w:tcPr>
                <w:p w14:paraId="0AE5F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生产线</w:t>
                  </w:r>
                </w:p>
              </w:tc>
              <w:tc>
                <w:tcPr>
                  <w:tcW w:w="445" w:type="pct"/>
                  <w:vAlign w:val="center"/>
                </w:tcPr>
                <w:p w14:paraId="512C7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工序</w:t>
                  </w:r>
                </w:p>
              </w:tc>
              <w:tc>
                <w:tcPr>
                  <w:tcW w:w="423" w:type="pct"/>
                  <w:vAlign w:val="center"/>
                </w:tcPr>
                <w:p w14:paraId="51AF32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val="0"/>
                      <w:sz w:val="21"/>
                      <w:szCs w:val="21"/>
                      <w:lang w:eastAsia="zh-CN"/>
                    </w:rPr>
                  </w:pPr>
                  <w:r>
                    <w:rPr>
                      <w:rFonts w:hint="eastAsia" w:ascii="Times New Roman" w:hAnsi="Times New Roman" w:cs="Times New Roman"/>
                      <w:b/>
                      <w:bCs w:val="0"/>
                      <w:sz w:val="21"/>
                      <w:szCs w:val="21"/>
                      <w:lang w:val="en-US" w:eastAsia="zh-CN"/>
                    </w:rPr>
                    <w:t>污染物</w:t>
                  </w:r>
                </w:p>
              </w:tc>
              <w:tc>
                <w:tcPr>
                  <w:tcW w:w="1248" w:type="pct"/>
                  <w:vAlign w:val="center"/>
                </w:tcPr>
                <w:p w14:paraId="1F87D6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产生系数</w:t>
                  </w:r>
                </w:p>
              </w:tc>
              <w:tc>
                <w:tcPr>
                  <w:tcW w:w="693" w:type="pct"/>
                  <w:vAlign w:val="center"/>
                </w:tcPr>
                <w:p w14:paraId="1AA13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产品量</w:t>
                  </w:r>
                  <w:r>
                    <w:rPr>
                      <w:rFonts w:hint="eastAsia" w:ascii="Times New Roman" w:hAnsi="Times New Roman" w:cs="Times New Roman"/>
                      <w:b/>
                      <w:bCs w:val="0"/>
                      <w:sz w:val="21"/>
                      <w:szCs w:val="21"/>
                      <w:lang w:val="en-US" w:eastAsia="zh-CN"/>
                    </w:rPr>
                    <w:t>t/a</w:t>
                  </w:r>
                </w:p>
              </w:tc>
              <w:tc>
                <w:tcPr>
                  <w:tcW w:w="772" w:type="pct"/>
                  <w:vAlign w:val="center"/>
                </w:tcPr>
                <w:p w14:paraId="1C0CFB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污染物</w:t>
                  </w:r>
                  <w:r>
                    <w:rPr>
                      <w:rFonts w:hint="eastAsia" w:ascii="Times New Roman" w:hAnsi="Times New Roman" w:cs="Times New Roman"/>
                      <w:b/>
                      <w:bCs w:val="0"/>
                      <w:sz w:val="21"/>
                      <w:szCs w:val="21"/>
                      <w:lang w:val="en-US" w:eastAsia="zh-CN"/>
                    </w:rPr>
                    <w:t>产生量t/a</w:t>
                  </w:r>
                </w:p>
              </w:tc>
            </w:tr>
            <w:tr w14:paraId="04F8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pct"/>
                  <w:vAlign w:val="center"/>
                </w:tcPr>
                <w:p w14:paraId="40FD5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r>
                    <w:rPr>
                      <w:rFonts w:hint="eastAsia" w:cs="宋体"/>
                      <w:spacing w:val="-3"/>
                      <w:sz w:val="21"/>
                      <w:szCs w:val="21"/>
                      <w:vertAlign w:val="baseline"/>
                      <w:lang w:val="en-US" w:eastAsia="zh-CN"/>
                    </w:rPr>
                    <w:t>2#生产车间</w:t>
                  </w:r>
                </w:p>
              </w:tc>
              <w:tc>
                <w:tcPr>
                  <w:tcW w:w="639" w:type="pct"/>
                  <w:vAlign w:val="center"/>
                </w:tcPr>
                <w:p w14:paraId="4EFDE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r>
                    <w:rPr>
                      <w:rFonts w:hint="eastAsia" w:cs="宋体"/>
                      <w:spacing w:val="-3"/>
                      <w:sz w:val="21"/>
                      <w:szCs w:val="21"/>
                      <w:vertAlign w:val="baseline"/>
                      <w:lang w:val="en-US" w:eastAsia="zh-CN"/>
                    </w:rPr>
                    <w:t>1#、2</w:t>
                  </w:r>
                  <w:r>
                    <w:rPr>
                      <w:rFonts w:hint="eastAsia" w:ascii="Times New Roman" w:hAnsi="Times New Roman" w:eastAsia="宋体" w:cs="宋体"/>
                      <w:spacing w:val="-3"/>
                      <w:sz w:val="21"/>
                      <w:szCs w:val="21"/>
                      <w:vertAlign w:val="baseline"/>
                      <w:lang w:val="en-US" w:eastAsia="zh-CN"/>
                    </w:rPr>
                    <w:t>#生产线</w:t>
                  </w:r>
                </w:p>
              </w:tc>
              <w:tc>
                <w:tcPr>
                  <w:tcW w:w="445" w:type="pct"/>
                  <w:vAlign w:val="center"/>
                </w:tcPr>
                <w:p w14:paraId="335C1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布料</w:t>
                  </w:r>
                </w:p>
              </w:tc>
              <w:tc>
                <w:tcPr>
                  <w:tcW w:w="423" w:type="pct"/>
                  <w:vAlign w:val="center"/>
                </w:tcPr>
                <w:p w14:paraId="060C9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1248" w:type="pct"/>
                  <w:vAlign w:val="center"/>
                </w:tcPr>
                <w:p w14:paraId="7FF40D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693" w:type="pct"/>
                  <w:vAlign w:val="center"/>
                </w:tcPr>
                <w:p w14:paraId="21D3A020">
                  <w:pPr>
                    <w:keepNext w:val="0"/>
                    <w:keepLines w:val="0"/>
                    <w:widowControl/>
                    <w:suppressLineNumbers w:val="0"/>
                    <w:spacing w:before="0" w:beforeAutospacing="0" w:after="0" w:afterAutospacing="0"/>
                    <w:ind w:left="0" w:leftChars="0" w:right="0" w:rightChars="0"/>
                    <w:jc w:val="center"/>
                    <w:textAlignment w:val="center"/>
                    <w:rPr>
                      <w:rFonts w:hint="eastAsia" w:eastAsia="宋体" w:cs="Times New Roman"/>
                      <w:i w:val="0"/>
                      <w:iCs w:val="0"/>
                      <w:color w:val="000000"/>
                      <w:kern w:val="0"/>
                      <w:sz w:val="22"/>
                      <w:szCs w:val="22"/>
                      <w:u w:val="none"/>
                      <w:lang w:val="en-US" w:eastAsia="zh-CN" w:bidi="ar"/>
                    </w:rPr>
                  </w:pPr>
                  <w:r>
                    <w:rPr>
                      <w:rFonts w:hint="eastAsia" w:eastAsia="宋体" w:cs="Times New Roman"/>
                      <w:i w:val="0"/>
                      <w:iCs w:val="0"/>
                      <w:color w:val="000000"/>
                      <w:kern w:val="0"/>
                      <w:sz w:val="22"/>
                      <w:szCs w:val="22"/>
                      <w:u w:val="none"/>
                      <w:lang w:val="en-US" w:eastAsia="zh-CN" w:bidi="ar"/>
                    </w:rPr>
                    <w:t>21900</w:t>
                  </w:r>
                </w:p>
              </w:tc>
              <w:tc>
                <w:tcPr>
                  <w:tcW w:w="1248" w:type="dxa"/>
                  <w:vAlign w:val="center"/>
                </w:tcPr>
                <w:p w14:paraId="58B6E066">
                  <w:pPr>
                    <w:keepNext w:val="0"/>
                    <w:keepLines w:val="0"/>
                    <w:widowControl/>
                    <w:suppressLineNumbers w:val="0"/>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0.657</w:t>
                  </w:r>
                </w:p>
              </w:tc>
            </w:tr>
            <w:tr w14:paraId="792F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pct"/>
                  <w:vAlign w:val="center"/>
                </w:tcPr>
                <w:p w14:paraId="367A8A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1#生产车间</w:t>
                  </w:r>
                </w:p>
              </w:tc>
              <w:tc>
                <w:tcPr>
                  <w:tcW w:w="639" w:type="pct"/>
                  <w:vAlign w:val="center"/>
                </w:tcPr>
                <w:p w14:paraId="23CCDB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w:t>
                  </w:r>
                  <w:r>
                    <w:rPr>
                      <w:rFonts w:hint="eastAsia" w:eastAsia="宋体" w:cs="宋体"/>
                      <w:spacing w:val="-3"/>
                      <w:sz w:val="21"/>
                      <w:szCs w:val="21"/>
                      <w:vertAlign w:val="baseline"/>
                      <w:lang w:val="en-US" w:eastAsia="zh-CN"/>
                    </w:rPr>
                    <w:t>、4#</w:t>
                  </w:r>
                  <w:r>
                    <w:rPr>
                      <w:rFonts w:hint="eastAsia" w:ascii="Times New Roman" w:hAnsi="Times New Roman" w:eastAsia="宋体" w:cs="宋体"/>
                      <w:spacing w:val="-3"/>
                      <w:sz w:val="21"/>
                      <w:szCs w:val="21"/>
                      <w:vertAlign w:val="baseline"/>
                      <w:lang w:val="en-US" w:eastAsia="zh-CN"/>
                    </w:rPr>
                    <w:t>生产线</w:t>
                  </w:r>
                </w:p>
              </w:tc>
              <w:tc>
                <w:tcPr>
                  <w:tcW w:w="445" w:type="pct"/>
                  <w:vAlign w:val="center"/>
                </w:tcPr>
                <w:p w14:paraId="05D36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default" w:ascii="Times New Roman" w:hAnsi="Times New Roman" w:eastAsia="宋体" w:cs="宋体"/>
                      <w:spacing w:val="-3"/>
                      <w:sz w:val="21"/>
                      <w:szCs w:val="21"/>
                      <w:vertAlign w:val="baseline"/>
                      <w:lang w:val="en-US" w:eastAsia="zh-CN"/>
                    </w:rPr>
                    <w:t>布料</w:t>
                  </w:r>
                </w:p>
              </w:tc>
              <w:tc>
                <w:tcPr>
                  <w:tcW w:w="423" w:type="pct"/>
                  <w:vMerge w:val="restart"/>
                  <w:vAlign w:val="center"/>
                </w:tcPr>
                <w:p w14:paraId="4E474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颗粒物</w:t>
                  </w:r>
                </w:p>
              </w:tc>
              <w:tc>
                <w:tcPr>
                  <w:tcW w:w="1248" w:type="pct"/>
                  <w:vAlign w:val="center"/>
                </w:tcPr>
                <w:p w14:paraId="5EC0BA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693" w:type="pct"/>
                  <w:vAlign w:val="center"/>
                </w:tcPr>
                <w:p w14:paraId="6207B4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eastAsia" w:eastAsia="宋体" w:cs="Times New Roman"/>
                      <w:i w:val="0"/>
                      <w:iCs w:val="0"/>
                      <w:color w:val="000000"/>
                      <w:kern w:val="0"/>
                      <w:sz w:val="22"/>
                      <w:szCs w:val="22"/>
                      <w:u w:val="none"/>
                      <w:lang w:val="en-US" w:eastAsia="zh-CN" w:bidi="ar"/>
                    </w:rPr>
                    <w:t>14000</w:t>
                  </w:r>
                </w:p>
              </w:tc>
              <w:tc>
                <w:tcPr>
                  <w:tcW w:w="1248" w:type="dxa"/>
                  <w:vAlign w:val="center"/>
                </w:tcPr>
                <w:p w14:paraId="686CBB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0.42</w:t>
                  </w:r>
                </w:p>
              </w:tc>
            </w:tr>
            <w:tr w14:paraId="4884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7" w:type="pct"/>
                  <w:vAlign w:val="center"/>
                </w:tcPr>
                <w:p w14:paraId="4B310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r>
                    <w:rPr>
                      <w:rFonts w:hint="eastAsia" w:cs="宋体"/>
                      <w:spacing w:val="-3"/>
                      <w:sz w:val="21"/>
                      <w:szCs w:val="21"/>
                      <w:vertAlign w:val="baseline"/>
                      <w:lang w:val="en-US" w:eastAsia="zh-CN"/>
                    </w:rPr>
                    <w:t>3#生产车间</w:t>
                  </w:r>
                </w:p>
              </w:tc>
              <w:tc>
                <w:tcPr>
                  <w:tcW w:w="639" w:type="pct"/>
                  <w:vAlign w:val="center"/>
                </w:tcPr>
                <w:p w14:paraId="55976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r>
                    <w:rPr>
                      <w:rFonts w:hint="eastAsia" w:cs="宋体"/>
                      <w:spacing w:val="-3"/>
                      <w:sz w:val="21"/>
                      <w:szCs w:val="21"/>
                      <w:vertAlign w:val="baseline"/>
                      <w:lang w:val="en-US" w:eastAsia="zh-CN"/>
                    </w:rPr>
                    <w:t>5</w:t>
                  </w:r>
                  <w:r>
                    <w:rPr>
                      <w:rFonts w:hint="eastAsia" w:ascii="Times New Roman" w:hAnsi="Times New Roman" w:eastAsia="宋体" w:cs="宋体"/>
                      <w:spacing w:val="-3"/>
                      <w:sz w:val="21"/>
                      <w:szCs w:val="21"/>
                      <w:vertAlign w:val="baseline"/>
                      <w:lang w:val="en-US" w:eastAsia="zh-CN"/>
                    </w:rPr>
                    <w:t>#生产线</w:t>
                  </w:r>
                </w:p>
              </w:tc>
              <w:tc>
                <w:tcPr>
                  <w:tcW w:w="445" w:type="pct"/>
                  <w:vAlign w:val="center"/>
                </w:tcPr>
                <w:p w14:paraId="2FC360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r>
                    <w:rPr>
                      <w:rFonts w:hint="default" w:ascii="Times New Roman" w:hAnsi="Times New Roman" w:eastAsia="宋体" w:cs="宋体"/>
                      <w:spacing w:val="-3"/>
                      <w:sz w:val="21"/>
                      <w:szCs w:val="21"/>
                      <w:vertAlign w:val="baseline"/>
                      <w:lang w:val="en-US" w:eastAsia="zh-CN"/>
                    </w:rPr>
                    <w:t>布料</w:t>
                  </w:r>
                </w:p>
              </w:tc>
              <w:tc>
                <w:tcPr>
                  <w:tcW w:w="423" w:type="pct"/>
                  <w:vMerge w:val="continue"/>
                  <w:vAlign w:val="center"/>
                </w:tcPr>
                <w:p w14:paraId="09ECA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p>
              </w:tc>
              <w:tc>
                <w:tcPr>
                  <w:tcW w:w="1248" w:type="pct"/>
                  <w:vAlign w:val="center"/>
                </w:tcPr>
                <w:p w14:paraId="4FF694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693" w:type="pct"/>
                  <w:vAlign w:val="center"/>
                </w:tcPr>
                <w:p w14:paraId="0031E1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600</w:t>
                  </w:r>
                </w:p>
              </w:tc>
              <w:tc>
                <w:tcPr>
                  <w:tcW w:w="1248" w:type="dxa"/>
                  <w:vAlign w:val="center"/>
                </w:tcPr>
                <w:p w14:paraId="0A8727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0.018</w:t>
                  </w:r>
                </w:p>
              </w:tc>
            </w:tr>
          </w:tbl>
          <w:p w14:paraId="45C0FE0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（4）圆口废气</w:t>
            </w:r>
          </w:p>
          <w:p w14:paraId="2758627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
                <w:bCs/>
                <w:color w:val="000000"/>
                <w:sz w:val="24"/>
                <w:lang w:val="zh-CN" w:eastAsia="zh-CN"/>
              </w:rPr>
            </w:pPr>
            <w:r>
              <w:rPr>
                <w:rFonts w:hint="eastAsia" w:cs="Times New Roman"/>
                <w:color w:val="auto"/>
                <w:sz w:val="24"/>
                <w:szCs w:val="24"/>
                <w:u w:val="none" w:color="auto"/>
                <w:lang w:val="en-US" w:eastAsia="zh-CN"/>
              </w:rPr>
              <w:t>玻璃制品生产线的产品需要进行圆口，</w:t>
            </w:r>
            <w:r>
              <w:rPr>
                <w:rFonts w:hint="eastAsia" w:ascii="Times New Roman" w:hAnsi="Times New Roman" w:eastAsia="宋体" w:cs="Times New Roman"/>
                <w:color w:val="auto"/>
                <w:sz w:val="24"/>
                <w:szCs w:val="24"/>
                <w:u w:val="none" w:color="auto"/>
                <w:lang w:val="en-US" w:eastAsia="zh-CN"/>
              </w:rPr>
              <w:t>经</w:t>
            </w:r>
            <w:r>
              <w:rPr>
                <w:rFonts w:hint="eastAsia" w:cs="Times New Roman"/>
                <w:color w:val="auto"/>
                <w:sz w:val="24"/>
                <w:szCs w:val="24"/>
                <w:u w:val="none" w:color="auto"/>
                <w:lang w:val="en-US" w:eastAsia="zh-CN"/>
              </w:rPr>
              <w:t>裁切后</w:t>
            </w:r>
            <w:r>
              <w:rPr>
                <w:rFonts w:hint="eastAsia" w:ascii="Times New Roman" w:hAnsi="Times New Roman" w:eastAsia="宋体" w:cs="Times New Roman"/>
                <w:color w:val="auto"/>
                <w:sz w:val="24"/>
                <w:szCs w:val="24"/>
                <w:u w:val="none" w:color="auto"/>
                <w:lang w:val="en-US" w:eastAsia="zh-CN"/>
              </w:rPr>
              <w:t>的玻璃管按设计规格要求利用</w:t>
            </w:r>
            <w:r>
              <w:rPr>
                <w:rFonts w:hint="eastAsia" w:cs="Times New Roman"/>
                <w:color w:val="auto"/>
                <w:sz w:val="24"/>
                <w:szCs w:val="24"/>
                <w:u w:val="none" w:color="auto"/>
                <w:lang w:val="en-US" w:eastAsia="zh-CN"/>
              </w:rPr>
              <w:t>圆口机进行圆口</w:t>
            </w:r>
            <w:r>
              <w:rPr>
                <w:rFonts w:hint="eastAsia" w:ascii="Times New Roman" w:hAnsi="Times New Roman"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玻璃制品生产线产量为600t/a，</w:t>
            </w:r>
            <w:r>
              <w:rPr>
                <w:rFonts w:hint="eastAsia" w:ascii="Times New Roman" w:hAnsi="Times New Roman" w:eastAsia="宋体" w:cs="Times New Roman"/>
                <w:color w:val="auto"/>
                <w:sz w:val="24"/>
                <w:szCs w:val="24"/>
                <w:u w:val="none" w:color="auto"/>
                <w:lang w:val="en-US" w:eastAsia="zh-CN"/>
              </w:rPr>
              <w:t>圆口工序由天然气燃烧喷头灼烧玻璃管完成。</w:t>
            </w:r>
            <w:r>
              <w:rPr>
                <w:rFonts w:hint="eastAsia" w:cs="Times New Roman"/>
                <w:color w:val="000000"/>
                <w:sz w:val="24"/>
                <w:lang w:val="en-US" w:eastAsia="zh-CN"/>
              </w:rPr>
              <w:t>根据业主提供的资料，</w:t>
            </w:r>
            <w:r>
              <w:rPr>
                <w:rFonts w:hint="eastAsia" w:cs="Times New Roman"/>
                <w:color w:val="auto"/>
                <w:sz w:val="24"/>
                <w:szCs w:val="24"/>
                <w:u w:val="none" w:color="auto"/>
                <w:lang w:val="en-US" w:eastAsia="zh-CN"/>
              </w:rPr>
              <w:t>圆口过程中</w:t>
            </w:r>
            <w:r>
              <w:rPr>
                <w:rFonts w:hint="eastAsia" w:cs="Times New Roman"/>
                <w:color w:val="000000"/>
                <w:sz w:val="24"/>
                <w:lang w:val="en-US" w:eastAsia="zh-CN"/>
              </w:rPr>
              <w:t>天然气用量为20m</w:t>
            </w:r>
            <w:r>
              <w:rPr>
                <w:rFonts w:hint="eastAsia" w:cs="Times New Roman"/>
                <w:color w:val="000000"/>
                <w:sz w:val="24"/>
                <w:vertAlign w:val="superscript"/>
                <w:lang w:val="en-US" w:eastAsia="zh-CN"/>
              </w:rPr>
              <w:t>3</w:t>
            </w:r>
            <w:r>
              <w:rPr>
                <w:rFonts w:hint="eastAsia" w:cs="Times New Roman"/>
                <w:color w:val="000000"/>
                <w:sz w:val="24"/>
                <w:lang w:val="en-US" w:eastAsia="zh-CN"/>
              </w:rPr>
              <w:t>/d、6000m</w:t>
            </w:r>
            <w:r>
              <w:rPr>
                <w:rFonts w:hint="eastAsia" w:cs="Times New Roman"/>
                <w:color w:val="000000"/>
                <w:sz w:val="24"/>
                <w:vertAlign w:val="superscript"/>
                <w:lang w:val="en-US" w:eastAsia="zh-CN"/>
              </w:rPr>
              <w:t>3</w:t>
            </w:r>
            <w:r>
              <w:rPr>
                <w:rFonts w:hint="eastAsia" w:cs="Times New Roman"/>
                <w:color w:val="000000"/>
                <w:sz w:val="24"/>
                <w:lang w:val="en-US" w:eastAsia="zh-CN"/>
              </w:rPr>
              <w:t>/a。参照</w:t>
            </w:r>
            <w:r>
              <w:rPr>
                <w:rFonts w:hint="default" w:ascii="Times New Roman" w:hAnsi="Times New Roman" w:eastAsia="宋体" w:cs="Times New Roman"/>
                <w:color w:val="auto"/>
                <w:spacing w:val="-3"/>
                <w:kern w:val="2"/>
                <w:sz w:val="24"/>
                <w:szCs w:val="24"/>
              </w:rPr>
              <w:t>《排放源统计调查产排污核算方法和系数手册》</w:t>
            </w:r>
            <w:r>
              <w:rPr>
                <w:rFonts w:hint="default" w:ascii="Times New Roman" w:hAnsi="Times New Roman" w:eastAsia="宋体" w:cs="Times New Roman"/>
                <w:color w:val="auto"/>
                <w:spacing w:val="-3"/>
                <w:kern w:val="2"/>
                <w:sz w:val="24"/>
                <w:szCs w:val="24"/>
                <w:lang w:eastAsia="zh-CN"/>
              </w:rPr>
              <w:t>（</w:t>
            </w:r>
            <w:r>
              <w:rPr>
                <w:rFonts w:hint="default" w:ascii="Times New Roman" w:hAnsi="Times New Roman" w:eastAsia="宋体" w:cs="Times New Roman"/>
                <w:color w:val="auto"/>
                <w:spacing w:val="-3"/>
                <w:kern w:val="2"/>
                <w:sz w:val="24"/>
                <w:szCs w:val="24"/>
                <w:lang w:val="en-US" w:eastAsia="zh-CN"/>
              </w:rPr>
              <w:t>生态环境部2021年6月11日印发</w:t>
            </w:r>
            <w:r>
              <w:rPr>
                <w:rFonts w:hint="default" w:ascii="Times New Roman" w:hAnsi="Times New Roman" w:eastAsia="宋体" w:cs="Times New Roman"/>
                <w:color w:val="auto"/>
                <w:spacing w:val="-3"/>
                <w:kern w:val="2"/>
                <w:sz w:val="24"/>
                <w:szCs w:val="24"/>
                <w:lang w:eastAsia="zh-CN"/>
              </w:rPr>
              <w:t>）</w:t>
            </w:r>
            <w:r>
              <w:rPr>
                <w:rFonts w:hint="default" w:ascii="Times New Roman" w:hAnsi="Times New Roman" w:eastAsia="宋体" w:cs="Times New Roman"/>
                <w:color w:val="auto"/>
                <w:spacing w:val="-3"/>
                <w:kern w:val="2"/>
                <w:sz w:val="24"/>
                <w:szCs w:val="24"/>
              </w:rPr>
              <w:t>中33-37</w:t>
            </w:r>
            <w:r>
              <w:rPr>
                <w:rFonts w:hint="default" w:ascii="Times New Roman" w:hAnsi="Times New Roman" w:eastAsia="宋体" w:cs="Times New Roman"/>
                <w:color w:val="auto"/>
                <w:spacing w:val="-3"/>
                <w:kern w:val="2"/>
                <w:sz w:val="24"/>
                <w:szCs w:val="24"/>
                <w:lang w:eastAsia="zh-CN"/>
              </w:rPr>
              <w:t>，</w:t>
            </w:r>
            <w:r>
              <w:rPr>
                <w:rFonts w:hint="default" w:ascii="Times New Roman" w:hAnsi="Times New Roman" w:eastAsia="宋体" w:cs="Times New Roman"/>
                <w:color w:val="auto"/>
                <w:spacing w:val="-3"/>
                <w:kern w:val="2"/>
                <w:sz w:val="24"/>
                <w:szCs w:val="24"/>
              </w:rPr>
              <w:t>431-434机械行业系数手册</w:t>
            </w:r>
            <w:r>
              <w:rPr>
                <w:rFonts w:hint="default" w:ascii="Times New Roman" w:hAnsi="Times New Roman" w:eastAsia="宋体" w:cs="Times New Roman"/>
                <w:color w:val="auto"/>
                <w:spacing w:val="-3"/>
                <w:kern w:val="2"/>
                <w:sz w:val="24"/>
                <w:szCs w:val="24"/>
                <w:lang w:val="en-US" w:eastAsia="zh-CN"/>
              </w:rPr>
              <w:t>——14涂装中</w:t>
            </w:r>
            <w:r>
              <w:rPr>
                <w:rFonts w:hint="eastAsia" w:ascii="Times New Roman" w:hAnsi="Times New Roman" w:eastAsia="宋体" w:cs="Times New Roman"/>
                <w:color w:val="auto"/>
                <w:kern w:val="2"/>
                <w:sz w:val="24"/>
                <w:szCs w:val="24"/>
                <w:lang w:val="en-US" w:eastAsia="zh-CN"/>
              </w:rPr>
              <w:t>天然气</w:t>
            </w:r>
            <w:r>
              <w:rPr>
                <w:rFonts w:hint="default" w:ascii="Times New Roman" w:hAnsi="Times New Roman" w:eastAsia="宋体" w:cs="Times New Roman"/>
                <w:color w:val="auto"/>
                <w:spacing w:val="-3"/>
                <w:kern w:val="2"/>
                <w:sz w:val="24"/>
                <w:szCs w:val="24"/>
                <w:lang w:val="en-US" w:eastAsia="zh-CN"/>
              </w:rPr>
              <w:t>工业炉窑产污系数</w:t>
            </w:r>
            <w:r>
              <w:rPr>
                <w:rFonts w:hint="default" w:ascii="Times New Roman" w:hAnsi="Times New Roman" w:eastAsia="宋体" w:cs="Times New Roman"/>
                <w:color w:val="auto"/>
                <w:kern w:val="2"/>
                <w:sz w:val="24"/>
                <w:szCs w:val="24"/>
                <w:lang w:val="en-US" w:eastAsia="zh-CN"/>
              </w:rPr>
              <w:t>，SO</w:t>
            </w:r>
            <w:r>
              <w:rPr>
                <w:rFonts w:hint="default" w:ascii="Times New Roman" w:hAnsi="Times New Roman" w:eastAsia="宋体" w:cs="Times New Roman"/>
                <w:color w:val="auto"/>
                <w:kern w:val="2"/>
                <w:sz w:val="24"/>
                <w:szCs w:val="24"/>
                <w:vertAlign w:val="subscript"/>
                <w:lang w:val="en-US" w:eastAsia="zh-CN"/>
              </w:rPr>
              <w:t>2</w:t>
            </w:r>
            <w:r>
              <w:rPr>
                <w:rFonts w:hint="default" w:ascii="Times New Roman" w:hAnsi="Times New Roman" w:eastAsia="宋体" w:cs="Times New Roman"/>
                <w:color w:val="auto"/>
                <w:kern w:val="2"/>
                <w:sz w:val="24"/>
                <w:szCs w:val="24"/>
                <w:lang w:val="en-US" w:eastAsia="zh-CN"/>
              </w:rPr>
              <w:t>产污系数0.000002Skg/m</w:t>
            </w:r>
            <w:r>
              <w:rPr>
                <w:rFonts w:hint="default" w:ascii="Times New Roman" w:hAnsi="Times New Roman" w:eastAsia="宋体" w:cs="Times New Roman"/>
                <w:color w:val="auto"/>
                <w:kern w:val="2"/>
                <w:sz w:val="24"/>
                <w:szCs w:val="24"/>
                <w:vertAlign w:val="superscript"/>
                <w:lang w:val="en-US" w:eastAsia="zh-CN"/>
              </w:rPr>
              <w:t>3</w:t>
            </w:r>
            <w:r>
              <w:rPr>
                <w:rFonts w:hint="default" w:ascii="Times New Roman" w:hAnsi="Times New Roman" w:eastAsia="宋体" w:cs="Times New Roman"/>
                <w:color w:val="auto"/>
                <w:kern w:val="2"/>
                <w:sz w:val="24"/>
                <w:szCs w:val="24"/>
                <w:lang w:val="en-US" w:eastAsia="zh-CN"/>
              </w:rPr>
              <w:t>原料（S=</w:t>
            </w:r>
            <w:r>
              <w:rPr>
                <w:rFonts w:hint="eastAsia" w:ascii="Times New Roman" w:hAnsi="Times New Roman" w:eastAsia="宋体" w:cs="Times New Roman"/>
                <w:color w:val="auto"/>
                <w:kern w:val="2"/>
                <w:sz w:val="24"/>
                <w:szCs w:val="24"/>
                <w:lang w:val="en-US" w:eastAsia="zh-CN"/>
              </w:rPr>
              <w:t>100</w:t>
            </w:r>
            <w:r>
              <w:rPr>
                <w:rFonts w:hint="default" w:ascii="Times New Roman" w:hAnsi="Times New Roman" w:eastAsia="宋体" w:cs="Times New Roman"/>
                <w:color w:val="auto"/>
                <w:kern w:val="2"/>
                <w:sz w:val="24"/>
                <w:szCs w:val="24"/>
                <w:lang w:val="en-US" w:eastAsia="zh-CN"/>
              </w:rPr>
              <w:t>）、NOx产污系数0.00</w:t>
            </w:r>
            <w:r>
              <w:rPr>
                <w:rFonts w:hint="eastAsia" w:ascii="Times New Roman" w:hAnsi="Times New Roman" w:eastAsia="宋体" w:cs="Times New Roman"/>
                <w:color w:val="auto"/>
                <w:kern w:val="2"/>
                <w:sz w:val="24"/>
                <w:szCs w:val="24"/>
                <w:lang w:val="en-US" w:eastAsia="zh-CN"/>
              </w:rPr>
              <w:t>187</w:t>
            </w:r>
            <w:r>
              <w:rPr>
                <w:rFonts w:hint="default" w:ascii="Times New Roman" w:hAnsi="Times New Roman" w:eastAsia="宋体" w:cs="Times New Roman"/>
                <w:color w:val="auto"/>
                <w:kern w:val="2"/>
                <w:sz w:val="24"/>
                <w:szCs w:val="24"/>
                <w:lang w:val="en-US" w:eastAsia="zh-CN"/>
              </w:rPr>
              <w:t>kg/m</w:t>
            </w:r>
            <w:r>
              <w:rPr>
                <w:rFonts w:hint="default" w:ascii="Times New Roman" w:hAnsi="Times New Roman" w:eastAsia="宋体" w:cs="Times New Roman"/>
                <w:color w:val="auto"/>
                <w:kern w:val="2"/>
                <w:sz w:val="24"/>
                <w:szCs w:val="24"/>
                <w:vertAlign w:val="superscript"/>
                <w:lang w:val="en-US" w:eastAsia="zh-CN"/>
              </w:rPr>
              <w:t>3</w:t>
            </w:r>
            <w:r>
              <w:rPr>
                <w:rFonts w:hint="default" w:ascii="Times New Roman" w:hAnsi="Times New Roman" w:eastAsia="宋体" w:cs="Times New Roman"/>
                <w:color w:val="auto"/>
                <w:kern w:val="2"/>
                <w:sz w:val="24"/>
                <w:szCs w:val="24"/>
                <w:lang w:val="en-US" w:eastAsia="zh-CN"/>
              </w:rPr>
              <w:t>原料、颗粒物产污系数0.000</w:t>
            </w:r>
            <w:r>
              <w:rPr>
                <w:rFonts w:hint="eastAsia" w:ascii="Times New Roman" w:hAnsi="Times New Roman" w:eastAsia="宋体" w:cs="Times New Roman"/>
                <w:color w:val="auto"/>
                <w:kern w:val="2"/>
                <w:sz w:val="24"/>
                <w:szCs w:val="24"/>
                <w:lang w:val="en-US" w:eastAsia="zh-CN"/>
              </w:rPr>
              <w:t>286</w:t>
            </w:r>
            <w:r>
              <w:rPr>
                <w:rFonts w:hint="default" w:ascii="Times New Roman" w:hAnsi="Times New Roman" w:eastAsia="宋体" w:cs="Times New Roman"/>
                <w:color w:val="auto"/>
                <w:kern w:val="2"/>
                <w:sz w:val="24"/>
                <w:szCs w:val="24"/>
                <w:lang w:val="en-US" w:eastAsia="zh-CN"/>
              </w:rPr>
              <w:t>kg/m</w:t>
            </w:r>
            <w:r>
              <w:rPr>
                <w:rFonts w:hint="default" w:ascii="Times New Roman" w:hAnsi="Times New Roman" w:eastAsia="宋体" w:cs="Times New Roman"/>
                <w:color w:val="auto"/>
                <w:kern w:val="2"/>
                <w:sz w:val="24"/>
                <w:szCs w:val="24"/>
                <w:vertAlign w:val="superscript"/>
                <w:lang w:val="en-US" w:eastAsia="zh-CN"/>
              </w:rPr>
              <w:t>3</w:t>
            </w:r>
            <w:r>
              <w:rPr>
                <w:rFonts w:hint="default" w:ascii="Times New Roman" w:hAnsi="Times New Roman" w:eastAsia="宋体" w:cs="Times New Roman"/>
                <w:color w:val="auto"/>
                <w:kern w:val="2"/>
                <w:sz w:val="24"/>
                <w:szCs w:val="24"/>
                <w:lang w:val="en-US" w:eastAsia="zh-CN"/>
              </w:rPr>
              <w:t>原料。</w:t>
            </w:r>
            <w:r>
              <w:rPr>
                <w:rFonts w:hint="default" w:ascii="Times New Roman" w:hAnsi="Times New Roman" w:eastAsia="宋体" w:cs="Times New Roman"/>
                <w:color w:val="000000"/>
                <w:sz w:val="24"/>
                <w:lang w:val="zh-CN" w:eastAsia="zh-CN"/>
              </w:rPr>
              <w:t>产</w:t>
            </w:r>
            <w:r>
              <w:rPr>
                <w:rFonts w:hint="default" w:ascii="Times New Roman" w:hAnsi="Times New Roman" w:eastAsia="宋体" w:cs="Times New Roman"/>
                <w:color w:val="000000"/>
                <w:sz w:val="24"/>
                <w:lang w:val="en-US" w:eastAsia="zh-CN"/>
              </w:rPr>
              <w:t>污</w:t>
            </w:r>
            <w:r>
              <w:rPr>
                <w:rFonts w:hint="default" w:ascii="Times New Roman" w:hAnsi="Times New Roman" w:eastAsia="宋体" w:cs="Times New Roman"/>
                <w:color w:val="000000"/>
                <w:sz w:val="24"/>
                <w:lang w:val="zh-CN" w:eastAsia="zh-CN"/>
              </w:rPr>
              <w:t>系数</w:t>
            </w:r>
            <w:r>
              <w:rPr>
                <w:rFonts w:hint="eastAsia" w:cs="Times New Roman"/>
                <w:color w:val="000000"/>
                <w:sz w:val="24"/>
                <w:lang w:val="en-US" w:eastAsia="zh-CN"/>
              </w:rPr>
              <w:t>及产生量</w:t>
            </w:r>
            <w:r>
              <w:rPr>
                <w:rFonts w:hint="default" w:ascii="Times New Roman" w:hAnsi="Times New Roman" w:eastAsia="宋体" w:cs="Times New Roman"/>
                <w:color w:val="000000"/>
                <w:sz w:val="24"/>
                <w:lang w:val="zh-CN" w:eastAsia="zh-CN"/>
              </w:rPr>
              <w:t>见</w:t>
            </w:r>
            <w:r>
              <w:rPr>
                <w:rFonts w:hint="default" w:ascii="Times New Roman" w:hAnsi="Times New Roman" w:eastAsia="宋体" w:cs="Times New Roman"/>
                <w:color w:val="000000"/>
                <w:sz w:val="24"/>
                <w:lang w:val="en-US" w:eastAsia="zh-CN"/>
              </w:rPr>
              <w:t>下表。</w:t>
            </w:r>
          </w:p>
          <w:p w14:paraId="291F8E46">
            <w:pPr>
              <w:pStyle w:val="68"/>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表4-</w:t>
            </w:r>
            <w:r>
              <w:rPr>
                <w:rFonts w:hint="eastAsia" w:ascii="Times New Roman" w:hAnsi="Times New Roman" w:cs="Times New Roman"/>
                <w:b/>
                <w:bCs/>
                <w:sz w:val="24"/>
                <w:szCs w:val="24"/>
                <w:lang w:val="en-US" w:eastAsia="zh-CN"/>
              </w:rPr>
              <w:t>9</w:t>
            </w:r>
            <w:r>
              <w:rPr>
                <w:rFonts w:hint="default" w:ascii="Times New Roman" w:hAnsi="Times New Roman" w:eastAsia="宋体" w:cs="Times New Roman"/>
                <w:b/>
                <w:bCs/>
                <w:sz w:val="24"/>
                <w:szCs w:val="24"/>
                <w:lang w:val="en-US" w:eastAsia="zh-CN"/>
              </w:rPr>
              <w:t xml:space="preserve">  天然气燃烧污染物</w:t>
            </w:r>
            <w:r>
              <w:rPr>
                <w:rFonts w:hint="eastAsia" w:ascii="Times New Roman" w:hAnsi="Times New Roman" w:eastAsia="宋体" w:cs="Times New Roman"/>
                <w:b/>
                <w:bCs/>
                <w:sz w:val="24"/>
                <w:szCs w:val="24"/>
                <w:lang w:val="en-US" w:eastAsia="zh-CN"/>
              </w:rPr>
              <w:t>系数表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94"/>
              <w:gridCol w:w="1122"/>
              <w:gridCol w:w="1236"/>
              <w:gridCol w:w="1193"/>
              <w:gridCol w:w="1292"/>
              <w:gridCol w:w="1109"/>
            </w:tblGrid>
            <w:tr w14:paraId="61B2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8" w:type="dxa"/>
                  <w:vAlign w:val="center"/>
                </w:tcPr>
                <w:p w14:paraId="3E2C91B5">
                  <w:pPr>
                    <w:pStyle w:val="40"/>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原料名称</w:t>
                  </w:r>
                </w:p>
              </w:tc>
              <w:tc>
                <w:tcPr>
                  <w:tcW w:w="1155" w:type="dxa"/>
                  <w:vAlign w:val="center"/>
                </w:tcPr>
                <w:p w14:paraId="508387EC">
                  <w:pPr>
                    <w:pStyle w:val="40"/>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工艺名称</w:t>
                  </w:r>
                </w:p>
              </w:tc>
              <w:tc>
                <w:tcPr>
                  <w:tcW w:w="1185" w:type="dxa"/>
                  <w:vAlign w:val="center"/>
                </w:tcPr>
                <w:p w14:paraId="5C735EE3">
                  <w:pPr>
                    <w:pStyle w:val="40"/>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规模等级</w:t>
                  </w:r>
                </w:p>
              </w:tc>
              <w:tc>
                <w:tcPr>
                  <w:tcW w:w="1305" w:type="dxa"/>
                  <w:vAlign w:val="center"/>
                </w:tcPr>
                <w:p w14:paraId="4F24B448">
                  <w:pPr>
                    <w:pStyle w:val="40"/>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污染物指标</w:t>
                  </w:r>
                </w:p>
              </w:tc>
              <w:tc>
                <w:tcPr>
                  <w:tcW w:w="1260" w:type="dxa"/>
                  <w:vAlign w:val="center"/>
                </w:tcPr>
                <w:p w14:paraId="2C355F14">
                  <w:pPr>
                    <w:pStyle w:val="40"/>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单位</w:t>
                  </w:r>
                </w:p>
              </w:tc>
              <w:tc>
                <w:tcPr>
                  <w:tcW w:w="1365" w:type="dxa"/>
                  <w:vAlign w:val="center"/>
                </w:tcPr>
                <w:p w14:paraId="0D130E34">
                  <w:pPr>
                    <w:pStyle w:val="40"/>
                    <w:keepNext w:val="0"/>
                    <w:keepLines w:val="0"/>
                    <w:suppressLineNumbers w:val="0"/>
                    <w:spacing w:before="0" w:beforeAutospacing="0" w:after="0" w:afterAutospacing="0"/>
                    <w:ind w:left="0" w:right="0"/>
                    <w:rPr>
                      <w:rFonts w:hint="default"/>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产污系数</w:t>
                  </w:r>
                </w:p>
              </w:tc>
              <w:tc>
                <w:tcPr>
                  <w:tcW w:w="1171" w:type="dxa"/>
                  <w:vAlign w:val="center"/>
                </w:tcPr>
                <w:p w14:paraId="399EBD1F">
                  <w:pPr>
                    <w:pStyle w:val="40"/>
                    <w:keepNext w:val="0"/>
                    <w:keepLines w:val="0"/>
                    <w:suppressLineNumbers w:val="0"/>
                    <w:spacing w:before="0" w:beforeAutospacing="0" w:after="0" w:afterAutospacing="0"/>
                    <w:ind w:left="0" w:right="0"/>
                    <w:rPr>
                      <w:rFonts w:hint="default" w:eastAsia="宋体"/>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产生量t/a</w:t>
                  </w:r>
                </w:p>
              </w:tc>
            </w:tr>
            <w:tr w14:paraId="39C8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8" w:type="dxa"/>
                  <w:vMerge w:val="restart"/>
                  <w:vAlign w:val="center"/>
                </w:tcPr>
                <w:p w14:paraId="38EE42B9">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天然气</w:t>
                  </w:r>
                </w:p>
              </w:tc>
              <w:tc>
                <w:tcPr>
                  <w:tcW w:w="1155" w:type="dxa"/>
                  <w:vMerge w:val="restart"/>
                  <w:vAlign w:val="center"/>
                </w:tcPr>
                <w:p w14:paraId="32344FE2">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天然气工业窑炉</w:t>
                  </w:r>
                </w:p>
              </w:tc>
              <w:tc>
                <w:tcPr>
                  <w:tcW w:w="1185" w:type="dxa"/>
                  <w:vMerge w:val="restart"/>
                  <w:vAlign w:val="center"/>
                </w:tcPr>
                <w:p w14:paraId="631B6177">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所有规模</w:t>
                  </w:r>
                </w:p>
              </w:tc>
              <w:tc>
                <w:tcPr>
                  <w:tcW w:w="1305" w:type="dxa"/>
                  <w:vAlign w:val="center"/>
                </w:tcPr>
                <w:p w14:paraId="5A627E1C">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颗粒物</w:t>
                  </w:r>
                </w:p>
              </w:tc>
              <w:tc>
                <w:tcPr>
                  <w:tcW w:w="1260" w:type="dxa"/>
                  <w:vMerge w:val="restart"/>
                  <w:vAlign w:val="center"/>
                </w:tcPr>
                <w:p w14:paraId="160DEB0C">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千克/立方米-原料</w:t>
                  </w:r>
                </w:p>
              </w:tc>
              <w:tc>
                <w:tcPr>
                  <w:tcW w:w="1365" w:type="dxa"/>
                  <w:vAlign w:val="center"/>
                </w:tcPr>
                <w:p w14:paraId="0734363B">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0.000286</w:t>
                  </w:r>
                </w:p>
              </w:tc>
              <w:tc>
                <w:tcPr>
                  <w:tcW w:w="1171" w:type="dxa"/>
                  <w:vAlign w:val="center"/>
                </w:tcPr>
                <w:p w14:paraId="2DD40111">
                  <w:pPr>
                    <w:keepNext w:val="0"/>
                    <w:keepLines w:val="0"/>
                    <w:widowControl/>
                    <w:suppressLineNumbers w:val="0"/>
                    <w:spacing w:before="0" w:beforeAutospacing="0" w:after="0" w:afterAutospacing="0"/>
                    <w:ind w:left="0" w:right="0"/>
                    <w:jc w:val="center"/>
                    <w:textAlignment w:val="center"/>
                    <w:rPr>
                      <w:rFonts w:hint="default" w:eastAsia="宋体"/>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0.002 </w:t>
                  </w:r>
                </w:p>
              </w:tc>
            </w:tr>
            <w:tr w14:paraId="3471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8" w:type="dxa"/>
                  <w:vMerge w:val="continue"/>
                  <w:vAlign w:val="center"/>
                </w:tcPr>
                <w:p w14:paraId="400377BE">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155" w:type="dxa"/>
                  <w:vMerge w:val="continue"/>
                  <w:vAlign w:val="center"/>
                </w:tcPr>
                <w:p w14:paraId="37C6B849">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185" w:type="dxa"/>
                  <w:vMerge w:val="continue"/>
                  <w:vAlign w:val="center"/>
                </w:tcPr>
                <w:p w14:paraId="2A6125D2">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305" w:type="dxa"/>
                  <w:vAlign w:val="center"/>
                </w:tcPr>
                <w:p w14:paraId="3E1376A3">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二氧化硫</w:t>
                  </w:r>
                </w:p>
              </w:tc>
              <w:tc>
                <w:tcPr>
                  <w:tcW w:w="1260" w:type="dxa"/>
                  <w:vMerge w:val="continue"/>
                  <w:vAlign w:val="center"/>
                </w:tcPr>
                <w:p w14:paraId="4192FDB2">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365" w:type="dxa"/>
                  <w:vAlign w:val="center"/>
                </w:tcPr>
                <w:p w14:paraId="74FF0844">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0.000002S</w:t>
                  </w:r>
                </w:p>
              </w:tc>
              <w:tc>
                <w:tcPr>
                  <w:tcW w:w="1171" w:type="dxa"/>
                  <w:vAlign w:val="center"/>
                </w:tcPr>
                <w:p w14:paraId="7902EC47">
                  <w:pPr>
                    <w:keepNext w:val="0"/>
                    <w:keepLines w:val="0"/>
                    <w:widowControl/>
                    <w:suppressLineNumbers w:val="0"/>
                    <w:spacing w:before="0" w:beforeAutospacing="0" w:after="0" w:afterAutospacing="0"/>
                    <w:ind w:left="0" w:right="0"/>
                    <w:jc w:val="center"/>
                    <w:textAlignment w:val="center"/>
                    <w:rPr>
                      <w:rFonts w:hint="default" w:eastAsia="宋体"/>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r>
            <w:tr w14:paraId="7698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88" w:type="dxa"/>
                  <w:vMerge w:val="continue"/>
                  <w:vAlign w:val="center"/>
                </w:tcPr>
                <w:p w14:paraId="14EC6BB9">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155" w:type="dxa"/>
                  <w:vMerge w:val="continue"/>
                  <w:vAlign w:val="center"/>
                </w:tcPr>
                <w:p w14:paraId="14859B90">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185" w:type="dxa"/>
                  <w:vMerge w:val="continue"/>
                  <w:vAlign w:val="center"/>
                </w:tcPr>
                <w:p w14:paraId="5918A1CC">
                  <w:pPr>
                    <w:pStyle w:val="40"/>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p>
              </w:tc>
              <w:tc>
                <w:tcPr>
                  <w:tcW w:w="1305" w:type="dxa"/>
                  <w:vAlign w:val="center"/>
                </w:tcPr>
                <w:p w14:paraId="7AF81CF2">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氮氧化物</w:t>
                  </w:r>
                </w:p>
              </w:tc>
              <w:tc>
                <w:tcPr>
                  <w:tcW w:w="1260" w:type="dxa"/>
                  <w:vMerge w:val="continue"/>
                  <w:vAlign w:val="center"/>
                </w:tcPr>
                <w:p w14:paraId="43BD60F8">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365" w:type="dxa"/>
                  <w:vAlign w:val="center"/>
                </w:tcPr>
                <w:p w14:paraId="23F92FBC">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0.00187</w:t>
                  </w:r>
                </w:p>
              </w:tc>
              <w:tc>
                <w:tcPr>
                  <w:tcW w:w="1171" w:type="dxa"/>
                  <w:vAlign w:val="center"/>
                </w:tcPr>
                <w:p w14:paraId="5CFA7A51">
                  <w:pPr>
                    <w:keepNext w:val="0"/>
                    <w:keepLines w:val="0"/>
                    <w:widowControl/>
                    <w:suppressLineNumbers w:val="0"/>
                    <w:spacing w:before="0" w:beforeAutospacing="0" w:after="0" w:afterAutospacing="0"/>
                    <w:ind w:left="0" w:right="0"/>
                    <w:jc w:val="center"/>
                    <w:textAlignment w:val="center"/>
                    <w:rPr>
                      <w:rFonts w:hint="default" w:eastAsia="宋体"/>
                      <w:color w:val="000000" w:themeColor="text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r>
          </w:tbl>
          <w:p w14:paraId="560400D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由于圆口工序天然气用量较小，且废气不易收集，故此工序废气无组织排放。</w:t>
            </w:r>
          </w:p>
          <w:p w14:paraId="40FCB2D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（5）</w:t>
            </w:r>
            <w:r>
              <w:rPr>
                <w:rFonts w:hint="eastAsia" w:ascii="宋体" w:hAnsi="宋体" w:cs="宋体"/>
                <w:b w:val="0"/>
                <w:bCs w:val="0"/>
                <w:color w:val="000000"/>
                <w:kern w:val="0"/>
                <w:sz w:val="24"/>
                <w:szCs w:val="24"/>
                <w:lang w:val="en-US" w:eastAsia="zh-CN" w:bidi="ar-SA"/>
              </w:rPr>
              <w:t>天然气燃烧废气</w:t>
            </w:r>
          </w:p>
          <w:p w14:paraId="7B24F5F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玻璃成型</w:t>
            </w:r>
            <w:r>
              <w:rPr>
                <w:rFonts w:hint="eastAsia" w:cs="Times New Roman"/>
                <w:color w:val="auto"/>
                <w:sz w:val="24"/>
                <w:szCs w:val="24"/>
                <w:u w:val="none" w:color="auto"/>
                <w:lang w:val="en-US" w:eastAsia="zh-CN"/>
              </w:rPr>
              <w:t>工段需要利用天然气燃烧玻璃液，从而实现“</w:t>
            </w:r>
            <w:r>
              <w:rPr>
                <w:rFonts w:hint="default" w:ascii="Times New Roman" w:hAnsi="Times New Roman" w:eastAsia="宋体" w:cs="Times New Roman"/>
                <w:color w:val="auto"/>
                <w:sz w:val="24"/>
                <w:szCs w:val="24"/>
                <w:u w:val="none" w:color="auto"/>
                <w:lang w:val="en-US" w:eastAsia="zh-CN"/>
              </w:rPr>
              <w:t>火焰抛光</w:t>
            </w:r>
            <w:r>
              <w:rPr>
                <w:rFonts w:hint="eastAsia"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的效果，</w:t>
            </w:r>
            <w:r>
              <w:rPr>
                <w:rFonts w:hint="eastAsia" w:cs="Times New Roman"/>
                <w:color w:val="auto"/>
                <w:sz w:val="24"/>
                <w:szCs w:val="24"/>
                <w:u w:val="none" w:color="auto"/>
                <w:lang w:val="en-US" w:eastAsia="zh-CN"/>
              </w:rPr>
              <w:t>在供料道上方的两侧或顶部，安装有天然气燃烧喷嘴。玻璃液经过天然气燃烧后</w:t>
            </w:r>
            <w:r>
              <w:rPr>
                <w:rFonts w:hint="default" w:ascii="Times New Roman" w:hAnsi="Times New Roman" w:eastAsia="宋体" w:cs="Times New Roman"/>
                <w:color w:val="auto"/>
                <w:sz w:val="24"/>
                <w:szCs w:val="24"/>
                <w:u w:val="none" w:color="auto"/>
                <w:lang w:val="en-US" w:eastAsia="zh-CN"/>
              </w:rPr>
              <w:t>能有效去除玻璃表面的微量氧化物，使玻璃表面更加光亮，修复微小的划痕，使产品晶莹剔透。</w:t>
            </w:r>
          </w:p>
          <w:p w14:paraId="7AA283B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outlineLvl w:val="9"/>
              <w:rPr>
                <w:rFonts w:hint="default" w:ascii="Times New Roman" w:hAnsi="Times New Roman" w:eastAsia="宋体" w:cs="Times New Roman"/>
                <w:b/>
                <w:bCs/>
                <w:color w:val="000000"/>
                <w:sz w:val="24"/>
                <w:lang w:val="zh-CN" w:eastAsia="zh-CN"/>
              </w:rPr>
            </w:pPr>
            <w:r>
              <w:rPr>
                <w:rFonts w:hint="eastAsia" w:cs="Times New Roman"/>
                <w:color w:val="000000"/>
                <w:sz w:val="24"/>
                <w:lang w:val="en-US" w:eastAsia="zh-CN"/>
              </w:rPr>
              <w:t>根据业主提供的资料，单条生产线成型工段天然气用量为50m</w:t>
            </w:r>
            <w:r>
              <w:rPr>
                <w:rFonts w:hint="eastAsia" w:cs="Times New Roman"/>
                <w:color w:val="000000"/>
                <w:sz w:val="24"/>
                <w:vertAlign w:val="superscript"/>
                <w:lang w:val="en-US" w:eastAsia="zh-CN"/>
              </w:rPr>
              <w:t>3</w:t>
            </w:r>
            <w:r>
              <w:rPr>
                <w:rFonts w:hint="eastAsia" w:cs="Times New Roman"/>
                <w:color w:val="000000"/>
                <w:sz w:val="24"/>
                <w:lang w:val="en-US" w:eastAsia="zh-CN"/>
              </w:rPr>
              <w:t>/d，厂内设置3个生产车间生产线工作时间分别为2#生产车间365d/a、1#生产车间350d/a、3#生产车间300d/a。则本项目天然气按照8.65万m</w:t>
            </w:r>
            <w:r>
              <w:rPr>
                <w:rFonts w:hint="eastAsia" w:cs="Times New Roman"/>
                <w:color w:val="000000"/>
                <w:sz w:val="24"/>
                <w:vertAlign w:val="superscript"/>
                <w:lang w:val="en-US" w:eastAsia="zh-CN"/>
              </w:rPr>
              <w:t>3</w:t>
            </w:r>
            <w:r>
              <w:rPr>
                <w:rFonts w:hint="eastAsia" w:cs="Times New Roman"/>
                <w:color w:val="000000"/>
                <w:sz w:val="24"/>
                <w:vertAlign w:val="baseline"/>
                <w:lang w:val="en-US" w:eastAsia="zh-CN"/>
              </w:rPr>
              <w:t>/a</w:t>
            </w:r>
            <w:r>
              <w:rPr>
                <w:rFonts w:hint="eastAsia" w:cs="Times New Roman"/>
                <w:color w:val="000000"/>
                <w:sz w:val="24"/>
                <w:lang w:val="en-US" w:eastAsia="zh-CN"/>
              </w:rPr>
              <w:t>计算。参照</w:t>
            </w:r>
            <w:r>
              <w:rPr>
                <w:rFonts w:hint="default" w:ascii="Times New Roman" w:hAnsi="Times New Roman" w:eastAsia="宋体" w:cs="Times New Roman"/>
                <w:color w:val="auto"/>
                <w:spacing w:val="-3"/>
                <w:kern w:val="2"/>
                <w:sz w:val="24"/>
                <w:szCs w:val="24"/>
              </w:rPr>
              <w:t>《排放源统计调查产排污核算方法和系数手册》</w:t>
            </w:r>
            <w:r>
              <w:rPr>
                <w:rFonts w:hint="default" w:ascii="Times New Roman" w:hAnsi="Times New Roman" w:eastAsia="宋体" w:cs="Times New Roman"/>
                <w:color w:val="auto"/>
                <w:spacing w:val="-3"/>
                <w:kern w:val="2"/>
                <w:sz w:val="24"/>
                <w:szCs w:val="24"/>
                <w:lang w:eastAsia="zh-CN"/>
              </w:rPr>
              <w:t>（</w:t>
            </w:r>
            <w:r>
              <w:rPr>
                <w:rFonts w:hint="default" w:ascii="Times New Roman" w:hAnsi="Times New Roman" w:eastAsia="宋体" w:cs="Times New Roman"/>
                <w:color w:val="auto"/>
                <w:spacing w:val="-3"/>
                <w:kern w:val="2"/>
                <w:sz w:val="24"/>
                <w:szCs w:val="24"/>
                <w:lang w:val="en-US" w:eastAsia="zh-CN"/>
              </w:rPr>
              <w:t>生态环境部2021年6月11日印发</w:t>
            </w:r>
            <w:r>
              <w:rPr>
                <w:rFonts w:hint="default" w:ascii="Times New Roman" w:hAnsi="Times New Roman" w:eastAsia="宋体" w:cs="Times New Roman"/>
                <w:color w:val="auto"/>
                <w:spacing w:val="-3"/>
                <w:kern w:val="2"/>
                <w:sz w:val="24"/>
                <w:szCs w:val="24"/>
                <w:lang w:eastAsia="zh-CN"/>
              </w:rPr>
              <w:t>）</w:t>
            </w:r>
            <w:r>
              <w:rPr>
                <w:rFonts w:hint="default" w:ascii="Times New Roman" w:hAnsi="Times New Roman" w:eastAsia="宋体" w:cs="Times New Roman"/>
                <w:color w:val="auto"/>
                <w:spacing w:val="-3"/>
                <w:kern w:val="2"/>
                <w:sz w:val="24"/>
                <w:szCs w:val="24"/>
              </w:rPr>
              <w:t>中33-37</w:t>
            </w:r>
            <w:r>
              <w:rPr>
                <w:rFonts w:hint="default" w:ascii="Times New Roman" w:hAnsi="Times New Roman" w:eastAsia="宋体" w:cs="Times New Roman"/>
                <w:color w:val="auto"/>
                <w:spacing w:val="-3"/>
                <w:kern w:val="2"/>
                <w:sz w:val="24"/>
                <w:szCs w:val="24"/>
                <w:lang w:eastAsia="zh-CN"/>
              </w:rPr>
              <w:t>，</w:t>
            </w:r>
            <w:r>
              <w:rPr>
                <w:rFonts w:hint="default" w:ascii="Times New Roman" w:hAnsi="Times New Roman" w:eastAsia="宋体" w:cs="Times New Roman"/>
                <w:color w:val="auto"/>
                <w:spacing w:val="-3"/>
                <w:kern w:val="2"/>
                <w:sz w:val="24"/>
                <w:szCs w:val="24"/>
              </w:rPr>
              <w:t>431-434机械行业系数手册</w:t>
            </w:r>
            <w:r>
              <w:rPr>
                <w:rFonts w:hint="eastAsia" w:cs="Times New Roman"/>
                <w:color w:val="auto"/>
                <w:spacing w:val="-3"/>
                <w:kern w:val="2"/>
                <w:sz w:val="24"/>
                <w:szCs w:val="24"/>
                <w:lang w:val="en-US" w:eastAsia="zh-CN"/>
              </w:rPr>
              <w:t>-</w:t>
            </w:r>
            <w:r>
              <w:rPr>
                <w:rFonts w:hint="default" w:ascii="Times New Roman" w:hAnsi="Times New Roman" w:eastAsia="宋体" w:cs="Times New Roman"/>
                <w:color w:val="auto"/>
                <w:spacing w:val="-3"/>
                <w:kern w:val="2"/>
                <w:sz w:val="24"/>
                <w:szCs w:val="24"/>
                <w:lang w:val="en-US" w:eastAsia="zh-CN"/>
              </w:rPr>
              <w:t>14涂装中</w:t>
            </w:r>
            <w:r>
              <w:rPr>
                <w:rFonts w:hint="eastAsia" w:ascii="Times New Roman" w:hAnsi="Times New Roman" w:eastAsia="宋体" w:cs="Times New Roman"/>
                <w:color w:val="auto"/>
                <w:kern w:val="2"/>
                <w:sz w:val="24"/>
                <w:szCs w:val="24"/>
                <w:lang w:val="en-US" w:eastAsia="zh-CN"/>
              </w:rPr>
              <w:t>天然气</w:t>
            </w:r>
            <w:r>
              <w:rPr>
                <w:rFonts w:hint="default" w:ascii="Times New Roman" w:hAnsi="Times New Roman" w:eastAsia="宋体" w:cs="Times New Roman"/>
                <w:color w:val="auto"/>
                <w:spacing w:val="-3"/>
                <w:kern w:val="2"/>
                <w:sz w:val="24"/>
                <w:szCs w:val="24"/>
                <w:lang w:val="en-US" w:eastAsia="zh-CN"/>
              </w:rPr>
              <w:t>工业炉窑产污系数</w:t>
            </w:r>
            <w:r>
              <w:rPr>
                <w:rFonts w:hint="default" w:ascii="Times New Roman" w:hAnsi="Times New Roman" w:eastAsia="宋体" w:cs="Times New Roman"/>
                <w:color w:val="auto"/>
                <w:kern w:val="2"/>
                <w:sz w:val="24"/>
                <w:szCs w:val="24"/>
                <w:lang w:val="en-US" w:eastAsia="zh-CN"/>
              </w:rPr>
              <w:t>，SO</w:t>
            </w:r>
            <w:r>
              <w:rPr>
                <w:rFonts w:hint="default" w:ascii="Times New Roman" w:hAnsi="Times New Roman" w:eastAsia="宋体" w:cs="Times New Roman"/>
                <w:color w:val="auto"/>
                <w:kern w:val="2"/>
                <w:sz w:val="24"/>
                <w:szCs w:val="24"/>
                <w:vertAlign w:val="subscript"/>
                <w:lang w:val="en-US" w:eastAsia="zh-CN"/>
              </w:rPr>
              <w:t>2</w:t>
            </w:r>
            <w:r>
              <w:rPr>
                <w:rFonts w:hint="default" w:ascii="Times New Roman" w:hAnsi="Times New Roman" w:eastAsia="宋体" w:cs="Times New Roman"/>
                <w:color w:val="auto"/>
                <w:kern w:val="2"/>
                <w:sz w:val="24"/>
                <w:szCs w:val="24"/>
                <w:lang w:val="en-US" w:eastAsia="zh-CN"/>
              </w:rPr>
              <w:t>产污系数0.000002Skg/m</w:t>
            </w:r>
            <w:r>
              <w:rPr>
                <w:rFonts w:hint="default" w:ascii="Times New Roman" w:hAnsi="Times New Roman" w:eastAsia="宋体" w:cs="Times New Roman"/>
                <w:color w:val="auto"/>
                <w:kern w:val="2"/>
                <w:sz w:val="24"/>
                <w:szCs w:val="24"/>
                <w:vertAlign w:val="superscript"/>
                <w:lang w:val="en-US" w:eastAsia="zh-CN"/>
              </w:rPr>
              <w:t>3</w:t>
            </w:r>
            <w:r>
              <w:rPr>
                <w:rFonts w:hint="default" w:ascii="Times New Roman" w:hAnsi="Times New Roman" w:eastAsia="宋体" w:cs="Times New Roman"/>
                <w:color w:val="auto"/>
                <w:kern w:val="2"/>
                <w:sz w:val="24"/>
                <w:szCs w:val="24"/>
                <w:lang w:val="en-US" w:eastAsia="zh-CN"/>
              </w:rPr>
              <w:t>原料（S=</w:t>
            </w:r>
            <w:r>
              <w:rPr>
                <w:rFonts w:hint="eastAsia" w:ascii="Times New Roman" w:hAnsi="Times New Roman" w:eastAsia="宋体" w:cs="Times New Roman"/>
                <w:color w:val="auto"/>
                <w:kern w:val="2"/>
                <w:sz w:val="24"/>
                <w:szCs w:val="24"/>
                <w:lang w:val="en-US" w:eastAsia="zh-CN"/>
              </w:rPr>
              <w:t>100</w:t>
            </w:r>
            <w:r>
              <w:rPr>
                <w:rFonts w:hint="default" w:ascii="Times New Roman" w:hAnsi="Times New Roman" w:eastAsia="宋体" w:cs="Times New Roman"/>
                <w:color w:val="auto"/>
                <w:kern w:val="2"/>
                <w:sz w:val="24"/>
                <w:szCs w:val="24"/>
                <w:lang w:val="en-US" w:eastAsia="zh-CN"/>
              </w:rPr>
              <w:t>）、NOx产污系数0.00</w:t>
            </w:r>
            <w:r>
              <w:rPr>
                <w:rFonts w:hint="eastAsia" w:ascii="Times New Roman" w:hAnsi="Times New Roman" w:eastAsia="宋体" w:cs="Times New Roman"/>
                <w:color w:val="auto"/>
                <w:kern w:val="2"/>
                <w:sz w:val="24"/>
                <w:szCs w:val="24"/>
                <w:lang w:val="en-US" w:eastAsia="zh-CN"/>
              </w:rPr>
              <w:t>187</w:t>
            </w:r>
            <w:r>
              <w:rPr>
                <w:rFonts w:hint="default" w:ascii="Times New Roman" w:hAnsi="Times New Roman" w:eastAsia="宋体" w:cs="Times New Roman"/>
                <w:color w:val="auto"/>
                <w:kern w:val="2"/>
                <w:sz w:val="24"/>
                <w:szCs w:val="24"/>
                <w:lang w:val="en-US" w:eastAsia="zh-CN"/>
              </w:rPr>
              <w:t>kg/m</w:t>
            </w:r>
            <w:r>
              <w:rPr>
                <w:rFonts w:hint="default" w:ascii="Times New Roman" w:hAnsi="Times New Roman" w:eastAsia="宋体" w:cs="Times New Roman"/>
                <w:color w:val="auto"/>
                <w:kern w:val="2"/>
                <w:sz w:val="24"/>
                <w:szCs w:val="24"/>
                <w:vertAlign w:val="superscript"/>
                <w:lang w:val="en-US" w:eastAsia="zh-CN"/>
              </w:rPr>
              <w:t>3</w:t>
            </w:r>
            <w:r>
              <w:rPr>
                <w:rFonts w:hint="default" w:ascii="Times New Roman" w:hAnsi="Times New Roman" w:eastAsia="宋体" w:cs="Times New Roman"/>
                <w:color w:val="auto"/>
                <w:kern w:val="2"/>
                <w:sz w:val="24"/>
                <w:szCs w:val="24"/>
                <w:lang w:val="en-US" w:eastAsia="zh-CN"/>
              </w:rPr>
              <w:t>原料、颗粒物产污系数0.000</w:t>
            </w:r>
            <w:r>
              <w:rPr>
                <w:rFonts w:hint="eastAsia" w:ascii="Times New Roman" w:hAnsi="Times New Roman" w:eastAsia="宋体" w:cs="Times New Roman"/>
                <w:color w:val="auto"/>
                <w:kern w:val="2"/>
                <w:sz w:val="24"/>
                <w:szCs w:val="24"/>
                <w:lang w:val="en-US" w:eastAsia="zh-CN"/>
              </w:rPr>
              <w:t>286</w:t>
            </w:r>
            <w:r>
              <w:rPr>
                <w:rFonts w:hint="default" w:ascii="Times New Roman" w:hAnsi="Times New Roman" w:eastAsia="宋体" w:cs="Times New Roman"/>
                <w:color w:val="auto"/>
                <w:kern w:val="2"/>
                <w:sz w:val="24"/>
                <w:szCs w:val="24"/>
                <w:lang w:val="en-US" w:eastAsia="zh-CN"/>
              </w:rPr>
              <w:t>kg/m</w:t>
            </w:r>
            <w:r>
              <w:rPr>
                <w:rFonts w:hint="default" w:ascii="Times New Roman" w:hAnsi="Times New Roman" w:eastAsia="宋体" w:cs="Times New Roman"/>
                <w:color w:val="auto"/>
                <w:kern w:val="2"/>
                <w:sz w:val="24"/>
                <w:szCs w:val="24"/>
                <w:vertAlign w:val="superscript"/>
                <w:lang w:val="en-US" w:eastAsia="zh-CN"/>
              </w:rPr>
              <w:t>3</w:t>
            </w:r>
            <w:r>
              <w:rPr>
                <w:rFonts w:hint="default" w:ascii="Times New Roman" w:hAnsi="Times New Roman" w:eastAsia="宋体" w:cs="Times New Roman"/>
                <w:color w:val="auto"/>
                <w:kern w:val="2"/>
                <w:sz w:val="24"/>
                <w:szCs w:val="24"/>
                <w:lang w:val="en-US" w:eastAsia="zh-CN"/>
              </w:rPr>
              <w:t>原料。</w:t>
            </w:r>
          </w:p>
          <w:p w14:paraId="5BBE3BD4">
            <w:pPr>
              <w:pStyle w:val="68"/>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left"/>
              <w:textAlignment w:val="auto"/>
              <w:rPr>
                <w:rFonts w:hint="eastAsia" w:cs="Times New Roman"/>
                <w:b w:val="0"/>
                <w:bCs w:val="0"/>
                <w:sz w:val="24"/>
                <w:szCs w:val="24"/>
                <w:lang w:val="en-US" w:eastAsia="zh-CN"/>
              </w:rPr>
            </w:pPr>
            <w:r>
              <w:rPr>
                <w:rFonts w:hint="eastAsia" w:cs="Times New Roman"/>
                <w:color w:val="000000"/>
                <w:kern w:val="0"/>
                <w:sz w:val="24"/>
                <w:szCs w:val="24"/>
                <w:lang w:val="en-US" w:eastAsia="zh-CN"/>
              </w:rPr>
              <w:t>每条生产线的天然气燃烧废气</w:t>
            </w:r>
            <w:r>
              <w:rPr>
                <w:rFonts w:hint="eastAsia" w:ascii="Times New Roman" w:hAnsi="Times New Roman" w:eastAsia="宋体" w:cs="Times New Roman"/>
                <w:b w:val="0"/>
                <w:bCs w:val="0"/>
                <w:sz w:val="24"/>
                <w:szCs w:val="24"/>
                <w:lang w:val="en-US" w:eastAsia="zh-CN"/>
              </w:rPr>
              <w:t>产生量</w:t>
            </w:r>
            <w:r>
              <w:rPr>
                <w:rFonts w:hint="eastAsia" w:cs="Times New Roman"/>
                <w:b w:val="0"/>
                <w:bCs w:val="0"/>
                <w:sz w:val="24"/>
                <w:szCs w:val="24"/>
                <w:lang w:val="en-US" w:eastAsia="zh-CN"/>
              </w:rPr>
              <w:t>见下</w:t>
            </w:r>
            <w:r>
              <w:rPr>
                <w:rFonts w:hint="eastAsia" w:ascii="Times New Roman" w:hAnsi="Times New Roman" w:eastAsia="宋体" w:cs="Times New Roman"/>
                <w:b w:val="0"/>
                <w:bCs w:val="0"/>
                <w:sz w:val="24"/>
                <w:szCs w:val="24"/>
                <w:lang w:val="en-US" w:eastAsia="zh-CN"/>
              </w:rPr>
              <w:t>表</w:t>
            </w:r>
            <w:r>
              <w:rPr>
                <w:rFonts w:hint="eastAsia" w:cs="Times New Roman"/>
                <w:b w:val="0"/>
                <w:bCs w:val="0"/>
                <w:sz w:val="24"/>
                <w:szCs w:val="24"/>
                <w:lang w:val="en-US" w:eastAsia="zh-CN"/>
              </w:rPr>
              <w:t>：</w:t>
            </w:r>
          </w:p>
          <w:p w14:paraId="7FC9C8C2">
            <w:pPr>
              <w:pStyle w:val="68"/>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w:t>
            </w:r>
            <w:r>
              <w:rPr>
                <w:rFonts w:hint="eastAsia" w:ascii="Times New Roman" w:hAnsi="Times New Roman" w:cs="Times New Roman"/>
                <w:b/>
                <w:bCs/>
                <w:sz w:val="24"/>
                <w:szCs w:val="24"/>
                <w:lang w:val="en-US" w:eastAsia="zh-CN"/>
              </w:rPr>
              <w:t>11</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cs="Times New Roman"/>
                <w:b/>
                <w:bCs/>
                <w:sz w:val="24"/>
                <w:szCs w:val="24"/>
                <w:lang w:val="en-US" w:eastAsia="zh-CN"/>
              </w:rPr>
              <w:t>有组织</w:t>
            </w:r>
            <w:r>
              <w:rPr>
                <w:rFonts w:hint="eastAsia" w:ascii="Times New Roman" w:hAnsi="Times New Roman" w:eastAsia="宋体" w:cs="Times New Roman"/>
                <w:b/>
                <w:bCs/>
                <w:sz w:val="24"/>
                <w:szCs w:val="24"/>
                <w:lang w:val="en-US" w:eastAsia="zh-CN"/>
              </w:rPr>
              <w:t>废气产生量汇总表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43"/>
              <w:gridCol w:w="708"/>
              <w:gridCol w:w="1311"/>
              <w:gridCol w:w="2085"/>
              <w:gridCol w:w="1180"/>
              <w:gridCol w:w="1248"/>
            </w:tblGrid>
            <w:tr w14:paraId="5C92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Align w:val="center"/>
                </w:tcPr>
                <w:p w14:paraId="332C3A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生产车间</w:t>
                  </w:r>
                </w:p>
              </w:tc>
              <w:tc>
                <w:tcPr>
                  <w:tcW w:w="460" w:type="pct"/>
                  <w:vAlign w:val="center"/>
                </w:tcPr>
                <w:p w14:paraId="2EE2E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生产线</w:t>
                  </w:r>
                </w:p>
              </w:tc>
              <w:tc>
                <w:tcPr>
                  <w:tcW w:w="438" w:type="pct"/>
                  <w:vAlign w:val="center"/>
                </w:tcPr>
                <w:p w14:paraId="183E5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工序</w:t>
                  </w:r>
                </w:p>
              </w:tc>
              <w:tc>
                <w:tcPr>
                  <w:tcW w:w="811" w:type="pct"/>
                  <w:vAlign w:val="center"/>
                </w:tcPr>
                <w:p w14:paraId="78EDEC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val="0"/>
                      <w:sz w:val="21"/>
                      <w:szCs w:val="21"/>
                      <w:lang w:eastAsia="zh-CN"/>
                    </w:rPr>
                  </w:pPr>
                  <w:r>
                    <w:rPr>
                      <w:rFonts w:hint="eastAsia" w:ascii="Times New Roman" w:hAnsi="Times New Roman" w:cs="Times New Roman"/>
                      <w:b/>
                      <w:bCs w:val="0"/>
                      <w:sz w:val="21"/>
                      <w:szCs w:val="21"/>
                      <w:lang w:val="en-US" w:eastAsia="zh-CN"/>
                    </w:rPr>
                    <w:t>污染物</w:t>
                  </w:r>
                </w:p>
              </w:tc>
              <w:tc>
                <w:tcPr>
                  <w:tcW w:w="1291" w:type="pct"/>
                  <w:vAlign w:val="center"/>
                </w:tcPr>
                <w:p w14:paraId="259EF9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产生系数</w:t>
                  </w:r>
                </w:p>
              </w:tc>
              <w:tc>
                <w:tcPr>
                  <w:tcW w:w="730" w:type="pct"/>
                  <w:vAlign w:val="center"/>
                </w:tcPr>
                <w:p w14:paraId="075EC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产品量/原料量</w:t>
                  </w:r>
                </w:p>
              </w:tc>
              <w:tc>
                <w:tcPr>
                  <w:tcW w:w="772" w:type="pct"/>
                  <w:vAlign w:val="center"/>
                </w:tcPr>
                <w:p w14:paraId="18ADF9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污染物</w:t>
                  </w:r>
                  <w:r>
                    <w:rPr>
                      <w:rFonts w:hint="eastAsia" w:ascii="Times New Roman" w:hAnsi="Times New Roman" w:cs="Times New Roman"/>
                      <w:b/>
                      <w:bCs w:val="0"/>
                      <w:sz w:val="21"/>
                      <w:szCs w:val="21"/>
                      <w:lang w:val="en-US" w:eastAsia="zh-CN"/>
                    </w:rPr>
                    <w:t>产生量t/a</w:t>
                  </w:r>
                </w:p>
              </w:tc>
            </w:tr>
            <w:tr w14:paraId="3E85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restart"/>
                  <w:vAlign w:val="center"/>
                </w:tcPr>
                <w:p w14:paraId="43C6F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2#生产车间</w:t>
                  </w:r>
                </w:p>
              </w:tc>
              <w:tc>
                <w:tcPr>
                  <w:tcW w:w="460" w:type="pct"/>
                  <w:vMerge w:val="restart"/>
                  <w:vAlign w:val="center"/>
                </w:tcPr>
                <w:p w14:paraId="6E1EE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1</w:t>
                  </w:r>
                  <w:r>
                    <w:rPr>
                      <w:rFonts w:hint="eastAsia" w:ascii="Times New Roman" w:hAnsi="Times New Roman" w:eastAsia="宋体" w:cs="宋体"/>
                      <w:spacing w:val="-3"/>
                      <w:sz w:val="21"/>
                      <w:szCs w:val="21"/>
                      <w:vertAlign w:val="baseline"/>
                      <w:lang w:val="en-US" w:eastAsia="zh-CN"/>
                    </w:rPr>
                    <w:t>#生产线</w:t>
                  </w:r>
                </w:p>
              </w:tc>
              <w:tc>
                <w:tcPr>
                  <w:tcW w:w="438" w:type="pct"/>
                  <w:vMerge w:val="restart"/>
                  <w:vAlign w:val="center"/>
                </w:tcPr>
                <w:p w14:paraId="2BE483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811" w:type="pct"/>
                  <w:vAlign w:val="center"/>
                </w:tcPr>
                <w:p w14:paraId="786CBFA9">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颗粒物</w:t>
                  </w:r>
                </w:p>
              </w:tc>
              <w:tc>
                <w:tcPr>
                  <w:tcW w:w="1291" w:type="pct"/>
                  <w:vAlign w:val="center"/>
                </w:tcPr>
                <w:p w14:paraId="3DEFA281">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30" w:type="pct"/>
                  <w:vMerge w:val="restart"/>
                  <w:vAlign w:val="center"/>
                </w:tcPr>
                <w:p w14:paraId="180B33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18250m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57A5E892">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0.005 </w:t>
                  </w:r>
                </w:p>
              </w:tc>
            </w:tr>
            <w:tr w14:paraId="63FE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2968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60" w:type="pct"/>
                  <w:vMerge w:val="continue"/>
                  <w:vAlign w:val="center"/>
                </w:tcPr>
                <w:p w14:paraId="673E6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38" w:type="pct"/>
                  <w:vMerge w:val="continue"/>
                  <w:vAlign w:val="center"/>
                </w:tcPr>
                <w:p w14:paraId="2D7909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811" w:type="pct"/>
                  <w:vAlign w:val="center"/>
                </w:tcPr>
                <w:p w14:paraId="7B038F30">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二氧化硫</w:t>
                  </w:r>
                </w:p>
              </w:tc>
              <w:tc>
                <w:tcPr>
                  <w:tcW w:w="1291" w:type="pct"/>
                  <w:vAlign w:val="center"/>
                </w:tcPr>
                <w:p w14:paraId="5150027C">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30" w:type="pct"/>
                  <w:vMerge w:val="continue"/>
                  <w:vAlign w:val="center"/>
                </w:tcPr>
                <w:p w14:paraId="247687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1CA7DBDB">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0.004 </w:t>
                  </w:r>
                </w:p>
              </w:tc>
            </w:tr>
            <w:tr w14:paraId="440A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F2089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60" w:type="pct"/>
                  <w:vMerge w:val="continue"/>
                  <w:vAlign w:val="center"/>
                </w:tcPr>
                <w:p w14:paraId="405098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38" w:type="pct"/>
                  <w:vMerge w:val="continue"/>
                  <w:vAlign w:val="center"/>
                </w:tcPr>
                <w:p w14:paraId="10A69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811" w:type="pct"/>
                  <w:vAlign w:val="center"/>
                </w:tcPr>
                <w:p w14:paraId="10240BC8">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氮氧化物</w:t>
                  </w:r>
                </w:p>
              </w:tc>
              <w:tc>
                <w:tcPr>
                  <w:tcW w:w="1291" w:type="pct"/>
                  <w:vAlign w:val="center"/>
                </w:tcPr>
                <w:p w14:paraId="1F2C3757">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30" w:type="pct"/>
                  <w:vMerge w:val="continue"/>
                  <w:vAlign w:val="center"/>
                </w:tcPr>
                <w:p w14:paraId="1E55E6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7A9E0E4C">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0.034 </w:t>
                  </w:r>
                </w:p>
              </w:tc>
            </w:tr>
            <w:tr w14:paraId="39EA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58F72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restart"/>
                  <w:vAlign w:val="center"/>
                </w:tcPr>
                <w:p w14:paraId="50F00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ascii="Times New Roman" w:hAnsi="Times New Roman" w:eastAsia="宋体" w:cs="宋体"/>
                      <w:spacing w:val="-3"/>
                      <w:sz w:val="21"/>
                      <w:szCs w:val="21"/>
                      <w:vertAlign w:val="baseline"/>
                      <w:lang w:val="en-US" w:eastAsia="zh-CN"/>
                    </w:rPr>
                    <w:t>2#生产线</w:t>
                  </w:r>
                </w:p>
              </w:tc>
              <w:tc>
                <w:tcPr>
                  <w:tcW w:w="438" w:type="pct"/>
                  <w:vMerge w:val="restart"/>
                  <w:vAlign w:val="center"/>
                </w:tcPr>
                <w:p w14:paraId="21603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811" w:type="pct"/>
                  <w:vAlign w:val="center"/>
                </w:tcPr>
                <w:p w14:paraId="037BF35F">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91" w:type="pct"/>
                  <w:vAlign w:val="center"/>
                </w:tcPr>
                <w:p w14:paraId="77CE82D5">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30" w:type="pct"/>
                  <w:vMerge w:val="restart"/>
                  <w:vAlign w:val="center"/>
                </w:tcPr>
                <w:p w14:paraId="5612AD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18250m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31CF3F4B">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0.005 </w:t>
                  </w:r>
                </w:p>
              </w:tc>
            </w:tr>
            <w:tr w14:paraId="44C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00B8E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44F38F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38" w:type="pct"/>
                  <w:vMerge w:val="continue"/>
                  <w:vAlign w:val="center"/>
                </w:tcPr>
                <w:p w14:paraId="0F670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811" w:type="pct"/>
                  <w:vAlign w:val="center"/>
                </w:tcPr>
                <w:p w14:paraId="6D5140DE">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二氧化硫</w:t>
                  </w:r>
                </w:p>
              </w:tc>
              <w:tc>
                <w:tcPr>
                  <w:tcW w:w="1291" w:type="pct"/>
                  <w:vAlign w:val="center"/>
                </w:tcPr>
                <w:p w14:paraId="3CC8A0D4">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30" w:type="pct"/>
                  <w:vMerge w:val="continue"/>
                  <w:vAlign w:val="center"/>
                </w:tcPr>
                <w:p w14:paraId="4926C7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604BEC69">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0.004 </w:t>
                  </w:r>
                </w:p>
              </w:tc>
            </w:tr>
            <w:tr w14:paraId="74B0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7350F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385AF2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p>
              </w:tc>
              <w:tc>
                <w:tcPr>
                  <w:tcW w:w="438" w:type="pct"/>
                  <w:vMerge w:val="continue"/>
                  <w:vAlign w:val="center"/>
                </w:tcPr>
                <w:p w14:paraId="2770D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p>
              </w:tc>
              <w:tc>
                <w:tcPr>
                  <w:tcW w:w="811" w:type="pct"/>
                  <w:vAlign w:val="center"/>
                </w:tcPr>
                <w:p w14:paraId="7DC77E7F">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氮氧化物</w:t>
                  </w:r>
                </w:p>
              </w:tc>
              <w:tc>
                <w:tcPr>
                  <w:tcW w:w="1291" w:type="pct"/>
                  <w:vAlign w:val="center"/>
                </w:tcPr>
                <w:p w14:paraId="3C64BC60">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30" w:type="pct"/>
                  <w:vMerge w:val="continue"/>
                  <w:vAlign w:val="center"/>
                </w:tcPr>
                <w:p w14:paraId="53F33E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7FEC4D65">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0.034 </w:t>
                  </w:r>
                </w:p>
              </w:tc>
            </w:tr>
            <w:tr w14:paraId="1482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restart"/>
                  <w:vAlign w:val="center"/>
                </w:tcPr>
                <w:p w14:paraId="55055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s="宋体"/>
                      <w:spacing w:val="-3"/>
                      <w:sz w:val="21"/>
                      <w:szCs w:val="21"/>
                      <w:vertAlign w:val="baseline"/>
                      <w:lang w:val="en-US" w:eastAsia="zh-CN"/>
                    </w:rPr>
                    <w:t>1#生产车间</w:t>
                  </w:r>
                </w:p>
              </w:tc>
              <w:tc>
                <w:tcPr>
                  <w:tcW w:w="460" w:type="pct"/>
                  <w:vMerge w:val="restart"/>
                  <w:vAlign w:val="center"/>
                </w:tcPr>
                <w:p w14:paraId="302D4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rPr>
                  </w:pP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#生产线</w:t>
                  </w:r>
                </w:p>
              </w:tc>
              <w:tc>
                <w:tcPr>
                  <w:tcW w:w="438" w:type="pct"/>
                  <w:vMerge w:val="restart"/>
                  <w:vAlign w:val="center"/>
                </w:tcPr>
                <w:p w14:paraId="7DD02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811" w:type="pct"/>
                  <w:vAlign w:val="center"/>
                </w:tcPr>
                <w:p w14:paraId="05103CB7">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91" w:type="pct"/>
                  <w:vAlign w:val="center"/>
                </w:tcPr>
                <w:p w14:paraId="1D36F979">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30" w:type="pct"/>
                  <w:vMerge w:val="restart"/>
                  <w:vAlign w:val="center"/>
                </w:tcPr>
                <w:p w14:paraId="2F0C6A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17500m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0795EC88">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0.005 </w:t>
                  </w:r>
                </w:p>
              </w:tc>
            </w:tr>
            <w:tr w14:paraId="118E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0FCC7F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626A2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38" w:type="pct"/>
                  <w:vMerge w:val="continue"/>
                  <w:vAlign w:val="center"/>
                </w:tcPr>
                <w:p w14:paraId="7397CA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p>
              </w:tc>
              <w:tc>
                <w:tcPr>
                  <w:tcW w:w="811" w:type="pct"/>
                  <w:vAlign w:val="center"/>
                </w:tcPr>
                <w:p w14:paraId="36AB0377">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二氧化硫</w:t>
                  </w:r>
                </w:p>
              </w:tc>
              <w:tc>
                <w:tcPr>
                  <w:tcW w:w="1291" w:type="pct"/>
                  <w:vAlign w:val="center"/>
                </w:tcPr>
                <w:p w14:paraId="4FF82FEC">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30" w:type="pct"/>
                  <w:vMerge w:val="continue"/>
                  <w:vAlign w:val="center"/>
                </w:tcPr>
                <w:p w14:paraId="61D11FB0">
                  <w:pPr>
                    <w:keepNext w:val="0"/>
                    <w:keepLines w:val="0"/>
                    <w:widowControl/>
                    <w:suppressLineNumbers w:val="0"/>
                    <w:spacing w:before="0" w:beforeAutospacing="0" w:after="0" w:afterAutospacing="0"/>
                    <w:ind w:left="0" w:right="0"/>
                    <w:jc w:val="center"/>
                    <w:textAlignment w:val="center"/>
                    <w:rPr>
                      <w:rFonts w:hint="eastAsia" w:cs="Times New Roman"/>
                      <w:b w:val="0"/>
                      <w:bCs w:val="0"/>
                      <w:i w:val="0"/>
                      <w:iCs w:val="0"/>
                      <w:color w:val="000000"/>
                      <w:kern w:val="0"/>
                      <w:sz w:val="21"/>
                      <w:szCs w:val="21"/>
                      <w:u w:val="none"/>
                      <w:lang w:val="en-US" w:eastAsia="zh-CN" w:bidi="ar"/>
                    </w:rPr>
                  </w:pPr>
                </w:p>
              </w:tc>
              <w:tc>
                <w:tcPr>
                  <w:tcW w:w="1248" w:type="dxa"/>
                  <w:vAlign w:val="center"/>
                </w:tcPr>
                <w:p w14:paraId="2249F2F9">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0.004 </w:t>
                  </w:r>
                </w:p>
              </w:tc>
            </w:tr>
            <w:tr w14:paraId="3FB3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9924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30589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38" w:type="pct"/>
                  <w:vMerge w:val="continue"/>
                  <w:vAlign w:val="center"/>
                </w:tcPr>
                <w:p w14:paraId="1792D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p>
              </w:tc>
              <w:tc>
                <w:tcPr>
                  <w:tcW w:w="811" w:type="pct"/>
                  <w:vAlign w:val="center"/>
                </w:tcPr>
                <w:p w14:paraId="1A946253">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氮氧化物</w:t>
                  </w:r>
                </w:p>
              </w:tc>
              <w:tc>
                <w:tcPr>
                  <w:tcW w:w="1291" w:type="pct"/>
                  <w:vAlign w:val="center"/>
                </w:tcPr>
                <w:p w14:paraId="524A1E94">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30" w:type="pct"/>
                  <w:vMerge w:val="continue"/>
                  <w:vAlign w:val="center"/>
                </w:tcPr>
                <w:p w14:paraId="1E096C78">
                  <w:pPr>
                    <w:keepNext w:val="0"/>
                    <w:keepLines w:val="0"/>
                    <w:widowControl/>
                    <w:suppressLineNumbers w:val="0"/>
                    <w:spacing w:before="0" w:beforeAutospacing="0" w:after="0" w:afterAutospacing="0"/>
                    <w:ind w:left="0" w:right="0"/>
                    <w:jc w:val="center"/>
                    <w:textAlignment w:val="center"/>
                    <w:rPr>
                      <w:rFonts w:hint="eastAsia" w:cs="Times New Roman"/>
                      <w:b w:val="0"/>
                      <w:bCs w:val="0"/>
                      <w:i w:val="0"/>
                      <w:iCs w:val="0"/>
                      <w:color w:val="000000"/>
                      <w:kern w:val="0"/>
                      <w:sz w:val="21"/>
                      <w:szCs w:val="21"/>
                      <w:u w:val="none"/>
                      <w:lang w:val="en-US" w:eastAsia="zh-CN" w:bidi="ar"/>
                    </w:rPr>
                  </w:pPr>
                </w:p>
              </w:tc>
              <w:tc>
                <w:tcPr>
                  <w:tcW w:w="1248" w:type="dxa"/>
                  <w:vAlign w:val="center"/>
                </w:tcPr>
                <w:p w14:paraId="2CAC63AD">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0.033 </w:t>
                  </w:r>
                </w:p>
              </w:tc>
            </w:tr>
            <w:tr w14:paraId="7F7A3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32C642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restart"/>
                  <w:vAlign w:val="center"/>
                </w:tcPr>
                <w:p w14:paraId="0D41C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s="宋体"/>
                      <w:spacing w:val="-3"/>
                      <w:sz w:val="21"/>
                      <w:szCs w:val="21"/>
                      <w:vertAlign w:val="baseline"/>
                      <w:lang w:val="en-US" w:eastAsia="zh-CN"/>
                    </w:rPr>
                    <w:t>4</w:t>
                  </w:r>
                  <w:r>
                    <w:rPr>
                      <w:rFonts w:hint="eastAsia" w:ascii="Times New Roman" w:hAnsi="Times New Roman" w:eastAsia="宋体" w:cs="宋体"/>
                      <w:spacing w:val="-3"/>
                      <w:sz w:val="21"/>
                      <w:szCs w:val="21"/>
                      <w:vertAlign w:val="baseline"/>
                      <w:lang w:val="en-US" w:eastAsia="zh-CN"/>
                    </w:rPr>
                    <w:t>#生产线</w:t>
                  </w:r>
                </w:p>
              </w:tc>
              <w:tc>
                <w:tcPr>
                  <w:tcW w:w="438" w:type="pct"/>
                  <w:vMerge w:val="restart"/>
                  <w:vAlign w:val="center"/>
                </w:tcPr>
                <w:p w14:paraId="75DED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811" w:type="pct"/>
                  <w:vAlign w:val="center"/>
                </w:tcPr>
                <w:p w14:paraId="2BEA0C1D">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91" w:type="pct"/>
                  <w:vAlign w:val="center"/>
                </w:tcPr>
                <w:p w14:paraId="4B1B22DF">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30" w:type="pct"/>
                  <w:vMerge w:val="restart"/>
                  <w:vAlign w:val="center"/>
                </w:tcPr>
                <w:p w14:paraId="069E54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17500m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5F8EE398">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0.005 </w:t>
                  </w:r>
                </w:p>
              </w:tc>
            </w:tr>
            <w:tr w14:paraId="0F5F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7CD82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5B4E3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38" w:type="pct"/>
                  <w:vMerge w:val="continue"/>
                  <w:vAlign w:val="center"/>
                </w:tcPr>
                <w:p w14:paraId="326AF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811" w:type="pct"/>
                  <w:vAlign w:val="center"/>
                </w:tcPr>
                <w:p w14:paraId="0B18106B">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二氧化硫</w:t>
                  </w:r>
                </w:p>
              </w:tc>
              <w:tc>
                <w:tcPr>
                  <w:tcW w:w="1291" w:type="pct"/>
                  <w:vAlign w:val="center"/>
                </w:tcPr>
                <w:p w14:paraId="282AE3A9">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30" w:type="pct"/>
                  <w:vMerge w:val="continue"/>
                  <w:vAlign w:val="center"/>
                </w:tcPr>
                <w:p w14:paraId="13DB3C5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3EB5570D">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0.004 </w:t>
                  </w:r>
                </w:p>
              </w:tc>
            </w:tr>
            <w:tr w14:paraId="4B27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57CD1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3CE4D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38" w:type="pct"/>
                  <w:vMerge w:val="continue"/>
                  <w:vAlign w:val="center"/>
                </w:tcPr>
                <w:p w14:paraId="78A1DA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811" w:type="pct"/>
                  <w:vAlign w:val="center"/>
                </w:tcPr>
                <w:p w14:paraId="0F8CA9C9">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氮氧化物</w:t>
                  </w:r>
                </w:p>
              </w:tc>
              <w:tc>
                <w:tcPr>
                  <w:tcW w:w="1291" w:type="pct"/>
                  <w:vAlign w:val="center"/>
                </w:tcPr>
                <w:p w14:paraId="45A615AB">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30" w:type="pct"/>
                  <w:vMerge w:val="continue"/>
                  <w:vAlign w:val="center"/>
                </w:tcPr>
                <w:p w14:paraId="728AD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7D3CB66C">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0.033 </w:t>
                  </w:r>
                </w:p>
              </w:tc>
            </w:tr>
            <w:tr w14:paraId="0EDE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restart"/>
                  <w:vAlign w:val="center"/>
                </w:tcPr>
                <w:p w14:paraId="731C9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s="宋体"/>
                      <w:spacing w:val="-3"/>
                      <w:sz w:val="21"/>
                      <w:szCs w:val="21"/>
                      <w:vertAlign w:val="baseline"/>
                      <w:lang w:val="en-US" w:eastAsia="zh-CN"/>
                    </w:rPr>
                    <w:t>3#生产车间</w:t>
                  </w:r>
                </w:p>
              </w:tc>
              <w:tc>
                <w:tcPr>
                  <w:tcW w:w="460" w:type="pct"/>
                  <w:vMerge w:val="restart"/>
                  <w:vAlign w:val="center"/>
                </w:tcPr>
                <w:p w14:paraId="69A42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s="宋体"/>
                      <w:spacing w:val="-3"/>
                      <w:sz w:val="21"/>
                      <w:szCs w:val="21"/>
                      <w:vertAlign w:val="baseline"/>
                      <w:lang w:val="en-US" w:eastAsia="zh-CN"/>
                    </w:rPr>
                    <w:t>5</w:t>
                  </w:r>
                  <w:r>
                    <w:rPr>
                      <w:rFonts w:hint="eastAsia" w:ascii="Times New Roman" w:hAnsi="Times New Roman" w:eastAsia="宋体" w:cs="宋体"/>
                      <w:spacing w:val="-3"/>
                      <w:sz w:val="21"/>
                      <w:szCs w:val="21"/>
                      <w:vertAlign w:val="baseline"/>
                      <w:lang w:val="en-US" w:eastAsia="zh-CN"/>
                    </w:rPr>
                    <w:t>#生产线</w:t>
                  </w:r>
                </w:p>
              </w:tc>
              <w:tc>
                <w:tcPr>
                  <w:tcW w:w="438" w:type="pct"/>
                  <w:vMerge w:val="restart"/>
                  <w:vAlign w:val="center"/>
                </w:tcPr>
                <w:p w14:paraId="5B84D9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811" w:type="pct"/>
                  <w:vAlign w:val="center"/>
                </w:tcPr>
                <w:p w14:paraId="36687039">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91" w:type="pct"/>
                  <w:vAlign w:val="center"/>
                </w:tcPr>
                <w:p w14:paraId="56BBA4B9">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30" w:type="pct"/>
                  <w:vMerge w:val="restart"/>
                  <w:vAlign w:val="center"/>
                </w:tcPr>
                <w:p w14:paraId="4622D3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15000m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5E75EB90">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0.004 </w:t>
                  </w:r>
                </w:p>
              </w:tc>
            </w:tr>
            <w:tr w14:paraId="1C4A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2858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7D573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38" w:type="pct"/>
                  <w:vMerge w:val="continue"/>
                  <w:vAlign w:val="center"/>
                </w:tcPr>
                <w:p w14:paraId="613779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811" w:type="pct"/>
                  <w:vAlign w:val="center"/>
                </w:tcPr>
                <w:p w14:paraId="535B761D">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二氧化硫</w:t>
                  </w:r>
                </w:p>
              </w:tc>
              <w:tc>
                <w:tcPr>
                  <w:tcW w:w="1291" w:type="pct"/>
                  <w:vAlign w:val="center"/>
                </w:tcPr>
                <w:p w14:paraId="22EA318C">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30" w:type="pct"/>
                  <w:vMerge w:val="continue"/>
                  <w:vAlign w:val="center"/>
                </w:tcPr>
                <w:p w14:paraId="218B0C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491DFA33">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0.003 </w:t>
                  </w:r>
                </w:p>
              </w:tc>
            </w:tr>
            <w:tr w14:paraId="24E1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069963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48F99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38" w:type="pct"/>
                  <w:vMerge w:val="continue"/>
                  <w:vAlign w:val="center"/>
                </w:tcPr>
                <w:p w14:paraId="060D6B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811" w:type="pct"/>
                  <w:vAlign w:val="center"/>
                </w:tcPr>
                <w:p w14:paraId="1682A0ED">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氮氧化物</w:t>
                  </w:r>
                </w:p>
              </w:tc>
              <w:tc>
                <w:tcPr>
                  <w:tcW w:w="1291" w:type="pct"/>
                  <w:vAlign w:val="center"/>
                </w:tcPr>
                <w:p w14:paraId="59269EE6">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30" w:type="pct"/>
                  <w:vMerge w:val="continue"/>
                  <w:vAlign w:val="center"/>
                </w:tcPr>
                <w:p w14:paraId="25AA0F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3C855138">
                  <w:pPr>
                    <w:pStyle w:val="40"/>
                    <w:keepNext w:val="0"/>
                    <w:keepLines w:val="0"/>
                    <w:suppressLineNumbers w:val="0"/>
                    <w:spacing w:before="0" w:beforeAutospacing="0" w:after="0" w:afterAutospacing="0"/>
                    <w:ind w:left="0" w:right="0" w:firstLine="0" w:firstLineChars="0"/>
                    <w:rPr>
                      <w:rFonts w:hint="default"/>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 xml:space="preserve">0.028 </w:t>
                  </w:r>
                </w:p>
              </w:tc>
            </w:tr>
          </w:tbl>
          <w:p w14:paraId="6653444F">
            <w:pPr>
              <w:pStyle w:val="68"/>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w:t>
            </w:r>
            <w:r>
              <w:rPr>
                <w:rFonts w:hint="eastAsia" w:ascii="Times New Roman" w:hAnsi="Times New Roman" w:cs="Times New Roman"/>
                <w:b/>
                <w:bCs/>
                <w:sz w:val="24"/>
                <w:szCs w:val="24"/>
                <w:lang w:val="en-US" w:eastAsia="zh-CN"/>
              </w:rPr>
              <w:t>12</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cs="Times New Roman"/>
                <w:b/>
                <w:bCs/>
                <w:sz w:val="24"/>
                <w:szCs w:val="24"/>
                <w:lang w:val="en-US" w:eastAsia="zh-CN"/>
              </w:rPr>
              <w:t>有组织</w:t>
            </w:r>
            <w:r>
              <w:rPr>
                <w:rFonts w:hint="eastAsia" w:ascii="Times New Roman" w:hAnsi="Times New Roman" w:eastAsia="宋体" w:cs="Times New Roman"/>
                <w:b/>
                <w:bCs/>
                <w:sz w:val="24"/>
                <w:szCs w:val="24"/>
                <w:lang w:val="en-US" w:eastAsia="zh-CN"/>
              </w:rPr>
              <w:t>废气产生量汇总表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743"/>
              <w:gridCol w:w="1099"/>
              <w:gridCol w:w="920"/>
              <w:gridCol w:w="2005"/>
              <w:gridCol w:w="1260"/>
              <w:gridCol w:w="1248"/>
            </w:tblGrid>
            <w:tr w14:paraId="2450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5" w:type="pct"/>
                  <w:vAlign w:val="center"/>
                </w:tcPr>
                <w:p w14:paraId="452FFB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生产车间</w:t>
                  </w:r>
                </w:p>
              </w:tc>
              <w:tc>
                <w:tcPr>
                  <w:tcW w:w="460" w:type="pct"/>
                  <w:vAlign w:val="center"/>
                </w:tcPr>
                <w:p w14:paraId="238CF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生产线</w:t>
                  </w:r>
                </w:p>
              </w:tc>
              <w:tc>
                <w:tcPr>
                  <w:tcW w:w="680" w:type="pct"/>
                  <w:vAlign w:val="center"/>
                </w:tcPr>
                <w:p w14:paraId="1B25E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工序</w:t>
                  </w:r>
                </w:p>
              </w:tc>
              <w:tc>
                <w:tcPr>
                  <w:tcW w:w="569" w:type="pct"/>
                  <w:vAlign w:val="center"/>
                </w:tcPr>
                <w:p w14:paraId="7AEBE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val="0"/>
                      <w:sz w:val="21"/>
                      <w:szCs w:val="21"/>
                      <w:lang w:eastAsia="zh-CN"/>
                    </w:rPr>
                  </w:pPr>
                  <w:r>
                    <w:rPr>
                      <w:rFonts w:hint="eastAsia" w:ascii="Times New Roman" w:hAnsi="Times New Roman" w:cs="Times New Roman"/>
                      <w:b/>
                      <w:bCs w:val="0"/>
                      <w:sz w:val="21"/>
                      <w:szCs w:val="21"/>
                      <w:lang w:val="en-US" w:eastAsia="zh-CN"/>
                    </w:rPr>
                    <w:t>污染物</w:t>
                  </w:r>
                </w:p>
              </w:tc>
              <w:tc>
                <w:tcPr>
                  <w:tcW w:w="1241" w:type="pct"/>
                  <w:vAlign w:val="center"/>
                </w:tcPr>
                <w:p w14:paraId="3C665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产生系数</w:t>
                  </w:r>
                </w:p>
              </w:tc>
              <w:tc>
                <w:tcPr>
                  <w:tcW w:w="780" w:type="pct"/>
                  <w:vAlign w:val="center"/>
                </w:tcPr>
                <w:p w14:paraId="3A59D8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产品量/原料量</w:t>
                  </w:r>
                </w:p>
              </w:tc>
              <w:tc>
                <w:tcPr>
                  <w:tcW w:w="772" w:type="pct"/>
                  <w:vAlign w:val="center"/>
                </w:tcPr>
                <w:p w14:paraId="1149B3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cs="Times New Roman"/>
                      <w:b/>
                      <w:bCs w:val="0"/>
                      <w:sz w:val="21"/>
                      <w:szCs w:val="21"/>
                      <w:lang w:val="en-US" w:eastAsia="zh-CN"/>
                    </w:rPr>
                    <w:t>污染物</w:t>
                  </w:r>
                  <w:r>
                    <w:rPr>
                      <w:rFonts w:hint="eastAsia" w:ascii="Times New Roman" w:hAnsi="Times New Roman" w:cs="Times New Roman"/>
                      <w:b/>
                      <w:bCs w:val="0"/>
                      <w:sz w:val="21"/>
                      <w:szCs w:val="21"/>
                      <w:lang w:val="en-US" w:eastAsia="zh-CN"/>
                    </w:rPr>
                    <w:t>产生量t/a</w:t>
                  </w:r>
                </w:p>
              </w:tc>
            </w:tr>
            <w:tr w14:paraId="4F1D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restart"/>
                  <w:vAlign w:val="center"/>
                </w:tcPr>
                <w:p w14:paraId="62C5BB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2#生产车间</w:t>
                  </w:r>
                </w:p>
              </w:tc>
              <w:tc>
                <w:tcPr>
                  <w:tcW w:w="460" w:type="pct"/>
                  <w:vMerge w:val="restart"/>
                  <w:vAlign w:val="center"/>
                </w:tcPr>
                <w:p w14:paraId="3002E7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1#生产线</w:t>
                  </w:r>
                </w:p>
              </w:tc>
              <w:tc>
                <w:tcPr>
                  <w:tcW w:w="680" w:type="pct"/>
                  <w:vAlign w:val="center"/>
                </w:tcPr>
                <w:p w14:paraId="52D7C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布料</w:t>
                  </w:r>
                </w:p>
              </w:tc>
              <w:tc>
                <w:tcPr>
                  <w:tcW w:w="569" w:type="pct"/>
                  <w:vMerge w:val="restart"/>
                  <w:vAlign w:val="center"/>
                </w:tcPr>
                <w:p w14:paraId="179F4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颗粒物</w:t>
                  </w:r>
                </w:p>
              </w:tc>
              <w:tc>
                <w:tcPr>
                  <w:tcW w:w="1241" w:type="pct"/>
                  <w:vAlign w:val="center"/>
                </w:tcPr>
                <w:p w14:paraId="1DF835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780" w:type="pct"/>
                  <w:vAlign w:val="center"/>
                </w:tcPr>
                <w:p w14:paraId="3D4D47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pacing w:val="-3"/>
                      <w:sz w:val="21"/>
                      <w:szCs w:val="21"/>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10950</w:t>
                  </w:r>
                  <w:r>
                    <w:rPr>
                      <w:rFonts w:hint="eastAsia" w:ascii="Times New Roman" w:hAnsi="Times New Roman" w:cs="Times New Roman"/>
                      <w:b w:val="0"/>
                      <w:bCs w:val="0"/>
                      <w:sz w:val="21"/>
                      <w:szCs w:val="21"/>
                      <w:lang w:val="en-US" w:eastAsia="zh-CN"/>
                    </w:rPr>
                    <w:t>t/a</w:t>
                  </w:r>
                </w:p>
              </w:tc>
              <w:tc>
                <w:tcPr>
                  <w:tcW w:w="1248" w:type="dxa"/>
                  <w:vAlign w:val="center"/>
                </w:tcPr>
                <w:p w14:paraId="2DA647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0.3285</w:t>
                  </w:r>
                </w:p>
              </w:tc>
            </w:tr>
            <w:tr w14:paraId="3437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5D78A3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60" w:type="pct"/>
                  <w:vMerge w:val="continue"/>
                  <w:vAlign w:val="center"/>
                </w:tcPr>
                <w:p w14:paraId="027B6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680" w:type="pct"/>
                  <w:vAlign w:val="center"/>
                </w:tcPr>
                <w:p w14:paraId="69FA1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569" w:type="pct"/>
                  <w:vMerge w:val="continue"/>
                  <w:vAlign w:val="center"/>
                </w:tcPr>
                <w:p w14:paraId="270C5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p>
              </w:tc>
              <w:tc>
                <w:tcPr>
                  <w:tcW w:w="1241" w:type="pct"/>
                  <w:vAlign w:val="center"/>
                </w:tcPr>
                <w:p w14:paraId="6B00F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80" w:type="pct"/>
                  <w:vAlign w:val="center"/>
                </w:tcPr>
                <w:p w14:paraId="009CA7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pacing w:val="-3"/>
                      <w:sz w:val="21"/>
                      <w:szCs w:val="21"/>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10950</w:t>
                  </w:r>
                  <w:r>
                    <w:rPr>
                      <w:rFonts w:hint="eastAsia" w:ascii="Times New Roman" w:hAnsi="Times New Roman" w:cs="Times New Roman"/>
                      <w:b w:val="0"/>
                      <w:bCs w:val="0"/>
                      <w:sz w:val="21"/>
                      <w:szCs w:val="21"/>
                      <w:lang w:val="en-US" w:eastAsia="zh-CN"/>
                    </w:rPr>
                    <w:t>t/a</w:t>
                  </w:r>
                </w:p>
              </w:tc>
              <w:tc>
                <w:tcPr>
                  <w:tcW w:w="1248" w:type="dxa"/>
                  <w:vAlign w:val="center"/>
                </w:tcPr>
                <w:p w14:paraId="3E3694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2.628</w:t>
                  </w:r>
                </w:p>
              </w:tc>
            </w:tr>
            <w:tr w14:paraId="51C7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504D2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60" w:type="pct"/>
                  <w:vMerge w:val="continue"/>
                  <w:vAlign w:val="center"/>
                </w:tcPr>
                <w:p w14:paraId="010E0D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p>
              </w:tc>
              <w:tc>
                <w:tcPr>
                  <w:tcW w:w="680" w:type="pct"/>
                  <w:vMerge w:val="restart"/>
                  <w:vAlign w:val="center"/>
                </w:tcPr>
                <w:p w14:paraId="044132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569" w:type="pct"/>
                  <w:vAlign w:val="center"/>
                </w:tcPr>
                <w:p w14:paraId="39629087">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颗粒物</w:t>
                  </w:r>
                </w:p>
              </w:tc>
              <w:tc>
                <w:tcPr>
                  <w:tcW w:w="1241" w:type="pct"/>
                  <w:vAlign w:val="center"/>
                </w:tcPr>
                <w:p w14:paraId="26FA1D59">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80" w:type="pct"/>
                  <w:vMerge w:val="restart"/>
                  <w:vAlign w:val="center"/>
                </w:tcPr>
                <w:p w14:paraId="0EE2700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18250m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3778D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0.005 </w:t>
                  </w:r>
                </w:p>
              </w:tc>
            </w:tr>
            <w:tr w14:paraId="40CC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32AC3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60" w:type="pct"/>
                  <w:vMerge w:val="continue"/>
                  <w:vAlign w:val="center"/>
                </w:tcPr>
                <w:p w14:paraId="5CB7F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680" w:type="pct"/>
                  <w:vMerge w:val="continue"/>
                  <w:vAlign w:val="center"/>
                </w:tcPr>
                <w:p w14:paraId="2662E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569" w:type="pct"/>
                  <w:vAlign w:val="center"/>
                </w:tcPr>
                <w:p w14:paraId="3BE1AD45">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二氧化硫</w:t>
                  </w:r>
                </w:p>
              </w:tc>
              <w:tc>
                <w:tcPr>
                  <w:tcW w:w="1241" w:type="pct"/>
                  <w:vAlign w:val="center"/>
                </w:tcPr>
                <w:p w14:paraId="13B04405">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80" w:type="pct"/>
                  <w:vMerge w:val="continue"/>
                  <w:vAlign w:val="center"/>
                </w:tcPr>
                <w:p w14:paraId="629767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29D848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0.004 </w:t>
                  </w:r>
                </w:p>
              </w:tc>
            </w:tr>
            <w:tr w14:paraId="4F08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31407D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60" w:type="pct"/>
                  <w:vMerge w:val="continue"/>
                  <w:vAlign w:val="center"/>
                </w:tcPr>
                <w:p w14:paraId="13DF0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680" w:type="pct"/>
                  <w:vMerge w:val="continue"/>
                  <w:vAlign w:val="center"/>
                </w:tcPr>
                <w:p w14:paraId="69543D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569" w:type="pct"/>
                  <w:vAlign w:val="center"/>
                </w:tcPr>
                <w:p w14:paraId="558C8A33">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氮氧化物</w:t>
                  </w:r>
                </w:p>
              </w:tc>
              <w:tc>
                <w:tcPr>
                  <w:tcW w:w="1241" w:type="pct"/>
                  <w:vAlign w:val="center"/>
                </w:tcPr>
                <w:p w14:paraId="5ACFE859">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80" w:type="pct"/>
                  <w:vMerge w:val="continue"/>
                  <w:vAlign w:val="center"/>
                </w:tcPr>
                <w:p w14:paraId="12C1ED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0A9A5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0.034 </w:t>
                  </w:r>
                </w:p>
              </w:tc>
            </w:tr>
            <w:tr w14:paraId="2BE2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51032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宋体"/>
                      <w:spacing w:val="-3"/>
                      <w:sz w:val="21"/>
                      <w:szCs w:val="21"/>
                      <w:vertAlign w:val="baseline"/>
                      <w:lang w:val="en-US" w:eastAsia="zh-CN"/>
                    </w:rPr>
                  </w:pPr>
                </w:p>
              </w:tc>
              <w:tc>
                <w:tcPr>
                  <w:tcW w:w="460" w:type="pct"/>
                  <w:vMerge w:val="restart"/>
                  <w:vAlign w:val="center"/>
                </w:tcPr>
                <w:p w14:paraId="2921A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2#生产线</w:t>
                  </w:r>
                </w:p>
              </w:tc>
              <w:tc>
                <w:tcPr>
                  <w:tcW w:w="680" w:type="pct"/>
                  <w:vAlign w:val="center"/>
                </w:tcPr>
                <w:p w14:paraId="751BB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布料</w:t>
                  </w:r>
                </w:p>
              </w:tc>
              <w:tc>
                <w:tcPr>
                  <w:tcW w:w="569" w:type="pct"/>
                  <w:vMerge w:val="restart"/>
                  <w:vAlign w:val="center"/>
                </w:tcPr>
                <w:p w14:paraId="3B6ED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颗粒物</w:t>
                  </w:r>
                </w:p>
              </w:tc>
              <w:tc>
                <w:tcPr>
                  <w:tcW w:w="1241" w:type="pct"/>
                  <w:vAlign w:val="center"/>
                </w:tcPr>
                <w:p w14:paraId="3B8BB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780" w:type="pct"/>
                  <w:vAlign w:val="center"/>
                </w:tcPr>
                <w:p w14:paraId="6A0069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pacing w:val="-3"/>
                      <w:sz w:val="21"/>
                      <w:szCs w:val="21"/>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10950</w:t>
                  </w:r>
                  <w:r>
                    <w:rPr>
                      <w:rFonts w:hint="eastAsia" w:ascii="Times New Roman" w:hAnsi="Times New Roman" w:cs="Times New Roman"/>
                      <w:b w:val="0"/>
                      <w:bCs w:val="0"/>
                      <w:sz w:val="21"/>
                      <w:szCs w:val="21"/>
                      <w:lang w:val="en-US" w:eastAsia="zh-CN"/>
                    </w:rPr>
                    <w:t>t/a</w:t>
                  </w:r>
                </w:p>
              </w:tc>
              <w:tc>
                <w:tcPr>
                  <w:tcW w:w="1248" w:type="dxa"/>
                  <w:vAlign w:val="center"/>
                </w:tcPr>
                <w:p w14:paraId="60A62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0.3285</w:t>
                  </w:r>
                </w:p>
              </w:tc>
            </w:tr>
            <w:tr w14:paraId="54D4C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31870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769AB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Align w:val="center"/>
                </w:tcPr>
                <w:p w14:paraId="50AE4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sz w:val="21"/>
                      <w:szCs w:val="21"/>
                    </w:rPr>
                  </w:pPr>
                  <w:r>
                    <w:rPr>
                      <w:rFonts w:hint="eastAsia" w:ascii="Times New Roman" w:hAnsi="Times New Roman" w:eastAsia="宋体" w:cs="宋体"/>
                      <w:spacing w:val="-3"/>
                      <w:sz w:val="21"/>
                      <w:szCs w:val="21"/>
                      <w:vertAlign w:val="baseline"/>
                      <w:lang w:val="en-US" w:eastAsia="zh-CN"/>
                    </w:rPr>
                    <w:t>熔化</w:t>
                  </w:r>
                </w:p>
              </w:tc>
              <w:tc>
                <w:tcPr>
                  <w:tcW w:w="569" w:type="pct"/>
                  <w:vMerge w:val="continue"/>
                  <w:vAlign w:val="center"/>
                </w:tcPr>
                <w:p w14:paraId="62048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1241" w:type="pct"/>
                  <w:vAlign w:val="center"/>
                </w:tcPr>
                <w:p w14:paraId="54E62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80" w:type="pct"/>
                  <w:vAlign w:val="center"/>
                </w:tcPr>
                <w:p w14:paraId="617E45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spacing w:val="-3"/>
                      <w:sz w:val="21"/>
                      <w:szCs w:val="21"/>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10950</w:t>
                  </w:r>
                  <w:r>
                    <w:rPr>
                      <w:rFonts w:hint="eastAsia" w:ascii="Times New Roman" w:hAnsi="Times New Roman" w:cs="Times New Roman"/>
                      <w:b w:val="0"/>
                      <w:bCs w:val="0"/>
                      <w:sz w:val="21"/>
                      <w:szCs w:val="21"/>
                      <w:lang w:val="en-US" w:eastAsia="zh-CN"/>
                    </w:rPr>
                    <w:t>t/a</w:t>
                  </w:r>
                </w:p>
              </w:tc>
              <w:tc>
                <w:tcPr>
                  <w:tcW w:w="1248" w:type="dxa"/>
                  <w:vAlign w:val="center"/>
                </w:tcPr>
                <w:p w14:paraId="51561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2.628</w:t>
                  </w:r>
                </w:p>
              </w:tc>
            </w:tr>
            <w:tr w14:paraId="1FCB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6BCDF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77AFA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restart"/>
                  <w:vAlign w:val="center"/>
                </w:tcPr>
                <w:p w14:paraId="08E3B0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569" w:type="pct"/>
                  <w:vAlign w:val="center"/>
                </w:tcPr>
                <w:p w14:paraId="63A7348D">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41" w:type="pct"/>
                  <w:vAlign w:val="center"/>
                </w:tcPr>
                <w:p w14:paraId="046138F6">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80" w:type="pct"/>
                  <w:vMerge w:val="restart"/>
                  <w:vAlign w:val="center"/>
                </w:tcPr>
                <w:p w14:paraId="6B352E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18250m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36A18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0.005 </w:t>
                  </w:r>
                </w:p>
              </w:tc>
            </w:tr>
            <w:tr w14:paraId="7F94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7ABA7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19CB8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continue"/>
                  <w:vAlign w:val="center"/>
                </w:tcPr>
                <w:p w14:paraId="208761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569" w:type="pct"/>
                  <w:vAlign w:val="center"/>
                </w:tcPr>
                <w:p w14:paraId="1DBC77F7">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二氧化硫</w:t>
                  </w:r>
                </w:p>
              </w:tc>
              <w:tc>
                <w:tcPr>
                  <w:tcW w:w="1241" w:type="pct"/>
                  <w:vAlign w:val="center"/>
                </w:tcPr>
                <w:p w14:paraId="4212DE8A">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80" w:type="pct"/>
                  <w:vMerge w:val="continue"/>
                  <w:vAlign w:val="center"/>
                </w:tcPr>
                <w:p w14:paraId="12BD69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510ED5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0.004 </w:t>
                  </w:r>
                </w:p>
              </w:tc>
            </w:tr>
            <w:tr w14:paraId="39B8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258BD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54986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p>
              </w:tc>
              <w:tc>
                <w:tcPr>
                  <w:tcW w:w="680" w:type="pct"/>
                  <w:vMerge w:val="continue"/>
                  <w:vAlign w:val="center"/>
                </w:tcPr>
                <w:p w14:paraId="6CD51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p>
              </w:tc>
              <w:tc>
                <w:tcPr>
                  <w:tcW w:w="569" w:type="pct"/>
                  <w:vAlign w:val="center"/>
                </w:tcPr>
                <w:p w14:paraId="29FBAD91">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氮氧化物</w:t>
                  </w:r>
                </w:p>
              </w:tc>
              <w:tc>
                <w:tcPr>
                  <w:tcW w:w="1241" w:type="pct"/>
                  <w:vAlign w:val="center"/>
                </w:tcPr>
                <w:p w14:paraId="607C018E">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80" w:type="pct"/>
                  <w:vMerge w:val="continue"/>
                  <w:vAlign w:val="center"/>
                </w:tcPr>
                <w:p w14:paraId="32ABBA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16C29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0.034 </w:t>
                  </w:r>
                </w:p>
              </w:tc>
            </w:tr>
            <w:tr w14:paraId="528C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restart"/>
                  <w:vAlign w:val="center"/>
                </w:tcPr>
                <w:p w14:paraId="4F1E2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s="宋体"/>
                      <w:spacing w:val="-3"/>
                      <w:sz w:val="21"/>
                      <w:szCs w:val="21"/>
                      <w:vertAlign w:val="baseline"/>
                      <w:lang w:val="en-US" w:eastAsia="zh-CN"/>
                    </w:rPr>
                    <w:t>1#生产车间</w:t>
                  </w:r>
                </w:p>
              </w:tc>
              <w:tc>
                <w:tcPr>
                  <w:tcW w:w="460" w:type="pct"/>
                  <w:vMerge w:val="restart"/>
                  <w:vAlign w:val="center"/>
                </w:tcPr>
                <w:p w14:paraId="6AE92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sz w:val="21"/>
                      <w:szCs w:val="21"/>
                    </w:rPr>
                  </w:pP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#生产线</w:t>
                  </w:r>
                </w:p>
              </w:tc>
              <w:tc>
                <w:tcPr>
                  <w:tcW w:w="680" w:type="pct"/>
                  <w:vAlign w:val="center"/>
                </w:tcPr>
                <w:p w14:paraId="37BE8D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布料</w:t>
                  </w:r>
                </w:p>
              </w:tc>
              <w:tc>
                <w:tcPr>
                  <w:tcW w:w="569" w:type="pct"/>
                  <w:vMerge w:val="restart"/>
                  <w:vAlign w:val="center"/>
                </w:tcPr>
                <w:p w14:paraId="36CB8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olor w:val="000000" w:themeColor="text1"/>
                      <w:sz w:val="21"/>
                      <w:szCs w:val="21"/>
                      <w14:textFill>
                        <w14:solidFill>
                          <w14:schemeClr w14:val="tx1"/>
                        </w14:solidFill>
                      </w14:textFill>
                    </w:rPr>
                    <w:t>颗粒物</w:t>
                  </w:r>
                </w:p>
              </w:tc>
              <w:tc>
                <w:tcPr>
                  <w:tcW w:w="1241" w:type="pct"/>
                  <w:vAlign w:val="center"/>
                </w:tcPr>
                <w:p w14:paraId="5802A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780" w:type="pct"/>
                  <w:vAlign w:val="center"/>
                </w:tcPr>
                <w:p w14:paraId="096C22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3500</w:t>
                  </w:r>
                  <w:r>
                    <w:rPr>
                      <w:rFonts w:hint="eastAsia" w:ascii="Times New Roman" w:hAnsi="Times New Roman" w:cs="Times New Roman"/>
                      <w:b w:val="0"/>
                      <w:bCs w:val="0"/>
                      <w:sz w:val="21"/>
                      <w:szCs w:val="21"/>
                      <w:lang w:val="en-US" w:eastAsia="zh-CN"/>
                    </w:rPr>
                    <w:t>t/a</w:t>
                  </w:r>
                </w:p>
              </w:tc>
              <w:tc>
                <w:tcPr>
                  <w:tcW w:w="1248" w:type="dxa"/>
                  <w:vAlign w:val="center"/>
                </w:tcPr>
                <w:p w14:paraId="765A3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0.21</w:t>
                  </w:r>
                </w:p>
              </w:tc>
            </w:tr>
            <w:tr w14:paraId="1E9D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0B4715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32504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Align w:val="center"/>
                </w:tcPr>
                <w:p w14:paraId="36C9C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569" w:type="pct"/>
                  <w:vMerge w:val="continue"/>
                  <w:vAlign w:val="center"/>
                </w:tcPr>
                <w:p w14:paraId="6A89C9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1241" w:type="pct"/>
                  <w:vAlign w:val="center"/>
                </w:tcPr>
                <w:p w14:paraId="78E48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80" w:type="pct"/>
                  <w:vAlign w:val="center"/>
                </w:tcPr>
                <w:p w14:paraId="5BC477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3500</w:t>
                  </w:r>
                  <w:r>
                    <w:rPr>
                      <w:rFonts w:hint="eastAsia" w:ascii="Times New Roman" w:hAnsi="Times New Roman" w:cs="Times New Roman"/>
                      <w:b w:val="0"/>
                      <w:bCs w:val="0"/>
                      <w:sz w:val="21"/>
                      <w:szCs w:val="21"/>
                      <w:lang w:val="en-US" w:eastAsia="zh-CN"/>
                    </w:rPr>
                    <w:t>t/a</w:t>
                  </w:r>
                </w:p>
              </w:tc>
              <w:tc>
                <w:tcPr>
                  <w:tcW w:w="1248" w:type="dxa"/>
                  <w:vAlign w:val="center"/>
                </w:tcPr>
                <w:p w14:paraId="4FBD3C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0.84</w:t>
                  </w:r>
                </w:p>
              </w:tc>
            </w:tr>
            <w:tr w14:paraId="3345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40C883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345FF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restart"/>
                  <w:vAlign w:val="center"/>
                </w:tcPr>
                <w:p w14:paraId="2B5FB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569" w:type="pct"/>
                  <w:vAlign w:val="center"/>
                </w:tcPr>
                <w:p w14:paraId="3D9FF18C">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41" w:type="pct"/>
                  <w:vAlign w:val="center"/>
                </w:tcPr>
                <w:p w14:paraId="13355A00">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80" w:type="pct"/>
                  <w:vMerge w:val="restart"/>
                  <w:vAlign w:val="center"/>
                </w:tcPr>
                <w:p w14:paraId="7A9972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17500m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2BAC87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0.005 </w:t>
                  </w:r>
                </w:p>
              </w:tc>
            </w:tr>
            <w:tr w14:paraId="669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69666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21827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continue"/>
                  <w:vAlign w:val="center"/>
                </w:tcPr>
                <w:p w14:paraId="4B649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p>
              </w:tc>
              <w:tc>
                <w:tcPr>
                  <w:tcW w:w="569" w:type="pct"/>
                  <w:vAlign w:val="center"/>
                </w:tcPr>
                <w:p w14:paraId="07492199">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二氧化硫</w:t>
                  </w:r>
                </w:p>
              </w:tc>
              <w:tc>
                <w:tcPr>
                  <w:tcW w:w="1241" w:type="pct"/>
                  <w:vAlign w:val="center"/>
                </w:tcPr>
                <w:p w14:paraId="35A0B189">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80" w:type="pct"/>
                  <w:vMerge w:val="continue"/>
                  <w:vAlign w:val="center"/>
                </w:tcPr>
                <w:p w14:paraId="22C2EE04">
                  <w:pPr>
                    <w:keepNext w:val="0"/>
                    <w:keepLines w:val="0"/>
                    <w:widowControl/>
                    <w:suppressLineNumbers w:val="0"/>
                    <w:spacing w:before="0" w:beforeAutospacing="0" w:after="0" w:afterAutospacing="0"/>
                    <w:ind w:left="0" w:right="0"/>
                    <w:jc w:val="center"/>
                    <w:textAlignment w:val="center"/>
                    <w:rPr>
                      <w:rFonts w:hint="eastAsia" w:cs="Times New Roman"/>
                      <w:b w:val="0"/>
                      <w:bCs w:val="0"/>
                      <w:i w:val="0"/>
                      <w:iCs w:val="0"/>
                      <w:color w:val="000000"/>
                      <w:kern w:val="0"/>
                      <w:sz w:val="21"/>
                      <w:szCs w:val="21"/>
                      <w:u w:val="none"/>
                      <w:lang w:val="en-US" w:eastAsia="zh-CN" w:bidi="ar"/>
                    </w:rPr>
                  </w:pPr>
                </w:p>
              </w:tc>
              <w:tc>
                <w:tcPr>
                  <w:tcW w:w="1248" w:type="dxa"/>
                  <w:vAlign w:val="center"/>
                </w:tcPr>
                <w:p w14:paraId="0B69B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0.004 </w:t>
                  </w:r>
                </w:p>
              </w:tc>
            </w:tr>
            <w:tr w14:paraId="74E0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CB28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5EE003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continue"/>
                  <w:vAlign w:val="center"/>
                </w:tcPr>
                <w:p w14:paraId="2F2099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cs="宋体"/>
                      <w:spacing w:val="-3"/>
                      <w:sz w:val="21"/>
                      <w:szCs w:val="21"/>
                      <w:vertAlign w:val="baseline"/>
                      <w:lang w:val="en-US" w:eastAsia="zh-CN"/>
                    </w:rPr>
                  </w:pPr>
                </w:p>
              </w:tc>
              <w:tc>
                <w:tcPr>
                  <w:tcW w:w="569" w:type="pct"/>
                  <w:vAlign w:val="center"/>
                </w:tcPr>
                <w:p w14:paraId="539AB0CE">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氮氧化物</w:t>
                  </w:r>
                </w:p>
              </w:tc>
              <w:tc>
                <w:tcPr>
                  <w:tcW w:w="1241" w:type="pct"/>
                  <w:vAlign w:val="center"/>
                </w:tcPr>
                <w:p w14:paraId="7623E600">
                  <w:pPr>
                    <w:pStyle w:val="40"/>
                    <w:keepNext w:val="0"/>
                    <w:keepLines w:val="0"/>
                    <w:suppressLineNumbers w:val="0"/>
                    <w:spacing w:before="0" w:beforeAutospacing="0" w:after="0" w:afterAutospacing="0"/>
                    <w:ind w:left="0" w:right="0" w:firstLine="0" w:firstLineChars="0"/>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80" w:type="pct"/>
                  <w:vMerge w:val="continue"/>
                  <w:vAlign w:val="center"/>
                </w:tcPr>
                <w:p w14:paraId="351D5197">
                  <w:pPr>
                    <w:keepNext w:val="0"/>
                    <w:keepLines w:val="0"/>
                    <w:widowControl/>
                    <w:suppressLineNumbers w:val="0"/>
                    <w:spacing w:before="0" w:beforeAutospacing="0" w:after="0" w:afterAutospacing="0"/>
                    <w:ind w:left="0" w:right="0"/>
                    <w:jc w:val="center"/>
                    <w:textAlignment w:val="center"/>
                    <w:rPr>
                      <w:rFonts w:hint="eastAsia" w:cs="Times New Roman"/>
                      <w:b w:val="0"/>
                      <w:bCs w:val="0"/>
                      <w:i w:val="0"/>
                      <w:iCs w:val="0"/>
                      <w:color w:val="000000"/>
                      <w:kern w:val="0"/>
                      <w:sz w:val="21"/>
                      <w:szCs w:val="21"/>
                      <w:u w:val="none"/>
                      <w:lang w:val="en-US" w:eastAsia="zh-CN" w:bidi="ar"/>
                    </w:rPr>
                  </w:pPr>
                </w:p>
              </w:tc>
              <w:tc>
                <w:tcPr>
                  <w:tcW w:w="1248" w:type="dxa"/>
                  <w:vAlign w:val="center"/>
                </w:tcPr>
                <w:p w14:paraId="21EED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0.033 </w:t>
                  </w:r>
                </w:p>
              </w:tc>
            </w:tr>
            <w:tr w14:paraId="24E8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BDBB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restart"/>
                  <w:vAlign w:val="center"/>
                </w:tcPr>
                <w:p w14:paraId="4C2C2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sz w:val="21"/>
                      <w:szCs w:val="21"/>
                    </w:rPr>
                  </w:pPr>
                  <w:r>
                    <w:rPr>
                      <w:rFonts w:hint="eastAsia" w:cs="宋体"/>
                      <w:spacing w:val="-3"/>
                      <w:sz w:val="21"/>
                      <w:szCs w:val="21"/>
                      <w:vertAlign w:val="baseline"/>
                      <w:lang w:val="en-US" w:eastAsia="zh-CN"/>
                    </w:rPr>
                    <w:t>4</w:t>
                  </w:r>
                  <w:r>
                    <w:rPr>
                      <w:rFonts w:hint="eastAsia" w:ascii="Times New Roman" w:hAnsi="Times New Roman" w:eastAsia="宋体" w:cs="宋体"/>
                      <w:spacing w:val="-3"/>
                      <w:sz w:val="21"/>
                      <w:szCs w:val="21"/>
                      <w:vertAlign w:val="baseline"/>
                      <w:lang w:val="en-US" w:eastAsia="zh-CN"/>
                    </w:rPr>
                    <w:t>#生产线</w:t>
                  </w:r>
                </w:p>
              </w:tc>
              <w:tc>
                <w:tcPr>
                  <w:tcW w:w="680" w:type="pct"/>
                  <w:vAlign w:val="center"/>
                </w:tcPr>
                <w:p w14:paraId="4A70C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布料</w:t>
                  </w:r>
                </w:p>
              </w:tc>
              <w:tc>
                <w:tcPr>
                  <w:tcW w:w="569" w:type="pct"/>
                  <w:vMerge w:val="restart"/>
                  <w:vAlign w:val="center"/>
                </w:tcPr>
                <w:p w14:paraId="1A752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olor w:val="000000" w:themeColor="text1"/>
                      <w:sz w:val="21"/>
                      <w:szCs w:val="21"/>
                      <w14:textFill>
                        <w14:solidFill>
                          <w14:schemeClr w14:val="tx1"/>
                        </w14:solidFill>
                      </w14:textFill>
                    </w:rPr>
                    <w:t>颗粒物</w:t>
                  </w:r>
                </w:p>
              </w:tc>
              <w:tc>
                <w:tcPr>
                  <w:tcW w:w="1241" w:type="pct"/>
                  <w:vAlign w:val="center"/>
                </w:tcPr>
                <w:p w14:paraId="09C88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780" w:type="pct"/>
                  <w:vAlign w:val="center"/>
                </w:tcPr>
                <w:p w14:paraId="468B48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10500</w:t>
                  </w:r>
                  <w:r>
                    <w:rPr>
                      <w:rFonts w:hint="eastAsia" w:ascii="Times New Roman" w:hAnsi="Times New Roman" w:cs="Times New Roman"/>
                      <w:b w:val="0"/>
                      <w:bCs w:val="0"/>
                      <w:sz w:val="21"/>
                      <w:szCs w:val="21"/>
                      <w:lang w:val="en-US" w:eastAsia="zh-CN"/>
                    </w:rPr>
                    <w:t>t/a</w:t>
                  </w:r>
                </w:p>
              </w:tc>
              <w:tc>
                <w:tcPr>
                  <w:tcW w:w="1248" w:type="dxa"/>
                  <w:vAlign w:val="center"/>
                </w:tcPr>
                <w:p w14:paraId="422352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0.21</w:t>
                  </w:r>
                </w:p>
              </w:tc>
            </w:tr>
            <w:tr w14:paraId="4FA6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44F2D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5F110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Align w:val="center"/>
                </w:tcPr>
                <w:p w14:paraId="58F1A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569" w:type="pct"/>
                  <w:vMerge w:val="continue"/>
                  <w:vAlign w:val="center"/>
                </w:tcPr>
                <w:p w14:paraId="07C3D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1241" w:type="pct"/>
                  <w:vAlign w:val="center"/>
                </w:tcPr>
                <w:p w14:paraId="43412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80" w:type="pct"/>
                  <w:vAlign w:val="center"/>
                </w:tcPr>
                <w:p w14:paraId="57821C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10500</w:t>
                  </w:r>
                  <w:r>
                    <w:rPr>
                      <w:rFonts w:hint="eastAsia" w:ascii="Times New Roman" w:hAnsi="Times New Roman" w:cs="Times New Roman"/>
                      <w:b w:val="0"/>
                      <w:bCs w:val="0"/>
                      <w:sz w:val="21"/>
                      <w:szCs w:val="21"/>
                      <w:lang w:val="en-US" w:eastAsia="zh-CN"/>
                    </w:rPr>
                    <w:t>t/a</w:t>
                  </w:r>
                </w:p>
              </w:tc>
              <w:tc>
                <w:tcPr>
                  <w:tcW w:w="1248" w:type="dxa"/>
                  <w:vAlign w:val="center"/>
                </w:tcPr>
                <w:p w14:paraId="71F1F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2.52</w:t>
                  </w:r>
                </w:p>
              </w:tc>
            </w:tr>
            <w:tr w14:paraId="6901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07F6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46874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restart"/>
                  <w:vAlign w:val="center"/>
                </w:tcPr>
                <w:p w14:paraId="7D26E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569" w:type="pct"/>
                  <w:vAlign w:val="center"/>
                </w:tcPr>
                <w:p w14:paraId="4DE244A8">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41" w:type="pct"/>
                  <w:vAlign w:val="center"/>
                </w:tcPr>
                <w:p w14:paraId="30821399">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80" w:type="pct"/>
                  <w:vMerge w:val="restart"/>
                  <w:vAlign w:val="center"/>
                </w:tcPr>
                <w:p w14:paraId="6E2776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17500m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1C632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0.005 </w:t>
                  </w:r>
                </w:p>
              </w:tc>
            </w:tr>
            <w:tr w14:paraId="6EB8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3F0D5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60844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continue"/>
                  <w:vAlign w:val="center"/>
                </w:tcPr>
                <w:p w14:paraId="0991F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569" w:type="pct"/>
                  <w:vAlign w:val="center"/>
                </w:tcPr>
                <w:p w14:paraId="6F9FE66F">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二氧化硫</w:t>
                  </w:r>
                </w:p>
              </w:tc>
              <w:tc>
                <w:tcPr>
                  <w:tcW w:w="1241" w:type="pct"/>
                  <w:vAlign w:val="center"/>
                </w:tcPr>
                <w:p w14:paraId="353D3E7F">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80" w:type="pct"/>
                  <w:vMerge w:val="continue"/>
                  <w:vAlign w:val="center"/>
                </w:tcPr>
                <w:p w14:paraId="105F0D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07446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0.004 </w:t>
                  </w:r>
                </w:p>
              </w:tc>
            </w:tr>
            <w:tr w14:paraId="7EA3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7489E7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2B100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continue"/>
                  <w:vAlign w:val="center"/>
                </w:tcPr>
                <w:p w14:paraId="3785C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569" w:type="pct"/>
                  <w:vAlign w:val="center"/>
                </w:tcPr>
                <w:p w14:paraId="5A7CC654">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氮氧化物</w:t>
                  </w:r>
                </w:p>
              </w:tc>
              <w:tc>
                <w:tcPr>
                  <w:tcW w:w="1241" w:type="pct"/>
                  <w:vAlign w:val="center"/>
                </w:tcPr>
                <w:p w14:paraId="148EFE56">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80" w:type="pct"/>
                  <w:vMerge w:val="continue"/>
                  <w:vAlign w:val="center"/>
                </w:tcPr>
                <w:p w14:paraId="7D88A6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7B127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0.033 </w:t>
                  </w:r>
                </w:p>
              </w:tc>
            </w:tr>
            <w:tr w14:paraId="25A0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restart"/>
                  <w:vAlign w:val="center"/>
                </w:tcPr>
                <w:p w14:paraId="3D4DA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eastAsia" w:cs="宋体"/>
                      <w:spacing w:val="-3"/>
                      <w:sz w:val="21"/>
                      <w:szCs w:val="21"/>
                      <w:vertAlign w:val="baseline"/>
                      <w:lang w:val="en-US" w:eastAsia="zh-CN"/>
                    </w:rPr>
                    <w:t>3#生产车间</w:t>
                  </w:r>
                </w:p>
              </w:tc>
              <w:tc>
                <w:tcPr>
                  <w:tcW w:w="460" w:type="pct"/>
                  <w:vMerge w:val="restart"/>
                  <w:vAlign w:val="center"/>
                </w:tcPr>
                <w:p w14:paraId="31B25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5</w:t>
                  </w:r>
                  <w:r>
                    <w:rPr>
                      <w:rFonts w:hint="eastAsia" w:ascii="Times New Roman" w:hAnsi="Times New Roman" w:eastAsia="宋体" w:cs="宋体"/>
                      <w:spacing w:val="-3"/>
                      <w:sz w:val="21"/>
                      <w:szCs w:val="21"/>
                      <w:vertAlign w:val="baseline"/>
                      <w:lang w:val="en-US" w:eastAsia="zh-CN"/>
                    </w:rPr>
                    <w:t>#生产线</w:t>
                  </w:r>
                </w:p>
              </w:tc>
              <w:tc>
                <w:tcPr>
                  <w:tcW w:w="680" w:type="pct"/>
                  <w:vAlign w:val="center"/>
                </w:tcPr>
                <w:p w14:paraId="3D9AF4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布料</w:t>
                  </w:r>
                </w:p>
              </w:tc>
              <w:tc>
                <w:tcPr>
                  <w:tcW w:w="569" w:type="pct"/>
                  <w:vMerge w:val="restart"/>
                  <w:vAlign w:val="center"/>
                </w:tcPr>
                <w:p w14:paraId="5D3D7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r>
                    <w:rPr>
                      <w:rFonts w:hint="default"/>
                      <w:sz w:val="21"/>
                      <w:szCs w:val="21"/>
                    </w:rPr>
                    <w:t>颗粒物</w:t>
                  </w:r>
                </w:p>
              </w:tc>
              <w:tc>
                <w:tcPr>
                  <w:tcW w:w="1241" w:type="pct"/>
                  <w:vAlign w:val="center"/>
                </w:tcPr>
                <w:p w14:paraId="33468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0.0</w:t>
                  </w:r>
                  <w:r>
                    <w:rPr>
                      <w:rFonts w:hint="eastAsia" w:cs="宋体"/>
                      <w:spacing w:val="-3"/>
                      <w:sz w:val="21"/>
                      <w:szCs w:val="21"/>
                      <w:vertAlign w:val="baseline"/>
                      <w:lang w:val="en-US" w:eastAsia="zh-CN"/>
                    </w:rPr>
                    <w:t>3</w:t>
                  </w:r>
                  <w:r>
                    <w:rPr>
                      <w:rFonts w:hint="eastAsia" w:ascii="Times New Roman" w:hAnsi="Times New Roman" w:eastAsia="宋体" w:cs="宋体"/>
                      <w:spacing w:val="-3"/>
                      <w:sz w:val="21"/>
                      <w:szCs w:val="21"/>
                      <w:vertAlign w:val="baseline"/>
                      <w:lang w:val="en-US" w:eastAsia="zh-CN"/>
                    </w:rPr>
                    <w:t>kg/吨生产玻璃</w:t>
                  </w:r>
                </w:p>
              </w:tc>
              <w:tc>
                <w:tcPr>
                  <w:tcW w:w="780" w:type="pct"/>
                  <w:vAlign w:val="center"/>
                </w:tcPr>
                <w:p w14:paraId="430F47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600</w:t>
                  </w:r>
                  <w:r>
                    <w:rPr>
                      <w:rFonts w:hint="eastAsia" w:ascii="Times New Roman" w:hAnsi="Times New Roman" w:cs="Times New Roman"/>
                      <w:b w:val="0"/>
                      <w:bCs w:val="0"/>
                      <w:sz w:val="21"/>
                      <w:szCs w:val="21"/>
                      <w:lang w:val="en-US" w:eastAsia="zh-CN"/>
                    </w:rPr>
                    <w:t>t/a</w:t>
                  </w:r>
                </w:p>
              </w:tc>
              <w:tc>
                <w:tcPr>
                  <w:tcW w:w="1248" w:type="dxa"/>
                  <w:vAlign w:val="center"/>
                </w:tcPr>
                <w:p w14:paraId="36CF2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0.018</w:t>
                  </w:r>
                </w:p>
              </w:tc>
            </w:tr>
            <w:tr w14:paraId="4523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23422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2A8DEF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Align w:val="center"/>
                </w:tcPr>
                <w:p w14:paraId="4C686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熔化</w:t>
                  </w:r>
                </w:p>
              </w:tc>
              <w:tc>
                <w:tcPr>
                  <w:tcW w:w="569" w:type="pct"/>
                  <w:vMerge w:val="continue"/>
                  <w:vAlign w:val="center"/>
                </w:tcPr>
                <w:p w14:paraId="20778D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1241" w:type="pct"/>
                  <w:vAlign w:val="center"/>
                </w:tcPr>
                <w:p w14:paraId="380F3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ascii="Times New Roman" w:hAnsi="Times New Roman" w:eastAsia="宋体" w:cs="宋体"/>
                      <w:spacing w:val="-3"/>
                      <w:sz w:val="21"/>
                      <w:szCs w:val="21"/>
                      <w:vertAlign w:val="baseline"/>
                      <w:lang w:val="en-US" w:eastAsia="zh-CN"/>
                    </w:rPr>
                    <w:t>0.24kg/吨-产品</w:t>
                  </w:r>
                </w:p>
              </w:tc>
              <w:tc>
                <w:tcPr>
                  <w:tcW w:w="780" w:type="pct"/>
                  <w:vAlign w:val="center"/>
                </w:tcPr>
                <w:p w14:paraId="5A55B5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宋体" w:cs="Times New Roman"/>
                      <w:b w:val="0"/>
                      <w:bCs w:val="0"/>
                      <w:i w:val="0"/>
                      <w:iCs w:val="0"/>
                      <w:color w:val="000000"/>
                      <w:kern w:val="0"/>
                      <w:sz w:val="21"/>
                      <w:szCs w:val="21"/>
                      <w:u w:val="none"/>
                      <w:lang w:val="en-US" w:eastAsia="zh-CN" w:bidi="ar"/>
                    </w:rPr>
                    <w:t>600</w:t>
                  </w:r>
                  <w:r>
                    <w:rPr>
                      <w:rFonts w:hint="eastAsia" w:ascii="Times New Roman" w:hAnsi="Times New Roman" w:cs="Times New Roman"/>
                      <w:b w:val="0"/>
                      <w:bCs w:val="0"/>
                      <w:sz w:val="21"/>
                      <w:szCs w:val="21"/>
                      <w:lang w:val="en-US" w:eastAsia="zh-CN"/>
                    </w:rPr>
                    <w:t>t/a</w:t>
                  </w:r>
                </w:p>
              </w:tc>
              <w:tc>
                <w:tcPr>
                  <w:tcW w:w="1248" w:type="dxa"/>
                  <w:vAlign w:val="center"/>
                </w:tcPr>
                <w:p w14:paraId="7AA24F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0.144</w:t>
                  </w:r>
                </w:p>
              </w:tc>
            </w:tr>
            <w:tr w14:paraId="6A90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5FAF3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749C5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restart"/>
                  <w:vAlign w:val="center"/>
                </w:tcPr>
                <w:p w14:paraId="0A6FD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r>
                    <w:rPr>
                      <w:rFonts w:hint="eastAsia" w:cs="宋体"/>
                      <w:spacing w:val="-3"/>
                      <w:sz w:val="21"/>
                      <w:szCs w:val="21"/>
                      <w:vertAlign w:val="baseline"/>
                      <w:lang w:val="en-US" w:eastAsia="zh-CN"/>
                    </w:rPr>
                    <w:t>成型</w:t>
                  </w:r>
                </w:p>
              </w:tc>
              <w:tc>
                <w:tcPr>
                  <w:tcW w:w="569" w:type="pct"/>
                  <w:vAlign w:val="center"/>
                </w:tcPr>
                <w:p w14:paraId="41DD1A46">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颗粒物</w:t>
                  </w:r>
                </w:p>
              </w:tc>
              <w:tc>
                <w:tcPr>
                  <w:tcW w:w="1241" w:type="pct"/>
                  <w:vAlign w:val="center"/>
                </w:tcPr>
                <w:p w14:paraId="6431B60C">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0.000286</w:t>
                  </w:r>
                  <w:r>
                    <w:rPr>
                      <w:rFonts w:hint="eastAsia"/>
                      <w:color w:val="000000" w:themeColor="text1"/>
                      <w14:textFill>
                        <w14:solidFill>
                          <w14:schemeClr w14:val="tx1"/>
                        </w14:solidFill>
                      </w14:textFill>
                    </w:rPr>
                    <w:t>千克/立方米-原料</w:t>
                  </w:r>
                </w:p>
              </w:tc>
              <w:tc>
                <w:tcPr>
                  <w:tcW w:w="780" w:type="pct"/>
                  <w:vMerge w:val="restart"/>
                  <w:vAlign w:val="center"/>
                </w:tcPr>
                <w:p w14:paraId="1D8FC1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eastAsia" w:cs="Times New Roman"/>
                      <w:b w:val="0"/>
                      <w:bCs w:val="0"/>
                      <w:i w:val="0"/>
                      <w:iCs w:val="0"/>
                      <w:color w:val="000000"/>
                      <w:kern w:val="0"/>
                      <w:sz w:val="21"/>
                      <w:szCs w:val="21"/>
                      <w:u w:val="none"/>
                      <w:lang w:val="en-US" w:eastAsia="zh-CN" w:bidi="ar"/>
                    </w:rPr>
                    <w:t>15000m</w:t>
                  </w:r>
                  <w:r>
                    <w:rPr>
                      <w:rFonts w:hint="eastAsia" w:cs="Times New Roman"/>
                      <w:b w:val="0"/>
                      <w:bCs w:val="0"/>
                      <w:i w:val="0"/>
                      <w:iCs w:val="0"/>
                      <w:color w:val="000000"/>
                      <w:kern w:val="0"/>
                      <w:sz w:val="21"/>
                      <w:szCs w:val="21"/>
                      <w:u w:val="none"/>
                      <w:vertAlign w:val="superscript"/>
                      <w:lang w:val="en-US" w:eastAsia="zh-CN" w:bidi="ar"/>
                    </w:rPr>
                    <w:t>3</w:t>
                  </w:r>
                </w:p>
              </w:tc>
              <w:tc>
                <w:tcPr>
                  <w:tcW w:w="1248" w:type="dxa"/>
                  <w:vAlign w:val="center"/>
                </w:tcPr>
                <w:p w14:paraId="36A047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0.004 </w:t>
                  </w:r>
                </w:p>
              </w:tc>
            </w:tr>
            <w:tr w14:paraId="07D8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17EC0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616AB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continue"/>
                  <w:vAlign w:val="center"/>
                </w:tcPr>
                <w:p w14:paraId="17E72C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569" w:type="pct"/>
                  <w:vAlign w:val="center"/>
                </w:tcPr>
                <w:p w14:paraId="5BACB29E">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二氧化硫</w:t>
                  </w:r>
                </w:p>
              </w:tc>
              <w:tc>
                <w:tcPr>
                  <w:tcW w:w="1241" w:type="pct"/>
                  <w:vAlign w:val="center"/>
                </w:tcPr>
                <w:p w14:paraId="5D41F28B">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0.000002S</w:t>
                  </w:r>
                  <w:r>
                    <w:rPr>
                      <w:rFonts w:hint="eastAsia"/>
                      <w:color w:val="000000" w:themeColor="text1"/>
                      <w14:textFill>
                        <w14:solidFill>
                          <w14:schemeClr w14:val="tx1"/>
                        </w14:solidFill>
                      </w14:textFill>
                    </w:rPr>
                    <w:t>千克/立方米-原料</w:t>
                  </w:r>
                </w:p>
              </w:tc>
              <w:tc>
                <w:tcPr>
                  <w:tcW w:w="780" w:type="pct"/>
                  <w:vMerge w:val="continue"/>
                  <w:vAlign w:val="center"/>
                </w:tcPr>
                <w:p w14:paraId="05CFB2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51FA4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0.003 </w:t>
                  </w:r>
                </w:p>
              </w:tc>
            </w:tr>
            <w:tr w14:paraId="2616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5" w:type="pct"/>
                  <w:vMerge w:val="continue"/>
                  <w:vAlign w:val="center"/>
                </w:tcPr>
                <w:p w14:paraId="0DF51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460" w:type="pct"/>
                  <w:vMerge w:val="continue"/>
                  <w:vAlign w:val="center"/>
                </w:tcPr>
                <w:p w14:paraId="56689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sz w:val="21"/>
                      <w:szCs w:val="21"/>
                    </w:rPr>
                  </w:pPr>
                </w:p>
              </w:tc>
              <w:tc>
                <w:tcPr>
                  <w:tcW w:w="680" w:type="pct"/>
                  <w:vMerge w:val="continue"/>
                  <w:vAlign w:val="center"/>
                </w:tcPr>
                <w:p w14:paraId="347B79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Times New Roman" w:hAnsi="Times New Roman" w:eastAsia="宋体" w:cs="宋体"/>
                      <w:spacing w:val="-3"/>
                      <w:sz w:val="21"/>
                      <w:szCs w:val="21"/>
                      <w:vertAlign w:val="baseline"/>
                      <w:lang w:val="en-US" w:eastAsia="zh-CN"/>
                    </w:rPr>
                  </w:pPr>
                </w:p>
              </w:tc>
              <w:tc>
                <w:tcPr>
                  <w:tcW w:w="569" w:type="pct"/>
                  <w:vAlign w:val="center"/>
                </w:tcPr>
                <w:p w14:paraId="04A5CEC1">
                  <w:pPr>
                    <w:pStyle w:val="40"/>
                    <w:keepNext w:val="0"/>
                    <w:keepLines w:val="0"/>
                    <w:suppressLineNumbers w:val="0"/>
                    <w:spacing w:before="0" w:beforeAutospacing="0" w:after="0" w:afterAutospacing="0"/>
                    <w:ind w:left="0" w:right="0" w:firstLine="0" w:firstLineChars="0"/>
                    <w:rPr>
                      <w:rFonts w:hint="default"/>
                      <w:sz w:val="21"/>
                      <w:szCs w:val="21"/>
                    </w:rPr>
                  </w:pPr>
                  <w:r>
                    <w:rPr>
                      <w:rFonts w:hint="eastAsia"/>
                      <w:color w:val="000000" w:themeColor="text1"/>
                      <w:sz w:val="21"/>
                      <w:szCs w:val="21"/>
                      <w14:textFill>
                        <w14:solidFill>
                          <w14:schemeClr w14:val="tx1"/>
                        </w14:solidFill>
                      </w14:textFill>
                    </w:rPr>
                    <w:t>氮氧化物</w:t>
                  </w:r>
                </w:p>
              </w:tc>
              <w:tc>
                <w:tcPr>
                  <w:tcW w:w="1241" w:type="pct"/>
                  <w:vAlign w:val="center"/>
                </w:tcPr>
                <w:p w14:paraId="53F37724">
                  <w:pPr>
                    <w:pStyle w:val="40"/>
                    <w:keepNext w:val="0"/>
                    <w:keepLines w:val="0"/>
                    <w:suppressLineNumbers w:val="0"/>
                    <w:spacing w:before="0" w:beforeAutospacing="0" w:after="0" w:afterAutospacing="0"/>
                    <w:ind w:left="0" w:right="0" w:firstLine="0" w:firstLineChars="0"/>
                    <w:rPr>
                      <w:rFonts w:hint="eastAsia" w:ascii="Times New Roman" w:hAnsi="Times New Roman" w:eastAsia="宋体" w:cs="宋体"/>
                      <w:spacing w:val="-3"/>
                      <w:sz w:val="21"/>
                      <w:szCs w:val="21"/>
                      <w:vertAlign w:val="baseline"/>
                      <w:lang w:val="en-US" w:eastAsia="zh-CN"/>
                    </w:rPr>
                  </w:pPr>
                  <w:r>
                    <w:rPr>
                      <w:rFonts w:hint="eastAsia"/>
                      <w:color w:val="000000" w:themeColor="text1"/>
                      <w:sz w:val="21"/>
                      <w:szCs w:val="21"/>
                      <w14:textFill>
                        <w14:solidFill>
                          <w14:schemeClr w14:val="tx1"/>
                        </w14:solidFill>
                      </w14:textFill>
                    </w:rPr>
                    <w:t>0.00187</w:t>
                  </w:r>
                  <w:r>
                    <w:rPr>
                      <w:rFonts w:hint="eastAsia"/>
                      <w:color w:val="000000" w:themeColor="text1"/>
                      <w14:textFill>
                        <w14:solidFill>
                          <w14:schemeClr w14:val="tx1"/>
                        </w14:solidFill>
                      </w14:textFill>
                    </w:rPr>
                    <w:t>千克/立方米-原料</w:t>
                  </w:r>
                </w:p>
              </w:tc>
              <w:tc>
                <w:tcPr>
                  <w:tcW w:w="780" w:type="pct"/>
                  <w:vMerge w:val="continue"/>
                  <w:vAlign w:val="center"/>
                </w:tcPr>
                <w:p w14:paraId="35390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000000"/>
                      <w:kern w:val="0"/>
                      <w:sz w:val="21"/>
                      <w:szCs w:val="21"/>
                      <w:u w:val="none"/>
                      <w:lang w:val="en-US" w:eastAsia="zh-CN" w:bidi="ar"/>
                    </w:rPr>
                  </w:pPr>
                </w:p>
              </w:tc>
              <w:tc>
                <w:tcPr>
                  <w:tcW w:w="1248" w:type="dxa"/>
                  <w:vAlign w:val="center"/>
                </w:tcPr>
                <w:p w14:paraId="5FD46D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cs="宋体"/>
                      <w:spacing w:val="-3"/>
                      <w:sz w:val="21"/>
                      <w:szCs w:val="21"/>
                      <w:vertAlign w:val="baseline"/>
                      <w:lang w:val="en-US" w:eastAsia="zh-CN"/>
                    </w:rPr>
                  </w:pPr>
                  <w:r>
                    <w:rPr>
                      <w:rFonts w:hint="default" w:cs="宋体"/>
                      <w:spacing w:val="-3"/>
                      <w:sz w:val="21"/>
                      <w:szCs w:val="21"/>
                      <w:vertAlign w:val="baseline"/>
                      <w:lang w:val="en-US" w:eastAsia="zh-CN"/>
                    </w:rPr>
                    <w:t xml:space="preserve">0.028 </w:t>
                  </w:r>
                </w:p>
              </w:tc>
            </w:tr>
          </w:tbl>
          <w:p w14:paraId="5F5FB2A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（5）其他</w:t>
            </w:r>
            <w:r>
              <w:rPr>
                <w:rFonts w:hint="default" w:ascii="Times New Roman" w:hAnsi="Times New Roman" w:eastAsia="宋体" w:cs="Times New Roman"/>
                <w:color w:val="auto"/>
                <w:sz w:val="24"/>
                <w:szCs w:val="24"/>
                <w:u w:val="none" w:color="auto"/>
                <w:lang w:val="en-US" w:eastAsia="zh-CN"/>
              </w:rPr>
              <w:t>无组织废气</w:t>
            </w:r>
          </w:p>
          <w:p w14:paraId="08EBBF8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本项目生产过程中，物料卸料（本项目原料多为</w:t>
            </w:r>
            <w:r>
              <w:rPr>
                <w:rFonts w:hint="eastAsia" w:cs="Times New Roman"/>
                <w:color w:val="auto"/>
                <w:sz w:val="24"/>
                <w:szCs w:val="24"/>
                <w:u w:val="none" w:color="auto"/>
                <w:lang w:val="en-US" w:eastAsia="zh-CN"/>
              </w:rPr>
              <w:t>结晶状</w:t>
            </w:r>
            <w:r>
              <w:rPr>
                <w:rFonts w:hint="default" w:ascii="Times New Roman" w:hAnsi="Times New Roman" w:cs="Times New Roman"/>
                <w:color w:val="auto"/>
                <w:sz w:val="24"/>
                <w:szCs w:val="24"/>
                <w:u w:val="none" w:color="auto"/>
                <w:lang w:val="en-US" w:eastAsia="zh-CN"/>
              </w:rPr>
              <w:t>、颗粒状）、玻璃裁切（</w:t>
            </w:r>
            <w:r>
              <w:rPr>
                <w:rFonts w:hint="default" w:ascii="Times New Roman" w:hAnsi="Times New Roman" w:eastAsia="宋体" w:cs="Times New Roman"/>
                <w:color w:val="auto"/>
                <w:sz w:val="24"/>
                <w:szCs w:val="24"/>
                <w:u w:val="none" w:color="auto"/>
                <w:lang w:val="en-US" w:eastAsia="zh-CN"/>
              </w:rPr>
              <w:t>玻璃带进入冷端切裁区，</w:t>
            </w:r>
            <w:r>
              <w:rPr>
                <w:rFonts w:hint="default" w:ascii="Times New Roman" w:hAnsi="Times New Roman" w:cs="Times New Roman"/>
                <w:color w:val="auto"/>
                <w:sz w:val="24"/>
                <w:szCs w:val="24"/>
                <w:u w:val="none" w:color="auto"/>
                <w:lang w:val="en-US" w:eastAsia="zh-CN"/>
              </w:rPr>
              <w:t>通过横切机、纵切机</w:t>
            </w:r>
            <w:r>
              <w:rPr>
                <w:rFonts w:hint="default" w:ascii="Times New Roman" w:hAnsi="Times New Roman" w:eastAsia="宋体" w:cs="Times New Roman"/>
                <w:color w:val="auto"/>
                <w:sz w:val="24"/>
                <w:szCs w:val="24"/>
                <w:u w:val="none" w:color="auto"/>
                <w:lang w:val="en-US" w:eastAsia="zh-CN"/>
              </w:rPr>
              <w:t>实现自动切割、裁断等操作</w:t>
            </w:r>
            <w:r>
              <w:rPr>
                <w:rFonts w:hint="default" w:ascii="Times New Roman" w:hAnsi="Times New Roman" w:cs="Times New Roman"/>
                <w:color w:val="auto"/>
                <w:sz w:val="24"/>
                <w:szCs w:val="24"/>
                <w:u w:val="none" w:color="auto"/>
                <w:lang w:val="en-US" w:eastAsia="zh-CN"/>
              </w:rPr>
              <w:t>）、吹风清扫（本项目设置吹风清扫工序，吹风清扫是玻璃加工的关键清洁步骤，主要用于去除玻璃表面的粉尘、碎屑，本项目主要用于裁切后的玻璃清洁）过程中均会产生少量的颗粒物。由于产生量较小，粉尘无组织排放或落至地面。</w:t>
            </w:r>
            <w:r>
              <w:rPr>
                <w:rFonts w:hint="default" w:ascii="Times New Roman" w:hAnsi="Times New Roman" w:eastAsia="宋体" w:cs="Times New Roman"/>
                <w:color w:val="auto"/>
                <w:sz w:val="24"/>
                <w:szCs w:val="24"/>
                <w:u w:val="none" w:color="auto"/>
                <w:lang w:val="en-US" w:eastAsia="zh-CN"/>
              </w:rPr>
              <w:t>本项目不定量分析。</w:t>
            </w:r>
          </w:p>
          <w:p w14:paraId="7342A8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color w:val="000000"/>
                <w:kern w:val="0"/>
                <w:sz w:val="24"/>
                <w:szCs w:val="24"/>
                <w:lang w:val="en-US" w:eastAsia="zh-CN"/>
              </w:rPr>
            </w:pPr>
            <w:r>
              <w:rPr>
                <w:rFonts w:hint="eastAsia" w:cs="Times New Roman"/>
                <w:b/>
                <w:bCs/>
                <w:color w:val="000000"/>
                <w:kern w:val="0"/>
                <w:sz w:val="24"/>
                <w:szCs w:val="24"/>
                <w:lang w:val="en-US" w:eastAsia="zh-CN"/>
              </w:rPr>
              <w:t>2.1.3</w:t>
            </w:r>
            <w:r>
              <w:rPr>
                <w:rFonts w:hint="eastAsia" w:ascii="Times New Roman" w:hAnsi="Times New Roman" w:cs="Times New Roman"/>
                <w:b/>
                <w:bCs/>
                <w:color w:val="000000"/>
                <w:kern w:val="0"/>
                <w:sz w:val="24"/>
                <w:szCs w:val="24"/>
                <w:lang w:val="en-US" w:eastAsia="zh-CN"/>
              </w:rPr>
              <w:t>污染物排放</w:t>
            </w:r>
          </w:p>
          <w:p w14:paraId="375F703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auto"/>
                <w:sz w:val="24"/>
                <w:szCs w:val="24"/>
                <w:u w:val="none" w:color="auto"/>
                <w:lang w:val="en-US" w:eastAsia="zh-CN"/>
              </w:rPr>
              <w:t>项目</w:t>
            </w:r>
            <w:r>
              <w:rPr>
                <w:rFonts w:hint="eastAsia" w:eastAsia="宋体" w:cs="Times New Roman"/>
                <w:color w:val="auto"/>
                <w:sz w:val="24"/>
                <w:szCs w:val="24"/>
                <w:u w:val="none" w:color="auto"/>
                <w:lang w:val="en-US" w:eastAsia="zh-CN"/>
              </w:rPr>
              <w:t>全厂</w:t>
            </w:r>
            <w:r>
              <w:rPr>
                <w:rFonts w:hint="eastAsia" w:ascii="Times New Roman" w:hAnsi="Times New Roman" w:eastAsia="宋体" w:cs="Times New Roman"/>
                <w:color w:val="auto"/>
                <w:sz w:val="24"/>
                <w:szCs w:val="24"/>
                <w:u w:val="none" w:color="auto"/>
                <w:lang w:val="en-US" w:eastAsia="zh-CN"/>
              </w:rPr>
              <w:t>共设置</w:t>
            </w:r>
            <w:r>
              <w:rPr>
                <w:rFonts w:hint="eastAsia" w:cs="Times New Roman"/>
                <w:color w:val="auto"/>
                <w:sz w:val="24"/>
                <w:szCs w:val="24"/>
                <w:u w:val="none" w:color="auto"/>
                <w:lang w:val="en-US" w:eastAsia="zh-CN"/>
              </w:rPr>
              <w:t>五</w:t>
            </w:r>
            <w:r>
              <w:rPr>
                <w:rFonts w:hint="eastAsia" w:ascii="Times New Roman" w:hAnsi="Times New Roman" w:eastAsia="宋体" w:cs="Times New Roman"/>
                <w:color w:val="auto"/>
                <w:sz w:val="24"/>
                <w:szCs w:val="24"/>
                <w:u w:val="none" w:color="auto"/>
                <w:lang w:val="en-US" w:eastAsia="zh-CN"/>
              </w:rPr>
              <w:t>条生产线，</w:t>
            </w:r>
            <w:r>
              <w:rPr>
                <w:rFonts w:hint="eastAsia" w:eastAsia="宋体" w:cs="Times New Roman"/>
                <w:color w:val="auto"/>
                <w:sz w:val="24"/>
                <w:szCs w:val="24"/>
                <w:u w:val="none" w:color="auto"/>
                <w:lang w:val="en-US" w:eastAsia="zh-CN"/>
              </w:rPr>
              <w:t>其中1#、2#生产线位于2#生产车间，生产防火玻璃，两条生产线分别产能为10950t/a，配料间共用。</w:t>
            </w:r>
            <w:r>
              <w:rPr>
                <w:rFonts w:hint="eastAsia" w:ascii="Times New Roman" w:hAnsi="Times New Roman" w:eastAsia="宋体" w:cs="Times New Roman"/>
                <w:color w:val="000000"/>
                <w:kern w:val="0"/>
                <w:sz w:val="24"/>
                <w:szCs w:val="24"/>
                <w:lang w:val="en-US" w:eastAsia="zh-CN"/>
              </w:rPr>
              <w:t>1#生产线</w:t>
            </w:r>
            <w:r>
              <w:rPr>
                <w:rFonts w:hint="eastAsia" w:cs="Times New Roman"/>
                <w:color w:val="000000"/>
                <w:kern w:val="0"/>
                <w:sz w:val="24"/>
                <w:szCs w:val="24"/>
                <w:lang w:val="en-US" w:eastAsia="zh-CN"/>
              </w:rPr>
              <w:t>布料</w:t>
            </w:r>
            <w:r>
              <w:rPr>
                <w:rFonts w:hint="eastAsia" w:ascii="Times New Roman" w:hAnsi="Times New Roman" w:eastAsia="宋体" w:cs="Times New Roman"/>
                <w:color w:val="000000"/>
                <w:kern w:val="0"/>
                <w:sz w:val="24"/>
                <w:szCs w:val="24"/>
                <w:lang w:val="en-US" w:eastAsia="zh-CN"/>
              </w:rPr>
              <w:t>粉尘经集气罩收集（收集效率9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%），收集后的粉尘与经管道收集（收集效率9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%）的</w:t>
            </w:r>
            <w:r>
              <w:rPr>
                <w:rFonts w:hint="default" w:ascii="Times New Roman" w:hAnsi="Times New Roman" w:eastAsia="宋体" w:cs="Times New Roman"/>
                <w:color w:val="000000"/>
                <w:kern w:val="0"/>
                <w:sz w:val="24"/>
                <w:szCs w:val="24"/>
                <w:lang w:val="en-US" w:eastAsia="zh-CN"/>
              </w:rPr>
              <w:t>熔化废气</w:t>
            </w:r>
            <w:r>
              <w:rPr>
                <w:rFonts w:hint="eastAsia" w:ascii="Times New Roman" w:hAnsi="Times New Roman" w:eastAsia="宋体" w:cs="Times New Roman"/>
                <w:color w:val="000000"/>
                <w:kern w:val="0"/>
                <w:sz w:val="24"/>
                <w:szCs w:val="24"/>
                <w:lang w:val="en-US" w:eastAsia="zh-CN"/>
              </w:rPr>
              <w:t>一起由</w:t>
            </w:r>
            <w:r>
              <w:rPr>
                <w:rFonts w:hint="eastAsia" w:cs="Times New Roman"/>
                <w:color w:val="000000"/>
                <w:kern w:val="0"/>
                <w:sz w:val="24"/>
                <w:szCs w:val="24"/>
                <w:lang w:val="en-US" w:eastAsia="zh-CN"/>
              </w:rPr>
              <w:t>“1#布袋除尘器”</w:t>
            </w:r>
            <w:r>
              <w:rPr>
                <w:rFonts w:hint="eastAsia" w:ascii="Times New Roman" w:hAnsi="Times New Roman" w:eastAsia="宋体" w:cs="Times New Roman"/>
                <w:color w:val="000000"/>
                <w:kern w:val="0"/>
                <w:sz w:val="24"/>
                <w:szCs w:val="24"/>
                <w:lang w:val="en-US" w:eastAsia="zh-CN"/>
              </w:rPr>
              <w:t>处理（处理效率9</w:t>
            </w:r>
            <w:r>
              <w:rPr>
                <w:rFonts w:hint="eastAsia" w:cs="Times New Roman"/>
                <w:color w:val="000000"/>
                <w:kern w:val="0"/>
                <w:sz w:val="24"/>
                <w:szCs w:val="24"/>
                <w:lang w:val="en-US" w:eastAsia="zh-CN"/>
              </w:rPr>
              <w:t>9</w:t>
            </w:r>
            <w:r>
              <w:rPr>
                <w:rFonts w:hint="eastAsia" w:ascii="Times New Roman" w:hAnsi="Times New Roman" w:eastAsia="宋体" w:cs="Times New Roman"/>
                <w:color w:val="000000"/>
                <w:kern w:val="0"/>
                <w:sz w:val="24"/>
                <w:szCs w:val="24"/>
                <w:lang w:val="en-US" w:eastAsia="zh-CN"/>
              </w:rPr>
              <w:t>%）达标后，通过DA001排气筒排放。2#生产线</w:t>
            </w:r>
            <w:r>
              <w:rPr>
                <w:rFonts w:hint="eastAsia" w:cs="Times New Roman"/>
                <w:color w:val="000000"/>
                <w:kern w:val="0"/>
                <w:sz w:val="24"/>
                <w:szCs w:val="24"/>
                <w:lang w:val="en-US" w:eastAsia="zh-CN"/>
              </w:rPr>
              <w:t>布料</w:t>
            </w:r>
            <w:r>
              <w:rPr>
                <w:rFonts w:hint="eastAsia" w:ascii="Times New Roman" w:hAnsi="Times New Roman" w:eastAsia="宋体" w:cs="Times New Roman"/>
                <w:color w:val="000000"/>
                <w:kern w:val="0"/>
                <w:sz w:val="24"/>
                <w:szCs w:val="24"/>
                <w:lang w:val="en-US" w:eastAsia="zh-CN"/>
              </w:rPr>
              <w:t>粉尘经集气罩收集（收集效率9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%）后，与经管道收集（收集效率9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%）的</w:t>
            </w:r>
            <w:r>
              <w:rPr>
                <w:rFonts w:hint="default" w:ascii="Times New Roman" w:hAnsi="Times New Roman" w:eastAsia="宋体" w:cs="Times New Roman"/>
                <w:color w:val="000000"/>
                <w:kern w:val="0"/>
                <w:sz w:val="24"/>
                <w:szCs w:val="24"/>
                <w:lang w:val="en-US" w:eastAsia="zh-CN"/>
              </w:rPr>
              <w:t>熔化废气</w:t>
            </w:r>
            <w:r>
              <w:rPr>
                <w:rFonts w:hint="eastAsia" w:ascii="Times New Roman" w:hAnsi="Times New Roman" w:eastAsia="宋体" w:cs="Times New Roman"/>
                <w:color w:val="000000"/>
                <w:kern w:val="0"/>
                <w:sz w:val="24"/>
                <w:szCs w:val="24"/>
                <w:lang w:val="en-US" w:eastAsia="zh-CN"/>
              </w:rPr>
              <w:t>一起由</w:t>
            </w:r>
            <w:r>
              <w:rPr>
                <w:rFonts w:hint="eastAsia" w:cs="Times New Roman"/>
                <w:color w:val="000000"/>
                <w:kern w:val="0"/>
                <w:sz w:val="24"/>
                <w:szCs w:val="24"/>
                <w:lang w:val="en-US" w:eastAsia="zh-CN"/>
              </w:rPr>
              <w:t>“2#布袋除尘器”</w:t>
            </w:r>
            <w:r>
              <w:rPr>
                <w:rFonts w:hint="eastAsia" w:ascii="Times New Roman" w:hAnsi="Times New Roman" w:eastAsia="宋体" w:cs="Times New Roman"/>
                <w:color w:val="000000"/>
                <w:kern w:val="0"/>
                <w:sz w:val="24"/>
                <w:szCs w:val="24"/>
                <w:lang w:val="en-US" w:eastAsia="zh-CN"/>
              </w:rPr>
              <w:t>处理（处理效率9</w:t>
            </w:r>
            <w:r>
              <w:rPr>
                <w:rFonts w:hint="eastAsia" w:cs="Times New Roman"/>
                <w:color w:val="000000"/>
                <w:kern w:val="0"/>
                <w:sz w:val="24"/>
                <w:szCs w:val="24"/>
                <w:lang w:val="en-US" w:eastAsia="zh-CN"/>
              </w:rPr>
              <w:t>9</w:t>
            </w:r>
            <w:r>
              <w:rPr>
                <w:rFonts w:hint="eastAsia" w:ascii="Times New Roman" w:hAnsi="Times New Roman" w:eastAsia="宋体" w:cs="Times New Roman"/>
                <w:color w:val="000000"/>
                <w:kern w:val="0"/>
                <w:sz w:val="24"/>
                <w:szCs w:val="24"/>
                <w:lang w:val="en-US" w:eastAsia="zh-CN"/>
              </w:rPr>
              <w:t>%）达标后，通过DA002排气筒排放。</w:t>
            </w:r>
            <w:r>
              <w:rPr>
                <w:rFonts w:hint="eastAsia" w:eastAsia="宋体" w:cs="Times New Roman"/>
                <w:color w:val="auto"/>
                <w:sz w:val="24"/>
                <w:szCs w:val="24"/>
                <w:u w:val="none" w:color="auto"/>
                <w:lang w:val="en-US" w:eastAsia="zh-CN"/>
              </w:rPr>
              <w:t>1#、2#生产线</w:t>
            </w:r>
            <w:r>
              <w:rPr>
                <w:rFonts w:hint="eastAsia" w:cs="Times New Roman"/>
                <w:color w:val="auto"/>
                <w:sz w:val="24"/>
                <w:szCs w:val="24"/>
                <w:u w:val="none" w:color="auto"/>
                <w:lang w:val="en-US" w:eastAsia="zh-CN"/>
              </w:rPr>
              <w:t>火焰抛光</w:t>
            </w:r>
            <w:r>
              <w:rPr>
                <w:rFonts w:hint="eastAsia" w:eastAsia="宋体" w:cs="Times New Roman"/>
                <w:color w:val="auto"/>
                <w:sz w:val="24"/>
                <w:szCs w:val="24"/>
                <w:u w:val="none" w:color="auto"/>
                <w:lang w:val="en-US" w:eastAsia="zh-CN"/>
              </w:rPr>
              <w:t>工序产生的天然气燃烧废气，分别经集气罩</w:t>
            </w:r>
            <w:r>
              <w:rPr>
                <w:rFonts w:hint="eastAsia" w:ascii="Times New Roman" w:hAnsi="Times New Roman" w:eastAsia="宋体" w:cs="Times New Roman"/>
                <w:color w:val="000000"/>
                <w:kern w:val="0"/>
                <w:sz w:val="24"/>
                <w:szCs w:val="24"/>
                <w:lang w:val="en-US" w:eastAsia="zh-CN"/>
              </w:rPr>
              <w:t>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%）后，通过DA006排气筒排放。</w:t>
            </w:r>
          </w:p>
          <w:p w14:paraId="4E907AA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eastAsia="宋体" w:cs="Times New Roman"/>
                <w:color w:val="auto"/>
                <w:sz w:val="24"/>
                <w:szCs w:val="24"/>
                <w:u w:val="none" w:color="auto"/>
                <w:lang w:val="en-US" w:eastAsia="zh-CN"/>
              </w:rPr>
              <w:t>3#、4#生产线位于1#生产车间，生产光热玻璃，两条生产线分别产能为3</w:t>
            </w:r>
            <w:r>
              <w:rPr>
                <w:rFonts w:hint="eastAsia" w:cs="Times New Roman"/>
                <w:color w:val="auto"/>
                <w:sz w:val="24"/>
                <w:szCs w:val="24"/>
                <w:u w:val="none" w:color="auto"/>
                <w:lang w:val="en-US" w:eastAsia="zh-CN"/>
              </w:rPr>
              <w:t>50</w:t>
            </w:r>
            <w:r>
              <w:rPr>
                <w:rFonts w:hint="eastAsia" w:eastAsia="宋体" w:cs="Times New Roman"/>
                <w:color w:val="auto"/>
                <w:sz w:val="24"/>
                <w:szCs w:val="24"/>
                <w:u w:val="none" w:color="auto"/>
                <w:lang w:val="en-US" w:eastAsia="zh-CN"/>
              </w:rPr>
              <w:t>0t/a、10</w:t>
            </w:r>
            <w:r>
              <w:rPr>
                <w:rFonts w:hint="eastAsia" w:cs="Times New Roman"/>
                <w:color w:val="auto"/>
                <w:sz w:val="24"/>
                <w:szCs w:val="24"/>
                <w:u w:val="none" w:color="auto"/>
                <w:lang w:val="en-US" w:eastAsia="zh-CN"/>
              </w:rPr>
              <w:t>50</w:t>
            </w:r>
            <w:r>
              <w:rPr>
                <w:rFonts w:hint="eastAsia" w:eastAsia="宋体" w:cs="Times New Roman"/>
                <w:color w:val="auto"/>
                <w:sz w:val="24"/>
                <w:szCs w:val="24"/>
                <w:u w:val="none" w:color="auto"/>
                <w:lang w:val="en-US" w:eastAsia="zh-CN"/>
              </w:rPr>
              <w:t>0t/a，配料间共用</w:t>
            </w:r>
            <w:r>
              <w:rPr>
                <w:rFonts w:hint="eastAsia" w:ascii="Times New Roman" w:hAnsi="Times New Roman" w:eastAsia="宋体" w:cs="Times New Roman"/>
                <w:color w:val="000000"/>
                <w:kern w:val="0"/>
                <w:sz w:val="24"/>
                <w:szCs w:val="24"/>
                <w:lang w:val="en-US" w:eastAsia="zh-CN"/>
              </w:rPr>
              <w:t>，</w:t>
            </w:r>
            <w:r>
              <w:rPr>
                <w:rFonts w:hint="eastAsia" w:eastAsia="宋体" w:cs="Times New Roman"/>
                <w:color w:val="000000"/>
                <w:kern w:val="0"/>
                <w:sz w:val="24"/>
                <w:szCs w:val="24"/>
                <w:lang w:val="en-US" w:eastAsia="zh-CN"/>
              </w:rPr>
              <w:t>3</w:t>
            </w:r>
            <w:r>
              <w:rPr>
                <w:rFonts w:hint="eastAsia" w:ascii="Times New Roman" w:hAnsi="Times New Roman" w:eastAsia="宋体" w:cs="Times New Roman"/>
                <w:color w:val="000000"/>
                <w:kern w:val="0"/>
                <w:sz w:val="24"/>
                <w:szCs w:val="24"/>
                <w:lang w:val="en-US" w:eastAsia="zh-CN"/>
              </w:rPr>
              <w:t>#生产线</w:t>
            </w:r>
            <w:r>
              <w:rPr>
                <w:rFonts w:hint="eastAsia" w:cs="Times New Roman"/>
                <w:color w:val="000000"/>
                <w:kern w:val="0"/>
                <w:sz w:val="24"/>
                <w:szCs w:val="24"/>
                <w:lang w:val="en-US" w:eastAsia="zh-CN"/>
              </w:rPr>
              <w:t>布料</w:t>
            </w:r>
            <w:r>
              <w:rPr>
                <w:rFonts w:hint="eastAsia" w:ascii="Times New Roman" w:hAnsi="Times New Roman" w:eastAsia="宋体" w:cs="Times New Roman"/>
                <w:color w:val="000000"/>
                <w:kern w:val="0"/>
                <w:sz w:val="24"/>
                <w:szCs w:val="24"/>
                <w:lang w:val="en-US" w:eastAsia="zh-CN"/>
              </w:rPr>
              <w:t>粉尘经集气罩收集（收集效率9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%），收集后的粉尘与经管道收集（收集效率9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%）的</w:t>
            </w:r>
            <w:r>
              <w:rPr>
                <w:rFonts w:hint="default" w:ascii="Times New Roman" w:hAnsi="Times New Roman" w:eastAsia="宋体" w:cs="Times New Roman"/>
                <w:color w:val="000000"/>
                <w:kern w:val="0"/>
                <w:sz w:val="24"/>
                <w:szCs w:val="24"/>
                <w:lang w:val="en-US" w:eastAsia="zh-CN"/>
              </w:rPr>
              <w:t>熔化废气</w:t>
            </w:r>
            <w:r>
              <w:rPr>
                <w:rFonts w:hint="eastAsia" w:ascii="Times New Roman" w:hAnsi="Times New Roman" w:eastAsia="宋体" w:cs="Times New Roman"/>
                <w:color w:val="000000"/>
                <w:kern w:val="0"/>
                <w:sz w:val="24"/>
                <w:szCs w:val="24"/>
                <w:lang w:val="en-US" w:eastAsia="zh-CN"/>
              </w:rPr>
              <w:t>一起由</w:t>
            </w:r>
            <w:r>
              <w:rPr>
                <w:rFonts w:hint="eastAsia" w:cs="Times New Roman"/>
                <w:color w:val="000000"/>
                <w:kern w:val="0"/>
                <w:sz w:val="24"/>
                <w:szCs w:val="24"/>
                <w:lang w:val="en-US" w:eastAsia="zh-CN"/>
              </w:rPr>
              <w:t>“3#布袋除尘器”</w:t>
            </w:r>
            <w:r>
              <w:rPr>
                <w:rFonts w:hint="eastAsia" w:ascii="Times New Roman" w:hAnsi="Times New Roman" w:eastAsia="宋体" w:cs="Times New Roman"/>
                <w:color w:val="000000"/>
                <w:kern w:val="0"/>
                <w:sz w:val="24"/>
                <w:szCs w:val="24"/>
                <w:lang w:val="en-US" w:eastAsia="zh-CN"/>
              </w:rPr>
              <w:t>处理（处理效率9</w:t>
            </w:r>
            <w:r>
              <w:rPr>
                <w:rFonts w:hint="eastAsia" w:cs="Times New Roman"/>
                <w:color w:val="000000"/>
                <w:kern w:val="0"/>
                <w:sz w:val="24"/>
                <w:szCs w:val="24"/>
                <w:lang w:val="en-US" w:eastAsia="zh-CN"/>
              </w:rPr>
              <w:t>9</w:t>
            </w:r>
            <w:r>
              <w:rPr>
                <w:rFonts w:hint="eastAsia" w:ascii="Times New Roman" w:hAnsi="Times New Roman" w:eastAsia="宋体" w:cs="Times New Roman"/>
                <w:color w:val="000000"/>
                <w:kern w:val="0"/>
                <w:sz w:val="24"/>
                <w:szCs w:val="24"/>
                <w:lang w:val="en-US" w:eastAsia="zh-CN"/>
              </w:rPr>
              <w:t>%）达标后，通过DA00</w:t>
            </w:r>
            <w:r>
              <w:rPr>
                <w:rFonts w:hint="eastAsia" w:eastAsia="宋体" w:cs="Times New Roman"/>
                <w:color w:val="000000"/>
                <w:kern w:val="0"/>
                <w:sz w:val="24"/>
                <w:szCs w:val="24"/>
                <w:lang w:val="en-US" w:eastAsia="zh-CN"/>
              </w:rPr>
              <w:t>3</w:t>
            </w:r>
            <w:r>
              <w:rPr>
                <w:rFonts w:hint="eastAsia" w:ascii="Times New Roman" w:hAnsi="Times New Roman" w:eastAsia="宋体" w:cs="Times New Roman"/>
                <w:color w:val="000000"/>
                <w:kern w:val="0"/>
                <w:sz w:val="24"/>
                <w:szCs w:val="24"/>
                <w:lang w:val="en-US" w:eastAsia="zh-CN"/>
              </w:rPr>
              <w:t>排气筒排放。</w:t>
            </w:r>
            <w:r>
              <w:rPr>
                <w:rFonts w:hint="eastAsia" w:eastAsia="宋体" w:cs="Times New Roman"/>
                <w:color w:val="000000"/>
                <w:kern w:val="0"/>
                <w:sz w:val="24"/>
                <w:szCs w:val="24"/>
                <w:lang w:val="en-US" w:eastAsia="zh-CN"/>
              </w:rPr>
              <w:t>4</w:t>
            </w:r>
            <w:r>
              <w:rPr>
                <w:rFonts w:hint="eastAsia" w:ascii="Times New Roman" w:hAnsi="Times New Roman" w:eastAsia="宋体" w:cs="Times New Roman"/>
                <w:color w:val="000000"/>
                <w:kern w:val="0"/>
                <w:sz w:val="24"/>
                <w:szCs w:val="24"/>
                <w:lang w:val="en-US" w:eastAsia="zh-CN"/>
              </w:rPr>
              <w:t>#生产线</w:t>
            </w:r>
            <w:r>
              <w:rPr>
                <w:rFonts w:hint="eastAsia" w:cs="Times New Roman"/>
                <w:color w:val="000000"/>
                <w:kern w:val="0"/>
                <w:sz w:val="24"/>
                <w:szCs w:val="24"/>
                <w:lang w:val="en-US" w:eastAsia="zh-CN"/>
              </w:rPr>
              <w:t>布料</w:t>
            </w:r>
            <w:r>
              <w:rPr>
                <w:rFonts w:hint="eastAsia" w:ascii="Times New Roman" w:hAnsi="Times New Roman" w:eastAsia="宋体" w:cs="Times New Roman"/>
                <w:color w:val="000000"/>
                <w:kern w:val="0"/>
                <w:sz w:val="24"/>
                <w:szCs w:val="24"/>
                <w:lang w:val="en-US" w:eastAsia="zh-CN"/>
              </w:rPr>
              <w:t>粉尘经集气罩收集（收集效率9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%）后，与经管道收集（收集效率9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%）的</w:t>
            </w:r>
            <w:r>
              <w:rPr>
                <w:rFonts w:hint="default" w:ascii="Times New Roman" w:hAnsi="Times New Roman" w:eastAsia="宋体" w:cs="Times New Roman"/>
                <w:color w:val="000000"/>
                <w:kern w:val="0"/>
                <w:sz w:val="24"/>
                <w:szCs w:val="24"/>
                <w:lang w:val="en-US" w:eastAsia="zh-CN"/>
              </w:rPr>
              <w:t>熔化废气</w:t>
            </w:r>
            <w:r>
              <w:rPr>
                <w:rFonts w:hint="eastAsia" w:ascii="Times New Roman" w:hAnsi="Times New Roman" w:eastAsia="宋体" w:cs="Times New Roman"/>
                <w:color w:val="000000"/>
                <w:kern w:val="0"/>
                <w:sz w:val="24"/>
                <w:szCs w:val="24"/>
                <w:lang w:val="en-US" w:eastAsia="zh-CN"/>
              </w:rPr>
              <w:t>一起由</w:t>
            </w:r>
            <w:r>
              <w:rPr>
                <w:rFonts w:hint="eastAsia" w:cs="Times New Roman"/>
                <w:color w:val="000000"/>
                <w:kern w:val="0"/>
                <w:sz w:val="24"/>
                <w:szCs w:val="24"/>
                <w:lang w:val="en-US" w:eastAsia="zh-CN"/>
              </w:rPr>
              <w:t>“4#布袋除尘器”</w:t>
            </w:r>
            <w:r>
              <w:rPr>
                <w:rFonts w:hint="eastAsia" w:ascii="Times New Roman" w:hAnsi="Times New Roman" w:eastAsia="宋体" w:cs="Times New Roman"/>
                <w:color w:val="000000"/>
                <w:kern w:val="0"/>
                <w:sz w:val="24"/>
                <w:szCs w:val="24"/>
                <w:lang w:val="en-US" w:eastAsia="zh-CN"/>
              </w:rPr>
              <w:t>处理（处理效率9</w:t>
            </w:r>
            <w:r>
              <w:rPr>
                <w:rFonts w:hint="eastAsia" w:cs="Times New Roman"/>
                <w:color w:val="000000"/>
                <w:kern w:val="0"/>
                <w:sz w:val="24"/>
                <w:szCs w:val="24"/>
                <w:lang w:val="en-US" w:eastAsia="zh-CN"/>
              </w:rPr>
              <w:t>9</w:t>
            </w:r>
            <w:r>
              <w:rPr>
                <w:rFonts w:hint="eastAsia" w:ascii="Times New Roman" w:hAnsi="Times New Roman" w:eastAsia="宋体" w:cs="Times New Roman"/>
                <w:color w:val="000000"/>
                <w:kern w:val="0"/>
                <w:sz w:val="24"/>
                <w:szCs w:val="24"/>
                <w:lang w:val="en-US" w:eastAsia="zh-CN"/>
              </w:rPr>
              <w:t>%）达标后，通过DA00</w:t>
            </w:r>
            <w:r>
              <w:rPr>
                <w:rFonts w:hint="eastAsia" w:eastAsia="宋体" w:cs="Times New Roman"/>
                <w:color w:val="000000"/>
                <w:kern w:val="0"/>
                <w:sz w:val="24"/>
                <w:szCs w:val="24"/>
                <w:lang w:val="en-US" w:eastAsia="zh-CN"/>
              </w:rPr>
              <w:t>4</w:t>
            </w:r>
            <w:r>
              <w:rPr>
                <w:rFonts w:hint="eastAsia" w:ascii="Times New Roman" w:hAnsi="Times New Roman" w:eastAsia="宋体" w:cs="Times New Roman"/>
                <w:color w:val="000000"/>
                <w:kern w:val="0"/>
                <w:sz w:val="24"/>
                <w:szCs w:val="24"/>
                <w:lang w:val="en-US" w:eastAsia="zh-CN"/>
              </w:rPr>
              <w:t>排气筒排放。</w:t>
            </w:r>
            <w:r>
              <w:rPr>
                <w:rFonts w:hint="eastAsia" w:cs="Times New Roman"/>
                <w:color w:val="auto"/>
                <w:sz w:val="24"/>
                <w:szCs w:val="24"/>
                <w:u w:val="none" w:color="auto"/>
                <w:lang w:val="en-US" w:eastAsia="zh-CN"/>
              </w:rPr>
              <w:t>3</w:t>
            </w:r>
            <w:r>
              <w:rPr>
                <w:rFonts w:hint="eastAsia" w:eastAsia="宋体" w:cs="Times New Roman"/>
                <w:color w:val="auto"/>
                <w:sz w:val="24"/>
                <w:szCs w:val="24"/>
                <w:u w:val="none" w:color="auto"/>
                <w:lang w:val="en-US" w:eastAsia="zh-CN"/>
              </w:rPr>
              <w:t>#、</w:t>
            </w:r>
            <w:r>
              <w:rPr>
                <w:rFonts w:hint="eastAsia" w:cs="Times New Roman"/>
                <w:color w:val="auto"/>
                <w:sz w:val="24"/>
                <w:szCs w:val="24"/>
                <w:u w:val="none" w:color="auto"/>
                <w:lang w:val="en-US" w:eastAsia="zh-CN"/>
              </w:rPr>
              <w:t>4</w:t>
            </w:r>
            <w:r>
              <w:rPr>
                <w:rFonts w:hint="eastAsia" w:eastAsia="宋体" w:cs="Times New Roman"/>
                <w:color w:val="auto"/>
                <w:sz w:val="24"/>
                <w:szCs w:val="24"/>
                <w:u w:val="none" w:color="auto"/>
                <w:lang w:val="en-US" w:eastAsia="zh-CN"/>
              </w:rPr>
              <w:t>#生产线</w:t>
            </w:r>
            <w:r>
              <w:rPr>
                <w:rFonts w:hint="eastAsia" w:cs="Times New Roman"/>
                <w:color w:val="auto"/>
                <w:sz w:val="24"/>
                <w:szCs w:val="24"/>
                <w:u w:val="none" w:color="auto"/>
                <w:lang w:val="en-US" w:eastAsia="zh-CN"/>
              </w:rPr>
              <w:t>火焰抛光</w:t>
            </w:r>
            <w:r>
              <w:rPr>
                <w:rFonts w:hint="eastAsia" w:eastAsia="宋体" w:cs="Times New Roman"/>
                <w:color w:val="auto"/>
                <w:sz w:val="24"/>
                <w:szCs w:val="24"/>
                <w:u w:val="none" w:color="auto"/>
                <w:lang w:val="en-US" w:eastAsia="zh-CN"/>
              </w:rPr>
              <w:t>工序产生的天然气燃烧废气，分别经集气罩</w:t>
            </w:r>
            <w:r>
              <w:rPr>
                <w:rFonts w:hint="eastAsia" w:ascii="Times New Roman" w:hAnsi="Times New Roman" w:eastAsia="宋体" w:cs="Times New Roman"/>
                <w:color w:val="000000"/>
                <w:kern w:val="0"/>
                <w:sz w:val="24"/>
                <w:szCs w:val="24"/>
                <w:lang w:val="en-US" w:eastAsia="zh-CN"/>
              </w:rPr>
              <w:t>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%）后，通过DA00</w:t>
            </w:r>
            <w:r>
              <w:rPr>
                <w:rFonts w:hint="eastAsia" w:cs="Times New Roman"/>
                <w:color w:val="000000"/>
                <w:kern w:val="0"/>
                <w:sz w:val="24"/>
                <w:szCs w:val="24"/>
                <w:lang w:val="en-US" w:eastAsia="zh-CN"/>
              </w:rPr>
              <w:t>7</w:t>
            </w:r>
            <w:r>
              <w:rPr>
                <w:rFonts w:hint="eastAsia" w:ascii="Times New Roman" w:hAnsi="Times New Roman" w:eastAsia="宋体" w:cs="Times New Roman"/>
                <w:color w:val="000000"/>
                <w:kern w:val="0"/>
                <w:sz w:val="24"/>
                <w:szCs w:val="24"/>
                <w:lang w:val="en-US" w:eastAsia="zh-CN"/>
              </w:rPr>
              <w:t>排气筒排放。</w:t>
            </w:r>
          </w:p>
          <w:p w14:paraId="7FB95C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000000"/>
                <w:kern w:val="0"/>
                <w:sz w:val="24"/>
                <w:szCs w:val="24"/>
                <w:lang w:val="en-US" w:eastAsia="zh-CN"/>
              </w:rPr>
            </w:pPr>
            <w:r>
              <w:rPr>
                <w:rFonts w:hint="eastAsia" w:eastAsia="宋体" w:cs="Times New Roman"/>
                <w:color w:val="auto"/>
                <w:sz w:val="24"/>
                <w:szCs w:val="24"/>
                <w:u w:val="none" w:color="auto"/>
                <w:lang w:val="en-US" w:eastAsia="zh-CN"/>
              </w:rPr>
              <w:t>5#生产线位于3#生产车间，生产玻璃制品，产能为6</w:t>
            </w:r>
            <w:r>
              <w:rPr>
                <w:rFonts w:hint="eastAsia" w:cs="Times New Roman"/>
                <w:color w:val="auto"/>
                <w:sz w:val="24"/>
                <w:szCs w:val="24"/>
                <w:u w:val="none" w:color="auto"/>
                <w:lang w:val="en-US" w:eastAsia="zh-CN"/>
              </w:rPr>
              <w:t>0</w:t>
            </w:r>
            <w:r>
              <w:rPr>
                <w:rFonts w:hint="eastAsia" w:eastAsia="宋体" w:cs="Times New Roman"/>
                <w:color w:val="auto"/>
                <w:sz w:val="24"/>
                <w:szCs w:val="24"/>
                <w:u w:val="none" w:color="auto"/>
                <w:lang w:val="en-US" w:eastAsia="zh-CN"/>
              </w:rPr>
              <w:t>0t/a，</w:t>
            </w:r>
            <w:r>
              <w:rPr>
                <w:rFonts w:hint="eastAsia" w:eastAsia="宋体"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#生产线</w:t>
            </w:r>
            <w:r>
              <w:rPr>
                <w:rFonts w:hint="eastAsia" w:cs="Times New Roman"/>
                <w:color w:val="000000"/>
                <w:kern w:val="0"/>
                <w:sz w:val="24"/>
                <w:szCs w:val="24"/>
                <w:lang w:val="en-US" w:eastAsia="zh-CN"/>
              </w:rPr>
              <w:t>布料</w:t>
            </w:r>
            <w:r>
              <w:rPr>
                <w:rFonts w:hint="eastAsia" w:ascii="Times New Roman" w:hAnsi="Times New Roman" w:eastAsia="宋体" w:cs="Times New Roman"/>
                <w:color w:val="000000"/>
                <w:kern w:val="0"/>
                <w:sz w:val="24"/>
                <w:szCs w:val="24"/>
                <w:lang w:val="en-US" w:eastAsia="zh-CN"/>
              </w:rPr>
              <w:t>粉尘经集气罩收集（收集效率9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%），收集后的粉尘与经管道收集（收集效率9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%）的</w:t>
            </w:r>
            <w:r>
              <w:rPr>
                <w:rFonts w:hint="default" w:ascii="Times New Roman" w:hAnsi="Times New Roman" w:eastAsia="宋体" w:cs="Times New Roman"/>
                <w:color w:val="000000"/>
                <w:kern w:val="0"/>
                <w:sz w:val="24"/>
                <w:szCs w:val="24"/>
                <w:lang w:val="en-US" w:eastAsia="zh-CN"/>
              </w:rPr>
              <w:t>熔化废气</w:t>
            </w:r>
            <w:r>
              <w:rPr>
                <w:rFonts w:hint="eastAsia" w:ascii="Times New Roman" w:hAnsi="Times New Roman" w:eastAsia="宋体" w:cs="Times New Roman"/>
                <w:color w:val="000000"/>
                <w:kern w:val="0"/>
                <w:sz w:val="24"/>
                <w:szCs w:val="24"/>
                <w:lang w:val="en-US" w:eastAsia="zh-CN"/>
              </w:rPr>
              <w:t>一起由</w:t>
            </w:r>
            <w:r>
              <w:rPr>
                <w:rFonts w:hint="eastAsia" w:cs="Times New Roman"/>
                <w:color w:val="000000"/>
                <w:kern w:val="0"/>
                <w:sz w:val="24"/>
                <w:szCs w:val="24"/>
                <w:lang w:val="en-US" w:eastAsia="zh-CN"/>
              </w:rPr>
              <w:t>“5#布袋除尘器”</w:t>
            </w:r>
            <w:r>
              <w:rPr>
                <w:rFonts w:hint="eastAsia" w:ascii="Times New Roman" w:hAnsi="Times New Roman" w:eastAsia="宋体" w:cs="Times New Roman"/>
                <w:color w:val="000000"/>
                <w:kern w:val="0"/>
                <w:sz w:val="24"/>
                <w:szCs w:val="24"/>
                <w:lang w:val="en-US" w:eastAsia="zh-CN"/>
              </w:rPr>
              <w:t>处理（处理效率9</w:t>
            </w:r>
            <w:r>
              <w:rPr>
                <w:rFonts w:hint="eastAsia" w:cs="Times New Roman"/>
                <w:color w:val="000000"/>
                <w:kern w:val="0"/>
                <w:sz w:val="24"/>
                <w:szCs w:val="24"/>
                <w:lang w:val="en-US" w:eastAsia="zh-CN"/>
              </w:rPr>
              <w:t>9</w:t>
            </w:r>
            <w:r>
              <w:rPr>
                <w:rFonts w:hint="eastAsia" w:ascii="Times New Roman" w:hAnsi="Times New Roman" w:eastAsia="宋体" w:cs="Times New Roman"/>
                <w:color w:val="000000"/>
                <w:kern w:val="0"/>
                <w:sz w:val="24"/>
                <w:szCs w:val="24"/>
                <w:lang w:val="en-US" w:eastAsia="zh-CN"/>
              </w:rPr>
              <w:t>%）达标后，通过DA00</w:t>
            </w:r>
            <w:r>
              <w:rPr>
                <w:rFonts w:hint="eastAsia" w:eastAsia="宋体"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排气筒排放。</w:t>
            </w:r>
            <w:r>
              <w:rPr>
                <w:rFonts w:hint="eastAsia" w:cs="Times New Roman"/>
                <w:color w:val="auto"/>
                <w:sz w:val="24"/>
                <w:szCs w:val="24"/>
                <w:u w:val="none" w:color="auto"/>
                <w:lang w:val="en-US" w:eastAsia="zh-CN"/>
              </w:rPr>
              <w:t>5</w:t>
            </w:r>
            <w:r>
              <w:rPr>
                <w:rFonts w:hint="eastAsia" w:eastAsia="宋体" w:cs="Times New Roman"/>
                <w:color w:val="auto"/>
                <w:sz w:val="24"/>
                <w:szCs w:val="24"/>
                <w:u w:val="none" w:color="auto"/>
                <w:lang w:val="en-US" w:eastAsia="zh-CN"/>
              </w:rPr>
              <w:t>#生产线</w:t>
            </w:r>
            <w:r>
              <w:rPr>
                <w:rFonts w:hint="eastAsia" w:cs="Times New Roman"/>
                <w:color w:val="auto"/>
                <w:sz w:val="24"/>
                <w:szCs w:val="24"/>
                <w:u w:val="none" w:color="auto"/>
                <w:lang w:val="en-US" w:eastAsia="zh-CN"/>
              </w:rPr>
              <w:t>火焰抛光</w:t>
            </w:r>
            <w:r>
              <w:rPr>
                <w:rFonts w:hint="eastAsia" w:eastAsia="宋体" w:cs="Times New Roman"/>
                <w:color w:val="auto"/>
                <w:sz w:val="24"/>
                <w:szCs w:val="24"/>
                <w:u w:val="none" w:color="auto"/>
                <w:lang w:val="en-US" w:eastAsia="zh-CN"/>
              </w:rPr>
              <w:t>工序产生的天然气燃烧废气，</w:t>
            </w:r>
            <w:r>
              <w:rPr>
                <w:rFonts w:hint="eastAsia" w:cs="Times New Roman"/>
                <w:color w:val="auto"/>
                <w:sz w:val="24"/>
                <w:szCs w:val="24"/>
                <w:u w:val="none" w:color="auto"/>
                <w:lang w:val="en-US" w:eastAsia="zh-CN"/>
              </w:rPr>
              <w:t>经</w:t>
            </w:r>
            <w:r>
              <w:rPr>
                <w:rFonts w:hint="eastAsia" w:eastAsia="宋体" w:cs="Times New Roman"/>
                <w:color w:val="auto"/>
                <w:sz w:val="24"/>
                <w:szCs w:val="24"/>
                <w:u w:val="none" w:color="auto"/>
                <w:lang w:val="en-US" w:eastAsia="zh-CN"/>
              </w:rPr>
              <w:t>集气罩</w:t>
            </w:r>
            <w:r>
              <w:rPr>
                <w:rFonts w:hint="eastAsia" w:ascii="Times New Roman" w:hAnsi="Times New Roman" w:eastAsia="宋体" w:cs="Times New Roman"/>
                <w:color w:val="000000"/>
                <w:kern w:val="0"/>
                <w:sz w:val="24"/>
                <w:szCs w:val="24"/>
                <w:lang w:val="en-US" w:eastAsia="zh-CN"/>
              </w:rPr>
              <w:t>收集（收集效率9</w:t>
            </w:r>
            <w:r>
              <w:rPr>
                <w:rFonts w:hint="eastAsia" w:cs="Times New Roman"/>
                <w:color w:val="000000"/>
                <w:kern w:val="0"/>
                <w:sz w:val="24"/>
                <w:szCs w:val="24"/>
                <w:lang w:val="en-US" w:eastAsia="zh-CN"/>
              </w:rPr>
              <w:t>5</w:t>
            </w:r>
            <w:r>
              <w:rPr>
                <w:rFonts w:hint="eastAsia" w:ascii="Times New Roman" w:hAnsi="Times New Roman" w:eastAsia="宋体" w:cs="Times New Roman"/>
                <w:color w:val="000000"/>
                <w:kern w:val="0"/>
                <w:sz w:val="24"/>
                <w:szCs w:val="24"/>
                <w:lang w:val="en-US" w:eastAsia="zh-CN"/>
              </w:rPr>
              <w:t>%）后，通过DA00</w:t>
            </w:r>
            <w:r>
              <w:rPr>
                <w:rFonts w:hint="eastAsia" w:cs="Times New Roman"/>
                <w:color w:val="000000"/>
                <w:kern w:val="0"/>
                <w:sz w:val="24"/>
                <w:szCs w:val="24"/>
                <w:lang w:val="en-US" w:eastAsia="zh-CN"/>
              </w:rPr>
              <w:t>8</w:t>
            </w:r>
            <w:r>
              <w:rPr>
                <w:rFonts w:hint="eastAsia" w:ascii="Times New Roman" w:hAnsi="Times New Roman" w:eastAsia="宋体" w:cs="Times New Roman"/>
                <w:color w:val="000000"/>
                <w:kern w:val="0"/>
                <w:sz w:val="24"/>
                <w:szCs w:val="24"/>
                <w:lang w:val="en-US" w:eastAsia="zh-CN"/>
              </w:rPr>
              <w:t>排气筒排放。</w:t>
            </w:r>
          </w:p>
          <w:p w14:paraId="6DA98089">
            <w:pPr>
              <w:pStyle w:val="68"/>
              <w:keepNext w:val="0"/>
              <w:keepLines w:val="0"/>
              <w:pageBreakBefore w:val="0"/>
              <w:widowControl w:val="0"/>
              <w:numPr>
                <w:ilvl w:val="0"/>
                <w:numId w:val="0"/>
              </w:numPr>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w:t>
            </w:r>
            <w:r>
              <w:rPr>
                <w:rFonts w:hint="eastAsia" w:ascii="Times New Roman" w:hAnsi="Times New Roman" w:cs="Times New Roman"/>
                <w:b/>
                <w:bCs/>
                <w:sz w:val="24"/>
                <w:szCs w:val="24"/>
                <w:lang w:val="en-US" w:eastAsia="zh-CN"/>
              </w:rPr>
              <w:t>16</w:t>
            </w:r>
            <w:r>
              <w:rPr>
                <w:rFonts w:hint="eastAsia" w:ascii="Times New Roman" w:hAnsi="Times New Roman" w:eastAsia="宋体" w:cs="Times New Roman"/>
                <w:b/>
                <w:bCs/>
                <w:sz w:val="24"/>
                <w:szCs w:val="24"/>
                <w:lang w:val="en-US" w:eastAsia="zh-CN"/>
              </w:rPr>
              <w:t xml:space="preserve">  废气产排情况一览表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713"/>
              <w:gridCol w:w="734"/>
              <w:gridCol w:w="634"/>
              <w:gridCol w:w="729"/>
              <w:gridCol w:w="729"/>
              <w:gridCol w:w="785"/>
              <w:gridCol w:w="704"/>
              <w:gridCol w:w="718"/>
              <w:gridCol w:w="718"/>
              <w:gridCol w:w="718"/>
            </w:tblGrid>
            <w:tr w14:paraId="4172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5D93A4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排气筒编号</w:t>
                  </w:r>
                </w:p>
              </w:tc>
              <w:tc>
                <w:tcPr>
                  <w:tcW w:w="713" w:type="dxa"/>
                  <w:vAlign w:val="center"/>
                </w:tcPr>
                <w:p w14:paraId="576803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val="0"/>
                      <w:sz w:val="21"/>
                      <w:szCs w:val="21"/>
                      <w:lang w:eastAsia="zh-CN"/>
                    </w:rPr>
                  </w:pPr>
                  <w:r>
                    <w:rPr>
                      <w:rFonts w:hint="eastAsia" w:ascii="Times New Roman" w:hAnsi="Times New Roman" w:cs="Times New Roman"/>
                      <w:b/>
                      <w:bCs w:val="0"/>
                      <w:sz w:val="21"/>
                      <w:szCs w:val="21"/>
                      <w:lang w:val="en-US" w:eastAsia="zh-CN"/>
                    </w:rPr>
                    <w:t>污染物</w:t>
                  </w:r>
                </w:p>
              </w:tc>
              <w:tc>
                <w:tcPr>
                  <w:tcW w:w="734" w:type="dxa"/>
                  <w:vAlign w:val="center"/>
                </w:tcPr>
                <w:p w14:paraId="758210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产生量t/a</w:t>
                  </w:r>
                </w:p>
              </w:tc>
              <w:tc>
                <w:tcPr>
                  <w:tcW w:w="634" w:type="dxa"/>
                  <w:vAlign w:val="center"/>
                </w:tcPr>
                <w:p w14:paraId="3DC4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收集效率</w:t>
                  </w:r>
                </w:p>
              </w:tc>
              <w:tc>
                <w:tcPr>
                  <w:tcW w:w="729" w:type="dxa"/>
                  <w:vAlign w:val="center"/>
                </w:tcPr>
                <w:p w14:paraId="36FC0E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有组织收集量</w:t>
                  </w:r>
                </w:p>
              </w:tc>
              <w:tc>
                <w:tcPr>
                  <w:tcW w:w="729" w:type="dxa"/>
                  <w:vAlign w:val="center"/>
                </w:tcPr>
                <w:p w14:paraId="11FA8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产生速率</w:t>
                  </w:r>
                </w:p>
              </w:tc>
              <w:tc>
                <w:tcPr>
                  <w:tcW w:w="785" w:type="dxa"/>
                  <w:vAlign w:val="center"/>
                </w:tcPr>
                <w:p w14:paraId="73AEE1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产生浓度</w:t>
                  </w:r>
                </w:p>
              </w:tc>
              <w:tc>
                <w:tcPr>
                  <w:tcW w:w="704" w:type="dxa"/>
                  <w:vAlign w:val="center"/>
                </w:tcPr>
                <w:p w14:paraId="553E16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处理效率</w:t>
                  </w:r>
                </w:p>
              </w:tc>
              <w:tc>
                <w:tcPr>
                  <w:tcW w:w="718" w:type="dxa"/>
                  <w:vAlign w:val="center"/>
                </w:tcPr>
                <w:p w14:paraId="66A3C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排放量</w:t>
                  </w:r>
                </w:p>
              </w:tc>
              <w:tc>
                <w:tcPr>
                  <w:tcW w:w="718" w:type="dxa"/>
                  <w:vAlign w:val="center"/>
                </w:tcPr>
                <w:p w14:paraId="3AA60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排放速率</w:t>
                  </w:r>
                </w:p>
              </w:tc>
              <w:tc>
                <w:tcPr>
                  <w:tcW w:w="718" w:type="dxa"/>
                  <w:vAlign w:val="center"/>
                </w:tcPr>
                <w:p w14:paraId="03823D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bCs w:val="0"/>
                      <w:sz w:val="21"/>
                      <w:szCs w:val="21"/>
                      <w:lang w:val="en-US" w:eastAsia="zh-CN"/>
                    </w:rPr>
                  </w:pPr>
                  <w:r>
                    <w:rPr>
                      <w:rFonts w:hint="eastAsia" w:ascii="Times New Roman" w:hAnsi="Times New Roman" w:cs="Times New Roman"/>
                      <w:b/>
                      <w:bCs w:val="0"/>
                      <w:sz w:val="21"/>
                      <w:szCs w:val="21"/>
                      <w:lang w:val="en-US" w:eastAsia="zh-CN"/>
                    </w:rPr>
                    <w:t>排放浓度</w:t>
                  </w:r>
                </w:p>
              </w:tc>
            </w:tr>
            <w:tr w14:paraId="522C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35A7D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DA001</w:t>
                  </w:r>
                </w:p>
              </w:tc>
              <w:tc>
                <w:tcPr>
                  <w:tcW w:w="713" w:type="dxa"/>
                  <w:vMerge w:val="restart"/>
                  <w:vAlign w:val="center"/>
                </w:tcPr>
                <w:p w14:paraId="11F4A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734" w:type="dxa"/>
                  <w:vAlign w:val="center"/>
                </w:tcPr>
                <w:p w14:paraId="5FCF8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2.957 </w:t>
                  </w:r>
                </w:p>
              </w:tc>
              <w:tc>
                <w:tcPr>
                  <w:tcW w:w="634" w:type="dxa"/>
                  <w:vMerge w:val="restart"/>
                  <w:vAlign w:val="center"/>
                </w:tcPr>
                <w:p w14:paraId="3CD23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95%</w:t>
                  </w:r>
                </w:p>
              </w:tc>
              <w:tc>
                <w:tcPr>
                  <w:tcW w:w="729" w:type="dxa"/>
                  <w:vAlign w:val="center"/>
                </w:tcPr>
                <w:p w14:paraId="420C4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2.809 </w:t>
                  </w:r>
                </w:p>
              </w:tc>
              <w:tc>
                <w:tcPr>
                  <w:tcW w:w="729" w:type="dxa"/>
                  <w:vAlign w:val="center"/>
                </w:tcPr>
                <w:p w14:paraId="30E50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0.321 </w:t>
                  </w:r>
                </w:p>
              </w:tc>
              <w:tc>
                <w:tcPr>
                  <w:tcW w:w="785" w:type="dxa"/>
                  <w:vAlign w:val="center"/>
                </w:tcPr>
                <w:p w14:paraId="3A019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53.438 </w:t>
                  </w:r>
                </w:p>
              </w:tc>
              <w:tc>
                <w:tcPr>
                  <w:tcW w:w="704" w:type="dxa"/>
                  <w:vMerge w:val="restart"/>
                  <w:vAlign w:val="center"/>
                </w:tcPr>
                <w:p w14:paraId="26D4A8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w:t>
                  </w:r>
                  <w:r>
                    <w:rPr>
                      <w:rFonts w:hint="eastAsia" w:ascii="Times New Roman" w:hAnsi="Times New Roman" w:cs="Times New Roman"/>
                      <w:color w:val="auto"/>
                      <w:sz w:val="21"/>
                      <w:szCs w:val="21"/>
                      <w:lang w:val="en-US" w:eastAsia="zh-CN"/>
                    </w:rPr>
                    <w:t>9</w:t>
                  </w:r>
                  <w:r>
                    <w:rPr>
                      <w:rFonts w:hint="default" w:ascii="Times New Roman" w:hAnsi="Times New Roman" w:cs="Times New Roman"/>
                      <w:color w:val="auto"/>
                      <w:sz w:val="21"/>
                      <w:szCs w:val="21"/>
                      <w:lang w:val="en-US" w:eastAsia="zh-CN"/>
                    </w:rPr>
                    <w:t>%</w:t>
                  </w:r>
                </w:p>
              </w:tc>
              <w:tc>
                <w:tcPr>
                  <w:tcW w:w="718" w:type="dxa"/>
                  <w:vAlign w:val="center"/>
                </w:tcPr>
                <w:p w14:paraId="41273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0.028 </w:t>
                  </w:r>
                </w:p>
              </w:tc>
              <w:tc>
                <w:tcPr>
                  <w:tcW w:w="718" w:type="dxa"/>
                  <w:vAlign w:val="center"/>
                </w:tcPr>
                <w:p w14:paraId="1B19B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0.003 </w:t>
                  </w:r>
                </w:p>
              </w:tc>
              <w:tc>
                <w:tcPr>
                  <w:tcW w:w="718" w:type="dxa"/>
                  <w:vAlign w:val="center"/>
                </w:tcPr>
                <w:p w14:paraId="44D11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0.534 </w:t>
                  </w:r>
                </w:p>
              </w:tc>
            </w:tr>
            <w:tr w14:paraId="2FD2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710AF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DA002</w:t>
                  </w:r>
                </w:p>
              </w:tc>
              <w:tc>
                <w:tcPr>
                  <w:tcW w:w="713" w:type="dxa"/>
                  <w:vMerge w:val="continue"/>
                  <w:vAlign w:val="center"/>
                </w:tcPr>
                <w:p w14:paraId="084A9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34" w:type="dxa"/>
                  <w:vAlign w:val="center"/>
                </w:tcPr>
                <w:p w14:paraId="70DD9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2.957 </w:t>
                  </w:r>
                </w:p>
              </w:tc>
              <w:tc>
                <w:tcPr>
                  <w:tcW w:w="634" w:type="dxa"/>
                  <w:vMerge w:val="continue"/>
                  <w:vAlign w:val="center"/>
                </w:tcPr>
                <w:p w14:paraId="1C41F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2DA98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2.809 </w:t>
                  </w:r>
                </w:p>
              </w:tc>
              <w:tc>
                <w:tcPr>
                  <w:tcW w:w="729" w:type="dxa"/>
                  <w:vAlign w:val="center"/>
                </w:tcPr>
                <w:p w14:paraId="2F575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0.321 </w:t>
                  </w:r>
                </w:p>
              </w:tc>
              <w:tc>
                <w:tcPr>
                  <w:tcW w:w="785" w:type="dxa"/>
                  <w:vAlign w:val="center"/>
                </w:tcPr>
                <w:p w14:paraId="3AFE4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53.438 </w:t>
                  </w:r>
                </w:p>
              </w:tc>
              <w:tc>
                <w:tcPr>
                  <w:tcW w:w="704" w:type="dxa"/>
                  <w:vMerge w:val="continue"/>
                  <w:vAlign w:val="center"/>
                </w:tcPr>
                <w:p w14:paraId="084747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4C5CDE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0.028 </w:t>
                  </w:r>
                </w:p>
              </w:tc>
              <w:tc>
                <w:tcPr>
                  <w:tcW w:w="718" w:type="dxa"/>
                  <w:vAlign w:val="center"/>
                </w:tcPr>
                <w:p w14:paraId="6AFDE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0.003 </w:t>
                  </w:r>
                </w:p>
              </w:tc>
              <w:tc>
                <w:tcPr>
                  <w:tcW w:w="718" w:type="dxa"/>
                  <w:vAlign w:val="center"/>
                </w:tcPr>
                <w:p w14:paraId="25465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0.534 </w:t>
                  </w:r>
                </w:p>
              </w:tc>
            </w:tr>
            <w:tr w14:paraId="7D3C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0C3B99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DA003</w:t>
                  </w:r>
                </w:p>
              </w:tc>
              <w:tc>
                <w:tcPr>
                  <w:tcW w:w="713" w:type="dxa"/>
                  <w:vMerge w:val="continue"/>
                  <w:vAlign w:val="center"/>
                </w:tcPr>
                <w:p w14:paraId="56760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34" w:type="dxa"/>
                  <w:vAlign w:val="center"/>
                </w:tcPr>
                <w:p w14:paraId="7630B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1.050 </w:t>
                  </w:r>
                </w:p>
              </w:tc>
              <w:tc>
                <w:tcPr>
                  <w:tcW w:w="634" w:type="dxa"/>
                  <w:vMerge w:val="continue"/>
                  <w:vAlign w:val="center"/>
                </w:tcPr>
                <w:p w14:paraId="62CCE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0C6DE1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0.998 </w:t>
                  </w:r>
                </w:p>
              </w:tc>
              <w:tc>
                <w:tcPr>
                  <w:tcW w:w="729" w:type="dxa"/>
                  <w:vAlign w:val="center"/>
                </w:tcPr>
                <w:p w14:paraId="7EFDC8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0.119 </w:t>
                  </w:r>
                </w:p>
              </w:tc>
              <w:tc>
                <w:tcPr>
                  <w:tcW w:w="785" w:type="dxa"/>
                  <w:vAlign w:val="center"/>
                </w:tcPr>
                <w:p w14:paraId="4BB42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19.792 </w:t>
                  </w:r>
                </w:p>
              </w:tc>
              <w:tc>
                <w:tcPr>
                  <w:tcW w:w="704" w:type="dxa"/>
                  <w:vMerge w:val="continue"/>
                  <w:vAlign w:val="center"/>
                </w:tcPr>
                <w:p w14:paraId="385D4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31C8E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0.010 </w:t>
                  </w:r>
                </w:p>
              </w:tc>
              <w:tc>
                <w:tcPr>
                  <w:tcW w:w="718" w:type="dxa"/>
                  <w:vAlign w:val="center"/>
                </w:tcPr>
                <w:p w14:paraId="5BA79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18" w:type="dxa"/>
                  <w:vAlign w:val="center"/>
                </w:tcPr>
                <w:p w14:paraId="710A5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0.198 </w:t>
                  </w:r>
                </w:p>
              </w:tc>
            </w:tr>
            <w:tr w14:paraId="593C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48EC5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DA004</w:t>
                  </w:r>
                </w:p>
              </w:tc>
              <w:tc>
                <w:tcPr>
                  <w:tcW w:w="713" w:type="dxa"/>
                  <w:vMerge w:val="continue"/>
                  <w:vAlign w:val="center"/>
                </w:tcPr>
                <w:p w14:paraId="068F8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34" w:type="dxa"/>
                  <w:vAlign w:val="center"/>
                </w:tcPr>
                <w:p w14:paraId="5829A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2.730 </w:t>
                  </w:r>
                </w:p>
              </w:tc>
              <w:tc>
                <w:tcPr>
                  <w:tcW w:w="634" w:type="dxa"/>
                  <w:vMerge w:val="continue"/>
                  <w:vAlign w:val="center"/>
                </w:tcPr>
                <w:p w14:paraId="6CC37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26280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2.594 </w:t>
                  </w:r>
                </w:p>
              </w:tc>
              <w:tc>
                <w:tcPr>
                  <w:tcW w:w="729" w:type="dxa"/>
                  <w:vAlign w:val="center"/>
                </w:tcPr>
                <w:p w14:paraId="3366F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0.309 </w:t>
                  </w:r>
                </w:p>
              </w:tc>
              <w:tc>
                <w:tcPr>
                  <w:tcW w:w="785" w:type="dxa"/>
                  <w:vAlign w:val="center"/>
                </w:tcPr>
                <w:p w14:paraId="6AE69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51.458 </w:t>
                  </w:r>
                </w:p>
              </w:tc>
              <w:tc>
                <w:tcPr>
                  <w:tcW w:w="704" w:type="dxa"/>
                  <w:vMerge w:val="continue"/>
                  <w:vAlign w:val="center"/>
                </w:tcPr>
                <w:p w14:paraId="5FFDB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1CC1E6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0.026 </w:t>
                  </w:r>
                </w:p>
              </w:tc>
              <w:tc>
                <w:tcPr>
                  <w:tcW w:w="718" w:type="dxa"/>
                  <w:vAlign w:val="center"/>
                </w:tcPr>
                <w:p w14:paraId="5C9CF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0.003 </w:t>
                  </w:r>
                </w:p>
              </w:tc>
              <w:tc>
                <w:tcPr>
                  <w:tcW w:w="718" w:type="dxa"/>
                  <w:vAlign w:val="center"/>
                </w:tcPr>
                <w:p w14:paraId="353DF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0.515 </w:t>
                  </w:r>
                </w:p>
              </w:tc>
            </w:tr>
            <w:tr w14:paraId="07B4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1B53A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DA005</w:t>
                  </w:r>
                </w:p>
              </w:tc>
              <w:tc>
                <w:tcPr>
                  <w:tcW w:w="713" w:type="dxa"/>
                  <w:vMerge w:val="continue"/>
                  <w:vAlign w:val="center"/>
                </w:tcPr>
                <w:p w14:paraId="7D6B2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34" w:type="dxa"/>
                  <w:vAlign w:val="center"/>
                </w:tcPr>
                <w:p w14:paraId="62E67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0.162 </w:t>
                  </w:r>
                </w:p>
              </w:tc>
              <w:tc>
                <w:tcPr>
                  <w:tcW w:w="634" w:type="dxa"/>
                  <w:vMerge w:val="continue"/>
                  <w:vAlign w:val="center"/>
                </w:tcPr>
                <w:p w14:paraId="256F6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0FD779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0.154 </w:t>
                  </w:r>
                </w:p>
              </w:tc>
              <w:tc>
                <w:tcPr>
                  <w:tcW w:w="729" w:type="dxa"/>
                  <w:vAlign w:val="center"/>
                </w:tcPr>
                <w:p w14:paraId="3F730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0.021 </w:t>
                  </w:r>
                </w:p>
              </w:tc>
              <w:tc>
                <w:tcPr>
                  <w:tcW w:w="785" w:type="dxa"/>
                  <w:vAlign w:val="center"/>
                </w:tcPr>
                <w:p w14:paraId="59B17A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3.563 </w:t>
                  </w:r>
                </w:p>
              </w:tc>
              <w:tc>
                <w:tcPr>
                  <w:tcW w:w="704" w:type="dxa"/>
                  <w:vMerge w:val="continue"/>
                  <w:vAlign w:val="center"/>
                </w:tcPr>
                <w:p w14:paraId="17A5D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45AF6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0.002 </w:t>
                  </w:r>
                </w:p>
              </w:tc>
              <w:tc>
                <w:tcPr>
                  <w:tcW w:w="718" w:type="dxa"/>
                  <w:vAlign w:val="center"/>
                </w:tcPr>
                <w:p w14:paraId="6F3FA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0.000</w:t>
                  </w:r>
                  <w:r>
                    <w:rPr>
                      <w:rFonts w:hint="eastAsia"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lang w:val="en-US" w:eastAsia="zh-CN"/>
                    </w:rPr>
                    <w:t xml:space="preserve"> </w:t>
                  </w:r>
                </w:p>
              </w:tc>
              <w:tc>
                <w:tcPr>
                  <w:tcW w:w="718" w:type="dxa"/>
                  <w:vAlign w:val="center"/>
                </w:tcPr>
                <w:p w14:paraId="49022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0.036 </w:t>
                  </w:r>
                </w:p>
              </w:tc>
            </w:tr>
            <w:tr w14:paraId="7EA9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restart"/>
                  <w:vAlign w:val="center"/>
                </w:tcPr>
                <w:p w14:paraId="68FCC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DA006</w:t>
                  </w:r>
                </w:p>
              </w:tc>
              <w:tc>
                <w:tcPr>
                  <w:tcW w:w="713" w:type="dxa"/>
                  <w:vAlign w:val="center"/>
                </w:tcPr>
                <w:p w14:paraId="3B29E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734" w:type="dxa"/>
                  <w:vAlign w:val="center"/>
                </w:tcPr>
                <w:p w14:paraId="607E24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0.010 </w:t>
                  </w:r>
                </w:p>
              </w:tc>
              <w:tc>
                <w:tcPr>
                  <w:tcW w:w="634" w:type="dxa"/>
                  <w:vMerge w:val="restart"/>
                  <w:vAlign w:val="center"/>
                </w:tcPr>
                <w:p w14:paraId="0854A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95%</w:t>
                  </w:r>
                </w:p>
              </w:tc>
              <w:tc>
                <w:tcPr>
                  <w:tcW w:w="729" w:type="dxa"/>
                  <w:vAlign w:val="center"/>
                </w:tcPr>
                <w:p w14:paraId="2C9D5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0.010 </w:t>
                  </w:r>
                </w:p>
              </w:tc>
              <w:tc>
                <w:tcPr>
                  <w:tcW w:w="729" w:type="dxa"/>
                  <w:vAlign w:val="center"/>
                </w:tcPr>
                <w:p w14:paraId="3C8A9D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85" w:type="dxa"/>
                  <w:vAlign w:val="center"/>
                </w:tcPr>
                <w:p w14:paraId="71118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0.174 </w:t>
                  </w:r>
                </w:p>
              </w:tc>
              <w:tc>
                <w:tcPr>
                  <w:tcW w:w="704" w:type="dxa"/>
                  <w:vMerge w:val="restart"/>
                  <w:vAlign w:val="center"/>
                </w:tcPr>
                <w:p w14:paraId="0E0F7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w:t>
                  </w:r>
                </w:p>
              </w:tc>
              <w:tc>
                <w:tcPr>
                  <w:tcW w:w="718" w:type="dxa"/>
                  <w:vAlign w:val="center"/>
                </w:tcPr>
                <w:p w14:paraId="68E3DD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0.010 </w:t>
                  </w:r>
                </w:p>
              </w:tc>
              <w:tc>
                <w:tcPr>
                  <w:tcW w:w="718" w:type="dxa"/>
                  <w:vAlign w:val="center"/>
                </w:tcPr>
                <w:p w14:paraId="7D9E2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18" w:type="dxa"/>
                  <w:vAlign w:val="center"/>
                </w:tcPr>
                <w:p w14:paraId="1B30B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0.174 </w:t>
                  </w:r>
                </w:p>
              </w:tc>
            </w:tr>
            <w:tr w14:paraId="1096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continue"/>
                  <w:vAlign w:val="center"/>
                </w:tcPr>
                <w:p w14:paraId="05EF9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13" w:type="dxa"/>
                  <w:vAlign w:val="center"/>
                </w:tcPr>
                <w:p w14:paraId="3E96F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SO</w:t>
                  </w:r>
                  <w:r>
                    <w:rPr>
                      <w:rFonts w:hint="eastAsia" w:ascii="Times New Roman" w:hAnsi="Times New Roman" w:cs="Times New Roman"/>
                      <w:color w:val="auto"/>
                      <w:sz w:val="21"/>
                      <w:szCs w:val="21"/>
                      <w:vertAlign w:val="subscript"/>
                      <w:lang w:val="en-US" w:eastAsia="zh-CN"/>
                    </w:rPr>
                    <w:t>2</w:t>
                  </w:r>
                </w:p>
              </w:tc>
              <w:tc>
                <w:tcPr>
                  <w:tcW w:w="734" w:type="dxa"/>
                  <w:vAlign w:val="center"/>
                </w:tcPr>
                <w:p w14:paraId="683849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634" w:type="dxa"/>
                  <w:vMerge w:val="continue"/>
                  <w:vAlign w:val="center"/>
                </w:tcPr>
                <w:p w14:paraId="248E5A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706F9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729" w:type="dxa"/>
                  <w:vAlign w:val="center"/>
                </w:tcPr>
                <w:p w14:paraId="7968B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85" w:type="dxa"/>
                  <w:vAlign w:val="center"/>
                </w:tcPr>
                <w:p w14:paraId="4D6FE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0.122 </w:t>
                  </w:r>
                </w:p>
              </w:tc>
              <w:tc>
                <w:tcPr>
                  <w:tcW w:w="704" w:type="dxa"/>
                  <w:vMerge w:val="continue"/>
                  <w:vAlign w:val="center"/>
                </w:tcPr>
                <w:p w14:paraId="3F9D2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065D27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718" w:type="dxa"/>
                  <w:vAlign w:val="center"/>
                </w:tcPr>
                <w:p w14:paraId="118EDB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18" w:type="dxa"/>
                  <w:vAlign w:val="center"/>
                </w:tcPr>
                <w:p w14:paraId="5C8803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0.122 </w:t>
                  </w:r>
                </w:p>
              </w:tc>
            </w:tr>
            <w:tr w14:paraId="5A45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continue"/>
                  <w:vAlign w:val="center"/>
                </w:tcPr>
                <w:p w14:paraId="32AF2F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13" w:type="dxa"/>
                  <w:vAlign w:val="center"/>
                </w:tcPr>
                <w:p w14:paraId="24EFF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NO</w:t>
                  </w:r>
                  <w:r>
                    <w:rPr>
                      <w:rFonts w:hint="eastAsia" w:ascii="Times New Roman" w:hAnsi="Times New Roman" w:cs="Times New Roman"/>
                      <w:color w:val="auto"/>
                      <w:sz w:val="21"/>
                      <w:szCs w:val="21"/>
                      <w:vertAlign w:val="subscript"/>
                      <w:lang w:val="en-US" w:eastAsia="zh-CN"/>
                    </w:rPr>
                    <w:t>x</w:t>
                  </w:r>
                </w:p>
              </w:tc>
              <w:tc>
                <w:tcPr>
                  <w:tcW w:w="734" w:type="dxa"/>
                  <w:vAlign w:val="center"/>
                </w:tcPr>
                <w:p w14:paraId="6247F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0.068 </w:t>
                  </w:r>
                </w:p>
              </w:tc>
              <w:tc>
                <w:tcPr>
                  <w:tcW w:w="634" w:type="dxa"/>
                  <w:vMerge w:val="continue"/>
                  <w:vAlign w:val="center"/>
                </w:tcPr>
                <w:p w14:paraId="66493D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6129B8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0.065 </w:t>
                  </w:r>
                </w:p>
              </w:tc>
              <w:tc>
                <w:tcPr>
                  <w:tcW w:w="729" w:type="dxa"/>
                  <w:vAlign w:val="center"/>
                </w:tcPr>
                <w:p w14:paraId="5C6518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785" w:type="dxa"/>
                  <w:vAlign w:val="center"/>
                </w:tcPr>
                <w:p w14:paraId="6CCA3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1.139 </w:t>
                  </w:r>
                </w:p>
              </w:tc>
              <w:tc>
                <w:tcPr>
                  <w:tcW w:w="704" w:type="dxa"/>
                  <w:vMerge w:val="continue"/>
                  <w:vAlign w:val="center"/>
                </w:tcPr>
                <w:p w14:paraId="23321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66FFC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0.065 </w:t>
                  </w:r>
                </w:p>
              </w:tc>
              <w:tc>
                <w:tcPr>
                  <w:tcW w:w="718" w:type="dxa"/>
                  <w:vAlign w:val="center"/>
                </w:tcPr>
                <w:p w14:paraId="68E9E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718" w:type="dxa"/>
                  <w:vAlign w:val="center"/>
                </w:tcPr>
                <w:p w14:paraId="22D22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1.139 </w:t>
                  </w:r>
                </w:p>
              </w:tc>
            </w:tr>
            <w:tr w14:paraId="598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restart"/>
                  <w:vAlign w:val="center"/>
                </w:tcPr>
                <w:p w14:paraId="0EE7A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DA007</w:t>
                  </w:r>
                </w:p>
              </w:tc>
              <w:tc>
                <w:tcPr>
                  <w:tcW w:w="713" w:type="dxa"/>
                  <w:vAlign w:val="center"/>
                </w:tcPr>
                <w:p w14:paraId="24E03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734" w:type="dxa"/>
                  <w:vAlign w:val="center"/>
                </w:tcPr>
                <w:p w14:paraId="29192F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0.010 </w:t>
                  </w:r>
                </w:p>
              </w:tc>
              <w:tc>
                <w:tcPr>
                  <w:tcW w:w="634" w:type="dxa"/>
                  <w:vMerge w:val="continue"/>
                  <w:vAlign w:val="center"/>
                </w:tcPr>
                <w:p w14:paraId="554DF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3535B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0.010 </w:t>
                  </w:r>
                </w:p>
              </w:tc>
              <w:tc>
                <w:tcPr>
                  <w:tcW w:w="729" w:type="dxa"/>
                  <w:vAlign w:val="center"/>
                </w:tcPr>
                <w:p w14:paraId="046B09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85" w:type="dxa"/>
                  <w:vAlign w:val="center"/>
                </w:tcPr>
                <w:p w14:paraId="7A67E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0.189 </w:t>
                  </w:r>
                </w:p>
              </w:tc>
              <w:tc>
                <w:tcPr>
                  <w:tcW w:w="704" w:type="dxa"/>
                  <w:vMerge w:val="continue"/>
                  <w:vAlign w:val="center"/>
                </w:tcPr>
                <w:p w14:paraId="7F7E5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18BF8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0.010 </w:t>
                  </w:r>
                </w:p>
              </w:tc>
              <w:tc>
                <w:tcPr>
                  <w:tcW w:w="718" w:type="dxa"/>
                  <w:vAlign w:val="center"/>
                </w:tcPr>
                <w:p w14:paraId="31F52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18" w:type="dxa"/>
                  <w:vAlign w:val="center"/>
                </w:tcPr>
                <w:p w14:paraId="5A369E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0.189 </w:t>
                  </w:r>
                </w:p>
              </w:tc>
            </w:tr>
            <w:tr w14:paraId="49CE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93" w:type="dxa"/>
                  <w:vMerge w:val="continue"/>
                  <w:vAlign w:val="center"/>
                </w:tcPr>
                <w:p w14:paraId="1A843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13" w:type="dxa"/>
                  <w:vAlign w:val="center"/>
                </w:tcPr>
                <w:p w14:paraId="5C81B8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SO</w:t>
                  </w:r>
                  <w:r>
                    <w:rPr>
                      <w:rFonts w:hint="eastAsia" w:ascii="Times New Roman" w:hAnsi="Times New Roman" w:cs="Times New Roman"/>
                      <w:color w:val="auto"/>
                      <w:sz w:val="21"/>
                      <w:szCs w:val="21"/>
                      <w:vertAlign w:val="subscript"/>
                      <w:lang w:val="en-US" w:eastAsia="zh-CN"/>
                    </w:rPr>
                    <w:t>2</w:t>
                  </w:r>
                </w:p>
              </w:tc>
              <w:tc>
                <w:tcPr>
                  <w:tcW w:w="734" w:type="dxa"/>
                  <w:vAlign w:val="center"/>
                </w:tcPr>
                <w:p w14:paraId="71EBC2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634" w:type="dxa"/>
                  <w:vMerge w:val="continue"/>
                  <w:vAlign w:val="center"/>
                </w:tcPr>
                <w:p w14:paraId="6242A3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43BC98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729" w:type="dxa"/>
                  <w:vAlign w:val="center"/>
                </w:tcPr>
                <w:p w14:paraId="0730B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85" w:type="dxa"/>
                  <w:vAlign w:val="center"/>
                </w:tcPr>
                <w:p w14:paraId="4A7E0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0.132 </w:t>
                  </w:r>
                </w:p>
              </w:tc>
              <w:tc>
                <w:tcPr>
                  <w:tcW w:w="704" w:type="dxa"/>
                  <w:vMerge w:val="continue"/>
                  <w:vAlign w:val="center"/>
                </w:tcPr>
                <w:p w14:paraId="16E9E7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70B45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718" w:type="dxa"/>
                  <w:vAlign w:val="center"/>
                </w:tcPr>
                <w:p w14:paraId="309AC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18" w:type="dxa"/>
                  <w:vAlign w:val="center"/>
                </w:tcPr>
                <w:p w14:paraId="3EE6E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0.132 </w:t>
                  </w:r>
                </w:p>
              </w:tc>
            </w:tr>
            <w:tr w14:paraId="318A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continue"/>
                  <w:vAlign w:val="center"/>
                </w:tcPr>
                <w:p w14:paraId="116C28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13" w:type="dxa"/>
                  <w:vAlign w:val="center"/>
                </w:tcPr>
                <w:p w14:paraId="64C89D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NO</w:t>
                  </w:r>
                  <w:r>
                    <w:rPr>
                      <w:rFonts w:hint="eastAsia" w:ascii="Times New Roman" w:hAnsi="Times New Roman" w:cs="Times New Roman"/>
                      <w:color w:val="auto"/>
                      <w:sz w:val="21"/>
                      <w:szCs w:val="21"/>
                      <w:vertAlign w:val="subscript"/>
                      <w:lang w:val="en-US" w:eastAsia="zh-CN"/>
                    </w:rPr>
                    <w:t>x</w:t>
                  </w:r>
                </w:p>
              </w:tc>
              <w:tc>
                <w:tcPr>
                  <w:tcW w:w="734" w:type="dxa"/>
                  <w:vAlign w:val="center"/>
                </w:tcPr>
                <w:p w14:paraId="4313E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w:t>
                  </w:r>
                  <w:r>
                    <w:rPr>
                      <w:rFonts w:hint="eastAsia" w:cs="Times New Roman"/>
                      <w:color w:val="auto"/>
                      <w:sz w:val="21"/>
                      <w:szCs w:val="21"/>
                      <w:lang w:val="en-US" w:eastAsia="zh-CN"/>
                    </w:rPr>
                    <w:t>6</w:t>
                  </w:r>
                  <w:r>
                    <w:rPr>
                      <w:rFonts w:hint="default" w:ascii="Times New Roman" w:hAnsi="Times New Roman" w:cs="Times New Roman"/>
                      <w:color w:val="auto"/>
                      <w:sz w:val="21"/>
                      <w:szCs w:val="21"/>
                      <w:lang w:val="en-US" w:eastAsia="zh-CN"/>
                    </w:rPr>
                    <w:t xml:space="preserve"> </w:t>
                  </w:r>
                </w:p>
              </w:tc>
              <w:tc>
                <w:tcPr>
                  <w:tcW w:w="634" w:type="dxa"/>
                  <w:vMerge w:val="continue"/>
                  <w:vAlign w:val="center"/>
                </w:tcPr>
                <w:p w14:paraId="27BA8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667BB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0.062 </w:t>
                  </w:r>
                </w:p>
              </w:tc>
              <w:tc>
                <w:tcPr>
                  <w:tcW w:w="729" w:type="dxa"/>
                  <w:vAlign w:val="center"/>
                </w:tcPr>
                <w:p w14:paraId="60D58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0.007 </w:t>
                  </w:r>
                </w:p>
              </w:tc>
              <w:tc>
                <w:tcPr>
                  <w:tcW w:w="785" w:type="dxa"/>
                  <w:vAlign w:val="center"/>
                </w:tcPr>
                <w:p w14:paraId="65183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1.234 </w:t>
                  </w:r>
                </w:p>
              </w:tc>
              <w:tc>
                <w:tcPr>
                  <w:tcW w:w="704" w:type="dxa"/>
                  <w:vMerge w:val="continue"/>
                  <w:vAlign w:val="center"/>
                </w:tcPr>
                <w:p w14:paraId="2748F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793AD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0.06</w:t>
                  </w:r>
                  <w:r>
                    <w:rPr>
                      <w:rFonts w:hint="eastAsia" w:cs="Times New Roman"/>
                      <w:color w:val="auto"/>
                      <w:sz w:val="21"/>
                      <w:szCs w:val="21"/>
                      <w:lang w:val="en-US" w:eastAsia="zh-CN"/>
                    </w:rPr>
                    <w:t>3</w:t>
                  </w:r>
                  <w:r>
                    <w:rPr>
                      <w:rFonts w:hint="default" w:ascii="Times New Roman" w:hAnsi="Times New Roman" w:cs="Times New Roman"/>
                      <w:color w:val="auto"/>
                      <w:sz w:val="21"/>
                      <w:szCs w:val="21"/>
                      <w:lang w:val="en-US" w:eastAsia="zh-CN"/>
                    </w:rPr>
                    <w:t xml:space="preserve"> </w:t>
                  </w:r>
                </w:p>
              </w:tc>
              <w:tc>
                <w:tcPr>
                  <w:tcW w:w="718" w:type="dxa"/>
                  <w:vAlign w:val="center"/>
                </w:tcPr>
                <w:p w14:paraId="014632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718" w:type="dxa"/>
                  <w:vAlign w:val="center"/>
                </w:tcPr>
                <w:p w14:paraId="3797AA2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1.253 </w:t>
                  </w:r>
                </w:p>
              </w:tc>
            </w:tr>
            <w:tr w14:paraId="6250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restart"/>
                  <w:vAlign w:val="center"/>
                </w:tcPr>
                <w:p w14:paraId="5407C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DA008</w:t>
                  </w:r>
                </w:p>
              </w:tc>
              <w:tc>
                <w:tcPr>
                  <w:tcW w:w="713" w:type="dxa"/>
                  <w:vAlign w:val="center"/>
                </w:tcPr>
                <w:p w14:paraId="2DFA2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w:t>
                  </w:r>
                </w:p>
              </w:tc>
              <w:tc>
                <w:tcPr>
                  <w:tcW w:w="734" w:type="dxa"/>
                  <w:vAlign w:val="center"/>
                </w:tcPr>
                <w:p w14:paraId="0430D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0.004 </w:t>
                  </w:r>
                </w:p>
              </w:tc>
              <w:tc>
                <w:tcPr>
                  <w:tcW w:w="634" w:type="dxa"/>
                  <w:vMerge w:val="continue"/>
                  <w:vAlign w:val="center"/>
                </w:tcPr>
                <w:p w14:paraId="5A958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22BD7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0.004 </w:t>
                  </w:r>
                </w:p>
              </w:tc>
              <w:tc>
                <w:tcPr>
                  <w:tcW w:w="729" w:type="dxa"/>
                  <w:vAlign w:val="center"/>
                </w:tcPr>
                <w:p w14:paraId="65989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85" w:type="dxa"/>
                  <w:vAlign w:val="center"/>
                </w:tcPr>
                <w:p w14:paraId="6AC14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0.189 </w:t>
                  </w:r>
                </w:p>
              </w:tc>
              <w:tc>
                <w:tcPr>
                  <w:tcW w:w="704" w:type="dxa"/>
                  <w:vMerge w:val="continue"/>
                  <w:vAlign w:val="center"/>
                </w:tcPr>
                <w:p w14:paraId="465026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0293B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0.004 </w:t>
                  </w:r>
                </w:p>
              </w:tc>
              <w:tc>
                <w:tcPr>
                  <w:tcW w:w="718" w:type="dxa"/>
                  <w:vAlign w:val="center"/>
                </w:tcPr>
                <w:p w14:paraId="2884D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0.001 </w:t>
                  </w:r>
                </w:p>
              </w:tc>
              <w:tc>
                <w:tcPr>
                  <w:tcW w:w="718" w:type="dxa"/>
                  <w:vAlign w:val="center"/>
                </w:tcPr>
                <w:p w14:paraId="6D2A2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0.189 </w:t>
                  </w:r>
                </w:p>
              </w:tc>
            </w:tr>
            <w:tr w14:paraId="1BE8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continue"/>
                  <w:vAlign w:val="center"/>
                </w:tcPr>
                <w:p w14:paraId="0CD3E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13" w:type="dxa"/>
                  <w:vAlign w:val="center"/>
                </w:tcPr>
                <w:p w14:paraId="202CBA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SO</w:t>
                  </w:r>
                  <w:r>
                    <w:rPr>
                      <w:rFonts w:hint="eastAsia" w:ascii="Times New Roman" w:hAnsi="Times New Roman" w:cs="Times New Roman"/>
                      <w:color w:val="auto"/>
                      <w:sz w:val="21"/>
                      <w:szCs w:val="21"/>
                      <w:vertAlign w:val="subscript"/>
                      <w:lang w:val="en-US" w:eastAsia="zh-CN"/>
                    </w:rPr>
                    <w:t>2</w:t>
                  </w:r>
                </w:p>
              </w:tc>
              <w:tc>
                <w:tcPr>
                  <w:tcW w:w="734" w:type="dxa"/>
                  <w:vAlign w:val="center"/>
                </w:tcPr>
                <w:p w14:paraId="39933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0.003 </w:t>
                  </w:r>
                </w:p>
              </w:tc>
              <w:tc>
                <w:tcPr>
                  <w:tcW w:w="634" w:type="dxa"/>
                  <w:vMerge w:val="continue"/>
                  <w:vAlign w:val="center"/>
                </w:tcPr>
                <w:p w14:paraId="462D1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1BDEED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0.003 </w:t>
                  </w:r>
                </w:p>
              </w:tc>
              <w:tc>
                <w:tcPr>
                  <w:tcW w:w="729" w:type="dxa"/>
                  <w:vAlign w:val="center"/>
                </w:tcPr>
                <w:p w14:paraId="6B71C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0.0004 </w:t>
                  </w:r>
                </w:p>
              </w:tc>
              <w:tc>
                <w:tcPr>
                  <w:tcW w:w="785" w:type="dxa"/>
                  <w:vAlign w:val="center"/>
                </w:tcPr>
                <w:p w14:paraId="2FF3E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0.132 </w:t>
                  </w:r>
                </w:p>
              </w:tc>
              <w:tc>
                <w:tcPr>
                  <w:tcW w:w="704" w:type="dxa"/>
                  <w:vMerge w:val="continue"/>
                  <w:vAlign w:val="center"/>
                </w:tcPr>
                <w:p w14:paraId="35665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1FB604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0.003 </w:t>
                  </w:r>
                </w:p>
              </w:tc>
              <w:tc>
                <w:tcPr>
                  <w:tcW w:w="718" w:type="dxa"/>
                  <w:vAlign w:val="center"/>
                </w:tcPr>
                <w:p w14:paraId="767A38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0.0004 </w:t>
                  </w:r>
                </w:p>
              </w:tc>
              <w:tc>
                <w:tcPr>
                  <w:tcW w:w="718" w:type="dxa"/>
                  <w:vAlign w:val="center"/>
                </w:tcPr>
                <w:p w14:paraId="52C0F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0.132 </w:t>
                  </w:r>
                </w:p>
              </w:tc>
            </w:tr>
            <w:tr w14:paraId="73FC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Merge w:val="continue"/>
                  <w:vAlign w:val="center"/>
                </w:tcPr>
                <w:p w14:paraId="338D3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p>
              </w:tc>
              <w:tc>
                <w:tcPr>
                  <w:tcW w:w="713" w:type="dxa"/>
                  <w:vAlign w:val="center"/>
                </w:tcPr>
                <w:p w14:paraId="1424E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NO</w:t>
                  </w:r>
                  <w:r>
                    <w:rPr>
                      <w:rFonts w:hint="eastAsia" w:ascii="Times New Roman" w:hAnsi="Times New Roman" w:cs="Times New Roman"/>
                      <w:color w:val="auto"/>
                      <w:sz w:val="21"/>
                      <w:szCs w:val="21"/>
                      <w:vertAlign w:val="subscript"/>
                      <w:lang w:val="en-US" w:eastAsia="zh-CN"/>
                    </w:rPr>
                    <w:t>x</w:t>
                  </w:r>
                </w:p>
              </w:tc>
              <w:tc>
                <w:tcPr>
                  <w:tcW w:w="734" w:type="dxa"/>
                  <w:vAlign w:val="center"/>
                </w:tcPr>
                <w:p w14:paraId="7B4806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0.028 </w:t>
                  </w:r>
                </w:p>
              </w:tc>
              <w:tc>
                <w:tcPr>
                  <w:tcW w:w="634" w:type="dxa"/>
                  <w:vMerge w:val="continue"/>
                  <w:vAlign w:val="center"/>
                </w:tcPr>
                <w:p w14:paraId="46CCC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29" w:type="dxa"/>
                  <w:vAlign w:val="center"/>
                </w:tcPr>
                <w:p w14:paraId="145D6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0.027 </w:t>
                  </w:r>
                </w:p>
              </w:tc>
              <w:tc>
                <w:tcPr>
                  <w:tcW w:w="729" w:type="dxa"/>
                  <w:vAlign w:val="center"/>
                </w:tcPr>
                <w:p w14:paraId="72F4C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0.004 </w:t>
                  </w:r>
                </w:p>
              </w:tc>
              <w:tc>
                <w:tcPr>
                  <w:tcW w:w="785" w:type="dxa"/>
                  <w:vAlign w:val="center"/>
                </w:tcPr>
                <w:p w14:paraId="1FB0B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1.234 </w:t>
                  </w:r>
                </w:p>
              </w:tc>
              <w:tc>
                <w:tcPr>
                  <w:tcW w:w="704" w:type="dxa"/>
                  <w:vMerge w:val="continue"/>
                  <w:vAlign w:val="center"/>
                </w:tcPr>
                <w:p w14:paraId="115AC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p>
              </w:tc>
              <w:tc>
                <w:tcPr>
                  <w:tcW w:w="718" w:type="dxa"/>
                  <w:vAlign w:val="center"/>
                </w:tcPr>
                <w:p w14:paraId="07C7FC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0.027 </w:t>
                  </w:r>
                </w:p>
              </w:tc>
              <w:tc>
                <w:tcPr>
                  <w:tcW w:w="718" w:type="dxa"/>
                  <w:vAlign w:val="center"/>
                </w:tcPr>
                <w:p w14:paraId="78B027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0.004 </w:t>
                  </w:r>
                </w:p>
              </w:tc>
              <w:tc>
                <w:tcPr>
                  <w:tcW w:w="718" w:type="dxa"/>
                  <w:vAlign w:val="center"/>
                </w:tcPr>
                <w:p w14:paraId="260CE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1.234 </w:t>
                  </w:r>
                </w:p>
              </w:tc>
            </w:tr>
          </w:tbl>
          <w:p w14:paraId="3D746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 2.1.</w:t>
            </w:r>
            <w:r>
              <w:rPr>
                <w:rFonts w:hint="eastAsia" w:cs="Times New Roman"/>
                <w:b/>
                <w:bCs/>
                <w:sz w:val="24"/>
                <w:szCs w:val="24"/>
                <w:lang w:val="en-US" w:eastAsia="zh-CN"/>
              </w:rPr>
              <w:t>4</w:t>
            </w:r>
            <w:r>
              <w:rPr>
                <w:rFonts w:hint="eastAsia" w:ascii="Times New Roman" w:hAnsi="Times New Roman" w:eastAsia="宋体" w:cs="Times New Roman"/>
                <w:b/>
                <w:bCs/>
                <w:sz w:val="24"/>
                <w:szCs w:val="24"/>
                <w:lang w:val="en-US" w:eastAsia="zh-CN"/>
              </w:rPr>
              <w:t>非正常工况下废气排放分析</w:t>
            </w:r>
          </w:p>
          <w:p w14:paraId="0960FD4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bCs/>
                <w:color w:val="000000"/>
                <w:sz w:val="24"/>
                <w:lang w:val="en-US" w:eastAsia="zh-CN"/>
              </w:rPr>
            </w:pPr>
            <w:r>
              <w:rPr>
                <w:rFonts w:hint="eastAsia"/>
                <w:bCs/>
                <w:color w:val="000000"/>
                <w:sz w:val="24"/>
                <w:lang w:val="en-US" w:eastAsia="zh-CN"/>
              </w:rPr>
              <w:t>根据规定，非正常工况主要为未及时更换处理设备、废气处理措施失效或发生故障。环评要求：企业在开始运行前，须先开启废气处理设施；生产线停运时，确保废气处理设施运行5~10分钟后再关闭。由于多种原因，风机损坏须更换备件，一般在30min左右，此种情况一年最多发生1~2次。如果运行中废气处理设施损坏，运行时可立即发现。由于废气处理设施包含多个处理单元，可逐一隔离检查更换，对废气处理仍然有效、但效率有所下降。在此，非正常工况下的废气处理设施处理效率取值0%。</w:t>
            </w:r>
          </w:p>
          <w:p w14:paraId="2DBDBC3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b/>
                <w:bCs/>
                <w:color w:val="000000"/>
                <w:sz w:val="24"/>
                <w:lang w:val="en-US" w:eastAsia="zh-CN"/>
              </w:rPr>
            </w:pPr>
            <w:r>
              <w:rPr>
                <w:rFonts w:hint="default" w:ascii="Times New Roman" w:hAnsi="Times New Roman" w:eastAsia="宋体" w:cs="Times New Roman"/>
                <w:b/>
                <w:bCs/>
                <w:color w:val="000000"/>
                <w:sz w:val="24"/>
                <w:lang w:val="en-US" w:eastAsia="zh-CN"/>
              </w:rPr>
              <w:t>表</w:t>
            </w:r>
            <w:r>
              <w:rPr>
                <w:rFonts w:hint="eastAsia" w:ascii="Times New Roman" w:hAnsi="Times New Roman" w:eastAsia="宋体" w:cs="Times New Roman"/>
                <w:b/>
                <w:bCs/>
                <w:color w:val="000000"/>
                <w:sz w:val="24"/>
                <w:lang w:val="en-US" w:eastAsia="zh-CN"/>
              </w:rPr>
              <w:t>4-</w:t>
            </w:r>
            <w:r>
              <w:rPr>
                <w:rFonts w:hint="eastAsia" w:cs="Times New Roman"/>
                <w:b/>
                <w:bCs/>
                <w:color w:val="000000"/>
                <w:sz w:val="24"/>
                <w:lang w:val="en-US" w:eastAsia="zh-CN"/>
              </w:rPr>
              <w:t>17</w:t>
            </w:r>
            <w:r>
              <w:rPr>
                <w:rFonts w:hint="default" w:ascii="Times New Roman" w:hAnsi="Times New Roman" w:eastAsia="宋体" w:cs="Times New Roman"/>
                <w:b/>
                <w:bCs/>
                <w:color w:val="000000"/>
                <w:sz w:val="24"/>
                <w:lang w:val="en-US" w:eastAsia="zh-CN"/>
              </w:rPr>
              <w:t xml:space="preserve"> </w:t>
            </w:r>
            <w:r>
              <w:rPr>
                <w:rFonts w:hint="eastAsia" w:ascii="Times New Roman" w:hAnsi="Times New Roman" w:eastAsia="宋体" w:cs="Times New Roman"/>
                <w:b/>
                <w:bCs/>
                <w:color w:val="000000"/>
                <w:sz w:val="24"/>
                <w:lang w:val="en-US" w:eastAsia="zh-CN"/>
              </w:rPr>
              <w:t xml:space="preserve"> 非正常工况下废气产生及排放情况一览表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713"/>
              <w:gridCol w:w="734"/>
              <w:gridCol w:w="634"/>
              <w:gridCol w:w="729"/>
              <w:gridCol w:w="729"/>
              <w:gridCol w:w="785"/>
              <w:gridCol w:w="704"/>
              <w:gridCol w:w="718"/>
              <w:gridCol w:w="718"/>
              <w:gridCol w:w="718"/>
            </w:tblGrid>
            <w:tr w14:paraId="380F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6BF5D6B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排气筒编号</w:t>
                  </w:r>
                </w:p>
              </w:tc>
              <w:tc>
                <w:tcPr>
                  <w:tcW w:w="713" w:type="dxa"/>
                  <w:vAlign w:val="center"/>
                </w:tcPr>
                <w:p w14:paraId="41DDB2D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eastAsia="zh-CN"/>
                    </w:rPr>
                  </w:pPr>
                  <w:r>
                    <w:rPr>
                      <w:rFonts w:hint="default" w:ascii="Times New Roman" w:hAnsi="Times New Roman" w:cs="Times New Roman" w:eastAsiaTheme="minorEastAsia"/>
                      <w:b/>
                      <w:bCs w:val="0"/>
                      <w:sz w:val="21"/>
                      <w:szCs w:val="21"/>
                      <w:lang w:val="en-US" w:eastAsia="zh-CN"/>
                    </w:rPr>
                    <w:t>污染物</w:t>
                  </w:r>
                </w:p>
              </w:tc>
              <w:tc>
                <w:tcPr>
                  <w:tcW w:w="734" w:type="dxa"/>
                  <w:vAlign w:val="center"/>
                </w:tcPr>
                <w:p w14:paraId="53442AB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产生量t/a</w:t>
                  </w:r>
                </w:p>
              </w:tc>
              <w:tc>
                <w:tcPr>
                  <w:tcW w:w="634" w:type="dxa"/>
                  <w:vAlign w:val="center"/>
                </w:tcPr>
                <w:p w14:paraId="6751CE2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收集效率</w:t>
                  </w:r>
                </w:p>
              </w:tc>
              <w:tc>
                <w:tcPr>
                  <w:tcW w:w="729" w:type="dxa"/>
                  <w:vAlign w:val="center"/>
                </w:tcPr>
                <w:p w14:paraId="41FA923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有组织收集量</w:t>
                  </w:r>
                </w:p>
              </w:tc>
              <w:tc>
                <w:tcPr>
                  <w:tcW w:w="729" w:type="dxa"/>
                  <w:vAlign w:val="center"/>
                </w:tcPr>
                <w:p w14:paraId="0EB9D2E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产生速率</w:t>
                  </w:r>
                </w:p>
              </w:tc>
              <w:tc>
                <w:tcPr>
                  <w:tcW w:w="785" w:type="dxa"/>
                  <w:vAlign w:val="center"/>
                </w:tcPr>
                <w:p w14:paraId="6D434D3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产生浓度</w:t>
                  </w:r>
                </w:p>
              </w:tc>
              <w:tc>
                <w:tcPr>
                  <w:tcW w:w="704" w:type="dxa"/>
                  <w:vAlign w:val="center"/>
                </w:tcPr>
                <w:p w14:paraId="6865AAC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处理效率</w:t>
                  </w:r>
                </w:p>
              </w:tc>
              <w:tc>
                <w:tcPr>
                  <w:tcW w:w="718" w:type="dxa"/>
                  <w:vAlign w:val="center"/>
                </w:tcPr>
                <w:p w14:paraId="1DABF0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排放量</w:t>
                  </w:r>
                </w:p>
              </w:tc>
              <w:tc>
                <w:tcPr>
                  <w:tcW w:w="718" w:type="dxa"/>
                  <w:vAlign w:val="center"/>
                </w:tcPr>
                <w:p w14:paraId="667B047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排放速率</w:t>
                  </w:r>
                </w:p>
              </w:tc>
              <w:tc>
                <w:tcPr>
                  <w:tcW w:w="718" w:type="dxa"/>
                  <w:vAlign w:val="center"/>
                </w:tcPr>
                <w:p w14:paraId="7CED742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val="0"/>
                      <w:sz w:val="21"/>
                      <w:szCs w:val="21"/>
                      <w:lang w:val="en-US" w:eastAsia="zh-CN"/>
                    </w:rPr>
                  </w:pPr>
                  <w:r>
                    <w:rPr>
                      <w:rFonts w:hint="default" w:ascii="Times New Roman" w:hAnsi="Times New Roman" w:cs="Times New Roman" w:eastAsiaTheme="minorEastAsia"/>
                      <w:b/>
                      <w:bCs w:val="0"/>
                      <w:sz w:val="21"/>
                      <w:szCs w:val="21"/>
                      <w:lang w:val="en-US" w:eastAsia="zh-CN"/>
                    </w:rPr>
                    <w:t>排放浓度</w:t>
                  </w:r>
                </w:p>
              </w:tc>
            </w:tr>
            <w:tr w14:paraId="7FA3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0BDF121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DA001</w:t>
                  </w:r>
                </w:p>
              </w:tc>
              <w:tc>
                <w:tcPr>
                  <w:tcW w:w="713" w:type="dxa"/>
                  <w:vMerge w:val="restart"/>
                  <w:vAlign w:val="center"/>
                </w:tcPr>
                <w:p w14:paraId="5A37CB4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颗粒物</w:t>
                  </w:r>
                </w:p>
              </w:tc>
              <w:tc>
                <w:tcPr>
                  <w:tcW w:w="734" w:type="dxa"/>
                  <w:vAlign w:val="center"/>
                </w:tcPr>
                <w:p w14:paraId="7384E3A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2.957 </w:t>
                  </w:r>
                </w:p>
              </w:tc>
              <w:tc>
                <w:tcPr>
                  <w:tcW w:w="634" w:type="dxa"/>
                  <w:vMerge w:val="restart"/>
                  <w:vAlign w:val="center"/>
                </w:tcPr>
                <w:p w14:paraId="3A1A8A4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95%</w:t>
                  </w:r>
                </w:p>
              </w:tc>
              <w:tc>
                <w:tcPr>
                  <w:tcW w:w="729" w:type="dxa"/>
                  <w:vAlign w:val="center"/>
                </w:tcPr>
                <w:p w14:paraId="4E315F0D">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2.809 </w:t>
                  </w:r>
                </w:p>
              </w:tc>
              <w:tc>
                <w:tcPr>
                  <w:tcW w:w="729" w:type="dxa"/>
                  <w:vAlign w:val="center"/>
                </w:tcPr>
                <w:p w14:paraId="686D414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0.321 </w:t>
                  </w:r>
                </w:p>
              </w:tc>
              <w:tc>
                <w:tcPr>
                  <w:tcW w:w="785" w:type="dxa"/>
                  <w:vAlign w:val="center"/>
                </w:tcPr>
                <w:p w14:paraId="5154976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53.438 </w:t>
                  </w:r>
                </w:p>
              </w:tc>
              <w:tc>
                <w:tcPr>
                  <w:tcW w:w="704" w:type="dxa"/>
                  <w:vMerge w:val="restart"/>
                  <w:vAlign w:val="center"/>
                </w:tcPr>
                <w:p w14:paraId="4135FFC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w:t>
                  </w:r>
                </w:p>
              </w:tc>
              <w:tc>
                <w:tcPr>
                  <w:tcW w:w="718" w:type="dxa"/>
                  <w:vAlign w:val="center"/>
                </w:tcPr>
                <w:p w14:paraId="61916EF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2.809 </w:t>
                  </w:r>
                </w:p>
              </w:tc>
              <w:tc>
                <w:tcPr>
                  <w:tcW w:w="718" w:type="dxa"/>
                  <w:vAlign w:val="center"/>
                </w:tcPr>
                <w:p w14:paraId="5821B7C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0.321 </w:t>
                  </w:r>
                </w:p>
              </w:tc>
              <w:tc>
                <w:tcPr>
                  <w:tcW w:w="718" w:type="dxa"/>
                  <w:vAlign w:val="center"/>
                </w:tcPr>
                <w:p w14:paraId="4FA7AF7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53.438 </w:t>
                  </w:r>
                </w:p>
              </w:tc>
            </w:tr>
            <w:tr w14:paraId="5421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27D4E9A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DA002</w:t>
                  </w:r>
                </w:p>
              </w:tc>
              <w:tc>
                <w:tcPr>
                  <w:tcW w:w="713" w:type="dxa"/>
                  <w:vMerge w:val="continue"/>
                  <w:vAlign w:val="center"/>
                </w:tcPr>
                <w:p w14:paraId="6306F93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34" w:type="dxa"/>
                  <w:vAlign w:val="center"/>
                </w:tcPr>
                <w:p w14:paraId="02B2C2EE">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2.957 </w:t>
                  </w:r>
                </w:p>
              </w:tc>
              <w:tc>
                <w:tcPr>
                  <w:tcW w:w="634" w:type="dxa"/>
                  <w:vMerge w:val="continue"/>
                  <w:vAlign w:val="center"/>
                </w:tcPr>
                <w:p w14:paraId="43EB1C5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29" w:type="dxa"/>
                  <w:vAlign w:val="center"/>
                </w:tcPr>
                <w:p w14:paraId="7CB337B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2.809 </w:t>
                  </w:r>
                </w:p>
              </w:tc>
              <w:tc>
                <w:tcPr>
                  <w:tcW w:w="729" w:type="dxa"/>
                  <w:vAlign w:val="center"/>
                </w:tcPr>
                <w:p w14:paraId="2B52D2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0.321 </w:t>
                  </w:r>
                </w:p>
              </w:tc>
              <w:tc>
                <w:tcPr>
                  <w:tcW w:w="785" w:type="dxa"/>
                  <w:vAlign w:val="center"/>
                </w:tcPr>
                <w:p w14:paraId="07C7163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53.438 </w:t>
                  </w:r>
                </w:p>
              </w:tc>
              <w:tc>
                <w:tcPr>
                  <w:tcW w:w="704" w:type="dxa"/>
                  <w:vMerge w:val="continue"/>
                  <w:vAlign w:val="center"/>
                </w:tcPr>
                <w:p w14:paraId="2754144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18" w:type="dxa"/>
                  <w:vAlign w:val="center"/>
                </w:tcPr>
                <w:p w14:paraId="2C7CD1B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2.809 </w:t>
                  </w:r>
                </w:p>
              </w:tc>
              <w:tc>
                <w:tcPr>
                  <w:tcW w:w="718" w:type="dxa"/>
                  <w:vAlign w:val="center"/>
                </w:tcPr>
                <w:p w14:paraId="095CFAB4">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0.321 </w:t>
                  </w:r>
                </w:p>
              </w:tc>
              <w:tc>
                <w:tcPr>
                  <w:tcW w:w="718" w:type="dxa"/>
                  <w:vAlign w:val="center"/>
                </w:tcPr>
                <w:p w14:paraId="44928A6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53.438 </w:t>
                  </w:r>
                </w:p>
              </w:tc>
            </w:tr>
            <w:tr w14:paraId="3BE7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72B01FD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DA003</w:t>
                  </w:r>
                </w:p>
              </w:tc>
              <w:tc>
                <w:tcPr>
                  <w:tcW w:w="713" w:type="dxa"/>
                  <w:vMerge w:val="continue"/>
                  <w:vAlign w:val="center"/>
                </w:tcPr>
                <w:p w14:paraId="1D72E61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34" w:type="dxa"/>
                  <w:vAlign w:val="center"/>
                </w:tcPr>
                <w:p w14:paraId="2423D97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1.050 </w:t>
                  </w:r>
                </w:p>
              </w:tc>
              <w:tc>
                <w:tcPr>
                  <w:tcW w:w="634" w:type="dxa"/>
                  <w:vMerge w:val="continue"/>
                  <w:vAlign w:val="center"/>
                </w:tcPr>
                <w:p w14:paraId="6DDE2A0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29" w:type="dxa"/>
                  <w:vAlign w:val="center"/>
                </w:tcPr>
                <w:p w14:paraId="006EF41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0.998 </w:t>
                  </w:r>
                </w:p>
              </w:tc>
              <w:tc>
                <w:tcPr>
                  <w:tcW w:w="729" w:type="dxa"/>
                  <w:vAlign w:val="center"/>
                </w:tcPr>
                <w:p w14:paraId="655D422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0.119 </w:t>
                  </w:r>
                </w:p>
              </w:tc>
              <w:tc>
                <w:tcPr>
                  <w:tcW w:w="785" w:type="dxa"/>
                  <w:vAlign w:val="center"/>
                </w:tcPr>
                <w:p w14:paraId="5708D4D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19.792 </w:t>
                  </w:r>
                </w:p>
              </w:tc>
              <w:tc>
                <w:tcPr>
                  <w:tcW w:w="704" w:type="dxa"/>
                  <w:vMerge w:val="continue"/>
                  <w:vAlign w:val="center"/>
                </w:tcPr>
                <w:p w14:paraId="34374EE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18" w:type="dxa"/>
                  <w:vAlign w:val="center"/>
                </w:tcPr>
                <w:p w14:paraId="59B318E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0.998 </w:t>
                  </w:r>
                </w:p>
              </w:tc>
              <w:tc>
                <w:tcPr>
                  <w:tcW w:w="718" w:type="dxa"/>
                  <w:vAlign w:val="center"/>
                </w:tcPr>
                <w:p w14:paraId="060971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0.119 </w:t>
                  </w:r>
                </w:p>
              </w:tc>
              <w:tc>
                <w:tcPr>
                  <w:tcW w:w="718" w:type="dxa"/>
                  <w:vAlign w:val="center"/>
                </w:tcPr>
                <w:p w14:paraId="61A7FC2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19.792 </w:t>
                  </w:r>
                </w:p>
              </w:tc>
            </w:tr>
            <w:tr w14:paraId="5B02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0103FFA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DA004</w:t>
                  </w:r>
                </w:p>
              </w:tc>
              <w:tc>
                <w:tcPr>
                  <w:tcW w:w="713" w:type="dxa"/>
                  <w:vMerge w:val="continue"/>
                  <w:vAlign w:val="center"/>
                </w:tcPr>
                <w:p w14:paraId="46997AD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34" w:type="dxa"/>
                  <w:vAlign w:val="center"/>
                </w:tcPr>
                <w:p w14:paraId="46B1209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2.730 </w:t>
                  </w:r>
                </w:p>
              </w:tc>
              <w:tc>
                <w:tcPr>
                  <w:tcW w:w="634" w:type="dxa"/>
                  <w:vMerge w:val="continue"/>
                  <w:vAlign w:val="center"/>
                </w:tcPr>
                <w:p w14:paraId="50F2BB4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29" w:type="dxa"/>
                  <w:vAlign w:val="center"/>
                </w:tcPr>
                <w:p w14:paraId="4024536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2.594 </w:t>
                  </w:r>
                </w:p>
              </w:tc>
              <w:tc>
                <w:tcPr>
                  <w:tcW w:w="729" w:type="dxa"/>
                  <w:vAlign w:val="center"/>
                </w:tcPr>
                <w:p w14:paraId="62BAE4B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0.309 </w:t>
                  </w:r>
                </w:p>
              </w:tc>
              <w:tc>
                <w:tcPr>
                  <w:tcW w:w="785" w:type="dxa"/>
                  <w:vAlign w:val="center"/>
                </w:tcPr>
                <w:p w14:paraId="04560E36">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51.458 </w:t>
                  </w:r>
                </w:p>
              </w:tc>
              <w:tc>
                <w:tcPr>
                  <w:tcW w:w="704" w:type="dxa"/>
                  <w:vMerge w:val="continue"/>
                  <w:vAlign w:val="center"/>
                </w:tcPr>
                <w:p w14:paraId="7D0171C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18" w:type="dxa"/>
                  <w:vAlign w:val="center"/>
                </w:tcPr>
                <w:p w14:paraId="59CC84E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2.594 </w:t>
                  </w:r>
                </w:p>
              </w:tc>
              <w:tc>
                <w:tcPr>
                  <w:tcW w:w="718" w:type="dxa"/>
                  <w:vAlign w:val="center"/>
                </w:tcPr>
                <w:p w14:paraId="1A791F6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0.309 </w:t>
                  </w:r>
                </w:p>
              </w:tc>
              <w:tc>
                <w:tcPr>
                  <w:tcW w:w="718" w:type="dxa"/>
                  <w:vAlign w:val="center"/>
                </w:tcPr>
                <w:p w14:paraId="2CFEC52F">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51.458 </w:t>
                  </w:r>
                </w:p>
              </w:tc>
            </w:tr>
            <w:tr w14:paraId="4AC1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3" w:type="dxa"/>
                  <w:vAlign w:val="center"/>
                </w:tcPr>
                <w:p w14:paraId="4E43FB3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DA005</w:t>
                  </w:r>
                </w:p>
              </w:tc>
              <w:tc>
                <w:tcPr>
                  <w:tcW w:w="713" w:type="dxa"/>
                  <w:vMerge w:val="continue"/>
                  <w:vAlign w:val="center"/>
                </w:tcPr>
                <w:p w14:paraId="406B46F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34" w:type="dxa"/>
                  <w:vAlign w:val="center"/>
                </w:tcPr>
                <w:p w14:paraId="7411BD6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0.162 </w:t>
                  </w:r>
                </w:p>
              </w:tc>
              <w:tc>
                <w:tcPr>
                  <w:tcW w:w="634" w:type="dxa"/>
                  <w:vMerge w:val="continue"/>
                  <w:vAlign w:val="center"/>
                </w:tcPr>
                <w:p w14:paraId="778558B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29" w:type="dxa"/>
                  <w:vAlign w:val="center"/>
                </w:tcPr>
                <w:p w14:paraId="44B33F2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0.154 </w:t>
                  </w:r>
                </w:p>
              </w:tc>
              <w:tc>
                <w:tcPr>
                  <w:tcW w:w="729" w:type="dxa"/>
                  <w:vAlign w:val="center"/>
                </w:tcPr>
                <w:p w14:paraId="0CE32CF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0.021 </w:t>
                  </w:r>
                </w:p>
              </w:tc>
              <w:tc>
                <w:tcPr>
                  <w:tcW w:w="785" w:type="dxa"/>
                  <w:vAlign w:val="center"/>
                </w:tcPr>
                <w:p w14:paraId="75A2763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3.563 </w:t>
                  </w:r>
                </w:p>
              </w:tc>
              <w:tc>
                <w:tcPr>
                  <w:tcW w:w="704" w:type="dxa"/>
                  <w:vMerge w:val="continue"/>
                  <w:vAlign w:val="center"/>
                </w:tcPr>
                <w:p w14:paraId="1B33A57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lang w:val="en-US" w:eastAsia="zh-CN"/>
                    </w:rPr>
                  </w:pPr>
                </w:p>
              </w:tc>
              <w:tc>
                <w:tcPr>
                  <w:tcW w:w="718" w:type="dxa"/>
                  <w:vAlign w:val="center"/>
                </w:tcPr>
                <w:p w14:paraId="4E525B3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0.154 </w:t>
                  </w:r>
                </w:p>
              </w:tc>
              <w:tc>
                <w:tcPr>
                  <w:tcW w:w="718" w:type="dxa"/>
                  <w:vAlign w:val="center"/>
                </w:tcPr>
                <w:p w14:paraId="4FEAC2FB">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0.0214 </w:t>
                  </w:r>
                </w:p>
              </w:tc>
              <w:tc>
                <w:tcPr>
                  <w:tcW w:w="718" w:type="dxa"/>
                  <w:vAlign w:val="center"/>
                </w:tcPr>
                <w:p w14:paraId="0717F2FA">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i w:val="0"/>
                      <w:iCs w:val="0"/>
                      <w:color w:val="000000"/>
                      <w:kern w:val="0"/>
                      <w:sz w:val="21"/>
                      <w:szCs w:val="21"/>
                      <w:u w:val="none"/>
                      <w:lang w:val="en-US" w:eastAsia="zh-CN" w:bidi="ar"/>
                    </w:rPr>
                    <w:t xml:space="preserve">3.563 </w:t>
                  </w:r>
                </w:p>
              </w:tc>
            </w:tr>
          </w:tbl>
          <w:p w14:paraId="157CF3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eastAsia"/>
                <w:sz w:val="24"/>
                <w:szCs w:val="24"/>
                <w:lang w:val="en-US" w:eastAsia="zh-CN"/>
              </w:rPr>
            </w:pPr>
            <w:r>
              <w:rPr>
                <w:rFonts w:hint="eastAsia"/>
                <w:b w:val="0"/>
                <w:bCs w:val="0"/>
                <w:sz w:val="24"/>
                <w:szCs w:val="24"/>
                <w:lang w:val="en-US" w:eastAsia="zh-CN"/>
              </w:rPr>
              <w:t>综上，当出现非常工况时，部分排气筒外环境影响程度比正常工况显著增加。因此，应对环保设施加强管理和维护，避免非正常排放的发生。</w:t>
            </w:r>
          </w:p>
          <w:p w14:paraId="6785E1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outlineLvl w:val="9"/>
              <w:rPr>
                <w:rFonts w:hint="default"/>
                <w:sz w:val="24"/>
                <w:szCs w:val="24"/>
                <w:lang w:val="en-US" w:eastAsia="zh-CN"/>
              </w:rPr>
            </w:pPr>
          </w:p>
          <w:p w14:paraId="1C9F0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textAlignment w:val="auto"/>
              <w:outlineLvl w:val="9"/>
              <w:rPr>
                <w:rFonts w:hint="eastAsia"/>
                <w:sz w:val="24"/>
                <w:szCs w:val="24"/>
                <w:lang w:val="en-US" w:eastAsia="zh-CN"/>
              </w:rPr>
            </w:pPr>
          </w:p>
        </w:tc>
      </w:tr>
    </w:tbl>
    <w:p w14:paraId="693EEA81">
      <w:pPr>
        <w:pStyle w:val="28"/>
        <w:spacing w:before="0" w:beforeAutospacing="0" w:after="0" w:afterAutospacing="0" w:line="360" w:lineRule="auto"/>
        <w:jc w:val="both"/>
        <w:outlineLvl w:val="0"/>
        <w:rPr>
          <w:rFonts w:hint="eastAsia" w:ascii="黑体" w:hAnsi="黑体" w:eastAsia="黑体" w:cs="黑体"/>
          <w:snapToGrid w:val="0"/>
          <w:sz w:val="30"/>
          <w:szCs w:val="30"/>
        </w:rPr>
        <w:sectPr>
          <w:pgSz w:w="11906" w:h="16838"/>
          <w:pgMar w:top="1440" w:right="1800" w:bottom="1440" w:left="1417" w:header="851" w:footer="992" w:gutter="0"/>
          <w:pgNumType w:fmt="decimal"/>
          <w:cols w:space="425" w:num="1"/>
          <w:docGrid w:type="lines" w:linePitch="312" w:charSpace="0"/>
        </w:sectPr>
      </w:pPr>
      <w:bookmarkStart w:id="10" w:name="_Toc66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3716"/>
      </w:tblGrid>
      <w:tr w14:paraId="0FD4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dxa"/>
          </w:tcPr>
          <w:p w14:paraId="05C98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
                <w:bCs/>
                <w:sz w:val="24"/>
                <w:szCs w:val="24"/>
                <w:highlight w:val="none"/>
                <w:vertAlign w:val="baseline"/>
                <w:lang w:val="en-US" w:eastAsia="zh-CN"/>
              </w:rPr>
            </w:pPr>
          </w:p>
        </w:tc>
        <w:tc>
          <w:tcPr>
            <w:tcW w:w="13716" w:type="dxa"/>
          </w:tcPr>
          <w:p w14:paraId="4DAB58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b/>
                <w:bCs/>
                <w:sz w:val="24"/>
                <w:szCs w:val="24"/>
              </w:rPr>
            </w:pPr>
            <w:r>
              <w:rPr>
                <w:rFonts w:hint="eastAsia" w:ascii="Times New Roman" w:hAnsi="Times New Roman" w:eastAsia="宋体" w:cs="Times New Roman"/>
                <w:b/>
                <w:bCs/>
                <w:sz w:val="24"/>
                <w:szCs w:val="24"/>
                <w:lang w:val="en-US" w:eastAsia="zh-CN"/>
              </w:rPr>
              <w:t>2.</w:t>
            </w:r>
            <w:r>
              <w:rPr>
                <w:rFonts w:hint="eastAsia" w:eastAsia="宋体" w:cs="Times New Roman"/>
                <w:b/>
                <w:bCs/>
                <w:sz w:val="24"/>
                <w:szCs w:val="24"/>
                <w:lang w:val="en-US" w:eastAsia="zh-CN"/>
              </w:rPr>
              <w:t>2</w:t>
            </w:r>
            <w:r>
              <w:rPr>
                <w:rFonts w:hint="eastAsia" w:ascii="Times New Roman" w:hAnsi="Times New Roman" w:eastAsia="宋体" w:cs="Times New Roman"/>
                <w:b/>
                <w:bCs/>
                <w:sz w:val="24"/>
                <w:szCs w:val="24"/>
                <w:lang w:val="en-US" w:eastAsia="zh-CN"/>
              </w:rPr>
              <w:t xml:space="preserve"> 废气产排情况汇总</w:t>
            </w:r>
          </w:p>
          <w:p w14:paraId="095DAAA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eastAsia="宋体" w:cs="宋体"/>
                <w:b/>
                <w:bCs/>
                <w:sz w:val="24"/>
                <w:szCs w:val="24"/>
                <w:lang w:val="en-US" w:eastAsia="zh-CN"/>
              </w:rPr>
            </w:pPr>
            <w:r>
              <w:rPr>
                <w:rFonts w:hint="eastAsia" w:ascii="Times New Roman" w:hAnsi="Times New Roman" w:eastAsia="宋体" w:cs="宋体"/>
                <w:b/>
                <w:bCs/>
                <w:sz w:val="24"/>
                <w:szCs w:val="24"/>
                <w:lang w:val="en-US" w:eastAsia="zh-CN"/>
              </w:rPr>
              <w:t>表4-</w:t>
            </w:r>
            <w:r>
              <w:rPr>
                <w:rFonts w:hint="eastAsia" w:cs="宋体"/>
                <w:b/>
                <w:bCs/>
                <w:sz w:val="24"/>
                <w:szCs w:val="24"/>
                <w:lang w:val="en-US" w:eastAsia="zh-CN"/>
              </w:rPr>
              <w:t>18</w:t>
            </w:r>
            <w:r>
              <w:rPr>
                <w:rFonts w:hint="eastAsia" w:ascii="Times New Roman" w:hAnsi="Times New Roman" w:eastAsia="宋体" w:cs="宋体"/>
                <w:b/>
                <w:bCs/>
                <w:sz w:val="24"/>
                <w:szCs w:val="24"/>
                <w:lang w:val="en-US" w:eastAsia="zh-CN"/>
              </w:rPr>
              <w:t xml:space="preserve">  全厂项目有组织排放口信息表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38"/>
              <w:gridCol w:w="1250"/>
              <w:gridCol w:w="603"/>
              <w:gridCol w:w="605"/>
              <w:gridCol w:w="866"/>
              <w:gridCol w:w="634"/>
              <w:gridCol w:w="704"/>
              <w:gridCol w:w="785"/>
              <w:gridCol w:w="704"/>
              <w:gridCol w:w="648"/>
              <w:gridCol w:w="745"/>
              <w:gridCol w:w="842"/>
              <w:gridCol w:w="855"/>
              <w:gridCol w:w="1020"/>
              <w:gridCol w:w="1052"/>
              <w:gridCol w:w="805"/>
            </w:tblGrid>
            <w:tr w14:paraId="5332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restart"/>
                  <w:vAlign w:val="center"/>
                </w:tcPr>
                <w:p w14:paraId="11BFB5B7">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eastAsia" w:ascii="Times New Roman" w:hAnsi="Times New Roman" w:eastAsia="宋体" w:cs="Times New Roman"/>
                      <w:b/>
                      <w:bCs/>
                      <w:color w:val="auto"/>
                      <w:kern w:val="0"/>
                      <w:sz w:val="21"/>
                      <w:szCs w:val="21"/>
                      <w:lang w:val="en-US" w:eastAsia="zh-CN"/>
                    </w:rPr>
                  </w:pPr>
                  <w:r>
                    <w:rPr>
                      <w:rFonts w:hint="eastAsia" w:cs="Times New Roman"/>
                      <w:b/>
                      <w:bCs/>
                      <w:color w:val="auto"/>
                      <w:kern w:val="0"/>
                      <w:sz w:val="21"/>
                      <w:szCs w:val="21"/>
                      <w:lang w:val="en-US" w:eastAsia="zh-CN"/>
                    </w:rPr>
                    <w:t>类别</w:t>
                  </w:r>
                </w:p>
              </w:tc>
              <w:tc>
                <w:tcPr>
                  <w:tcW w:w="310" w:type="pct"/>
                  <w:vMerge w:val="restart"/>
                  <w:vAlign w:val="center"/>
                </w:tcPr>
                <w:p w14:paraId="400D4C0C">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编号</w:t>
                  </w:r>
                </w:p>
              </w:tc>
              <w:tc>
                <w:tcPr>
                  <w:tcW w:w="463" w:type="pct"/>
                  <w:vMerge w:val="restart"/>
                  <w:vAlign w:val="center"/>
                </w:tcPr>
                <w:p w14:paraId="78F91643">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名称</w:t>
                  </w:r>
                </w:p>
              </w:tc>
              <w:tc>
                <w:tcPr>
                  <w:tcW w:w="447" w:type="pct"/>
                  <w:gridSpan w:val="2"/>
                  <w:vAlign w:val="center"/>
                </w:tcPr>
                <w:p w14:paraId="2B66FAD8">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排气筒底部中心坐标/m</w:t>
                  </w:r>
                </w:p>
              </w:tc>
              <w:tc>
                <w:tcPr>
                  <w:tcW w:w="320" w:type="pct"/>
                  <w:vMerge w:val="restart"/>
                  <w:vAlign w:val="center"/>
                </w:tcPr>
                <w:p w14:paraId="03B576D9">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排气筒底部海拔高度/m</w:t>
                  </w:r>
                </w:p>
              </w:tc>
              <w:tc>
                <w:tcPr>
                  <w:tcW w:w="234" w:type="pct"/>
                  <w:vMerge w:val="restart"/>
                  <w:vAlign w:val="center"/>
                </w:tcPr>
                <w:p w14:paraId="2FF6E540">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排气筒高度/m</w:t>
                  </w:r>
                </w:p>
              </w:tc>
              <w:tc>
                <w:tcPr>
                  <w:tcW w:w="260" w:type="pct"/>
                  <w:vMerge w:val="restart"/>
                  <w:vAlign w:val="center"/>
                </w:tcPr>
                <w:p w14:paraId="4818CDBA">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排气筒内径/m</w:t>
                  </w:r>
                </w:p>
              </w:tc>
              <w:tc>
                <w:tcPr>
                  <w:tcW w:w="290" w:type="pct"/>
                  <w:vMerge w:val="restart"/>
                  <w:vAlign w:val="center"/>
                </w:tcPr>
                <w:p w14:paraId="1D96F323">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eastAsia="宋体" w:cs="Times New Roman"/>
                      <w:b/>
                      <w:bCs/>
                      <w:color w:val="auto"/>
                      <w:sz w:val="21"/>
                      <w:szCs w:val="21"/>
                      <w:lang w:val="en-US" w:eastAsia="zh-CN"/>
                    </w:rPr>
                    <w:t>废</w:t>
                  </w:r>
                  <w:r>
                    <w:rPr>
                      <w:rFonts w:hint="default" w:ascii="Times New Roman" w:hAnsi="Times New Roman" w:eastAsia="宋体" w:cs="Times New Roman"/>
                      <w:b/>
                      <w:bCs/>
                      <w:color w:val="auto"/>
                      <w:sz w:val="21"/>
                      <w:szCs w:val="21"/>
                    </w:rPr>
                    <w:t>气量（m</w:t>
                  </w:r>
                  <w:r>
                    <w:rPr>
                      <w:rFonts w:hint="default" w:ascii="Times New Roman" w:hAnsi="Times New Roman" w:eastAsia="宋体" w:cs="Times New Roman"/>
                      <w:b/>
                      <w:bCs/>
                      <w:color w:val="auto"/>
                      <w:sz w:val="21"/>
                      <w:szCs w:val="21"/>
                      <w:vertAlign w:val="superscript"/>
                    </w:rPr>
                    <w:t>3</w:t>
                  </w:r>
                  <w:r>
                    <w:rPr>
                      <w:rFonts w:hint="default" w:ascii="Times New Roman" w:hAnsi="Times New Roman" w:eastAsia="宋体" w:cs="Times New Roman"/>
                      <w:b/>
                      <w:bCs/>
                      <w:color w:val="auto"/>
                      <w:sz w:val="21"/>
                      <w:szCs w:val="21"/>
                    </w:rPr>
                    <w:t>/h）</w:t>
                  </w:r>
                </w:p>
              </w:tc>
              <w:tc>
                <w:tcPr>
                  <w:tcW w:w="260" w:type="pct"/>
                  <w:vMerge w:val="restart"/>
                  <w:vAlign w:val="center"/>
                </w:tcPr>
                <w:p w14:paraId="1BBA6EAE">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烟气温度/</w:t>
                  </w:r>
                  <w:r>
                    <w:rPr>
                      <w:rFonts w:hint="eastAsia"/>
                      <w:b/>
                      <w:bCs/>
                      <w:color w:val="auto"/>
                      <w:vertAlign w:val="superscript"/>
                      <w:lang w:val="en-US" w:eastAsia="zh-CN"/>
                    </w:rPr>
                    <w:t>o</w:t>
                  </w:r>
                  <w:r>
                    <w:rPr>
                      <w:rFonts w:hint="eastAsia"/>
                      <w:b/>
                      <w:bCs/>
                      <w:color w:val="auto"/>
                      <w:lang w:val="en-US" w:eastAsia="zh-CN"/>
                    </w:rPr>
                    <w:t>C</w:t>
                  </w:r>
                </w:p>
              </w:tc>
              <w:tc>
                <w:tcPr>
                  <w:tcW w:w="240" w:type="pct"/>
                  <w:vMerge w:val="restart"/>
                  <w:vAlign w:val="center"/>
                </w:tcPr>
                <w:p w14:paraId="3128BA2B">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年排放小时数/h</w:t>
                  </w:r>
                </w:p>
              </w:tc>
              <w:tc>
                <w:tcPr>
                  <w:tcW w:w="276" w:type="pct"/>
                  <w:vMerge w:val="restart"/>
                  <w:vAlign w:val="center"/>
                </w:tcPr>
                <w:p w14:paraId="60D766E7">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排放工况</w:t>
                  </w:r>
                </w:p>
              </w:tc>
              <w:tc>
                <w:tcPr>
                  <w:tcW w:w="1396" w:type="pct"/>
                  <w:gridSpan w:val="4"/>
                  <w:vAlign w:val="center"/>
                </w:tcPr>
                <w:p w14:paraId="3FE4A597">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评价因子</w:t>
                  </w:r>
                </w:p>
              </w:tc>
              <w:tc>
                <w:tcPr>
                  <w:tcW w:w="298" w:type="pct"/>
                  <w:vAlign w:val="center"/>
                </w:tcPr>
                <w:p w14:paraId="65D169CB">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eastAsia"/>
                      <w:b/>
                      <w:bCs/>
                      <w:color w:val="auto"/>
                    </w:rPr>
                    <w:t>排放标准</w:t>
                  </w:r>
                </w:p>
              </w:tc>
            </w:tr>
            <w:tr w14:paraId="7D5B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1775DE9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310" w:type="pct"/>
                  <w:vMerge w:val="continue"/>
                  <w:vAlign w:val="center"/>
                </w:tcPr>
                <w:p w14:paraId="25AD88E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463" w:type="pct"/>
                  <w:vMerge w:val="continue"/>
                  <w:vAlign w:val="center"/>
                </w:tcPr>
                <w:p w14:paraId="4A3202F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223" w:type="pct"/>
                  <w:vAlign w:val="center"/>
                </w:tcPr>
                <w:p w14:paraId="2E32EBEC">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1"/>
                      <w:szCs w:val="21"/>
                      <w:lang w:eastAsia="zh-CN"/>
                    </w:rPr>
                  </w:pPr>
                  <w:r>
                    <w:rPr>
                      <w:rFonts w:hint="eastAsia" w:ascii="Times New Roman" w:hAnsi="Times New Roman" w:cs="Times New Roman"/>
                      <w:b/>
                      <w:bCs/>
                      <w:color w:val="auto"/>
                      <w:kern w:val="0"/>
                      <w:sz w:val="21"/>
                      <w:szCs w:val="21"/>
                      <w:lang w:val="en-US" w:eastAsia="zh-CN"/>
                    </w:rPr>
                    <w:t>X</w:t>
                  </w:r>
                </w:p>
              </w:tc>
              <w:tc>
                <w:tcPr>
                  <w:tcW w:w="224" w:type="pct"/>
                  <w:vAlign w:val="center"/>
                </w:tcPr>
                <w:p w14:paraId="73C2DE51">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1"/>
                      <w:szCs w:val="21"/>
                      <w:lang w:val="en-US" w:eastAsia="zh-CN"/>
                    </w:rPr>
                  </w:pPr>
                  <w:r>
                    <w:rPr>
                      <w:rFonts w:hint="eastAsia" w:ascii="Times New Roman" w:hAnsi="Times New Roman" w:cs="Times New Roman"/>
                      <w:b/>
                      <w:bCs/>
                      <w:color w:val="auto"/>
                      <w:kern w:val="0"/>
                      <w:sz w:val="21"/>
                      <w:szCs w:val="21"/>
                      <w:lang w:val="en-US" w:eastAsia="zh-CN"/>
                    </w:rPr>
                    <w:t>Y</w:t>
                  </w:r>
                </w:p>
              </w:tc>
              <w:tc>
                <w:tcPr>
                  <w:tcW w:w="320" w:type="pct"/>
                  <w:vMerge w:val="continue"/>
                  <w:vAlign w:val="center"/>
                </w:tcPr>
                <w:p w14:paraId="697B580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234" w:type="pct"/>
                  <w:vMerge w:val="continue"/>
                  <w:vAlign w:val="center"/>
                </w:tcPr>
                <w:p w14:paraId="4A25EF4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260" w:type="pct"/>
                  <w:vMerge w:val="continue"/>
                  <w:vAlign w:val="center"/>
                </w:tcPr>
                <w:p w14:paraId="135ADCA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290" w:type="pct"/>
                  <w:vMerge w:val="continue"/>
                  <w:vAlign w:val="center"/>
                </w:tcPr>
                <w:p w14:paraId="43C40ED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260" w:type="pct"/>
                  <w:vMerge w:val="continue"/>
                  <w:vAlign w:val="center"/>
                </w:tcPr>
                <w:p w14:paraId="13078E6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240" w:type="pct"/>
                  <w:vMerge w:val="continue"/>
                  <w:vAlign w:val="center"/>
                </w:tcPr>
                <w:p w14:paraId="3372BEC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276" w:type="pct"/>
                  <w:vMerge w:val="continue"/>
                  <w:vAlign w:val="center"/>
                </w:tcPr>
                <w:p w14:paraId="1A65C56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kern w:val="0"/>
                      <w:sz w:val="21"/>
                      <w:szCs w:val="21"/>
                    </w:rPr>
                  </w:pPr>
                </w:p>
              </w:tc>
              <w:tc>
                <w:tcPr>
                  <w:tcW w:w="312" w:type="pct"/>
                  <w:vAlign w:val="center"/>
                </w:tcPr>
                <w:p w14:paraId="5CBAD712">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名称</w:t>
                  </w:r>
                </w:p>
              </w:tc>
              <w:tc>
                <w:tcPr>
                  <w:tcW w:w="316" w:type="pct"/>
                  <w:vAlign w:val="center"/>
                </w:tcPr>
                <w:p w14:paraId="65211CC6">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
                      <w:bCs/>
                      <w:color w:val="auto"/>
                      <w:kern w:val="0"/>
                      <w:sz w:val="21"/>
                      <w:szCs w:val="21"/>
                      <w:lang w:val="en-US" w:eastAsia="zh-CN"/>
                    </w:rPr>
                  </w:pPr>
                  <w:r>
                    <w:rPr>
                      <w:rFonts w:hint="eastAsia" w:cs="Times New Roman"/>
                      <w:b/>
                      <w:bCs/>
                      <w:color w:val="auto"/>
                      <w:kern w:val="0"/>
                      <w:sz w:val="21"/>
                      <w:szCs w:val="21"/>
                      <w:lang w:val="en-US" w:eastAsia="zh-CN"/>
                    </w:rPr>
                    <w:t>排放量（t/a）</w:t>
                  </w:r>
                </w:p>
              </w:tc>
              <w:tc>
                <w:tcPr>
                  <w:tcW w:w="378" w:type="pct"/>
                  <w:vAlign w:val="center"/>
                </w:tcPr>
                <w:p w14:paraId="41209039">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排放速率/（kg/h）</w:t>
                  </w:r>
                </w:p>
              </w:tc>
              <w:tc>
                <w:tcPr>
                  <w:tcW w:w="389" w:type="pct"/>
                  <w:vAlign w:val="center"/>
                </w:tcPr>
                <w:p w14:paraId="0C346D9A">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排放</w:t>
                  </w:r>
                  <w:r>
                    <w:rPr>
                      <w:rFonts w:hint="default"/>
                      <w:b/>
                      <w:bCs/>
                      <w:color w:val="auto"/>
                    </w:rPr>
                    <w:t>浓度</w:t>
                  </w:r>
                  <w:r>
                    <w:rPr>
                      <w:rFonts w:hint="eastAsia"/>
                      <w:b/>
                      <w:bCs/>
                      <w:color w:val="auto"/>
                    </w:rPr>
                    <w:t>（</w:t>
                  </w:r>
                  <w:r>
                    <w:rPr>
                      <w:rFonts w:hint="default"/>
                      <w:b/>
                      <w:bCs/>
                      <w:color w:val="auto"/>
                    </w:rPr>
                    <w:t>mg/m</w:t>
                  </w:r>
                  <w:r>
                    <w:rPr>
                      <w:rFonts w:hint="default"/>
                      <w:b/>
                      <w:bCs/>
                      <w:color w:val="auto"/>
                      <w:vertAlign w:val="superscript"/>
                    </w:rPr>
                    <w:t>3</w:t>
                  </w:r>
                  <w:r>
                    <w:rPr>
                      <w:rFonts w:hint="eastAsia"/>
                      <w:b/>
                      <w:bCs/>
                      <w:color w:val="auto"/>
                    </w:rPr>
                    <w:t>）</w:t>
                  </w:r>
                </w:p>
              </w:tc>
              <w:tc>
                <w:tcPr>
                  <w:tcW w:w="298" w:type="pct"/>
                  <w:vAlign w:val="center"/>
                </w:tcPr>
                <w:p w14:paraId="48BFCA07">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color w:val="auto"/>
                      <w:kern w:val="0"/>
                      <w:sz w:val="21"/>
                      <w:szCs w:val="21"/>
                    </w:rPr>
                  </w:pPr>
                  <w:r>
                    <w:rPr>
                      <w:rFonts w:hint="default"/>
                      <w:b/>
                      <w:bCs/>
                      <w:color w:val="auto"/>
                    </w:rPr>
                    <w:t>浓度</w:t>
                  </w:r>
                  <w:r>
                    <w:rPr>
                      <w:rFonts w:hint="eastAsia"/>
                      <w:b/>
                      <w:bCs/>
                      <w:color w:val="auto"/>
                    </w:rPr>
                    <w:t>（</w:t>
                  </w:r>
                  <w:r>
                    <w:rPr>
                      <w:rFonts w:hint="default"/>
                      <w:b/>
                      <w:bCs/>
                      <w:color w:val="auto"/>
                    </w:rPr>
                    <w:t>mg/m</w:t>
                  </w:r>
                  <w:r>
                    <w:rPr>
                      <w:rFonts w:hint="default"/>
                      <w:b/>
                      <w:bCs/>
                      <w:color w:val="auto"/>
                      <w:vertAlign w:val="superscript"/>
                    </w:rPr>
                    <w:t>3</w:t>
                  </w:r>
                  <w:r>
                    <w:rPr>
                      <w:rFonts w:hint="eastAsia"/>
                      <w:b/>
                      <w:bCs/>
                      <w:color w:val="auto"/>
                    </w:rPr>
                    <w:t>）</w:t>
                  </w:r>
                </w:p>
              </w:tc>
            </w:tr>
            <w:tr w14:paraId="3570D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restart"/>
                  <w:vAlign w:val="center"/>
                </w:tcPr>
                <w:p w14:paraId="49673B8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2#车间</w:t>
                  </w:r>
                </w:p>
              </w:tc>
              <w:tc>
                <w:tcPr>
                  <w:tcW w:w="310" w:type="pct"/>
                  <w:vAlign w:val="center"/>
                </w:tcPr>
                <w:p w14:paraId="342FD0B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DA001</w:t>
                  </w:r>
                </w:p>
              </w:tc>
              <w:tc>
                <w:tcPr>
                  <w:tcW w:w="463" w:type="pct"/>
                  <w:vAlign w:val="center"/>
                </w:tcPr>
                <w:p w14:paraId="2BF5039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1#生产线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223" w:type="pct"/>
                  <w:vAlign w:val="center"/>
                </w:tcPr>
                <w:p w14:paraId="1DDD3CD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190</w:t>
                  </w:r>
                </w:p>
              </w:tc>
              <w:tc>
                <w:tcPr>
                  <w:tcW w:w="224" w:type="pct"/>
                  <w:vAlign w:val="center"/>
                </w:tcPr>
                <w:p w14:paraId="1DF823D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245</w:t>
                  </w:r>
                </w:p>
              </w:tc>
              <w:tc>
                <w:tcPr>
                  <w:tcW w:w="320" w:type="pct"/>
                  <w:vAlign w:val="center"/>
                </w:tcPr>
                <w:p w14:paraId="2B61558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31.534</w:t>
                  </w:r>
                </w:p>
              </w:tc>
              <w:tc>
                <w:tcPr>
                  <w:tcW w:w="234" w:type="pct"/>
                  <w:vAlign w:val="center"/>
                </w:tcPr>
                <w:p w14:paraId="2E56CBD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Align w:val="center"/>
                </w:tcPr>
                <w:p w14:paraId="46F13E3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Align w:val="center"/>
                </w:tcPr>
                <w:p w14:paraId="1BF785B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260" w:type="pct"/>
                  <w:vAlign w:val="center"/>
                </w:tcPr>
                <w:p w14:paraId="7A462B5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Align w:val="center"/>
                </w:tcPr>
                <w:p w14:paraId="7A2D3F5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8760</w:t>
                  </w:r>
                </w:p>
              </w:tc>
              <w:tc>
                <w:tcPr>
                  <w:tcW w:w="276" w:type="pct"/>
                  <w:vAlign w:val="center"/>
                </w:tcPr>
                <w:p w14:paraId="6A751D9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5157AA5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颗粒物</w:t>
                  </w:r>
                </w:p>
              </w:tc>
              <w:tc>
                <w:tcPr>
                  <w:tcW w:w="855" w:type="dxa"/>
                  <w:vAlign w:val="center"/>
                </w:tcPr>
                <w:p w14:paraId="7215EDB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0.028</w:t>
                  </w:r>
                </w:p>
              </w:tc>
              <w:tc>
                <w:tcPr>
                  <w:tcW w:w="1020" w:type="dxa"/>
                  <w:vAlign w:val="center"/>
                </w:tcPr>
                <w:p w14:paraId="1DE2B3F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c>
                <w:tcPr>
                  <w:tcW w:w="1052" w:type="dxa"/>
                  <w:vAlign w:val="center"/>
                </w:tcPr>
                <w:p w14:paraId="07D80CD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0.534</w:t>
                  </w:r>
                </w:p>
              </w:tc>
              <w:tc>
                <w:tcPr>
                  <w:tcW w:w="298" w:type="pct"/>
                  <w:vAlign w:val="center"/>
                </w:tcPr>
                <w:p w14:paraId="495B08D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76B8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2C5876E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310" w:type="pct"/>
                  <w:vAlign w:val="center"/>
                </w:tcPr>
                <w:p w14:paraId="0453263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w:t>
                  </w:r>
                  <w:r>
                    <w:rPr>
                      <w:rFonts w:hint="eastAsia" w:eastAsia="宋体" w:cs="Times New Roman"/>
                      <w:b w:val="0"/>
                      <w:bCs w:val="0"/>
                      <w:color w:val="auto"/>
                      <w:sz w:val="21"/>
                      <w:szCs w:val="21"/>
                      <w:lang w:val="en-US" w:eastAsia="zh-CN"/>
                    </w:rPr>
                    <w:t>2</w:t>
                  </w:r>
                </w:p>
              </w:tc>
              <w:tc>
                <w:tcPr>
                  <w:tcW w:w="463" w:type="pct"/>
                  <w:vAlign w:val="center"/>
                </w:tcPr>
                <w:p w14:paraId="6F46D17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pacing w:val="-3"/>
                      <w:sz w:val="21"/>
                      <w:szCs w:val="21"/>
                      <w:vertAlign w:val="baseline"/>
                      <w:lang w:val="en-US" w:eastAsia="zh-CN"/>
                    </w:rPr>
                  </w:pPr>
                  <w:r>
                    <w:rPr>
                      <w:rFonts w:hint="eastAsia" w:eastAsia="宋体" w:cs="Times New Roman"/>
                      <w:b w:val="0"/>
                      <w:bCs w:val="0"/>
                      <w:color w:val="auto"/>
                      <w:sz w:val="21"/>
                      <w:szCs w:val="21"/>
                      <w:lang w:val="en-US" w:eastAsia="zh-CN"/>
                    </w:rPr>
                    <w:t>2#生产线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223" w:type="pct"/>
                  <w:vAlign w:val="center"/>
                </w:tcPr>
                <w:p w14:paraId="4C60AA7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118</w:t>
                  </w:r>
                </w:p>
              </w:tc>
              <w:tc>
                <w:tcPr>
                  <w:tcW w:w="224" w:type="pct"/>
                  <w:vAlign w:val="center"/>
                </w:tcPr>
                <w:p w14:paraId="0A0EA6E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245</w:t>
                  </w:r>
                </w:p>
              </w:tc>
              <w:tc>
                <w:tcPr>
                  <w:tcW w:w="320" w:type="pct"/>
                  <w:vAlign w:val="center"/>
                </w:tcPr>
                <w:p w14:paraId="1580470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30.297</w:t>
                  </w:r>
                </w:p>
              </w:tc>
              <w:tc>
                <w:tcPr>
                  <w:tcW w:w="234" w:type="pct"/>
                  <w:vAlign w:val="center"/>
                </w:tcPr>
                <w:p w14:paraId="700B27A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Align w:val="center"/>
                </w:tcPr>
                <w:p w14:paraId="056A500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Align w:val="center"/>
                </w:tcPr>
                <w:p w14:paraId="013A486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260" w:type="pct"/>
                  <w:vAlign w:val="center"/>
                </w:tcPr>
                <w:p w14:paraId="1FF534A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Align w:val="center"/>
                </w:tcPr>
                <w:p w14:paraId="3FC2011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8760</w:t>
                  </w:r>
                </w:p>
              </w:tc>
              <w:tc>
                <w:tcPr>
                  <w:tcW w:w="276" w:type="pct"/>
                  <w:vAlign w:val="center"/>
                </w:tcPr>
                <w:p w14:paraId="0398FDF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143309A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颗粒物</w:t>
                  </w:r>
                </w:p>
              </w:tc>
              <w:tc>
                <w:tcPr>
                  <w:tcW w:w="855" w:type="dxa"/>
                  <w:vAlign w:val="center"/>
                </w:tcPr>
                <w:p w14:paraId="02F6886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0.028</w:t>
                  </w:r>
                </w:p>
              </w:tc>
              <w:tc>
                <w:tcPr>
                  <w:tcW w:w="1020" w:type="dxa"/>
                  <w:vAlign w:val="center"/>
                </w:tcPr>
                <w:p w14:paraId="623B6AD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c>
                <w:tcPr>
                  <w:tcW w:w="1052" w:type="dxa"/>
                  <w:vAlign w:val="center"/>
                </w:tcPr>
                <w:p w14:paraId="71494B9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0.534</w:t>
                  </w:r>
                </w:p>
              </w:tc>
              <w:tc>
                <w:tcPr>
                  <w:tcW w:w="298" w:type="pct"/>
                  <w:vAlign w:val="center"/>
                </w:tcPr>
                <w:p w14:paraId="654C3B6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442E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28A0F14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310" w:type="pct"/>
                  <w:vMerge w:val="restart"/>
                  <w:vAlign w:val="center"/>
                </w:tcPr>
                <w:p w14:paraId="44E6B1D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w:t>
                  </w:r>
                  <w:r>
                    <w:rPr>
                      <w:rFonts w:hint="eastAsia" w:eastAsia="宋体" w:cs="Times New Roman"/>
                      <w:b w:val="0"/>
                      <w:bCs w:val="0"/>
                      <w:color w:val="auto"/>
                      <w:sz w:val="21"/>
                      <w:szCs w:val="21"/>
                      <w:lang w:val="en-US" w:eastAsia="zh-CN"/>
                    </w:rPr>
                    <w:t>6</w:t>
                  </w:r>
                </w:p>
              </w:tc>
              <w:tc>
                <w:tcPr>
                  <w:tcW w:w="463" w:type="pct"/>
                  <w:vMerge w:val="restart"/>
                  <w:vAlign w:val="center"/>
                </w:tcPr>
                <w:p w14:paraId="556F698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1#生产线</w:t>
                  </w:r>
                  <w:r>
                    <w:rPr>
                      <w:rFonts w:hint="eastAsia" w:cs="Times New Roman"/>
                      <w:b w:val="0"/>
                      <w:bCs w:val="0"/>
                      <w:color w:val="auto"/>
                      <w:sz w:val="21"/>
                      <w:szCs w:val="21"/>
                      <w:lang w:val="en-US" w:eastAsia="zh-CN"/>
                    </w:rPr>
                    <w:t>、2</w:t>
                  </w:r>
                  <w:r>
                    <w:rPr>
                      <w:rFonts w:hint="eastAsia" w:eastAsia="宋体" w:cs="Times New Roman"/>
                      <w:b w:val="0"/>
                      <w:bCs w:val="0"/>
                      <w:color w:val="auto"/>
                      <w:sz w:val="21"/>
                      <w:szCs w:val="21"/>
                      <w:lang w:val="en-US" w:eastAsia="zh-CN"/>
                    </w:rPr>
                    <w:t>#生产线</w:t>
                  </w:r>
                  <w:r>
                    <w:rPr>
                      <w:rFonts w:hint="eastAsia" w:cs="Times New Roman"/>
                      <w:b w:val="0"/>
                      <w:bCs w:val="0"/>
                      <w:color w:val="auto"/>
                      <w:sz w:val="21"/>
                      <w:szCs w:val="21"/>
                      <w:lang w:val="en-US" w:eastAsia="zh-CN"/>
                    </w:rPr>
                    <w:t>天然气燃烧废气</w:t>
                  </w:r>
                </w:p>
              </w:tc>
              <w:tc>
                <w:tcPr>
                  <w:tcW w:w="223" w:type="pct"/>
                  <w:vMerge w:val="restart"/>
                  <w:vAlign w:val="center"/>
                </w:tcPr>
                <w:p w14:paraId="5055E3E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190</w:t>
                  </w:r>
                </w:p>
              </w:tc>
              <w:tc>
                <w:tcPr>
                  <w:tcW w:w="224" w:type="pct"/>
                  <w:vMerge w:val="restart"/>
                  <w:vAlign w:val="center"/>
                </w:tcPr>
                <w:p w14:paraId="74F143F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w:t>
                  </w:r>
                  <w:r>
                    <w:rPr>
                      <w:rFonts w:hint="eastAsia" w:cs="Times New Roman"/>
                      <w:b w:val="0"/>
                      <w:bCs w:val="0"/>
                      <w:color w:val="auto"/>
                      <w:sz w:val="21"/>
                      <w:szCs w:val="21"/>
                      <w:lang w:val="en-US" w:eastAsia="zh-CN"/>
                    </w:rPr>
                    <w:t>0</w:t>
                  </w:r>
                </w:p>
              </w:tc>
              <w:tc>
                <w:tcPr>
                  <w:tcW w:w="320" w:type="pct"/>
                  <w:vMerge w:val="restart"/>
                  <w:vAlign w:val="center"/>
                </w:tcPr>
                <w:p w14:paraId="4C644C1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29.850</w:t>
                  </w:r>
                </w:p>
              </w:tc>
              <w:tc>
                <w:tcPr>
                  <w:tcW w:w="234" w:type="pct"/>
                  <w:vMerge w:val="restart"/>
                  <w:vAlign w:val="center"/>
                </w:tcPr>
                <w:p w14:paraId="1A69BFB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Merge w:val="restart"/>
                  <w:vAlign w:val="center"/>
                </w:tcPr>
                <w:p w14:paraId="50474F0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Merge w:val="restart"/>
                  <w:vAlign w:val="center"/>
                </w:tcPr>
                <w:p w14:paraId="18FD206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6500</w:t>
                  </w:r>
                </w:p>
              </w:tc>
              <w:tc>
                <w:tcPr>
                  <w:tcW w:w="260" w:type="pct"/>
                  <w:vMerge w:val="restart"/>
                  <w:vAlign w:val="center"/>
                </w:tcPr>
                <w:p w14:paraId="3E9A4F5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Merge w:val="restart"/>
                  <w:vAlign w:val="center"/>
                </w:tcPr>
                <w:p w14:paraId="59EA76D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8760</w:t>
                  </w:r>
                </w:p>
              </w:tc>
              <w:tc>
                <w:tcPr>
                  <w:tcW w:w="276" w:type="pct"/>
                  <w:vMerge w:val="restart"/>
                  <w:vAlign w:val="center"/>
                </w:tcPr>
                <w:p w14:paraId="75D8C05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5012CF4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颗粒物</w:t>
                  </w:r>
                </w:p>
              </w:tc>
              <w:tc>
                <w:tcPr>
                  <w:tcW w:w="855" w:type="dxa"/>
                  <w:vAlign w:val="center"/>
                </w:tcPr>
                <w:p w14:paraId="64FD3AF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0.010</w:t>
                  </w:r>
                </w:p>
              </w:tc>
              <w:tc>
                <w:tcPr>
                  <w:tcW w:w="1020" w:type="dxa"/>
                  <w:vAlign w:val="center"/>
                </w:tcPr>
                <w:p w14:paraId="375F78C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0.001</w:t>
                  </w:r>
                </w:p>
              </w:tc>
              <w:tc>
                <w:tcPr>
                  <w:tcW w:w="1052" w:type="dxa"/>
                  <w:vAlign w:val="center"/>
                </w:tcPr>
                <w:p w14:paraId="4831B86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0.174</w:t>
                  </w:r>
                </w:p>
              </w:tc>
              <w:tc>
                <w:tcPr>
                  <w:tcW w:w="298" w:type="pct"/>
                  <w:vAlign w:val="center"/>
                </w:tcPr>
                <w:p w14:paraId="53D7336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22F0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2462D71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10" w:type="pct"/>
                  <w:vMerge w:val="continue"/>
                  <w:vAlign w:val="center"/>
                </w:tcPr>
                <w:p w14:paraId="5DD7417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463" w:type="pct"/>
                  <w:vMerge w:val="continue"/>
                  <w:vAlign w:val="center"/>
                </w:tcPr>
                <w:p w14:paraId="4326076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23" w:type="pct"/>
                  <w:vMerge w:val="continue"/>
                  <w:vAlign w:val="center"/>
                </w:tcPr>
                <w:p w14:paraId="1F620D0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24" w:type="pct"/>
                  <w:vMerge w:val="continue"/>
                  <w:vAlign w:val="center"/>
                </w:tcPr>
                <w:p w14:paraId="1E42916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20" w:type="pct"/>
                  <w:vMerge w:val="continue"/>
                  <w:vAlign w:val="center"/>
                </w:tcPr>
                <w:p w14:paraId="290E06B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34" w:type="pct"/>
                  <w:vMerge w:val="continue"/>
                  <w:vAlign w:val="center"/>
                </w:tcPr>
                <w:p w14:paraId="682C674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60" w:type="pct"/>
                  <w:vMerge w:val="continue"/>
                  <w:vAlign w:val="center"/>
                </w:tcPr>
                <w:p w14:paraId="3ED070C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90" w:type="pct"/>
                  <w:vMerge w:val="continue"/>
                  <w:vAlign w:val="center"/>
                </w:tcPr>
                <w:p w14:paraId="2A7AE25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60" w:type="pct"/>
                  <w:vMerge w:val="continue"/>
                  <w:vAlign w:val="center"/>
                </w:tcPr>
                <w:p w14:paraId="0F7B4FE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40" w:type="pct"/>
                  <w:vMerge w:val="continue"/>
                  <w:vAlign w:val="center"/>
                </w:tcPr>
                <w:p w14:paraId="763120A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76" w:type="pct"/>
                  <w:vMerge w:val="continue"/>
                  <w:vAlign w:val="center"/>
                </w:tcPr>
                <w:p w14:paraId="64CDE6F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12" w:type="pct"/>
                  <w:vAlign w:val="center"/>
                </w:tcPr>
                <w:p w14:paraId="00F4A45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SO</w:t>
                  </w:r>
                  <w:r>
                    <w:rPr>
                      <w:rFonts w:hint="eastAsia" w:cs="宋体"/>
                      <w:spacing w:val="-3"/>
                      <w:sz w:val="21"/>
                      <w:szCs w:val="21"/>
                      <w:vertAlign w:val="subscript"/>
                      <w:lang w:val="en-US" w:eastAsia="zh-CN"/>
                    </w:rPr>
                    <w:t>2</w:t>
                  </w:r>
                </w:p>
              </w:tc>
              <w:tc>
                <w:tcPr>
                  <w:tcW w:w="855" w:type="dxa"/>
                  <w:vAlign w:val="center"/>
                </w:tcPr>
                <w:p w14:paraId="63B12EE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0.007</w:t>
                  </w:r>
                </w:p>
              </w:tc>
              <w:tc>
                <w:tcPr>
                  <w:tcW w:w="1020" w:type="dxa"/>
                  <w:vAlign w:val="center"/>
                </w:tcPr>
                <w:p w14:paraId="4C75C9D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0.001</w:t>
                  </w:r>
                </w:p>
              </w:tc>
              <w:tc>
                <w:tcPr>
                  <w:tcW w:w="1052" w:type="dxa"/>
                  <w:vAlign w:val="center"/>
                </w:tcPr>
                <w:p w14:paraId="4762C5E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0.122</w:t>
                  </w:r>
                </w:p>
              </w:tc>
              <w:tc>
                <w:tcPr>
                  <w:tcW w:w="298" w:type="pct"/>
                  <w:vAlign w:val="center"/>
                </w:tcPr>
                <w:p w14:paraId="16E11B6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100</w:t>
                  </w:r>
                </w:p>
              </w:tc>
            </w:tr>
            <w:tr w14:paraId="2F4A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0CAC78F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10" w:type="pct"/>
                  <w:vMerge w:val="continue"/>
                  <w:vAlign w:val="center"/>
                </w:tcPr>
                <w:p w14:paraId="6228C08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463" w:type="pct"/>
                  <w:vMerge w:val="continue"/>
                  <w:vAlign w:val="center"/>
                </w:tcPr>
                <w:p w14:paraId="78E3570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23" w:type="pct"/>
                  <w:vMerge w:val="continue"/>
                  <w:vAlign w:val="center"/>
                </w:tcPr>
                <w:p w14:paraId="4512BF7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24" w:type="pct"/>
                  <w:vMerge w:val="continue"/>
                  <w:vAlign w:val="center"/>
                </w:tcPr>
                <w:p w14:paraId="56B238A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20" w:type="pct"/>
                  <w:vMerge w:val="continue"/>
                  <w:vAlign w:val="center"/>
                </w:tcPr>
                <w:p w14:paraId="4DEEA48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34" w:type="pct"/>
                  <w:vMerge w:val="continue"/>
                  <w:vAlign w:val="center"/>
                </w:tcPr>
                <w:p w14:paraId="4D108F4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60" w:type="pct"/>
                  <w:vMerge w:val="continue"/>
                  <w:vAlign w:val="center"/>
                </w:tcPr>
                <w:p w14:paraId="2357FE7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90" w:type="pct"/>
                  <w:vMerge w:val="continue"/>
                  <w:vAlign w:val="center"/>
                </w:tcPr>
                <w:p w14:paraId="761DD59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60" w:type="pct"/>
                  <w:vMerge w:val="continue"/>
                  <w:vAlign w:val="center"/>
                </w:tcPr>
                <w:p w14:paraId="6BB1561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40" w:type="pct"/>
                  <w:vMerge w:val="continue"/>
                  <w:vAlign w:val="center"/>
                </w:tcPr>
                <w:p w14:paraId="3D4B013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76" w:type="pct"/>
                  <w:vMerge w:val="continue"/>
                  <w:vAlign w:val="center"/>
                </w:tcPr>
                <w:p w14:paraId="1A1CD4A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12" w:type="pct"/>
                  <w:vAlign w:val="center"/>
                </w:tcPr>
                <w:p w14:paraId="0AB9258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NO</w:t>
                  </w:r>
                  <w:r>
                    <w:rPr>
                      <w:rFonts w:hint="eastAsia" w:cs="宋体"/>
                      <w:spacing w:val="-3"/>
                      <w:sz w:val="21"/>
                      <w:szCs w:val="21"/>
                      <w:vertAlign w:val="subscript"/>
                      <w:lang w:val="en-US" w:eastAsia="zh-CN"/>
                    </w:rPr>
                    <w:t>x</w:t>
                  </w:r>
                </w:p>
              </w:tc>
              <w:tc>
                <w:tcPr>
                  <w:tcW w:w="855" w:type="dxa"/>
                  <w:vAlign w:val="center"/>
                </w:tcPr>
                <w:p w14:paraId="7B01482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0.065</w:t>
                  </w:r>
                </w:p>
              </w:tc>
              <w:tc>
                <w:tcPr>
                  <w:tcW w:w="1020" w:type="dxa"/>
                  <w:vAlign w:val="center"/>
                </w:tcPr>
                <w:p w14:paraId="1A87EE7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0.007</w:t>
                  </w:r>
                </w:p>
              </w:tc>
              <w:tc>
                <w:tcPr>
                  <w:tcW w:w="1052" w:type="dxa"/>
                  <w:vAlign w:val="center"/>
                </w:tcPr>
                <w:p w14:paraId="15FC71D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1.139</w:t>
                  </w:r>
                </w:p>
              </w:tc>
              <w:tc>
                <w:tcPr>
                  <w:tcW w:w="298" w:type="pct"/>
                  <w:vAlign w:val="center"/>
                </w:tcPr>
                <w:p w14:paraId="58BC8A4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w:t>
                  </w:r>
                </w:p>
              </w:tc>
            </w:tr>
            <w:tr w14:paraId="5E59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restart"/>
                  <w:vAlign w:val="center"/>
                </w:tcPr>
                <w:p w14:paraId="73FD0AF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1#车间</w:t>
                  </w:r>
                </w:p>
              </w:tc>
              <w:tc>
                <w:tcPr>
                  <w:tcW w:w="310" w:type="pct"/>
                  <w:vAlign w:val="center"/>
                </w:tcPr>
                <w:p w14:paraId="5CEA556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w:t>
                  </w:r>
                  <w:r>
                    <w:rPr>
                      <w:rFonts w:hint="eastAsia" w:eastAsia="宋体" w:cs="Times New Roman"/>
                      <w:b w:val="0"/>
                      <w:bCs w:val="0"/>
                      <w:color w:val="auto"/>
                      <w:sz w:val="21"/>
                      <w:szCs w:val="21"/>
                      <w:lang w:val="en-US" w:eastAsia="zh-CN"/>
                    </w:rPr>
                    <w:t>3</w:t>
                  </w:r>
                </w:p>
              </w:tc>
              <w:tc>
                <w:tcPr>
                  <w:tcW w:w="463" w:type="pct"/>
                  <w:vAlign w:val="center"/>
                </w:tcPr>
                <w:p w14:paraId="77EFDDD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pacing w:val="-3"/>
                      <w:sz w:val="21"/>
                      <w:szCs w:val="21"/>
                      <w:vertAlign w:val="baseline"/>
                      <w:lang w:val="en-US" w:eastAsia="zh-CN"/>
                    </w:rPr>
                  </w:pPr>
                  <w:r>
                    <w:rPr>
                      <w:rFonts w:hint="eastAsia" w:eastAsia="宋体" w:cs="Times New Roman"/>
                      <w:b w:val="0"/>
                      <w:bCs w:val="0"/>
                      <w:color w:val="auto"/>
                      <w:sz w:val="21"/>
                      <w:szCs w:val="21"/>
                      <w:lang w:val="en-US" w:eastAsia="zh-CN"/>
                    </w:rPr>
                    <w:t>3#生产线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223" w:type="pct"/>
                  <w:vAlign w:val="center"/>
                </w:tcPr>
                <w:p w14:paraId="6D283A5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12</w:t>
                  </w:r>
                </w:p>
              </w:tc>
              <w:tc>
                <w:tcPr>
                  <w:tcW w:w="224" w:type="pct"/>
                  <w:vAlign w:val="center"/>
                </w:tcPr>
                <w:p w14:paraId="45E4E86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245</w:t>
                  </w:r>
                </w:p>
              </w:tc>
              <w:tc>
                <w:tcPr>
                  <w:tcW w:w="320" w:type="pct"/>
                  <w:vAlign w:val="center"/>
                </w:tcPr>
                <w:p w14:paraId="50DF2D5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31.392</w:t>
                  </w:r>
                </w:p>
              </w:tc>
              <w:tc>
                <w:tcPr>
                  <w:tcW w:w="234" w:type="pct"/>
                  <w:vAlign w:val="center"/>
                </w:tcPr>
                <w:p w14:paraId="767D546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Align w:val="center"/>
                </w:tcPr>
                <w:p w14:paraId="719A458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Align w:val="center"/>
                </w:tcPr>
                <w:p w14:paraId="2AAFBDF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260" w:type="pct"/>
                  <w:vAlign w:val="center"/>
                </w:tcPr>
                <w:p w14:paraId="2B89A16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Align w:val="center"/>
                </w:tcPr>
                <w:p w14:paraId="2398D0D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8400</w:t>
                  </w:r>
                </w:p>
              </w:tc>
              <w:tc>
                <w:tcPr>
                  <w:tcW w:w="276" w:type="pct"/>
                  <w:vAlign w:val="center"/>
                </w:tcPr>
                <w:p w14:paraId="078D2DE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58D082C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颗粒物</w:t>
                  </w:r>
                </w:p>
              </w:tc>
              <w:tc>
                <w:tcPr>
                  <w:tcW w:w="855" w:type="dxa"/>
                  <w:vAlign w:val="center"/>
                </w:tcPr>
                <w:p w14:paraId="533971D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0.010</w:t>
                  </w:r>
                </w:p>
              </w:tc>
              <w:tc>
                <w:tcPr>
                  <w:tcW w:w="1020" w:type="dxa"/>
                  <w:vAlign w:val="center"/>
                </w:tcPr>
                <w:p w14:paraId="20A3CB2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0.001</w:t>
                  </w:r>
                </w:p>
              </w:tc>
              <w:tc>
                <w:tcPr>
                  <w:tcW w:w="1052" w:type="dxa"/>
                  <w:vAlign w:val="center"/>
                </w:tcPr>
                <w:p w14:paraId="47617C7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0.198</w:t>
                  </w:r>
                </w:p>
              </w:tc>
              <w:tc>
                <w:tcPr>
                  <w:tcW w:w="298" w:type="pct"/>
                  <w:vAlign w:val="center"/>
                </w:tcPr>
                <w:p w14:paraId="468D8EB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768B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6980008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310" w:type="pct"/>
                  <w:vAlign w:val="center"/>
                </w:tcPr>
                <w:p w14:paraId="3C3EF40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w:t>
                  </w:r>
                  <w:r>
                    <w:rPr>
                      <w:rFonts w:hint="eastAsia" w:eastAsia="宋体" w:cs="Times New Roman"/>
                      <w:b w:val="0"/>
                      <w:bCs w:val="0"/>
                      <w:color w:val="auto"/>
                      <w:sz w:val="21"/>
                      <w:szCs w:val="21"/>
                      <w:lang w:val="en-US" w:eastAsia="zh-CN"/>
                    </w:rPr>
                    <w:t>4</w:t>
                  </w:r>
                </w:p>
              </w:tc>
              <w:tc>
                <w:tcPr>
                  <w:tcW w:w="463" w:type="pct"/>
                  <w:vAlign w:val="center"/>
                </w:tcPr>
                <w:p w14:paraId="6DDA693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pacing w:val="-3"/>
                      <w:sz w:val="21"/>
                      <w:szCs w:val="21"/>
                      <w:vertAlign w:val="baseline"/>
                      <w:lang w:val="en-US" w:eastAsia="zh-CN"/>
                    </w:rPr>
                  </w:pPr>
                  <w:r>
                    <w:rPr>
                      <w:rFonts w:hint="eastAsia" w:eastAsia="宋体" w:cs="Times New Roman"/>
                      <w:b w:val="0"/>
                      <w:bCs w:val="0"/>
                      <w:color w:val="auto"/>
                      <w:sz w:val="21"/>
                      <w:szCs w:val="21"/>
                      <w:lang w:val="en-US" w:eastAsia="zh-CN"/>
                    </w:rPr>
                    <w:t>4#生产线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223" w:type="pct"/>
                  <w:vAlign w:val="center"/>
                </w:tcPr>
                <w:p w14:paraId="7624610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224" w:type="pct"/>
                  <w:vAlign w:val="center"/>
                </w:tcPr>
                <w:p w14:paraId="6B85858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245</w:t>
                  </w:r>
                </w:p>
              </w:tc>
              <w:tc>
                <w:tcPr>
                  <w:tcW w:w="320" w:type="pct"/>
                  <w:vAlign w:val="center"/>
                </w:tcPr>
                <w:p w14:paraId="4714356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30.766</w:t>
                  </w:r>
                </w:p>
              </w:tc>
              <w:tc>
                <w:tcPr>
                  <w:tcW w:w="234" w:type="pct"/>
                  <w:vAlign w:val="center"/>
                </w:tcPr>
                <w:p w14:paraId="5E75BAA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Align w:val="center"/>
                </w:tcPr>
                <w:p w14:paraId="54A6F4D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Align w:val="center"/>
                </w:tcPr>
                <w:p w14:paraId="1BED76A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260" w:type="pct"/>
                  <w:vAlign w:val="center"/>
                </w:tcPr>
                <w:p w14:paraId="0B79426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Align w:val="center"/>
                </w:tcPr>
                <w:p w14:paraId="57033CA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8400</w:t>
                  </w:r>
                </w:p>
              </w:tc>
              <w:tc>
                <w:tcPr>
                  <w:tcW w:w="276" w:type="pct"/>
                  <w:vAlign w:val="center"/>
                </w:tcPr>
                <w:p w14:paraId="358E460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1477915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颗粒物</w:t>
                  </w:r>
                </w:p>
              </w:tc>
              <w:tc>
                <w:tcPr>
                  <w:tcW w:w="855" w:type="dxa"/>
                  <w:vAlign w:val="center"/>
                </w:tcPr>
                <w:p w14:paraId="2BCC779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0.026</w:t>
                  </w:r>
                </w:p>
              </w:tc>
              <w:tc>
                <w:tcPr>
                  <w:tcW w:w="1020" w:type="dxa"/>
                  <w:vAlign w:val="center"/>
                </w:tcPr>
                <w:p w14:paraId="777F85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c>
                <w:tcPr>
                  <w:tcW w:w="1052" w:type="dxa"/>
                  <w:vAlign w:val="center"/>
                </w:tcPr>
                <w:p w14:paraId="5D3CC9C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0.515</w:t>
                  </w:r>
                </w:p>
              </w:tc>
              <w:tc>
                <w:tcPr>
                  <w:tcW w:w="298" w:type="pct"/>
                  <w:vAlign w:val="center"/>
                </w:tcPr>
                <w:p w14:paraId="2A1DA27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2A16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36D4A40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p>
              </w:tc>
              <w:tc>
                <w:tcPr>
                  <w:tcW w:w="310" w:type="pct"/>
                  <w:vMerge w:val="restart"/>
                  <w:vAlign w:val="center"/>
                </w:tcPr>
                <w:p w14:paraId="22DBF11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w:t>
                  </w:r>
                  <w:r>
                    <w:rPr>
                      <w:rFonts w:hint="eastAsia" w:eastAsia="宋体" w:cs="Times New Roman"/>
                      <w:b w:val="0"/>
                      <w:bCs w:val="0"/>
                      <w:color w:val="auto"/>
                      <w:sz w:val="21"/>
                      <w:szCs w:val="21"/>
                      <w:lang w:val="en-US" w:eastAsia="zh-CN"/>
                    </w:rPr>
                    <w:t>7</w:t>
                  </w:r>
                </w:p>
              </w:tc>
              <w:tc>
                <w:tcPr>
                  <w:tcW w:w="463" w:type="pct"/>
                  <w:vMerge w:val="restart"/>
                  <w:vAlign w:val="center"/>
                </w:tcPr>
                <w:p w14:paraId="22510F4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w:t>
                  </w:r>
                  <w:r>
                    <w:rPr>
                      <w:rFonts w:hint="eastAsia" w:eastAsia="宋体" w:cs="Times New Roman"/>
                      <w:b w:val="0"/>
                      <w:bCs w:val="0"/>
                      <w:color w:val="auto"/>
                      <w:sz w:val="21"/>
                      <w:szCs w:val="21"/>
                      <w:lang w:val="en-US" w:eastAsia="zh-CN"/>
                    </w:rPr>
                    <w:t>#生产线</w:t>
                  </w:r>
                  <w:r>
                    <w:rPr>
                      <w:rFonts w:hint="eastAsia" w:cs="Times New Roman"/>
                      <w:b w:val="0"/>
                      <w:bCs w:val="0"/>
                      <w:color w:val="auto"/>
                      <w:sz w:val="21"/>
                      <w:szCs w:val="21"/>
                      <w:lang w:val="en-US" w:eastAsia="zh-CN"/>
                    </w:rPr>
                    <w:t>、4</w:t>
                  </w:r>
                  <w:r>
                    <w:rPr>
                      <w:rFonts w:hint="eastAsia" w:eastAsia="宋体" w:cs="Times New Roman"/>
                      <w:b w:val="0"/>
                      <w:bCs w:val="0"/>
                      <w:color w:val="auto"/>
                      <w:sz w:val="21"/>
                      <w:szCs w:val="21"/>
                      <w:lang w:val="en-US" w:eastAsia="zh-CN"/>
                    </w:rPr>
                    <w:t>#生产线</w:t>
                  </w:r>
                  <w:r>
                    <w:rPr>
                      <w:rFonts w:hint="eastAsia" w:cs="Times New Roman"/>
                      <w:b w:val="0"/>
                      <w:bCs w:val="0"/>
                      <w:color w:val="auto"/>
                      <w:sz w:val="21"/>
                      <w:szCs w:val="21"/>
                      <w:lang w:val="en-US" w:eastAsia="zh-CN"/>
                    </w:rPr>
                    <w:t>天然气燃烧废气</w:t>
                  </w:r>
                </w:p>
              </w:tc>
              <w:tc>
                <w:tcPr>
                  <w:tcW w:w="223" w:type="pct"/>
                  <w:vMerge w:val="restart"/>
                  <w:vAlign w:val="center"/>
                </w:tcPr>
                <w:p w14:paraId="283BF97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12</w:t>
                  </w:r>
                </w:p>
              </w:tc>
              <w:tc>
                <w:tcPr>
                  <w:tcW w:w="224" w:type="pct"/>
                  <w:vMerge w:val="restart"/>
                  <w:vAlign w:val="center"/>
                </w:tcPr>
                <w:p w14:paraId="39BCAF3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240</w:t>
                  </w:r>
                </w:p>
              </w:tc>
              <w:tc>
                <w:tcPr>
                  <w:tcW w:w="320" w:type="pct"/>
                  <w:vMerge w:val="restart"/>
                  <w:vAlign w:val="center"/>
                </w:tcPr>
                <w:p w14:paraId="78F06D9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30.684</w:t>
                  </w:r>
                </w:p>
              </w:tc>
              <w:tc>
                <w:tcPr>
                  <w:tcW w:w="234" w:type="pct"/>
                  <w:vMerge w:val="restart"/>
                  <w:vAlign w:val="center"/>
                </w:tcPr>
                <w:p w14:paraId="469FCC9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Merge w:val="restart"/>
                  <w:vAlign w:val="center"/>
                </w:tcPr>
                <w:p w14:paraId="6CF9E41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Merge w:val="restart"/>
                  <w:vAlign w:val="center"/>
                </w:tcPr>
                <w:p w14:paraId="1A4B5CF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6000</w:t>
                  </w:r>
                </w:p>
              </w:tc>
              <w:tc>
                <w:tcPr>
                  <w:tcW w:w="260" w:type="pct"/>
                  <w:vMerge w:val="restart"/>
                  <w:vAlign w:val="center"/>
                </w:tcPr>
                <w:p w14:paraId="36C6650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Merge w:val="restart"/>
                  <w:vAlign w:val="center"/>
                </w:tcPr>
                <w:p w14:paraId="5E44C80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8400</w:t>
                  </w:r>
                </w:p>
              </w:tc>
              <w:tc>
                <w:tcPr>
                  <w:tcW w:w="276" w:type="pct"/>
                  <w:vMerge w:val="restart"/>
                  <w:vAlign w:val="center"/>
                </w:tcPr>
                <w:p w14:paraId="76F5A8B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652DA12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颗粒物</w:t>
                  </w:r>
                </w:p>
              </w:tc>
              <w:tc>
                <w:tcPr>
                  <w:tcW w:w="855" w:type="dxa"/>
                  <w:vAlign w:val="center"/>
                </w:tcPr>
                <w:p w14:paraId="00A9763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0.010</w:t>
                  </w:r>
                </w:p>
              </w:tc>
              <w:tc>
                <w:tcPr>
                  <w:tcW w:w="1020" w:type="dxa"/>
                  <w:vAlign w:val="center"/>
                </w:tcPr>
                <w:p w14:paraId="539ACB3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0.001</w:t>
                  </w:r>
                </w:p>
              </w:tc>
              <w:tc>
                <w:tcPr>
                  <w:tcW w:w="1052" w:type="dxa"/>
                  <w:vAlign w:val="center"/>
                </w:tcPr>
                <w:p w14:paraId="4DB489F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0.189</w:t>
                  </w:r>
                </w:p>
              </w:tc>
              <w:tc>
                <w:tcPr>
                  <w:tcW w:w="298" w:type="pct"/>
                  <w:vAlign w:val="center"/>
                </w:tcPr>
                <w:p w14:paraId="298F810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0712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0D82D50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10" w:type="pct"/>
                  <w:vMerge w:val="continue"/>
                  <w:vAlign w:val="center"/>
                </w:tcPr>
                <w:p w14:paraId="3265F60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463" w:type="pct"/>
                  <w:vMerge w:val="continue"/>
                  <w:vAlign w:val="center"/>
                </w:tcPr>
                <w:p w14:paraId="140FECA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23" w:type="pct"/>
                  <w:vMerge w:val="continue"/>
                  <w:vAlign w:val="center"/>
                </w:tcPr>
                <w:p w14:paraId="654B2E0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24" w:type="pct"/>
                  <w:vMerge w:val="continue"/>
                  <w:vAlign w:val="center"/>
                </w:tcPr>
                <w:p w14:paraId="41032A7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20" w:type="pct"/>
                  <w:vMerge w:val="continue"/>
                  <w:vAlign w:val="center"/>
                </w:tcPr>
                <w:p w14:paraId="6B72176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34" w:type="pct"/>
                  <w:vMerge w:val="continue"/>
                  <w:vAlign w:val="center"/>
                </w:tcPr>
                <w:p w14:paraId="2DC0430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60" w:type="pct"/>
                  <w:vMerge w:val="continue"/>
                  <w:vAlign w:val="center"/>
                </w:tcPr>
                <w:p w14:paraId="533E024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90" w:type="pct"/>
                  <w:vMerge w:val="continue"/>
                  <w:vAlign w:val="center"/>
                </w:tcPr>
                <w:p w14:paraId="0EEF119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60" w:type="pct"/>
                  <w:vMerge w:val="continue"/>
                  <w:vAlign w:val="center"/>
                </w:tcPr>
                <w:p w14:paraId="4BEF7BF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40" w:type="pct"/>
                  <w:vMerge w:val="continue"/>
                  <w:vAlign w:val="center"/>
                </w:tcPr>
                <w:p w14:paraId="06A4A55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76" w:type="pct"/>
                  <w:vMerge w:val="continue"/>
                  <w:vAlign w:val="center"/>
                </w:tcPr>
                <w:p w14:paraId="1C3D4DB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12" w:type="pct"/>
                  <w:vAlign w:val="center"/>
                </w:tcPr>
                <w:p w14:paraId="463DA6C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SO</w:t>
                  </w:r>
                  <w:r>
                    <w:rPr>
                      <w:rFonts w:hint="eastAsia" w:cs="宋体"/>
                      <w:spacing w:val="-3"/>
                      <w:sz w:val="21"/>
                      <w:szCs w:val="21"/>
                      <w:vertAlign w:val="subscript"/>
                      <w:lang w:val="en-US" w:eastAsia="zh-CN"/>
                    </w:rPr>
                    <w:t>2</w:t>
                  </w:r>
                </w:p>
              </w:tc>
              <w:tc>
                <w:tcPr>
                  <w:tcW w:w="855" w:type="dxa"/>
                  <w:vAlign w:val="center"/>
                </w:tcPr>
                <w:p w14:paraId="65642D8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0.007</w:t>
                  </w:r>
                </w:p>
              </w:tc>
              <w:tc>
                <w:tcPr>
                  <w:tcW w:w="1020" w:type="dxa"/>
                  <w:vAlign w:val="center"/>
                </w:tcPr>
                <w:p w14:paraId="42DB1A0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0.001</w:t>
                  </w:r>
                </w:p>
              </w:tc>
              <w:tc>
                <w:tcPr>
                  <w:tcW w:w="1052" w:type="dxa"/>
                  <w:vAlign w:val="center"/>
                </w:tcPr>
                <w:p w14:paraId="1980F52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0.132</w:t>
                  </w:r>
                </w:p>
              </w:tc>
              <w:tc>
                <w:tcPr>
                  <w:tcW w:w="298" w:type="pct"/>
                  <w:vAlign w:val="center"/>
                </w:tcPr>
                <w:p w14:paraId="174421E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100</w:t>
                  </w:r>
                </w:p>
              </w:tc>
            </w:tr>
            <w:tr w14:paraId="7E37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379420C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10" w:type="pct"/>
                  <w:vMerge w:val="continue"/>
                  <w:vAlign w:val="center"/>
                </w:tcPr>
                <w:p w14:paraId="511ED3A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463" w:type="pct"/>
                  <w:vMerge w:val="continue"/>
                  <w:vAlign w:val="center"/>
                </w:tcPr>
                <w:p w14:paraId="7A85EC0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23" w:type="pct"/>
                  <w:vMerge w:val="continue"/>
                  <w:vAlign w:val="center"/>
                </w:tcPr>
                <w:p w14:paraId="7B26470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24" w:type="pct"/>
                  <w:vMerge w:val="continue"/>
                  <w:vAlign w:val="center"/>
                </w:tcPr>
                <w:p w14:paraId="20C8962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20" w:type="pct"/>
                  <w:vMerge w:val="continue"/>
                  <w:vAlign w:val="center"/>
                </w:tcPr>
                <w:p w14:paraId="7461D13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34" w:type="pct"/>
                  <w:vMerge w:val="continue"/>
                  <w:vAlign w:val="center"/>
                </w:tcPr>
                <w:p w14:paraId="5082588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60" w:type="pct"/>
                  <w:vMerge w:val="continue"/>
                  <w:vAlign w:val="center"/>
                </w:tcPr>
                <w:p w14:paraId="2D740C7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90" w:type="pct"/>
                  <w:vMerge w:val="continue"/>
                  <w:vAlign w:val="center"/>
                </w:tcPr>
                <w:p w14:paraId="6A59A9D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60" w:type="pct"/>
                  <w:vMerge w:val="continue"/>
                  <w:vAlign w:val="center"/>
                </w:tcPr>
                <w:p w14:paraId="3CDA53C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40" w:type="pct"/>
                  <w:vMerge w:val="continue"/>
                  <w:vAlign w:val="center"/>
                </w:tcPr>
                <w:p w14:paraId="6538864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76" w:type="pct"/>
                  <w:vMerge w:val="continue"/>
                  <w:vAlign w:val="center"/>
                </w:tcPr>
                <w:p w14:paraId="2BAD938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12" w:type="pct"/>
                  <w:vAlign w:val="center"/>
                </w:tcPr>
                <w:p w14:paraId="3B20366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NO</w:t>
                  </w:r>
                  <w:r>
                    <w:rPr>
                      <w:rFonts w:hint="eastAsia" w:cs="宋体"/>
                      <w:spacing w:val="-3"/>
                      <w:sz w:val="21"/>
                      <w:szCs w:val="21"/>
                      <w:vertAlign w:val="subscript"/>
                      <w:lang w:val="en-US" w:eastAsia="zh-CN"/>
                    </w:rPr>
                    <w:t>x</w:t>
                  </w:r>
                </w:p>
              </w:tc>
              <w:tc>
                <w:tcPr>
                  <w:tcW w:w="855" w:type="dxa"/>
                  <w:vAlign w:val="center"/>
                </w:tcPr>
                <w:p w14:paraId="14A5EBE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0.063</w:t>
                  </w:r>
                </w:p>
              </w:tc>
              <w:tc>
                <w:tcPr>
                  <w:tcW w:w="1020" w:type="dxa"/>
                  <w:vAlign w:val="center"/>
                </w:tcPr>
                <w:p w14:paraId="5915EAF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0.008</w:t>
                  </w:r>
                </w:p>
              </w:tc>
              <w:tc>
                <w:tcPr>
                  <w:tcW w:w="1052" w:type="dxa"/>
                  <w:vAlign w:val="center"/>
                </w:tcPr>
                <w:p w14:paraId="5758E90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1.253</w:t>
                  </w:r>
                </w:p>
              </w:tc>
              <w:tc>
                <w:tcPr>
                  <w:tcW w:w="298" w:type="pct"/>
                  <w:vAlign w:val="center"/>
                </w:tcPr>
                <w:p w14:paraId="57E36C0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w:t>
                  </w:r>
                </w:p>
              </w:tc>
            </w:tr>
            <w:tr w14:paraId="3B4C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restart"/>
                  <w:vAlign w:val="center"/>
                </w:tcPr>
                <w:p w14:paraId="04C36C7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3#车间</w:t>
                  </w:r>
                </w:p>
              </w:tc>
              <w:tc>
                <w:tcPr>
                  <w:tcW w:w="310" w:type="pct"/>
                  <w:vAlign w:val="center"/>
                </w:tcPr>
                <w:p w14:paraId="6A48D92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w:t>
                  </w:r>
                  <w:r>
                    <w:rPr>
                      <w:rFonts w:hint="eastAsia" w:eastAsia="宋体" w:cs="Times New Roman"/>
                      <w:b w:val="0"/>
                      <w:bCs w:val="0"/>
                      <w:color w:val="auto"/>
                      <w:sz w:val="21"/>
                      <w:szCs w:val="21"/>
                      <w:lang w:val="en-US" w:eastAsia="zh-CN"/>
                    </w:rPr>
                    <w:t>5</w:t>
                  </w:r>
                </w:p>
              </w:tc>
              <w:tc>
                <w:tcPr>
                  <w:tcW w:w="463" w:type="pct"/>
                  <w:vAlign w:val="center"/>
                </w:tcPr>
                <w:p w14:paraId="06C32EF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223" w:type="pct"/>
                  <w:vAlign w:val="center"/>
                </w:tcPr>
                <w:p w14:paraId="5B736FF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224" w:type="pct"/>
                  <w:vAlign w:val="center"/>
                </w:tcPr>
                <w:p w14:paraId="360B492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245</w:t>
                  </w:r>
                </w:p>
              </w:tc>
              <w:tc>
                <w:tcPr>
                  <w:tcW w:w="320" w:type="pct"/>
                  <w:vAlign w:val="center"/>
                </w:tcPr>
                <w:p w14:paraId="60487B1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30.766</w:t>
                  </w:r>
                </w:p>
              </w:tc>
              <w:tc>
                <w:tcPr>
                  <w:tcW w:w="234" w:type="pct"/>
                  <w:vAlign w:val="center"/>
                </w:tcPr>
                <w:p w14:paraId="3B824F4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Align w:val="center"/>
                </w:tcPr>
                <w:p w14:paraId="572962F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Align w:val="center"/>
                </w:tcPr>
                <w:p w14:paraId="1ADDCF2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260" w:type="pct"/>
                  <w:vAlign w:val="center"/>
                </w:tcPr>
                <w:p w14:paraId="0FD620D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Align w:val="center"/>
                </w:tcPr>
                <w:p w14:paraId="7951B95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7200</w:t>
                  </w:r>
                </w:p>
              </w:tc>
              <w:tc>
                <w:tcPr>
                  <w:tcW w:w="276" w:type="pct"/>
                  <w:vAlign w:val="center"/>
                </w:tcPr>
                <w:p w14:paraId="2881DEA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4966710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颗粒物</w:t>
                  </w:r>
                </w:p>
              </w:tc>
              <w:tc>
                <w:tcPr>
                  <w:tcW w:w="855" w:type="dxa"/>
                  <w:vAlign w:val="center"/>
                </w:tcPr>
                <w:p w14:paraId="607F91D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0.002</w:t>
                  </w:r>
                </w:p>
              </w:tc>
              <w:tc>
                <w:tcPr>
                  <w:tcW w:w="1020" w:type="dxa"/>
                  <w:vAlign w:val="center"/>
                </w:tcPr>
                <w:p w14:paraId="7C00D3D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0.0002</w:t>
                  </w:r>
                </w:p>
              </w:tc>
              <w:tc>
                <w:tcPr>
                  <w:tcW w:w="1052" w:type="dxa"/>
                  <w:vAlign w:val="center"/>
                </w:tcPr>
                <w:p w14:paraId="19DC90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0.036</w:t>
                  </w:r>
                </w:p>
              </w:tc>
              <w:tc>
                <w:tcPr>
                  <w:tcW w:w="298" w:type="pct"/>
                  <w:vAlign w:val="center"/>
                </w:tcPr>
                <w:p w14:paraId="174555D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447F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11D86E8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310" w:type="pct"/>
                  <w:vMerge w:val="restart"/>
                  <w:vAlign w:val="center"/>
                </w:tcPr>
                <w:p w14:paraId="769ACEE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DA00</w:t>
                  </w:r>
                  <w:r>
                    <w:rPr>
                      <w:rFonts w:hint="eastAsia" w:eastAsia="宋体" w:cs="Times New Roman"/>
                      <w:b w:val="0"/>
                      <w:bCs w:val="0"/>
                      <w:color w:val="auto"/>
                      <w:sz w:val="21"/>
                      <w:szCs w:val="21"/>
                      <w:lang w:val="en-US" w:eastAsia="zh-CN"/>
                    </w:rPr>
                    <w:t>8</w:t>
                  </w:r>
                </w:p>
              </w:tc>
              <w:tc>
                <w:tcPr>
                  <w:tcW w:w="463" w:type="pct"/>
                  <w:vMerge w:val="restart"/>
                  <w:vAlign w:val="center"/>
                </w:tcPr>
                <w:p w14:paraId="3D5FB07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5#生产线</w:t>
                  </w:r>
                  <w:r>
                    <w:rPr>
                      <w:rFonts w:hint="eastAsia" w:cs="Times New Roman"/>
                      <w:b w:val="0"/>
                      <w:bCs w:val="0"/>
                      <w:color w:val="auto"/>
                      <w:sz w:val="21"/>
                      <w:szCs w:val="21"/>
                      <w:lang w:val="en-US" w:eastAsia="zh-CN"/>
                    </w:rPr>
                    <w:t>天然气燃烧废气</w:t>
                  </w:r>
                </w:p>
              </w:tc>
              <w:tc>
                <w:tcPr>
                  <w:tcW w:w="223" w:type="pct"/>
                  <w:vMerge w:val="restart"/>
                  <w:vAlign w:val="center"/>
                </w:tcPr>
                <w:p w14:paraId="6F146A8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85</w:t>
                  </w:r>
                </w:p>
              </w:tc>
              <w:tc>
                <w:tcPr>
                  <w:tcW w:w="224" w:type="pct"/>
                  <w:vMerge w:val="restart"/>
                  <w:vAlign w:val="center"/>
                </w:tcPr>
                <w:p w14:paraId="4DE3349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240</w:t>
                  </w:r>
                </w:p>
              </w:tc>
              <w:tc>
                <w:tcPr>
                  <w:tcW w:w="320" w:type="pct"/>
                  <w:vMerge w:val="restart"/>
                  <w:vAlign w:val="center"/>
                </w:tcPr>
                <w:p w14:paraId="48D6513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30.108</w:t>
                  </w:r>
                </w:p>
              </w:tc>
              <w:tc>
                <w:tcPr>
                  <w:tcW w:w="234" w:type="pct"/>
                  <w:vMerge w:val="restart"/>
                  <w:vAlign w:val="center"/>
                </w:tcPr>
                <w:p w14:paraId="01FF479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15</w:t>
                  </w:r>
                </w:p>
              </w:tc>
              <w:tc>
                <w:tcPr>
                  <w:tcW w:w="260" w:type="pct"/>
                  <w:vMerge w:val="restart"/>
                  <w:vAlign w:val="center"/>
                </w:tcPr>
                <w:p w14:paraId="2C96300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0.</w:t>
                  </w:r>
                  <w:r>
                    <w:rPr>
                      <w:rFonts w:hint="eastAsia" w:cs="Times New Roman"/>
                      <w:b w:val="0"/>
                      <w:bCs w:val="0"/>
                      <w:color w:val="auto"/>
                      <w:sz w:val="21"/>
                      <w:szCs w:val="21"/>
                      <w:lang w:val="en-US" w:eastAsia="zh-CN"/>
                    </w:rPr>
                    <w:t>35</w:t>
                  </w:r>
                </w:p>
              </w:tc>
              <w:tc>
                <w:tcPr>
                  <w:tcW w:w="290" w:type="pct"/>
                  <w:vMerge w:val="restart"/>
                  <w:vAlign w:val="center"/>
                </w:tcPr>
                <w:p w14:paraId="7788625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3000</w:t>
                  </w:r>
                </w:p>
              </w:tc>
              <w:tc>
                <w:tcPr>
                  <w:tcW w:w="260" w:type="pct"/>
                  <w:vMerge w:val="restart"/>
                  <w:vAlign w:val="center"/>
                </w:tcPr>
                <w:p w14:paraId="5DFB42F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40</w:t>
                  </w:r>
                </w:p>
              </w:tc>
              <w:tc>
                <w:tcPr>
                  <w:tcW w:w="240" w:type="pct"/>
                  <w:vMerge w:val="restart"/>
                  <w:vAlign w:val="center"/>
                </w:tcPr>
                <w:p w14:paraId="0E2483D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7200</w:t>
                  </w:r>
                </w:p>
              </w:tc>
              <w:tc>
                <w:tcPr>
                  <w:tcW w:w="276" w:type="pct"/>
                  <w:vMerge w:val="restart"/>
                  <w:vAlign w:val="center"/>
                </w:tcPr>
                <w:p w14:paraId="5677C7A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正常工况</w:t>
                  </w:r>
                </w:p>
              </w:tc>
              <w:tc>
                <w:tcPr>
                  <w:tcW w:w="312" w:type="pct"/>
                  <w:vAlign w:val="center"/>
                </w:tcPr>
                <w:p w14:paraId="52D1E84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颗粒物</w:t>
                  </w:r>
                </w:p>
              </w:tc>
              <w:tc>
                <w:tcPr>
                  <w:tcW w:w="855" w:type="dxa"/>
                  <w:vAlign w:val="center"/>
                </w:tcPr>
                <w:p w14:paraId="131B25F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1020" w:type="dxa"/>
                  <w:vAlign w:val="center"/>
                </w:tcPr>
                <w:p w14:paraId="5802FD8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0.001</w:t>
                  </w:r>
                </w:p>
              </w:tc>
              <w:tc>
                <w:tcPr>
                  <w:tcW w:w="1052" w:type="dxa"/>
                  <w:vAlign w:val="center"/>
                </w:tcPr>
                <w:p w14:paraId="0F2F8BF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0.189</w:t>
                  </w:r>
                </w:p>
              </w:tc>
              <w:tc>
                <w:tcPr>
                  <w:tcW w:w="298" w:type="pct"/>
                  <w:vAlign w:val="center"/>
                </w:tcPr>
                <w:p w14:paraId="1BAA09D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w:t>
                  </w:r>
                </w:p>
              </w:tc>
            </w:tr>
            <w:tr w14:paraId="3F0C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4BE764B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10" w:type="pct"/>
                  <w:vMerge w:val="continue"/>
                  <w:vAlign w:val="center"/>
                </w:tcPr>
                <w:p w14:paraId="144C0A1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463" w:type="pct"/>
                  <w:vMerge w:val="continue"/>
                  <w:vAlign w:val="center"/>
                </w:tcPr>
                <w:p w14:paraId="401D8E0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23" w:type="pct"/>
                  <w:vMerge w:val="continue"/>
                  <w:vAlign w:val="center"/>
                </w:tcPr>
                <w:p w14:paraId="6E1E053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24" w:type="pct"/>
                  <w:vMerge w:val="continue"/>
                  <w:vAlign w:val="center"/>
                </w:tcPr>
                <w:p w14:paraId="74C9A32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20" w:type="pct"/>
                  <w:vMerge w:val="continue"/>
                  <w:vAlign w:val="center"/>
                </w:tcPr>
                <w:p w14:paraId="5265658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34" w:type="pct"/>
                  <w:vMerge w:val="continue"/>
                  <w:vAlign w:val="center"/>
                </w:tcPr>
                <w:p w14:paraId="493AAA9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60" w:type="pct"/>
                  <w:vMerge w:val="continue"/>
                  <w:vAlign w:val="center"/>
                </w:tcPr>
                <w:p w14:paraId="6830BFD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90" w:type="pct"/>
                  <w:vMerge w:val="continue"/>
                  <w:vAlign w:val="center"/>
                </w:tcPr>
                <w:p w14:paraId="2A25375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60" w:type="pct"/>
                  <w:vMerge w:val="continue"/>
                  <w:vAlign w:val="center"/>
                </w:tcPr>
                <w:p w14:paraId="0EC1F04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40" w:type="pct"/>
                  <w:vMerge w:val="continue"/>
                  <w:vAlign w:val="center"/>
                </w:tcPr>
                <w:p w14:paraId="0930577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276" w:type="pct"/>
                  <w:vMerge w:val="continue"/>
                  <w:vAlign w:val="center"/>
                </w:tcPr>
                <w:p w14:paraId="14D93E5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rPr>
                  </w:pPr>
                </w:p>
              </w:tc>
              <w:tc>
                <w:tcPr>
                  <w:tcW w:w="312" w:type="pct"/>
                  <w:vAlign w:val="center"/>
                </w:tcPr>
                <w:p w14:paraId="5423651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SO</w:t>
                  </w:r>
                  <w:r>
                    <w:rPr>
                      <w:rFonts w:hint="eastAsia" w:cs="宋体"/>
                      <w:spacing w:val="-3"/>
                      <w:sz w:val="21"/>
                      <w:szCs w:val="21"/>
                      <w:vertAlign w:val="subscript"/>
                      <w:lang w:val="en-US" w:eastAsia="zh-CN"/>
                    </w:rPr>
                    <w:t>2</w:t>
                  </w:r>
                </w:p>
              </w:tc>
              <w:tc>
                <w:tcPr>
                  <w:tcW w:w="855" w:type="dxa"/>
                  <w:vAlign w:val="center"/>
                </w:tcPr>
                <w:p w14:paraId="12B0894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c>
                <w:tcPr>
                  <w:tcW w:w="1020" w:type="dxa"/>
                  <w:vAlign w:val="center"/>
                </w:tcPr>
                <w:p w14:paraId="698D657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0.0004</w:t>
                  </w:r>
                </w:p>
              </w:tc>
              <w:tc>
                <w:tcPr>
                  <w:tcW w:w="1052" w:type="dxa"/>
                  <w:vAlign w:val="center"/>
                </w:tcPr>
                <w:p w14:paraId="1F3678E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0.132</w:t>
                  </w:r>
                </w:p>
              </w:tc>
              <w:tc>
                <w:tcPr>
                  <w:tcW w:w="298" w:type="pct"/>
                  <w:vAlign w:val="center"/>
                </w:tcPr>
                <w:p w14:paraId="44F0B91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100</w:t>
                  </w:r>
                </w:p>
              </w:tc>
            </w:tr>
            <w:tr w14:paraId="5FB2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 w:type="pct"/>
                  <w:vMerge w:val="continue"/>
                  <w:vAlign w:val="center"/>
                </w:tcPr>
                <w:p w14:paraId="70FDA4E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10" w:type="pct"/>
                  <w:vMerge w:val="continue"/>
                  <w:vAlign w:val="center"/>
                </w:tcPr>
                <w:p w14:paraId="79F149E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463" w:type="pct"/>
                  <w:vMerge w:val="continue"/>
                  <w:vAlign w:val="center"/>
                </w:tcPr>
                <w:p w14:paraId="6C5E4B4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23" w:type="pct"/>
                  <w:vMerge w:val="continue"/>
                  <w:vAlign w:val="center"/>
                </w:tcPr>
                <w:p w14:paraId="780CF21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24" w:type="pct"/>
                  <w:vMerge w:val="continue"/>
                  <w:vAlign w:val="center"/>
                </w:tcPr>
                <w:p w14:paraId="6A764F0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20" w:type="pct"/>
                  <w:vMerge w:val="continue"/>
                  <w:vAlign w:val="center"/>
                </w:tcPr>
                <w:p w14:paraId="4D73DBF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34" w:type="pct"/>
                  <w:vMerge w:val="continue"/>
                  <w:vAlign w:val="center"/>
                </w:tcPr>
                <w:p w14:paraId="211A69F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60" w:type="pct"/>
                  <w:vMerge w:val="continue"/>
                  <w:vAlign w:val="center"/>
                </w:tcPr>
                <w:p w14:paraId="2F102D9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90" w:type="pct"/>
                  <w:vMerge w:val="continue"/>
                  <w:vAlign w:val="center"/>
                </w:tcPr>
                <w:p w14:paraId="0640D6F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60" w:type="pct"/>
                  <w:vMerge w:val="continue"/>
                  <w:vAlign w:val="center"/>
                </w:tcPr>
                <w:p w14:paraId="551671A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40" w:type="pct"/>
                  <w:vMerge w:val="continue"/>
                  <w:vAlign w:val="center"/>
                </w:tcPr>
                <w:p w14:paraId="54EF8C3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276" w:type="pct"/>
                  <w:vMerge w:val="continue"/>
                  <w:vAlign w:val="center"/>
                </w:tcPr>
                <w:p w14:paraId="614F009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p>
              </w:tc>
              <w:tc>
                <w:tcPr>
                  <w:tcW w:w="312" w:type="pct"/>
                  <w:vAlign w:val="center"/>
                </w:tcPr>
                <w:p w14:paraId="542891C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NO</w:t>
                  </w:r>
                  <w:r>
                    <w:rPr>
                      <w:rFonts w:hint="eastAsia" w:cs="宋体"/>
                      <w:spacing w:val="-3"/>
                      <w:sz w:val="21"/>
                      <w:szCs w:val="21"/>
                      <w:vertAlign w:val="subscript"/>
                      <w:lang w:val="en-US" w:eastAsia="zh-CN"/>
                    </w:rPr>
                    <w:t>x</w:t>
                  </w:r>
                </w:p>
              </w:tc>
              <w:tc>
                <w:tcPr>
                  <w:tcW w:w="855" w:type="dxa"/>
                  <w:vAlign w:val="center"/>
                </w:tcPr>
                <w:p w14:paraId="6FDDBC2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0.027</w:t>
                  </w:r>
                </w:p>
              </w:tc>
              <w:tc>
                <w:tcPr>
                  <w:tcW w:w="1020" w:type="dxa"/>
                  <w:vAlign w:val="center"/>
                </w:tcPr>
                <w:p w14:paraId="34F0844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1052" w:type="dxa"/>
                  <w:vAlign w:val="center"/>
                </w:tcPr>
                <w:p w14:paraId="52607C3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1.234</w:t>
                  </w:r>
                </w:p>
              </w:tc>
              <w:tc>
                <w:tcPr>
                  <w:tcW w:w="298" w:type="pct"/>
                  <w:vAlign w:val="center"/>
                </w:tcPr>
                <w:p w14:paraId="748EDAC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200</w:t>
                  </w:r>
                </w:p>
              </w:tc>
            </w:tr>
            <w:tr w14:paraId="3B10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7"/>
                  <w:vAlign w:val="center"/>
                </w:tcPr>
                <w:p w14:paraId="71E826A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color w:val="auto"/>
                      <w:lang w:val="en-US" w:eastAsia="zh-CN"/>
                    </w:rPr>
                    <w:t>注：*以厂区西南角为坐标原点（经度116.</w:t>
                  </w:r>
                  <w:r>
                    <w:rPr>
                      <w:rFonts w:hint="eastAsia" w:cs="Times New Roman"/>
                      <w:color w:val="auto"/>
                      <w:lang w:val="en-US" w:eastAsia="zh-CN"/>
                    </w:rPr>
                    <w:t>834875</w:t>
                  </w:r>
                  <w:r>
                    <w:rPr>
                      <w:rFonts w:hint="eastAsia" w:ascii="Times New Roman" w:hAnsi="Times New Roman" w:eastAsia="宋体" w:cs="Times New Roman"/>
                      <w:color w:val="auto"/>
                      <w:lang w:val="en-US" w:eastAsia="zh-CN"/>
                    </w:rPr>
                    <w:t>，纬度33.86</w:t>
                  </w:r>
                  <w:r>
                    <w:rPr>
                      <w:rFonts w:hint="eastAsia" w:cs="Times New Roman"/>
                      <w:color w:val="auto"/>
                      <w:lang w:val="en-US" w:eastAsia="zh-CN"/>
                    </w:rPr>
                    <w:t>8224</w:t>
                  </w:r>
                  <w:r>
                    <w:rPr>
                      <w:rFonts w:hint="eastAsia" w:ascii="Times New Roman" w:hAnsi="Times New Roman" w:eastAsia="宋体" w:cs="Times New Roman"/>
                      <w:color w:val="auto"/>
                      <w:lang w:val="en-US" w:eastAsia="zh-CN"/>
                    </w:rPr>
                    <w:t>），下同</w:t>
                  </w:r>
                </w:p>
              </w:tc>
            </w:tr>
          </w:tbl>
          <w:p w14:paraId="6543DE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sz w:val="24"/>
                <w:szCs w:val="24"/>
              </w:rPr>
            </w:pPr>
            <w:r>
              <w:rPr>
                <w:rFonts w:hint="eastAsia"/>
                <w:b/>
                <w:bCs/>
                <w:sz w:val="24"/>
                <w:szCs w:val="24"/>
              </w:rPr>
              <w:t>表</w:t>
            </w:r>
            <w:r>
              <w:rPr>
                <w:rFonts w:hint="default"/>
                <w:b/>
                <w:bCs/>
                <w:sz w:val="24"/>
                <w:szCs w:val="24"/>
              </w:rPr>
              <w:t>4-</w:t>
            </w:r>
            <w:r>
              <w:rPr>
                <w:rFonts w:hint="eastAsia"/>
                <w:b/>
                <w:bCs/>
                <w:sz w:val="24"/>
                <w:szCs w:val="24"/>
                <w:lang w:val="en-US" w:eastAsia="zh-CN"/>
              </w:rPr>
              <w:t xml:space="preserve">19  </w:t>
            </w:r>
            <w:r>
              <w:rPr>
                <w:rFonts w:hint="eastAsia" w:cs="宋体"/>
                <w:b/>
                <w:bCs/>
                <w:sz w:val="24"/>
                <w:szCs w:val="24"/>
              </w:rPr>
              <w:t>项目有组织废气产排情况</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17"/>
              <w:gridCol w:w="865"/>
              <w:gridCol w:w="875"/>
              <w:gridCol w:w="862"/>
              <w:gridCol w:w="810"/>
              <w:gridCol w:w="632"/>
              <w:gridCol w:w="1615"/>
              <w:gridCol w:w="578"/>
              <w:gridCol w:w="605"/>
              <w:gridCol w:w="880"/>
              <w:gridCol w:w="767"/>
              <w:gridCol w:w="713"/>
              <w:gridCol w:w="767"/>
              <w:gridCol w:w="781"/>
              <w:gridCol w:w="786"/>
            </w:tblGrid>
            <w:tr w14:paraId="2084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restart"/>
                  <w:vAlign w:val="center"/>
                </w:tcPr>
                <w:p w14:paraId="366DAE40">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color w:val="auto"/>
                      <w:kern w:val="0"/>
                      <w:sz w:val="21"/>
                      <w:szCs w:val="21"/>
                      <w:lang w:val="en-US" w:eastAsia="zh-CN"/>
                    </w:rPr>
                    <w:t>类别</w:t>
                  </w:r>
                </w:p>
              </w:tc>
              <w:tc>
                <w:tcPr>
                  <w:tcW w:w="1317" w:type="dxa"/>
                  <w:vMerge w:val="restart"/>
                  <w:vAlign w:val="center"/>
                </w:tcPr>
                <w:p w14:paraId="78B518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产污环节</w:t>
                  </w:r>
                </w:p>
              </w:tc>
              <w:tc>
                <w:tcPr>
                  <w:tcW w:w="865" w:type="dxa"/>
                  <w:vMerge w:val="restart"/>
                  <w:vAlign w:val="center"/>
                </w:tcPr>
                <w:p w14:paraId="0CC7A2B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污染物种类</w:t>
                  </w:r>
                </w:p>
              </w:tc>
              <w:tc>
                <w:tcPr>
                  <w:tcW w:w="2547" w:type="dxa"/>
                  <w:gridSpan w:val="3"/>
                  <w:vAlign w:val="center"/>
                </w:tcPr>
                <w:p w14:paraId="492565E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污染物产生情况</w:t>
                  </w:r>
                </w:p>
              </w:tc>
              <w:tc>
                <w:tcPr>
                  <w:tcW w:w="632" w:type="dxa"/>
                  <w:vMerge w:val="restart"/>
                  <w:vAlign w:val="center"/>
                </w:tcPr>
                <w:p w14:paraId="1C4A5FA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排放形式</w:t>
                  </w:r>
                </w:p>
              </w:tc>
              <w:tc>
                <w:tcPr>
                  <w:tcW w:w="3678" w:type="dxa"/>
                  <w:gridSpan w:val="4"/>
                  <w:vAlign w:val="center"/>
                </w:tcPr>
                <w:p w14:paraId="7052D09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治理措施</w:t>
                  </w:r>
                </w:p>
              </w:tc>
              <w:tc>
                <w:tcPr>
                  <w:tcW w:w="3814" w:type="dxa"/>
                  <w:gridSpan w:val="5"/>
                  <w:vAlign w:val="center"/>
                </w:tcPr>
                <w:p w14:paraId="3CC75DC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污染物排放情况</w:t>
                  </w:r>
                </w:p>
              </w:tc>
            </w:tr>
            <w:tr w14:paraId="368D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426365A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rPr>
                  </w:pPr>
                </w:p>
              </w:tc>
              <w:tc>
                <w:tcPr>
                  <w:tcW w:w="1317" w:type="dxa"/>
                  <w:vMerge w:val="continue"/>
                  <w:vAlign w:val="center"/>
                </w:tcPr>
                <w:p w14:paraId="0BD6247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rPr>
                  </w:pPr>
                </w:p>
              </w:tc>
              <w:tc>
                <w:tcPr>
                  <w:tcW w:w="865" w:type="dxa"/>
                  <w:vMerge w:val="continue"/>
                  <w:vAlign w:val="center"/>
                </w:tcPr>
                <w:p w14:paraId="4A44A05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rPr>
                  </w:pPr>
                </w:p>
              </w:tc>
              <w:tc>
                <w:tcPr>
                  <w:tcW w:w="875" w:type="dxa"/>
                  <w:vAlign w:val="center"/>
                </w:tcPr>
                <w:p w14:paraId="75E4938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bCs/>
                      <w:sz w:val="21"/>
                      <w:szCs w:val="21"/>
                    </w:rPr>
                  </w:pPr>
                  <w:r>
                    <w:rPr>
                      <w:rFonts w:hint="default" w:ascii="Times New Roman" w:hAnsi="Times New Roman" w:eastAsia="宋体" w:cs="Times New Roman"/>
                      <w:b/>
                      <w:bCs/>
                      <w:i w:val="0"/>
                      <w:color w:val="000000"/>
                      <w:kern w:val="0"/>
                      <w:sz w:val="21"/>
                      <w:szCs w:val="21"/>
                      <w:u w:val="none"/>
                      <w:lang w:val="en-US" w:eastAsia="zh-CN" w:bidi="ar"/>
                    </w:rPr>
                    <w:t>产生量（t/a）</w:t>
                  </w:r>
                </w:p>
              </w:tc>
              <w:tc>
                <w:tcPr>
                  <w:tcW w:w="862" w:type="dxa"/>
                  <w:vAlign w:val="center"/>
                </w:tcPr>
                <w:p w14:paraId="20711E6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i w:val="0"/>
                      <w:color w:val="000000"/>
                      <w:kern w:val="0"/>
                      <w:sz w:val="21"/>
                      <w:szCs w:val="21"/>
                      <w:u w:val="none"/>
                      <w:lang w:val="en-US" w:eastAsia="zh-CN" w:bidi="ar"/>
                    </w:rPr>
                    <w:t>速率（kg/h）</w:t>
                  </w:r>
                </w:p>
              </w:tc>
              <w:tc>
                <w:tcPr>
                  <w:tcW w:w="810" w:type="dxa"/>
                  <w:vAlign w:val="center"/>
                </w:tcPr>
                <w:p w14:paraId="11DD2B6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i w:val="0"/>
                      <w:color w:val="000000"/>
                      <w:kern w:val="0"/>
                      <w:sz w:val="21"/>
                      <w:szCs w:val="21"/>
                      <w:u w:val="none"/>
                      <w:lang w:val="en-US" w:eastAsia="zh-CN" w:bidi="ar"/>
                    </w:rPr>
                    <w:t>浓度（mg/m</w:t>
                  </w:r>
                  <w:r>
                    <w:rPr>
                      <w:rFonts w:hint="default" w:ascii="Times New Roman" w:hAnsi="Times New Roman" w:eastAsia="宋体" w:cs="Times New Roman"/>
                      <w:b/>
                      <w:bCs/>
                      <w:i w:val="0"/>
                      <w:color w:val="000000"/>
                      <w:kern w:val="0"/>
                      <w:sz w:val="21"/>
                      <w:szCs w:val="21"/>
                      <w:u w:val="none"/>
                      <w:vertAlign w:val="superscript"/>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w:t>
                  </w:r>
                </w:p>
              </w:tc>
              <w:tc>
                <w:tcPr>
                  <w:tcW w:w="632" w:type="dxa"/>
                  <w:vMerge w:val="continue"/>
                  <w:vAlign w:val="center"/>
                </w:tcPr>
                <w:p w14:paraId="695C460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rPr>
                  </w:pPr>
                </w:p>
              </w:tc>
              <w:tc>
                <w:tcPr>
                  <w:tcW w:w="1615" w:type="dxa"/>
                  <w:vAlign w:val="center"/>
                </w:tcPr>
                <w:p w14:paraId="636BF41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污染治理、设施工艺</w:t>
                  </w:r>
                </w:p>
              </w:tc>
              <w:tc>
                <w:tcPr>
                  <w:tcW w:w="578" w:type="dxa"/>
                  <w:vAlign w:val="center"/>
                </w:tcPr>
                <w:p w14:paraId="4141876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收集效率</w:t>
                  </w:r>
                </w:p>
              </w:tc>
              <w:tc>
                <w:tcPr>
                  <w:tcW w:w="605" w:type="dxa"/>
                  <w:vAlign w:val="center"/>
                </w:tcPr>
                <w:p w14:paraId="2CCFFBC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去除率</w:t>
                  </w:r>
                </w:p>
              </w:tc>
              <w:tc>
                <w:tcPr>
                  <w:tcW w:w="880" w:type="dxa"/>
                  <w:vAlign w:val="center"/>
                </w:tcPr>
                <w:p w14:paraId="64D189C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sz w:val="21"/>
                      <w:szCs w:val="21"/>
                      <w:lang w:val="en-US" w:eastAsia="zh-CN"/>
                    </w:rPr>
                  </w:pPr>
                  <w:r>
                    <w:rPr>
                      <w:rFonts w:hint="default" w:ascii="Times New Roman" w:hAnsi="Times New Roman" w:cs="Times New Roman"/>
                      <w:b/>
                      <w:bCs/>
                      <w:sz w:val="21"/>
                      <w:szCs w:val="21"/>
                      <w:lang w:val="en-US" w:eastAsia="zh-CN"/>
                    </w:rPr>
                    <w:t>是否为可行技术</w:t>
                  </w:r>
                </w:p>
              </w:tc>
              <w:tc>
                <w:tcPr>
                  <w:tcW w:w="767" w:type="dxa"/>
                  <w:vAlign w:val="center"/>
                </w:tcPr>
                <w:p w14:paraId="60D8025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风量（m</w:t>
                  </w:r>
                  <w:r>
                    <w:rPr>
                      <w:rFonts w:hint="default" w:ascii="Times New Roman" w:hAnsi="Times New Roman" w:cs="Times New Roman"/>
                      <w:b/>
                      <w:bCs/>
                      <w:i w:val="0"/>
                      <w:color w:val="000000"/>
                      <w:kern w:val="0"/>
                      <w:sz w:val="21"/>
                      <w:szCs w:val="21"/>
                      <w:u w:val="none"/>
                      <w:vertAlign w:val="superscript"/>
                      <w:lang w:val="en-US" w:eastAsia="zh-CN" w:bidi="ar"/>
                    </w:rPr>
                    <w:t>3</w:t>
                  </w:r>
                  <w:r>
                    <w:rPr>
                      <w:rFonts w:hint="default" w:ascii="Times New Roman" w:hAnsi="Times New Roman" w:cs="Times New Roman"/>
                      <w:b/>
                      <w:bCs/>
                      <w:i w:val="0"/>
                      <w:color w:val="000000"/>
                      <w:kern w:val="0"/>
                      <w:sz w:val="21"/>
                      <w:szCs w:val="21"/>
                      <w:u w:val="none"/>
                      <w:lang w:val="en-US" w:eastAsia="zh-CN" w:bidi="ar"/>
                    </w:rPr>
                    <w:t>/h）</w:t>
                  </w:r>
                </w:p>
              </w:tc>
              <w:tc>
                <w:tcPr>
                  <w:tcW w:w="713" w:type="dxa"/>
                  <w:vAlign w:val="center"/>
                </w:tcPr>
                <w:p w14:paraId="0CC6D74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排放量</w:t>
                  </w:r>
                  <w:r>
                    <w:rPr>
                      <w:rFonts w:hint="default" w:ascii="Times New Roman" w:hAnsi="Times New Roman" w:eastAsia="宋体" w:cs="Times New Roman"/>
                      <w:b/>
                      <w:bCs/>
                      <w:i w:val="0"/>
                      <w:color w:val="000000"/>
                      <w:kern w:val="0"/>
                      <w:sz w:val="21"/>
                      <w:szCs w:val="21"/>
                      <w:u w:val="none"/>
                      <w:lang w:val="en-US" w:eastAsia="zh-CN" w:bidi="ar"/>
                    </w:rPr>
                    <w:t>（t/a）</w:t>
                  </w:r>
                </w:p>
              </w:tc>
              <w:tc>
                <w:tcPr>
                  <w:tcW w:w="767" w:type="dxa"/>
                  <w:vAlign w:val="center"/>
                </w:tcPr>
                <w:p w14:paraId="0E38774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速率（kg/h）</w:t>
                  </w:r>
                </w:p>
              </w:tc>
              <w:tc>
                <w:tcPr>
                  <w:tcW w:w="781" w:type="dxa"/>
                  <w:vAlign w:val="center"/>
                </w:tcPr>
                <w:p w14:paraId="0DADA90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浓度（mg/m</w:t>
                  </w:r>
                  <w:r>
                    <w:rPr>
                      <w:rFonts w:hint="default" w:ascii="Times New Roman" w:hAnsi="Times New Roman" w:eastAsia="宋体" w:cs="Times New Roman"/>
                      <w:b/>
                      <w:bCs/>
                      <w:i w:val="0"/>
                      <w:color w:val="000000"/>
                      <w:kern w:val="0"/>
                      <w:sz w:val="21"/>
                      <w:szCs w:val="21"/>
                      <w:u w:val="none"/>
                      <w:vertAlign w:val="superscript"/>
                      <w:lang w:val="en-US" w:eastAsia="zh-CN" w:bidi="ar"/>
                    </w:rPr>
                    <w:t>3</w:t>
                  </w:r>
                  <w:r>
                    <w:rPr>
                      <w:rFonts w:hint="default" w:ascii="Times New Roman" w:hAnsi="Times New Roman" w:eastAsia="宋体" w:cs="Times New Roman"/>
                      <w:b/>
                      <w:bCs/>
                      <w:i w:val="0"/>
                      <w:color w:val="000000"/>
                      <w:kern w:val="0"/>
                      <w:sz w:val="21"/>
                      <w:szCs w:val="21"/>
                      <w:u w:val="none"/>
                      <w:lang w:val="en-US" w:eastAsia="zh-CN" w:bidi="ar"/>
                    </w:rPr>
                    <w:t>）</w:t>
                  </w:r>
                </w:p>
              </w:tc>
              <w:tc>
                <w:tcPr>
                  <w:tcW w:w="786" w:type="dxa"/>
                  <w:vAlign w:val="center"/>
                </w:tcPr>
                <w:p w14:paraId="6D6D462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cs="Times New Roman"/>
                      <w:b/>
                      <w:bCs/>
                      <w:i w:val="0"/>
                      <w:color w:val="000000"/>
                      <w:kern w:val="0"/>
                      <w:sz w:val="21"/>
                      <w:szCs w:val="21"/>
                      <w:u w:val="none"/>
                      <w:lang w:val="en-US" w:eastAsia="zh-CN" w:bidi="ar"/>
                    </w:rPr>
                    <w:t>排放口编号</w:t>
                  </w:r>
                </w:p>
              </w:tc>
            </w:tr>
            <w:tr w14:paraId="525B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restart"/>
                  <w:vAlign w:val="center"/>
                </w:tcPr>
                <w:p w14:paraId="57C7CF3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2#车间</w:t>
                  </w:r>
                </w:p>
              </w:tc>
              <w:tc>
                <w:tcPr>
                  <w:tcW w:w="1317" w:type="dxa"/>
                  <w:vAlign w:val="center"/>
                </w:tcPr>
                <w:p w14:paraId="745AC2A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i w:val="0"/>
                      <w:color w:val="auto"/>
                      <w:kern w:val="0"/>
                      <w:sz w:val="21"/>
                      <w:szCs w:val="21"/>
                      <w:u w:val="none"/>
                      <w:lang w:val="en-US" w:eastAsia="zh-CN" w:bidi="ar"/>
                    </w:rPr>
                  </w:pPr>
                  <w:r>
                    <w:rPr>
                      <w:rFonts w:hint="eastAsia" w:eastAsia="宋体" w:cs="Times New Roman"/>
                      <w:b w:val="0"/>
                      <w:bCs w:val="0"/>
                      <w:color w:val="auto"/>
                      <w:sz w:val="21"/>
                      <w:szCs w:val="21"/>
                      <w:lang w:val="en-US" w:eastAsia="zh-CN"/>
                    </w:rPr>
                    <w:t>1#生产线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865" w:type="dxa"/>
                  <w:vAlign w:val="center"/>
                </w:tcPr>
                <w:p w14:paraId="503E311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875" w:type="dxa"/>
                  <w:vAlign w:val="center"/>
                </w:tcPr>
                <w:p w14:paraId="607B1608">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2.957 </w:t>
                  </w:r>
                </w:p>
              </w:tc>
              <w:tc>
                <w:tcPr>
                  <w:tcW w:w="862" w:type="dxa"/>
                  <w:vAlign w:val="center"/>
                </w:tcPr>
                <w:p w14:paraId="068993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0.338 </w:t>
                  </w:r>
                </w:p>
              </w:tc>
              <w:tc>
                <w:tcPr>
                  <w:tcW w:w="810" w:type="dxa"/>
                  <w:vAlign w:val="center"/>
                </w:tcPr>
                <w:p w14:paraId="7C16C5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56.250 </w:t>
                  </w:r>
                </w:p>
              </w:tc>
              <w:tc>
                <w:tcPr>
                  <w:tcW w:w="632" w:type="dxa"/>
                  <w:vAlign w:val="center"/>
                </w:tcPr>
                <w:p w14:paraId="79B1C7C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Align w:val="center"/>
                </w:tcPr>
                <w:p w14:paraId="707789F8">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1#布袋除尘器+15m高排气筒排放</w:t>
                  </w:r>
                </w:p>
              </w:tc>
              <w:tc>
                <w:tcPr>
                  <w:tcW w:w="578" w:type="dxa"/>
                  <w:vAlign w:val="center"/>
                </w:tcPr>
                <w:p w14:paraId="1DB7D4D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Align w:val="center"/>
                </w:tcPr>
                <w:p w14:paraId="2AA2677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color w:val="auto"/>
                      <w:sz w:val="21"/>
                      <w:szCs w:val="21"/>
                      <w:lang w:val="en-US" w:eastAsia="zh-CN"/>
                    </w:rPr>
                    <w:t>99%</w:t>
                  </w:r>
                </w:p>
              </w:tc>
              <w:tc>
                <w:tcPr>
                  <w:tcW w:w="880" w:type="dxa"/>
                  <w:vAlign w:val="center"/>
                </w:tcPr>
                <w:p w14:paraId="13A0D85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Align w:val="center"/>
                </w:tcPr>
                <w:p w14:paraId="19369B6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713" w:type="dxa"/>
                  <w:vAlign w:val="center"/>
                </w:tcPr>
                <w:p w14:paraId="25673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767" w:type="dxa"/>
                  <w:vAlign w:val="center"/>
                </w:tcPr>
                <w:p w14:paraId="473EDD7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781" w:type="dxa"/>
                  <w:vAlign w:val="center"/>
                </w:tcPr>
                <w:p w14:paraId="59EABD43">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0.534 </w:t>
                  </w:r>
                </w:p>
              </w:tc>
              <w:tc>
                <w:tcPr>
                  <w:tcW w:w="786" w:type="dxa"/>
                  <w:vAlign w:val="center"/>
                </w:tcPr>
                <w:p w14:paraId="4E7490D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DA001</w:t>
                  </w:r>
                </w:p>
              </w:tc>
            </w:tr>
            <w:tr w14:paraId="060C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0793FF0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317" w:type="dxa"/>
                  <w:vAlign w:val="center"/>
                </w:tcPr>
                <w:p w14:paraId="38322D0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pacing w:val="-3"/>
                      <w:sz w:val="21"/>
                      <w:szCs w:val="21"/>
                      <w:vertAlign w:val="baseline"/>
                      <w:lang w:val="en-US" w:eastAsia="zh-CN"/>
                    </w:rPr>
                  </w:pPr>
                  <w:r>
                    <w:rPr>
                      <w:rFonts w:hint="eastAsia" w:eastAsia="宋体" w:cs="Times New Roman"/>
                      <w:b w:val="0"/>
                      <w:bCs w:val="0"/>
                      <w:color w:val="auto"/>
                      <w:sz w:val="21"/>
                      <w:szCs w:val="21"/>
                      <w:lang w:val="en-US" w:eastAsia="zh-CN"/>
                    </w:rPr>
                    <w:t>2#生产线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865" w:type="dxa"/>
                  <w:vAlign w:val="center"/>
                </w:tcPr>
                <w:p w14:paraId="5A2096E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Cs/>
                      <w:color w:val="000000"/>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875" w:type="dxa"/>
                  <w:vAlign w:val="center"/>
                </w:tcPr>
                <w:p w14:paraId="0DE322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2.957 </w:t>
                  </w:r>
                </w:p>
              </w:tc>
              <w:tc>
                <w:tcPr>
                  <w:tcW w:w="862" w:type="dxa"/>
                  <w:vAlign w:val="center"/>
                </w:tcPr>
                <w:p w14:paraId="2FCFDA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0.338 </w:t>
                  </w:r>
                </w:p>
              </w:tc>
              <w:tc>
                <w:tcPr>
                  <w:tcW w:w="810" w:type="dxa"/>
                  <w:vAlign w:val="center"/>
                </w:tcPr>
                <w:p w14:paraId="3F28A6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56.250 </w:t>
                  </w:r>
                </w:p>
              </w:tc>
              <w:tc>
                <w:tcPr>
                  <w:tcW w:w="632" w:type="dxa"/>
                  <w:vAlign w:val="center"/>
                </w:tcPr>
                <w:p w14:paraId="3D76DB5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Align w:val="center"/>
                </w:tcPr>
                <w:p w14:paraId="2A474D24">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2#布袋除尘器+15m高排气筒排放</w:t>
                  </w:r>
                </w:p>
              </w:tc>
              <w:tc>
                <w:tcPr>
                  <w:tcW w:w="578" w:type="dxa"/>
                  <w:vAlign w:val="center"/>
                </w:tcPr>
                <w:p w14:paraId="46ADE5A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Align w:val="center"/>
                </w:tcPr>
                <w:p w14:paraId="4186E36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99%</w:t>
                  </w:r>
                </w:p>
              </w:tc>
              <w:tc>
                <w:tcPr>
                  <w:tcW w:w="880" w:type="dxa"/>
                  <w:vAlign w:val="center"/>
                </w:tcPr>
                <w:p w14:paraId="3904A4F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Align w:val="center"/>
                </w:tcPr>
                <w:p w14:paraId="1A45418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713" w:type="dxa"/>
                  <w:vAlign w:val="center"/>
                </w:tcPr>
                <w:p w14:paraId="15B2FA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767" w:type="dxa"/>
                  <w:vAlign w:val="center"/>
                </w:tcPr>
                <w:p w14:paraId="31D206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781" w:type="dxa"/>
                  <w:vAlign w:val="center"/>
                </w:tcPr>
                <w:p w14:paraId="2EECDB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0.534 </w:t>
                  </w:r>
                </w:p>
              </w:tc>
              <w:tc>
                <w:tcPr>
                  <w:tcW w:w="786" w:type="dxa"/>
                  <w:vAlign w:val="center"/>
                </w:tcPr>
                <w:p w14:paraId="7F0AE79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DA002</w:t>
                  </w:r>
                </w:p>
              </w:tc>
            </w:tr>
            <w:tr w14:paraId="6492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0B77719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317" w:type="dxa"/>
                  <w:vMerge w:val="restart"/>
                  <w:vAlign w:val="center"/>
                </w:tcPr>
                <w:p w14:paraId="7D27B42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1#生产线</w:t>
                  </w:r>
                  <w:r>
                    <w:rPr>
                      <w:rFonts w:hint="eastAsia" w:cs="Times New Roman"/>
                      <w:b w:val="0"/>
                      <w:bCs w:val="0"/>
                      <w:color w:val="auto"/>
                      <w:sz w:val="21"/>
                      <w:szCs w:val="21"/>
                      <w:lang w:val="en-US" w:eastAsia="zh-CN"/>
                    </w:rPr>
                    <w:t>、2</w:t>
                  </w:r>
                  <w:r>
                    <w:rPr>
                      <w:rFonts w:hint="eastAsia" w:eastAsia="宋体" w:cs="Times New Roman"/>
                      <w:b w:val="0"/>
                      <w:bCs w:val="0"/>
                      <w:color w:val="auto"/>
                      <w:sz w:val="21"/>
                      <w:szCs w:val="21"/>
                      <w:lang w:val="en-US" w:eastAsia="zh-CN"/>
                    </w:rPr>
                    <w:t>#生产线</w:t>
                  </w:r>
                  <w:r>
                    <w:rPr>
                      <w:rFonts w:hint="eastAsia" w:cs="Times New Roman"/>
                      <w:b w:val="0"/>
                      <w:bCs w:val="0"/>
                      <w:color w:val="auto"/>
                      <w:sz w:val="21"/>
                      <w:szCs w:val="21"/>
                      <w:lang w:val="en-US" w:eastAsia="zh-CN"/>
                    </w:rPr>
                    <w:t>天然气燃烧废气</w:t>
                  </w:r>
                </w:p>
              </w:tc>
              <w:tc>
                <w:tcPr>
                  <w:tcW w:w="865" w:type="dxa"/>
                  <w:vAlign w:val="center"/>
                </w:tcPr>
                <w:p w14:paraId="5BAD52A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875" w:type="dxa"/>
                  <w:vAlign w:val="center"/>
                </w:tcPr>
                <w:p w14:paraId="6A58D4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862" w:type="dxa"/>
                  <w:vAlign w:val="center"/>
                </w:tcPr>
                <w:p w14:paraId="6A2058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10" w:type="dxa"/>
                  <w:vAlign w:val="center"/>
                </w:tcPr>
                <w:p w14:paraId="14C8D0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0.183 </w:t>
                  </w:r>
                </w:p>
              </w:tc>
              <w:tc>
                <w:tcPr>
                  <w:tcW w:w="632" w:type="dxa"/>
                  <w:vMerge w:val="restart"/>
                  <w:vAlign w:val="center"/>
                </w:tcPr>
                <w:p w14:paraId="6768288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Merge w:val="restart"/>
                  <w:vAlign w:val="center"/>
                </w:tcPr>
                <w:p w14:paraId="37EABDDC">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15m高排气筒排放</w:t>
                  </w:r>
                </w:p>
              </w:tc>
              <w:tc>
                <w:tcPr>
                  <w:tcW w:w="578" w:type="dxa"/>
                  <w:vMerge w:val="restart"/>
                  <w:vAlign w:val="center"/>
                </w:tcPr>
                <w:p w14:paraId="46D0A3E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Merge w:val="restart"/>
                  <w:vAlign w:val="center"/>
                </w:tcPr>
                <w:p w14:paraId="0130EF3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880" w:type="dxa"/>
                  <w:vMerge w:val="restart"/>
                  <w:vAlign w:val="center"/>
                </w:tcPr>
                <w:p w14:paraId="399284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Merge w:val="restart"/>
                  <w:vAlign w:val="center"/>
                </w:tcPr>
                <w:p w14:paraId="07EAC90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6500</w:t>
                  </w:r>
                </w:p>
              </w:tc>
              <w:tc>
                <w:tcPr>
                  <w:tcW w:w="713" w:type="dxa"/>
                  <w:vAlign w:val="center"/>
                </w:tcPr>
                <w:p w14:paraId="5E4CC6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767" w:type="dxa"/>
                  <w:vAlign w:val="center"/>
                </w:tcPr>
                <w:p w14:paraId="19368E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81" w:type="dxa"/>
                  <w:vAlign w:val="center"/>
                </w:tcPr>
                <w:p w14:paraId="59B046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0.174 </w:t>
                  </w:r>
                </w:p>
              </w:tc>
              <w:tc>
                <w:tcPr>
                  <w:tcW w:w="786" w:type="dxa"/>
                  <w:vMerge w:val="restart"/>
                  <w:vAlign w:val="center"/>
                </w:tcPr>
                <w:p w14:paraId="3602A41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DA006</w:t>
                  </w:r>
                </w:p>
              </w:tc>
            </w:tr>
            <w:tr w14:paraId="292B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5041797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rPr>
                  </w:pPr>
                </w:p>
              </w:tc>
              <w:tc>
                <w:tcPr>
                  <w:tcW w:w="1317" w:type="dxa"/>
                  <w:vMerge w:val="continue"/>
                  <w:vAlign w:val="center"/>
                </w:tcPr>
                <w:p w14:paraId="7603780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rPr>
                  </w:pPr>
                </w:p>
              </w:tc>
              <w:tc>
                <w:tcPr>
                  <w:tcW w:w="865" w:type="dxa"/>
                  <w:vAlign w:val="center"/>
                </w:tcPr>
                <w:p w14:paraId="6B7D5F5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spacing w:val="-3"/>
                      <w:sz w:val="21"/>
                      <w:szCs w:val="21"/>
                      <w:vertAlign w:val="baseline"/>
                      <w:lang w:val="en-US" w:eastAsia="zh-CN"/>
                    </w:rPr>
                    <w:t>SO</w:t>
                  </w:r>
                  <w:r>
                    <w:rPr>
                      <w:rFonts w:hint="default" w:ascii="Times New Roman" w:hAnsi="Times New Roman" w:cs="Times New Roman"/>
                      <w:spacing w:val="-3"/>
                      <w:sz w:val="21"/>
                      <w:szCs w:val="21"/>
                      <w:vertAlign w:val="subscript"/>
                      <w:lang w:val="en-US" w:eastAsia="zh-CN"/>
                    </w:rPr>
                    <w:t>2</w:t>
                  </w:r>
                </w:p>
              </w:tc>
              <w:tc>
                <w:tcPr>
                  <w:tcW w:w="875" w:type="dxa"/>
                  <w:vAlign w:val="center"/>
                </w:tcPr>
                <w:p w14:paraId="2B0C47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862" w:type="dxa"/>
                  <w:vAlign w:val="center"/>
                </w:tcPr>
                <w:p w14:paraId="2C9E8B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10" w:type="dxa"/>
                  <w:vAlign w:val="center"/>
                </w:tcPr>
                <w:p w14:paraId="1814CA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0.128 </w:t>
                  </w:r>
                </w:p>
              </w:tc>
              <w:tc>
                <w:tcPr>
                  <w:tcW w:w="632" w:type="dxa"/>
                  <w:vMerge w:val="continue"/>
                  <w:vAlign w:val="center"/>
                </w:tcPr>
                <w:p w14:paraId="6360025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615" w:type="dxa"/>
                  <w:vMerge w:val="continue"/>
                  <w:vAlign w:val="center"/>
                </w:tcPr>
                <w:p w14:paraId="42E0F64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578" w:type="dxa"/>
                  <w:vMerge w:val="continue"/>
                  <w:vAlign w:val="center"/>
                </w:tcPr>
                <w:p w14:paraId="77EA50E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605" w:type="dxa"/>
                  <w:vMerge w:val="continue"/>
                  <w:vAlign w:val="center"/>
                </w:tcPr>
                <w:p w14:paraId="78B2DFC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80" w:type="dxa"/>
                  <w:vMerge w:val="continue"/>
                  <w:vAlign w:val="center"/>
                </w:tcPr>
                <w:p w14:paraId="4F9D49D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67" w:type="dxa"/>
                  <w:vMerge w:val="continue"/>
                  <w:vAlign w:val="center"/>
                </w:tcPr>
                <w:p w14:paraId="1C31D22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13" w:type="dxa"/>
                  <w:vAlign w:val="center"/>
                </w:tcPr>
                <w:p w14:paraId="6B1CEA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767" w:type="dxa"/>
                  <w:vAlign w:val="center"/>
                </w:tcPr>
                <w:p w14:paraId="75C20F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81" w:type="dxa"/>
                  <w:vAlign w:val="center"/>
                </w:tcPr>
                <w:p w14:paraId="341337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0.122 </w:t>
                  </w:r>
                </w:p>
              </w:tc>
              <w:tc>
                <w:tcPr>
                  <w:tcW w:w="786" w:type="dxa"/>
                  <w:vMerge w:val="continue"/>
                  <w:vAlign w:val="center"/>
                </w:tcPr>
                <w:p w14:paraId="475BE9C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r>
            <w:tr w14:paraId="7B6E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526912C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317" w:type="dxa"/>
                  <w:vMerge w:val="continue"/>
                  <w:vAlign w:val="center"/>
                </w:tcPr>
                <w:p w14:paraId="11D6BD7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65" w:type="dxa"/>
                  <w:vAlign w:val="center"/>
                </w:tcPr>
                <w:p w14:paraId="6B76DD4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spacing w:val="-3"/>
                      <w:sz w:val="21"/>
                      <w:szCs w:val="21"/>
                      <w:vertAlign w:val="baseline"/>
                      <w:lang w:val="en-US" w:eastAsia="zh-CN"/>
                    </w:rPr>
                    <w:t>NO</w:t>
                  </w:r>
                  <w:r>
                    <w:rPr>
                      <w:rFonts w:hint="default" w:ascii="Times New Roman" w:hAnsi="Times New Roman" w:cs="Times New Roman"/>
                      <w:spacing w:val="-3"/>
                      <w:sz w:val="21"/>
                      <w:szCs w:val="21"/>
                      <w:vertAlign w:val="subscript"/>
                      <w:lang w:val="en-US" w:eastAsia="zh-CN"/>
                    </w:rPr>
                    <w:t>x</w:t>
                  </w:r>
                </w:p>
              </w:tc>
              <w:tc>
                <w:tcPr>
                  <w:tcW w:w="875" w:type="dxa"/>
                  <w:vAlign w:val="center"/>
                </w:tcPr>
                <w:p w14:paraId="57F723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0.068 </w:t>
                  </w:r>
                </w:p>
              </w:tc>
              <w:tc>
                <w:tcPr>
                  <w:tcW w:w="862" w:type="dxa"/>
                  <w:vAlign w:val="center"/>
                </w:tcPr>
                <w:p w14:paraId="1EE95B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810" w:type="dxa"/>
                  <w:vAlign w:val="center"/>
                </w:tcPr>
                <w:p w14:paraId="67834AD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1.199 </w:t>
                  </w:r>
                </w:p>
              </w:tc>
              <w:tc>
                <w:tcPr>
                  <w:tcW w:w="632" w:type="dxa"/>
                  <w:vMerge w:val="continue"/>
                  <w:vAlign w:val="center"/>
                </w:tcPr>
                <w:p w14:paraId="23A7991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615" w:type="dxa"/>
                  <w:vMerge w:val="continue"/>
                  <w:vAlign w:val="center"/>
                </w:tcPr>
                <w:p w14:paraId="1FE4755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578" w:type="dxa"/>
                  <w:vMerge w:val="continue"/>
                  <w:vAlign w:val="center"/>
                </w:tcPr>
                <w:p w14:paraId="1AB79C2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605" w:type="dxa"/>
                  <w:vMerge w:val="continue"/>
                  <w:vAlign w:val="center"/>
                </w:tcPr>
                <w:p w14:paraId="4FB627C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80" w:type="dxa"/>
                  <w:vMerge w:val="continue"/>
                  <w:vAlign w:val="center"/>
                </w:tcPr>
                <w:p w14:paraId="0F28F32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67" w:type="dxa"/>
                  <w:vMerge w:val="continue"/>
                  <w:vAlign w:val="center"/>
                </w:tcPr>
                <w:p w14:paraId="3EAA461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13" w:type="dxa"/>
                  <w:vAlign w:val="center"/>
                </w:tcPr>
                <w:p w14:paraId="261181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0.065 </w:t>
                  </w:r>
                </w:p>
              </w:tc>
              <w:tc>
                <w:tcPr>
                  <w:tcW w:w="767" w:type="dxa"/>
                  <w:vAlign w:val="center"/>
                </w:tcPr>
                <w:p w14:paraId="3151F6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781" w:type="dxa"/>
                  <w:vAlign w:val="center"/>
                </w:tcPr>
                <w:p w14:paraId="26FBC7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1.139 </w:t>
                  </w:r>
                </w:p>
              </w:tc>
              <w:tc>
                <w:tcPr>
                  <w:tcW w:w="786" w:type="dxa"/>
                  <w:vMerge w:val="continue"/>
                  <w:vAlign w:val="center"/>
                </w:tcPr>
                <w:p w14:paraId="27330C2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r>
            <w:tr w14:paraId="7ECC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restart"/>
                  <w:vAlign w:val="center"/>
                </w:tcPr>
                <w:p w14:paraId="4B14B93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1#车间</w:t>
                  </w:r>
                </w:p>
              </w:tc>
              <w:tc>
                <w:tcPr>
                  <w:tcW w:w="1317" w:type="dxa"/>
                  <w:vAlign w:val="center"/>
                </w:tcPr>
                <w:p w14:paraId="03BE04E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pacing w:val="-3"/>
                      <w:sz w:val="21"/>
                      <w:szCs w:val="21"/>
                      <w:vertAlign w:val="baseline"/>
                      <w:lang w:val="en-US" w:eastAsia="zh-CN"/>
                    </w:rPr>
                  </w:pPr>
                  <w:r>
                    <w:rPr>
                      <w:rFonts w:hint="eastAsia" w:eastAsia="宋体" w:cs="Times New Roman"/>
                      <w:b w:val="0"/>
                      <w:bCs w:val="0"/>
                      <w:color w:val="auto"/>
                      <w:sz w:val="21"/>
                      <w:szCs w:val="21"/>
                      <w:lang w:val="en-US" w:eastAsia="zh-CN"/>
                    </w:rPr>
                    <w:t>3#生产线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865" w:type="dxa"/>
                  <w:vAlign w:val="center"/>
                </w:tcPr>
                <w:p w14:paraId="37C505B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Cs/>
                      <w:color w:val="000000"/>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875" w:type="dxa"/>
                  <w:vAlign w:val="center"/>
                </w:tcPr>
                <w:p w14:paraId="1C518B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1.050 </w:t>
                  </w:r>
                </w:p>
              </w:tc>
              <w:tc>
                <w:tcPr>
                  <w:tcW w:w="862" w:type="dxa"/>
                  <w:vAlign w:val="center"/>
                </w:tcPr>
                <w:p w14:paraId="1A5785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0.125 </w:t>
                  </w:r>
                </w:p>
              </w:tc>
              <w:tc>
                <w:tcPr>
                  <w:tcW w:w="810" w:type="dxa"/>
                  <w:vAlign w:val="center"/>
                </w:tcPr>
                <w:p w14:paraId="7029C8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20.833 </w:t>
                  </w:r>
                </w:p>
              </w:tc>
              <w:tc>
                <w:tcPr>
                  <w:tcW w:w="632" w:type="dxa"/>
                  <w:vAlign w:val="center"/>
                </w:tcPr>
                <w:p w14:paraId="2330368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Align w:val="center"/>
                </w:tcPr>
                <w:p w14:paraId="4104BCD4">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3#布袋除尘器+15m高排气筒排放</w:t>
                  </w:r>
                </w:p>
              </w:tc>
              <w:tc>
                <w:tcPr>
                  <w:tcW w:w="578" w:type="dxa"/>
                  <w:vAlign w:val="center"/>
                </w:tcPr>
                <w:p w14:paraId="7640EE3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Align w:val="center"/>
                </w:tcPr>
                <w:p w14:paraId="1D556E2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99%</w:t>
                  </w:r>
                </w:p>
              </w:tc>
              <w:tc>
                <w:tcPr>
                  <w:tcW w:w="880" w:type="dxa"/>
                  <w:vAlign w:val="center"/>
                </w:tcPr>
                <w:p w14:paraId="763BB98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Align w:val="center"/>
                </w:tcPr>
                <w:p w14:paraId="555B649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713" w:type="dxa"/>
                  <w:vAlign w:val="center"/>
                </w:tcPr>
                <w:p w14:paraId="12BFA3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767" w:type="dxa"/>
                  <w:vAlign w:val="center"/>
                </w:tcPr>
                <w:p w14:paraId="4BBDBF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81" w:type="dxa"/>
                  <w:vAlign w:val="center"/>
                </w:tcPr>
                <w:p w14:paraId="4F2D56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0.198 </w:t>
                  </w:r>
                </w:p>
              </w:tc>
              <w:tc>
                <w:tcPr>
                  <w:tcW w:w="786" w:type="dxa"/>
                  <w:vAlign w:val="center"/>
                </w:tcPr>
                <w:p w14:paraId="2BD37ED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DA003</w:t>
                  </w:r>
                </w:p>
              </w:tc>
            </w:tr>
            <w:tr w14:paraId="021BA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25336B9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317" w:type="dxa"/>
                  <w:vAlign w:val="center"/>
                </w:tcPr>
                <w:p w14:paraId="10B6EEE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pacing w:val="-3"/>
                      <w:sz w:val="21"/>
                      <w:szCs w:val="21"/>
                      <w:vertAlign w:val="baseline"/>
                      <w:lang w:val="en-US" w:eastAsia="zh-CN"/>
                    </w:rPr>
                  </w:pPr>
                  <w:r>
                    <w:rPr>
                      <w:rFonts w:hint="eastAsia" w:eastAsia="宋体" w:cs="Times New Roman"/>
                      <w:b w:val="0"/>
                      <w:bCs w:val="0"/>
                      <w:color w:val="auto"/>
                      <w:sz w:val="21"/>
                      <w:szCs w:val="21"/>
                      <w:lang w:val="en-US" w:eastAsia="zh-CN"/>
                    </w:rPr>
                    <w:t>4#生产线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865" w:type="dxa"/>
                  <w:vAlign w:val="center"/>
                </w:tcPr>
                <w:p w14:paraId="6E3D704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Cs/>
                      <w:color w:val="000000"/>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875" w:type="dxa"/>
                  <w:vAlign w:val="center"/>
                </w:tcPr>
                <w:p w14:paraId="77072D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2.730 </w:t>
                  </w:r>
                </w:p>
              </w:tc>
              <w:tc>
                <w:tcPr>
                  <w:tcW w:w="862" w:type="dxa"/>
                  <w:vAlign w:val="center"/>
                </w:tcPr>
                <w:p w14:paraId="61B019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0.325 </w:t>
                  </w:r>
                </w:p>
              </w:tc>
              <w:tc>
                <w:tcPr>
                  <w:tcW w:w="810" w:type="dxa"/>
                  <w:vAlign w:val="center"/>
                </w:tcPr>
                <w:p w14:paraId="2CF8BC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spacing w:val="-3"/>
                      <w:sz w:val="21"/>
                      <w:szCs w:val="21"/>
                      <w:vertAlign w:val="baseli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54.167 </w:t>
                  </w:r>
                </w:p>
              </w:tc>
              <w:tc>
                <w:tcPr>
                  <w:tcW w:w="632" w:type="dxa"/>
                  <w:vAlign w:val="center"/>
                </w:tcPr>
                <w:p w14:paraId="4D7F1A2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Align w:val="center"/>
                </w:tcPr>
                <w:p w14:paraId="4D24D79A">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4#布袋除尘器+15m高排气筒排放</w:t>
                  </w:r>
                </w:p>
              </w:tc>
              <w:tc>
                <w:tcPr>
                  <w:tcW w:w="578" w:type="dxa"/>
                  <w:vAlign w:val="center"/>
                </w:tcPr>
                <w:p w14:paraId="5551BD9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Align w:val="center"/>
                </w:tcPr>
                <w:p w14:paraId="7C6FE45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99%</w:t>
                  </w:r>
                </w:p>
              </w:tc>
              <w:tc>
                <w:tcPr>
                  <w:tcW w:w="880" w:type="dxa"/>
                  <w:vAlign w:val="center"/>
                </w:tcPr>
                <w:p w14:paraId="545B242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Align w:val="center"/>
                </w:tcPr>
                <w:p w14:paraId="54FFBCF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713" w:type="dxa"/>
                  <w:vAlign w:val="center"/>
                </w:tcPr>
                <w:p w14:paraId="3D37B8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0.026 </w:t>
                  </w:r>
                </w:p>
              </w:tc>
              <w:tc>
                <w:tcPr>
                  <w:tcW w:w="767" w:type="dxa"/>
                  <w:vAlign w:val="center"/>
                </w:tcPr>
                <w:p w14:paraId="3AC91B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781" w:type="dxa"/>
                  <w:vAlign w:val="center"/>
                </w:tcPr>
                <w:p w14:paraId="474BA5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0.515 </w:t>
                  </w:r>
                </w:p>
              </w:tc>
              <w:tc>
                <w:tcPr>
                  <w:tcW w:w="786" w:type="dxa"/>
                  <w:vAlign w:val="center"/>
                </w:tcPr>
                <w:p w14:paraId="5B54988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DA004</w:t>
                  </w:r>
                </w:p>
              </w:tc>
            </w:tr>
            <w:tr w14:paraId="79C9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50A8B41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c>
                <w:tcPr>
                  <w:tcW w:w="1317" w:type="dxa"/>
                  <w:vMerge w:val="restart"/>
                  <w:vAlign w:val="center"/>
                </w:tcPr>
                <w:p w14:paraId="776FB94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w:t>
                  </w:r>
                  <w:r>
                    <w:rPr>
                      <w:rFonts w:hint="eastAsia" w:eastAsia="宋体" w:cs="Times New Roman"/>
                      <w:b w:val="0"/>
                      <w:bCs w:val="0"/>
                      <w:color w:val="auto"/>
                      <w:sz w:val="21"/>
                      <w:szCs w:val="21"/>
                      <w:lang w:val="en-US" w:eastAsia="zh-CN"/>
                    </w:rPr>
                    <w:t>#生产线</w:t>
                  </w:r>
                  <w:r>
                    <w:rPr>
                      <w:rFonts w:hint="eastAsia" w:cs="Times New Roman"/>
                      <w:b w:val="0"/>
                      <w:bCs w:val="0"/>
                      <w:color w:val="auto"/>
                      <w:sz w:val="21"/>
                      <w:szCs w:val="21"/>
                      <w:lang w:val="en-US" w:eastAsia="zh-CN"/>
                    </w:rPr>
                    <w:t>、4</w:t>
                  </w:r>
                  <w:r>
                    <w:rPr>
                      <w:rFonts w:hint="eastAsia" w:eastAsia="宋体" w:cs="Times New Roman"/>
                      <w:b w:val="0"/>
                      <w:bCs w:val="0"/>
                      <w:color w:val="auto"/>
                      <w:sz w:val="21"/>
                      <w:szCs w:val="21"/>
                      <w:lang w:val="en-US" w:eastAsia="zh-CN"/>
                    </w:rPr>
                    <w:t>#生产线</w:t>
                  </w:r>
                  <w:r>
                    <w:rPr>
                      <w:rFonts w:hint="eastAsia" w:cs="Times New Roman"/>
                      <w:b w:val="0"/>
                      <w:bCs w:val="0"/>
                      <w:color w:val="auto"/>
                      <w:sz w:val="21"/>
                      <w:szCs w:val="21"/>
                      <w:lang w:val="en-US" w:eastAsia="zh-CN"/>
                    </w:rPr>
                    <w:t>天然气燃烧废气</w:t>
                  </w:r>
                </w:p>
              </w:tc>
              <w:tc>
                <w:tcPr>
                  <w:tcW w:w="865" w:type="dxa"/>
                  <w:vAlign w:val="center"/>
                </w:tcPr>
                <w:p w14:paraId="187413F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875" w:type="dxa"/>
                  <w:vAlign w:val="center"/>
                </w:tcPr>
                <w:p w14:paraId="4B3E45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862" w:type="dxa"/>
                  <w:vAlign w:val="center"/>
                </w:tcPr>
                <w:p w14:paraId="6DBEB1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10" w:type="dxa"/>
                  <w:vAlign w:val="center"/>
                </w:tcPr>
                <w:p w14:paraId="50ECC1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0.199 </w:t>
                  </w:r>
                </w:p>
              </w:tc>
              <w:tc>
                <w:tcPr>
                  <w:tcW w:w="632" w:type="dxa"/>
                  <w:vMerge w:val="restart"/>
                  <w:vAlign w:val="center"/>
                </w:tcPr>
                <w:p w14:paraId="6CD2701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Merge w:val="restart"/>
                  <w:vAlign w:val="center"/>
                </w:tcPr>
                <w:p w14:paraId="2A682FCF">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15m高排气筒排放</w:t>
                  </w:r>
                </w:p>
              </w:tc>
              <w:tc>
                <w:tcPr>
                  <w:tcW w:w="578" w:type="dxa"/>
                  <w:vMerge w:val="restart"/>
                  <w:vAlign w:val="center"/>
                </w:tcPr>
                <w:p w14:paraId="5BB056A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Merge w:val="restart"/>
                  <w:vAlign w:val="center"/>
                </w:tcPr>
                <w:p w14:paraId="33D578A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880" w:type="dxa"/>
                  <w:vMerge w:val="restart"/>
                  <w:vAlign w:val="center"/>
                </w:tcPr>
                <w:p w14:paraId="095FA4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Merge w:val="restart"/>
                  <w:vAlign w:val="center"/>
                </w:tcPr>
                <w:p w14:paraId="48A13D7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6000</w:t>
                  </w:r>
                </w:p>
              </w:tc>
              <w:tc>
                <w:tcPr>
                  <w:tcW w:w="713" w:type="dxa"/>
                  <w:vAlign w:val="center"/>
                </w:tcPr>
                <w:p w14:paraId="6035F6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767" w:type="dxa"/>
                  <w:vAlign w:val="center"/>
                </w:tcPr>
                <w:p w14:paraId="4EA1AD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81" w:type="dxa"/>
                  <w:vAlign w:val="center"/>
                </w:tcPr>
                <w:p w14:paraId="194FB5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0.189 </w:t>
                  </w:r>
                </w:p>
              </w:tc>
              <w:tc>
                <w:tcPr>
                  <w:tcW w:w="786" w:type="dxa"/>
                  <w:vMerge w:val="restart"/>
                  <w:vAlign w:val="center"/>
                </w:tcPr>
                <w:p w14:paraId="2808467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DA007</w:t>
                  </w:r>
                </w:p>
              </w:tc>
            </w:tr>
            <w:tr w14:paraId="30D9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249316D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rPr>
                  </w:pPr>
                </w:p>
              </w:tc>
              <w:tc>
                <w:tcPr>
                  <w:tcW w:w="1317" w:type="dxa"/>
                  <w:vMerge w:val="continue"/>
                  <w:vAlign w:val="center"/>
                </w:tcPr>
                <w:p w14:paraId="3D68EE1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rPr>
                  </w:pPr>
                </w:p>
              </w:tc>
              <w:tc>
                <w:tcPr>
                  <w:tcW w:w="865" w:type="dxa"/>
                  <w:vAlign w:val="center"/>
                </w:tcPr>
                <w:p w14:paraId="13AC56F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spacing w:val="-3"/>
                      <w:sz w:val="21"/>
                      <w:szCs w:val="21"/>
                      <w:vertAlign w:val="baseline"/>
                      <w:lang w:val="en-US" w:eastAsia="zh-CN"/>
                    </w:rPr>
                    <w:t>SO</w:t>
                  </w:r>
                  <w:r>
                    <w:rPr>
                      <w:rFonts w:hint="default" w:ascii="Times New Roman" w:hAnsi="Times New Roman" w:cs="Times New Roman"/>
                      <w:spacing w:val="-3"/>
                      <w:sz w:val="21"/>
                      <w:szCs w:val="21"/>
                      <w:vertAlign w:val="subscript"/>
                      <w:lang w:val="en-US" w:eastAsia="zh-CN"/>
                    </w:rPr>
                    <w:t>2</w:t>
                  </w:r>
                </w:p>
              </w:tc>
              <w:tc>
                <w:tcPr>
                  <w:tcW w:w="875" w:type="dxa"/>
                  <w:vAlign w:val="center"/>
                </w:tcPr>
                <w:p w14:paraId="654B532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862" w:type="dxa"/>
                  <w:vAlign w:val="center"/>
                </w:tcPr>
                <w:p w14:paraId="6E30C8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10" w:type="dxa"/>
                  <w:vAlign w:val="center"/>
                </w:tcPr>
                <w:p w14:paraId="6D075D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0.139 </w:t>
                  </w:r>
                </w:p>
              </w:tc>
              <w:tc>
                <w:tcPr>
                  <w:tcW w:w="632" w:type="dxa"/>
                  <w:vMerge w:val="continue"/>
                  <w:vAlign w:val="center"/>
                </w:tcPr>
                <w:p w14:paraId="4AD9C88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615" w:type="dxa"/>
                  <w:vMerge w:val="continue"/>
                  <w:vAlign w:val="center"/>
                </w:tcPr>
                <w:p w14:paraId="199E05C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578" w:type="dxa"/>
                  <w:vMerge w:val="continue"/>
                  <w:vAlign w:val="center"/>
                </w:tcPr>
                <w:p w14:paraId="70D81DC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605" w:type="dxa"/>
                  <w:vMerge w:val="continue"/>
                  <w:vAlign w:val="center"/>
                </w:tcPr>
                <w:p w14:paraId="26FBA8A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80" w:type="dxa"/>
                  <w:vMerge w:val="continue"/>
                  <w:vAlign w:val="center"/>
                </w:tcPr>
                <w:p w14:paraId="3B633E9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67" w:type="dxa"/>
                  <w:vMerge w:val="continue"/>
                  <w:vAlign w:val="center"/>
                </w:tcPr>
                <w:p w14:paraId="5194D2D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13" w:type="dxa"/>
                  <w:vAlign w:val="center"/>
                </w:tcPr>
                <w:p w14:paraId="591633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767" w:type="dxa"/>
                  <w:vAlign w:val="center"/>
                </w:tcPr>
                <w:p w14:paraId="2C3599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81" w:type="dxa"/>
                  <w:vAlign w:val="center"/>
                </w:tcPr>
                <w:p w14:paraId="14417C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0.132 </w:t>
                  </w:r>
                </w:p>
              </w:tc>
              <w:tc>
                <w:tcPr>
                  <w:tcW w:w="786" w:type="dxa"/>
                  <w:vMerge w:val="continue"/>
                  <w:vAlign w:val="center"/>
                </w:tcPr>
                <w:p w14:paraId="5F1BCDE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r>
            <w:tr w14:paraId="12C6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267F5EB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317" w:type="dxa"/>
                  <w:vMerge w:val="continue"/>
                  <w:vAlign w:val="center"/>
                </w:tcPr>
                <w:p w14:paraId="24617B3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65" w:type="dxa"/>
                  <w:vAlign w:val="center"/>
                </w:tcPr>
                <w:p w14:paraId="72F511E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spacing w:val="-3"/>
                      <w:sz w:val="21"/>
                      <w:szCs w:val="21"/>
                      <w:vertAlign w:val="baseline"/>
                      <w:lang w:val="en-US" w:eastAsia="zh-CN"/>
                    </w:rPr>
                    <w:t>NO</w:t>
                  </w:r>
                  <w:r>
                    <w:rPr>
                      <w:rFonts w:hint="default" w:ascii="Times New Roman" w:hAnsi="Times New Roman" w:cs="Times New Roman"/>
                      <w:spacing w:val="-3"/>
                      <w:sz w:val="21"/>
                      <w:szCs w:val="21"/>
                      <w:vertAlign w:val="subscript"/>
                      <w:lang w:val="en-US" w:eastAsia="zh-CN"/>
                    </w:rPr>
                    <w:t>x</w:t>
                  </w:r>
                </w:p>
              </w:tc>
              <w:tc>
                <w:tcPr>
                  <w:tcW w:w="875" w:type="dxa"/>
                  <w:vAlign w:val="center"/>
                </w:tcPr>
                <w:p w14:paraId="4FE9A8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0.066 </w:t>
                  </w:r>
                </w:p>
              </w:tc>
              <w:tc>
                <w:tcPr>
                  <w:tcW w:w="862" w:type="dxa"/>
                  <w:vAlign w:val="center"/>
                </w:tcPr>
                <w:p w14:paraId="75B28F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810" w:type="dxa"/>
                  <w:vAlign w:val="center"/>
                </w:tcPr>
                <w:p w14:paraId="286821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1.318 </w:t>
                  </w:r>
                </w:p>
              </w:tc>
              <w:tc>
                <w:tcPr>
                  <w:tcW w:w="632" w:type="dxa"/>
                  <w:vMerge w:val="continue"/>
                  <w:vAlign w:val="center"/>
                </w:tcPr>
                <w:p w14:paraId="0CD86FD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615" w:type="dxa"/>
                  <w:vMerge w:val="continue"/>
                  <w:vAlign w:val="center"/>
                </w:tcPr>
                <w:p w14:paraId="24C19A0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578" w:type="dxa"/>
                  <w:vMerge w:val="continue"/>
                  <w:vAlign w:val="center"/>
                </w:tcPr>
                <w:p w14:paraId="3AFCA26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605" w:type="dxa"/>
                  <w:vMerge w:val="continue"/>
                  <w:vAlign w:val="center"/>
                </w:tcPr>
                <w:p w14:paraId="374305C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80" w:type="dxa"/>
                  <w:vMerge w:val="continue"/>
                  <w:vAlign w:val="center"/>
                </w:tcPr>
                <w:p w14:paraId="61B8D67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67" w:type="dxa"/>
                  <w:vMerge w:val="continue"/>
                  <w:vAlign w:val="center"/>
                </w:tcPr>
                <w:p w14:paraId="5862A2E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13" w:type="dxa"/>
                  <w:vAlign w:val="center"/>
                </w:tcPr>
                <w:p w14:paraId="374C91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0.063 </w:t>
                  </w:r>
                </w:p>
              </w:tc>
              <w:tc>
                <w:tcPr>
                  <w:tcW w:w="767" w:type="dxa"/>
                  <w:vAlign w:val="center"/>
                </w:tcPr>
                <w:p w14:paraId="6FE01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781" w:type="dxa"/>
                  <w:vAlign w:val="center"/>
                </w:tcPr>
                <w:p w14:paraId="54115B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1.253 </w:t>
                  </w:r>
                </w:p>
              </w:tc>
              <w:tc>
                <w:tcPr>
                  <w:tcW w:w="786" w:type="dxa"/>
                  <w:vMerge w:val="continue"/>
                  <w:vAlign w:val="center"/>
                </w:tcPr>
                <w:p w14:paraId="74F2E8C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r>
            <w:tr w14:paraId="3F56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restart"/>
                  <w:vAlign w:val="center"/>
                </w:tcPr>
                <w:p w14:paraId="4CFF3F6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3#车间</w:t>
                  </w:r>
                </w:p>
              </w:tc>
              <w:tc>
                <w:tcPr>
                  <w:tcW w:w="1317" w:type="dxa"/>
                  <w:vAlign w:val="center"/>
                </w:tcPr>
                <w:p w14:paraId="2464065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5#生产线</w:t>
                  </w:r>
                  <w:r>
                    <w:rPr>
                      <w:rFonts w:hint="eastAsia" w:cs="Times New Roman"/>
                      <w:b w:val="0"/>
                      <w:bCs w:val="0"/>
                      <w:color w:val="auto"/>
                      <w:sz w:val="21"/>
                      <w:szCs w:val="21"/>
                      <w:lang w:val="en-US" w:eastAsia="zh-CN"/>
                    </w:rPr>
                    <w:t>布料</w:t>
                  </w:r>
                  <w:r>
                    <w:rPr>
                      <w:rFonts w:hint="eastAsia" w:eastAsia="宋体" w:cs="Times New Roman"/>
                      <w:b w:val="0"/>
                      <w:bCs w:val="0"/>
                      <w:color w:val="auto"/>
                      <w:sz w:val="21"/>
                      <w:szCs w:val="21"/>
                      <w:lang w:val="en-US" w:eastAsia="zh-CN"/>
                    </w:rPr>
                    <w:t>、熔化废气</w:t>
                  </w:r>
                </w:p>
              </w:tc>
              <w:tc>
                <w:tcPr>
                  <w:tcW w:w="865" w:type="dxa"/>
                  <w:vAlign w:val="center"/>
                </w:tcPr>
                <w:p w14:paraId="7E91BA9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颗粒物</w:t>
                  </w:r>
                </w:p>
              </w:tc>
              <w:tc>
                <w:tcPr>
                  <w:tcW w:w="875" w:type="dxa"/>
                  <w:shd w:val="clear" w:color="auto" w:fill="auto"/>
                  <w:vAlign w:val="center"/>
                </w:tcPr>
                <w:p w14:paraId="440C1E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0.162 </w:t>
                  </w:r>
                </w:p>
              </w:tc>
              <w:tc>
                <w:tcPr>
                  <w:tcW w:w="862" w:type="dxa"/>
                  <w:vAlign w:val="center"/>
                </w:tcPr>
                <w:p w14:paraId="6B4194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c>
                <w:tcPr>
                  <w:tcW w:w="810" w:type="dxa"/>
                  <w:vAlign w:val="center"/>
                </w:tcPr>
                <w:p w14:paraId="796713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3.750 </w:t>
                  </w:r>
                </w:p>
              </w:tc>
              <w:tc>
                <w:tcPr>
                  <w:tcW w:w="632" w:type="dxa"/>
                  <w:vAlign w:val="center"/>
                </w:tcPr>
                <w:p w14:paraId="395436D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Align w:val="center"/>
                </w:tcPr>
                <w:p w14:paraId="77F78E58">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5#布袋除尘器+15m高排气筒排放</w:t>
                  </w:r>
                </w:p>
              </w:tc>
              <w:tc>
                <w:tcPr>
                  <w:tcW w:w="578" w:type="dxa"/>
                  <w:vAlign w:val="center"/>
                </w:tcPr>
                <w:p w14:paraId="1D7B887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Align w:val="center"/>
                </w:tcPr>
                <w:p w14:paraId="1EAF890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99%</w:t>
                  </w:r>
                </w:p>
              </w:tc>
              <w:tc>
                <w:tcPr>
                  <w:tcW w:w="880" w:type="dxa"/>
                  <w:vAlign w:val="center"/>
                </w:tcPr>
                <w:p w14:paraId="5FF95A8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Align w:val="center"/>
                </w:tcPr>
                <w:p w14:paraId="5C0D095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6000</w:t>
                  </w:r>
                </w:p>
              </w:tc>
              <w:tc>
                <w:tcPr>
                  <w:tcW w:w="713" w:type="dxa"/>
                  <w:vAlign w:val="center"/>
                </w:tcPr>
                <w:p w14:paraId="6273B7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0.002 </w:t>
                  </w:r>
                </w:p>
              </w:tc>
              <w:tc>
                <w:tcPr>
                  <w:tcW w:w="767" w:type="dxa"/>
                  <w:vAlign w:val="center"/>
                </w:tcPr>
                <w:p w14:paraId="199330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c>
                <w:tcPr>
                  <w:tcW w:w="781" w:type="dxa"/>
                  <w:vAlign w:val="center"/>
                </w:tcPr>
                <w:p w14:paraId="15E4FB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0.036 </w:t>
                  </w:r>
                </w:p>
              </w:tc>
              <w:tc>
                <w:tcPr>
                  <w:tcW w:w="786" w:type="dxa"/>
                  <w:vAlign w:val="center"/>
                </w:tcPr>
                <w:p w14:paraId="379D145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DA005</w:t>
                  </w:r>
                </w:p>
              </w:tc>
            </w:tr>
            <w:tr w14:paraId="077E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6F9F771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p>
              </w:tc>
              <w:tc>
                <w:tcPr>
                  <w:tcW w:w="1317" w:type="dxa"/>
                  <w:vMerge w:val="restart"/>
                  <w:vAlign w:val="center"/>
                </w:tcPr>
                <w:p w14:paraId="0038DCE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eastAsia="宋体" w:cs="Times New Roman"/>
                      <w:b w:val="0"/>
                      <w:bCs w:val="0"/>
                      <w:color w:val="auto"/>
                      <w:sz w:val="21"/>
                      <w:szCs w:val="21"/>
                      <w:lang w:val="en-US" w:eastAsia="zh-CN"/>
                    </w:rPr>
                    <w:t>5#生产线</w:t>
                  </w:r>
                  <w:r>
                    <w:rPr>
                      <w:rFonts w:hint="eastAsia" w:cs="Times New Roman"/>
                      <w:b w:val="0"/>
                      <w:bCs w:val="0"/>
                      <w:color w:val="auto"/>
                      <w:sz w:val="21"/>
                      <w:szCs w:val="21"/>
                      <w:lang w:val="en-US" w:eastAsia="zh-CN"/>
                    </w:rPr>
                    <w:t>天然气燃烧废气</w:t>
                  </w:r>
                </w:p>
              </w:tc>
              <w:tc>
                <w:tcPr>
                  <w:tcW w:w="865" w:type="dxa"/>
                  <w:vAlign w:val="center"/>
                </w:tcPr>
                <w:p w14:paraId="1B43674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颗粒物</w:t>
                  </w:r>
                </w:p>
              </w:tc>
              <w:tc>
                <w:tcPr>
                  <w:tcW w:w="875" w:type="dxa"/>
                  <w:vAlign w:val="center"/>
                </w:tcPr>
                <w:p w14:paraId="0F40CF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862" w:type="dxa"/>
                  <w:vAlign w:val="center"/>
                </w:tcPr>
                <w:p w14:paraId="5926C3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10" w:type="dxa"/>
                  <w:vAlign w:val="center"/>
                </w:tcPr>
                <w:p w14:paraId="65C7D5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0.199 </w:t>
                  </w:r>
                </w:p>
              </w:tc>
              <w:tc>
                <w:tcPr>
                  <w:tcW w:w="632" w:type="dxa"/>
                  <w:vMerge w:val="restart"/>
                  <w:vAlign w:val="center"/>
                </w:tcPr>
                <w:p w14:paraId="5DC2A0A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有组织</w:t>
                  </w:r>
                </w:p>
              </w:tc>
              <w:tc>
                <w:tcPr>
                  <w:tcW w:w="1615" w:type="dxa"/>
                  <w:vMerge w:val="restart"/>
                  <w:vAlign w:val="center"/>
                </w:tcPr>
                <w:p w14:paraId="3B7E112B">
                  <w:pPr>
                    <w:keepNext w:val="0"/>
                    <w:keepLines w:val="0"/>
                    <w:pageBreakBefore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15m高排气筒排放</w:t>
                  </w:r>
                </w:p>
              </w:tc>
              <w:tc>
                <w:tcPr>
                  <w:tcW w:w="578" w:type="dxa"/>
                  <w:vMerge w:val="restart"/>
                  <w:vAlign w:val="center"/>
                </w:tcPr>
                <w:p w14:paraId="63268AB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i w:val="0"/>
                      <w:color w:val="auto"/>
                      <w:kern w:val="0"/>
                      <w:sz w:val="21"/>
                      <w:szCs w:val="21"/>
                      <w:u w:val="none"/>
                      <w:lang w:val="en-US" w:eastAsia="zh-CN" w:bidi="ar"/>
                    </w:rPr>
                  </w:pPr>
                  <w:r>
                    <w:rPr>
                      <w:rFonts w:hint="default" w:ascii="Times New Roman" w:hAnsi="Times New Roman" w:cs="Times New Roman"/>
                      <w:i w:val="0"/>
                      <w:color w:val="auto"/>
                      <w:kern w:val="0"/>
                      <w:sz w:val="21"/>
                      <w:szCs w:val="21"/>
                      <w:u w:val="none"/>
                      <w:lang w:val="en-US" w:eastAsia="zh-CN" w:bidi="ar"/>
                    </w:rPr>
                    <w:t>95%</w:t>
                  </w:r>
                </w:p>
              </w:tc>
              <w:tc>
                <w:tcPr>
                  <w:tcW w:w="605" w:type="dxa"/>
                  <w:vMerge w:val="restart"/>
                  <w:vAlign w:val="center"/>
                </w:tcPr>
                <w:p w14:paraId="264DCA6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880" w:type="dxa"/>
                  <w:vMerge w:val="restart"/>
                  <w:vAlign w:val="center"/>
                </w:tcPr>
                <w:p w14:paraId="7A1B10E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可行</w:t>
                  </w:r>
                </w:p>
              </w:tc>
              <w:tc>
                <w:tcPr>
                  <w:tcW w:w="767" w:type="dxa"/>
                  <w:vMerge w:val="restart"/>
                  <w:vAlign w:val="center"/>
                </w:tcPr>
                <w:p w14:paraId="2B39F5D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3000</w:t>
                  </w:r>
                </w:p>
              </w:tc>
              <w:tc>
                <w:tcPr>
                  <w:tcW w:w="713" w:type="dxa"/>
                  <w:vAlign w:val="center"/>
                </w:tcPr>
                <w:p w14:paraId="4E801F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767" w:type="dxa"/>
                  <w:vAlign w:val="center"/>
                </w:tcPr>
                <w:p w14:paraId="3E4282E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81" w:type="dxa"/>
                  <w:vAlign w:val="center"/>
                </w:tcPr>
                <w:p w14:paraId="0BC653B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0.189 </w:t>
                  </w:r>
                </w:p>
              </w:tc>
              <w:tc>
                <w:tcPr>
                  <w:tcW w:w="786" w:type="dxa"/>
                  <w:vMerge w:val="restart"/>
                  <w:vAlign w:val="center"/>
                </w:tcPr>
                <w:p w14:paraId="4DE7022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DA008</w:t>
                  </w:r>
                </w:p>
              </w:tc>
            </w:tr>
            <w:tr w14:paraId="15C2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28F3EFB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rPr>
                  </w:pPr>
                </w:p>
              </w:tc>
              <w:tc>
                <w:tcPr>
                  <w:tcW w:w="1317" w:type="dxa"/>
                  <w:vMerge w:val="continue"/>
                  <w:vAlign w:val="center"/>
                </w:tcPr>
                <w:p w14:paraId="122DE98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rPr>
                  </w:pPr>
                </w:p>
              </w:tc>
              <w:tc>
                <w:tcPr>
                  <w:tcW w:w="865" w:type="dxa"/>
                  <w:vAlign w:val="center"/>
                </w:tcPr>
                <w:p w14:paraId="121DE47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spacing w:val="-3"/>
                      <w:sz w:val="21"/>
                      <w:szCs w:val="21"/>
                      <w:vertAlign w:val="baseline"/>
                      <w:lang w:val="en-US" w:eastAsia="zh-CN"/>
                    </w:rPr>
                    <w:t>SO</w:t>
                  </w:r>
                  <w:r>
                    <w:rPr>
                      <w:rFonts w:hint="default" w:ascii="Times New Roman" w:hAnsi="Times New Roman" w:cs="Times New Roman"/>
                      <w:spacing w:val="-3"/>
                      <w:sz w:val="21"/>
                      <w:szCs w:val="21"/>
                      <w:vertAlign w:val="subscript"/>
                      <w:lang w:val="en-US" w:eastAsia="zh-CN"/>
                    </w:rPr>
                    <w:t>2</w:t>
                  </w:r>
                </w:p>
              </w:tc>
              <w:tc>
                <w:tcPr>
                  <w:tcW w:w="875" w:type="dxa"/>
                  <w:vAlign w:val="center"/>
                </w:tcPr>
                <w:p w14:paraId="4BC4B6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862" w:type="dxa"/>
                  <w:vAlign w:val="center"/>
                </w:tcPr>
                <w:p w14:paraId="0E5DF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 </w:t>
                  </w:r>
                </w:p>
              </w:tc>
              <w:tc>
                <w:tcPr>
                  <w:tcW w:w="810" w:type="dxa"/>
                  <w:vAlign w:val="center"/>
                </w:tcPr>
                <w:p w14:paraId="098F08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0.139 </w:t>
                  </w:r>
                </w:p>
              </w:tc>
              <w:tc>
                <w:tcPr>
                  <w:tcW w:w="632" w:type="dxa"/>
                  <w:vMerge w:val="continue"/>
                  <w:vAlign w:val="center"/>
                </w:tcPr>
                <w:p w14:paraId="56EDEBE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615" w:type="dxa"/>
                  <w:vMerge w:val="continue"/>
                  <w:vAlign w:val="center"/>
                </w:tcPr>
                <w:p w14:paraId="0A8776F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578" w:type="dxa"/>
                  <w:vMerge w:val="continue"/>
                  <w:vAlign w:val="center"/>
                </w:tcPr>
                <w:p w14:paraId="2318EE3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605" w:type="dxa"/>
                  <w:vMerge w:val="continue"/>
                  <w:vAlign w:val="center"/>
                </w:tcPr>
                <w:p w14:paraId="0503FE4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80" w:type="dxa"/>
                  <w:vMerge w:val="continue"/>
                  <w:vAlign w:val="center"/>
                </w:tcPr>
                <w:p w14:paraId="3A3E8B7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67" w:type="dxa"/>
                  <w:vMerge w:val="continue"/>
                  <w:vAlign w:val="center"/>
                </w:tcPr>
                <w:p w14:paraId="661AC3E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13" w:type="dxa"/>
                  <w:vAlign w:val="center"/>
                </w:tcPr>
                <w:p w14:paraId="5F56B6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767" w:type="dxa"/>
                  <w:vAlign w:val="center"/>
                </w:tcPr>
                <w:p w14:paraId="36A77A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781" w:type="dxa"/>
                  <w:vAlign w:val="center"/>
                </w:tcPr>
                <w:p w14:paraId="01825D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0.132 </w:t>
                  </w:r>
                </w:p>
              </w:tc>
              <w:tc>
                <w:tcPr>
                  <w:tcW w:w="786" w:type="dxa"/>
                  <w:vMerge w:val="continue"/>
                  <w:vAlign w:val="center"/>
                </w:tcPr>
                <w:p w14:paraId="79A6AE3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r>
            <w:tr w14:paraId="6E8A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7" w:type="dxa"/>
                  <w:vMerge w:val="continue"/>
                  <w:vAlign w:val="center"/>
                </w:tcPr>
                <w:p w14:paraId="6E72582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317" w:type="dxa"/>
                  <w:vMerge w:val="continue"/>
                  <w:vAlign w:val="center"/>
                </w:tcPr>
                <w:p w14:paraId="6A31AC1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65" w:type="dxa"/>
                  <w:vAlign w:val="center"/>
                </w:tcPr>
                <w:p w14:paraId="22D5D99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cs="Times New Roman"/>
                      <w:spacing w:val="-3"/>
                      <w:sz w:val="21"/>
                      <w:szCs w:val="21"/>
                      <w:vertAlign w:val="baseline"/>
                      <w:lang w:val="en-US" w:eastAsia="zh-CN"/>
                    </w:rPr>
                    <w:t>NO</w:t>
                  </w:r>
                  <w:r>
                    <w:rPr>
                      <w:rFonts w:hint="default" w:ascii="Times New Roman" w:hAnsi="Times New Roman" w:cs="Times New Roman"/>
                      <w:spacing w:val="-3"/>
                      <w:sz w:val="21"/>
                      <w:szCs w:val="21"/>
                      <w:vertAlign w:val="subscript"/>
                      <w:lang w:val="en-US" w:eastAsia="zh-CN"/>
                    </w:rPr>
                    <w:t>x</w:t>
                  </w:r>
                </w:p>
              </w:tc>
              <w:tc>
                <w:tcPr>
                  <w:tcW w:w="875" w:type="dxa"/>
                  <w:vAlign w:val="center"/>
                </w:tcPr>
                <w:p w14:paraId="6C3103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0.028 </w:t>
                  </w:r>
                </w:p>
              </w:tc>
              <w:tc>
                <w:tcPr>
                  <w:tcW w:w="862" w:type="dxa"/>
                  <w:vAlign w:val="center"/>
                </w:tcPr>
                <w:p w14:paraId="71A3D9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810" w:type="dxa"/>
                  <w:vAlign w:val="center"/>
                </w:tcPr>
                <w:p w14:paraId="44016C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1.299 </w:t>
                  </w:r>
                </w:p>
              </w:tc>
              <w:tc>
                <w:tcPr>
                  <w:tcW w:w="632" w:type="dxa"/>
                  <w:vMerge w:val="continue"/>
                  <w:vAlign w:val="center"/>
                </w:tcPr>
                <w:p w14:paraId="4E27906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1615" w:type="dxa"/>
                  <w:vMerge w:val="continue"/>
                  <w:vAlign w:val="center"/>
                </w:tcPr>
                <w:p w14:paraId="016F690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578" w:type="dxa"/>
                  <w:vMerge w:val="continue"/>
                  <w:vAlign w:val="center"/>
                </w:tcPr>
                <w:p w14:paraId="1791938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605" w:type="dxa"/>
                  <w:vMerge w:val="continue"/>
                  <w:vAlign w:val="center"/>
                </w:tcPr>
                <w:p w14:paraId="39FFBC6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880" w:type="dxa"/>
                  <w:vMerge w:val="continue"/>
                  <w:vAlign w:val="center"/>
                </w:tcPr>
                <w:p w14:paraId="4C9EAFD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67" w:type="dxa"/>
                  <w:vMerge w:val="continue"/>
                  <w:vAlign w:val="center"/>
                </w:tcPr>
                <w:p w14:paraId="238FC97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13" w:type="dxa"/>
                  <w:vAlign w:val="center"/>
                </w:tcPr>
                <w:p w14:paraId="599F9D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0.027 </w:t>
                  </w:r>
                </w:p>
              </w:tc>
              <w:tc>
                <w:tcPr>
                  <w:tcW w:w="767" w:type="dxa"/>
                  <w:vAlign w:val="center"/>
                </w:tcPr>
                <w:p w14:paraId="6D61D0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0.004 </w:t>
                  </w:r>
                </w:p>
              </w:tc>
              <w:tc>
                <w:tcPr>
                  <w:tcW w:w="781" w:type="dxa"/>
                  <w:vAlign w:val="center"/>
                </w:tcPr>
                <w:p w14:paraId="18335B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1.234 </w:t>
                  </w:r>
                </w:p>
              </w:tc>
              <w:tc>
                <w:tcPr>
                  <w:tcW w:w="786" w:type="dxa"/>
                  <w:vMerge w:val="continue"/>
                  <w:vAlign w:val="center"/>
                </w:tcPr>
                <w:p w14:paraId="3979EC1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r>
          </w:tbl>
          <w:p w14:paraId="412B07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表4-</w:t>
            </w:r>
            <w:r>
              <w:rPr>
                <w:rFonts w:hint="eastAsia" w:cs="Times New Roman"/>
                <w:b/>
                <w:bCs/>
                <w:sz w:val="24"/>
                <w:szCs w:val="24"/>
                <w:lang w:val="en-US" w:eastAsia="zh-CN"/>
              </w:rPr>
              <w:t>20</w:t>
            </w:r>
            <w:r>
              <w:rPr>
                <w:rFonts w:hint="eastAsia" w:ascii="Times New Roman" w:hAnsi="Times New Roman" w:eastAsia="宋体" w:cs="Times New Roman"/>
                <w:b/>
                <w:bCs/>
                <w:sz w:val="24"/>
                <w:szCs w:val="24"/>
                <w:lang w:val="en-US" w:eastAsia="zh-CN"/>
              </w:rPr>
              <w:t xml:space="preserve">  项目无组织废气产排情况表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45"/>
              <w:gridCol w:w="735"/>
              <w:gridCol w:w="645"/>
              <w:gridCol w:w="585"/>
              <w:gridCol w:w="570"/>
              <w:gridCol w:w="1380"/>
              <w:gridCol w:w="1229"/>
              <w:gridCol w:w="600"/>
              <w:gridCol w:w="855"/>
              <w:gridCol w:w="945"/>
              <w:gridCol w:w="1665"/>
              <w:gridCol w:w="750"/>
              <w:gridCol w:w="765"/>
              <w:gridCol w:w="750"/>
              <w:gridCol w:w="801"/>
            </w:tblGrid>
            <w:tr w14:paraId="5F8A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45E37C9B">
                  <w:pPr>
                    <w:pStyle w:val="40"/>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textAlignment w:val="auto"/>
                    <w:rPr>
                      <w:rFonts w:hint="default" w:ascii="Times New Roman" w:hAnsi="Times New Roman" w:cs="Times New Roman"/>
                      <w:b/>
                      <w:bCs/>
                      <w:sz w:val="21"/>
                      <w:szCs w:val="21"/>
                      <w:highlight w:val="none"/>
                      <w:lang w:val="en-US" w:eastAsia="zh-CN"/>
                    </w:rPr>
                  </w:pPr>
                  <w:r>
                    <w:rPr>
                      <w:rFonts w:hint="default" w:ascii="Times New Roman" w:hAnsi="Times New Roman" w:cs="Times New Roman"/>
                      <w:b/>
                      <w:bCs/>
                      <w:color w:val="auto"/>
                      <w:kern w:val="0"/>
                      <w:sz w:val="21"/>
                      <w:szCs w:val="21"/>
                      <w:lang w:val="en-US" w:eastAsia="zh-CN"/>
                    </w:rPr>
                    <w:t>类别</w:t>
                  </w:r>
                </w:p>
              </w:tc>
              <w:tc>
                <w:tcPr>
                  <w:tcW w:w="645" w:type="dxa"/>
                  <w:vMerge w:val="restart"/>
                  <w:vAlign w:val="center"/>
                </w:tcPr>
                <w:p w14:paraId="0E9BB26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highlight w:val="none"/>
                      <w:lang w:val="en-US" w:eastAsia="zh-CN"/>
                    </w:rPr>
                  </w:pPr>
                  <w:r>
                    <w:rPr>
                      <w:rFonts w:hint="default" w:ascii="Times New Roman" w:hAnsi="Times New Roman" w:cs="Times New Roman"/>
                      <w:b/>
                      <w:bCs/>
                      <w:sz w:val="21"/>
                      <w:szCs w:val="21"/>
                      <w:highlight w:val="none"/>
                      <w:lang w:val="en-US" w:eastAsia="zh-CN"/>
                    </w:rPr>
                    <w:t>排放高度（m）</w:t>
                  </w:r>
                </w:p>
              </w:tc>
              <w:tc>
                <w:tcPr>
                  <w:tcW w:w="735" w:type="dxa"/>
                  <w:vMerge w:val="restart"/>
                  <w:vAlign w:val="center"/>
                </w:tcPr>
                <w:p w14:paraId="78F571E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sz w:val="21"/>
                      <w:szCs w:val="21"/>
                      <w:highlight w:val="none"/>
                      <w:lang w:val="en-US" w:eastAsia="zh-CN"/>
                    </w:rPr>
                  </w:pPr>
                  <w:r>
                    <w:rPr>
                      <w:rFonts w:hint="default" w:ascii="Times New Roman" w:hAnsi="Times New Roman" w:cs="Times New Roman"/>
                      <w:b/>
                      <w:bCs/>
                      <w:sz w:val="21"/>
                      <w:szCs w:val="21"/>
                      <w:highlight w:val="none"/>
                      <w:lang w:val="en-US" w:eastAsia="zh-CN"/>
                    </w:rPr>
                    <w:t>面源面积（m</w:t>
                  </w:r>
                  <w:r>
                    <w:rPr>
                      <w:rFonts w:hint="default" w:ascii="Times New Roman" w:hAnsi="Times New Roman" w:cs="Times New Roman"/>
                      <w:b/>
                      <w:bCs/>
                      <w:sz w:val="21"/>
                      <w:szCs w:val="21"/>
                      <w:highlight w:val="none"/>
                      <w:vertAlign w:val="superscript"/>
                      <w:lang w:val="en-US" w:eastAsia="zh-CN"/>
                    </w:rPr>
                    <w:t>2</w:t>
                  </w:r>
                  <w:r>
                    <w:rPr>
                      <w:rFonts w:hint="default" w:ascii="Times New Roman" w:hAnsi="Times New Roman" w:cs="Times New Roman"/>
                      <w:b/>
                      <w:bCs/>
                      <w:sz w:val="21"/>
                      <w:szCs w:val="21"/>
                      <w:highlight w:val="none"/>
                      <w:lang w:val="en-US" w:eastAsia="zh-CN"/>
                    </w:rPr>
                    <w:t>）</w:t>
                  </w:r>
                </w:p>
              </w:tc>
              <w:tc>
                <w:tcPr>
                  <w:tcW w:w="1230" w:type="dxa"/>
                  <w:gridSpan w:val="2"/>
                  <w:vAlign w:val="center"/>
                </w:tcPr>
                <w:p w14:paraId="2FFB33D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污染物</w:t>
                  </w:r>
                </w:p>
              </w:tc>
              <w:tc>
                <w:tcPr>
                  <w:tcW w:w="570" w:type="dxa"/>
                  <w:vMerge w:val="restart"/>
                  <w:vAlign w:val="center"/>
                </w:tcPr>
                <w:p w14:paraId="2644381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sz w:val="21"/>
                      <w:szCs w:val="21"/>
                      <w:highlight w:val="none"/>
                      <w:lang w:val="en-US" w:eastAsia="zh-CN"/>
                    </w:rPr>
                  </w:pPr>
                  <w:r>
                    <w:rPr>
                      <w:rFonts w:hint="default" w:ascii="Times New Roman" w:hAnsi="Times New Roman" w:cs="Times New Roman"/>
                      <w:b/>
                      <w:bCs/>
                      <w:sz w:val="21"/>
                      <w:szCs w:val="21"/>
                      <w:highlight w:val="none"/>
                      <w:lang w:val="en-US" w:eastAsia="zh-CN"/>
                    </w:rPr>
                    <w:t>类别</w:t>
                  </w:r>
                </w:p>
              </w:tc>
              <w:tc>
                <w:tcPr>
                  <w:tcW w:w="1380" w:type="dxa"/>
                  <w:vMerge w:val="restart"/>
                  <w:vAlign w:val="center"/>
                </w:tcPr>
                <w:p w14:paraId="4A7A204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cs="Times New Roman"/>
                      <w:b/>
                      <w:bCs/>
                      <w:sz w:val="21"/>
                      <w:szCs w:val="21"/>
                      <w:highlight w:val="none"/>
                    </w:rPr>
                    <w:t>排放源</w:t>
                  </w:r>
                </w:p>
              </w:tc>
              <w:tc>
                <w:tcPr>
                  <w:tcW w:w="1229" w:type="dxa"/>
                  <w:vMerge w:val="restart"/>
                  <w:vAlign w:val="center"/>
                </w:tcPr>
                <w:p w14:paraId="431CB87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污染物</w:t>
                  </w:r>
                </w:p>
              </w:tc>
              <w:tc>
                <w:tcPr>
                  <w:tcW w:w="600" w:type="dxa"/>
                  <w:vMerge w:val="restart"/>
                  <w:vAlign w:val="center"/>
                </w:tcPr>
                <w:p w14:paraId="77C2BDA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工作时间（h）</w:t>
                  </w:r>
                </w:p>
              </w:tc>
              <w:tc>
                <w:tcPr>
                  <w:tcW w:w="855" w:type="dxa"/>
                  <w:vMerge w:val="restart"/>
                  <w:vAlign w:val="center"/>
                </w:tcPr>
                <w:p w14:paraId="7B92311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lang w:val="en-US" w:eastAsia="zh-CN"/>
                    </w:rPr>
                  </w:pPr>
                  <w:r>
                    <w:rPr>
                      <w:rFonts w:hint="default" w:ascii="Times New Roman" w:hAnsi="Times New Roman" w:eastAsia="宋体" w:cs="Times New Roman"/>
                      <w:b/>
                      <w:bCs/>
                      <w:i w:val="0"/>
                      <w:color w:val="000000"/>
                      <w:kern w:val="0"/>
                      <w:sz w:val="21"/>
                      <w:szCs w:val="21"/>
                      <w:highlight w:val="none"/>
                      <w:u w:val="none"/>
                      <w:lang w:val="en-US" w:eastAsia="zh-CN" w:bidi="ar"/>
                    </w:rPr>
                    <w:t>产生量（t/a）</w:t>
                  </w:r>
                </w:p>
              </w:tc>
              <w:tc>
                <w:tcPr>
                  <w:tcW w:w="945" w:type="dxa"/>
                  <w:vMerge w:val="restart"/>
                  <w:vAlign w:val="center"/>
                </w:tcPr>
                <w:p w14:paraId="5E4D58A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速率（kg/h）</w:t>
                  </w:r>
                </w:p>
              </w:tc>
              <w:tc>
                <w:tcPr>
                  <w:tcW w:w="1665" w:type="dxa"/>
                  <w:vMerge w:val="restart"/>
                  <w:vAlign w:val="center"/>
                </w:tcPr>
                <w:p w14:paraId="38CD68D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lang w:val="en-US" w:eastAsia="zh-CN"/>
                    </w:rPr>
                  </w:pPr>
                  <w:r>
                    <w:rPr>
                      <w:rFonts w:hint="default" w:ascii="Times New Roman" w:hAnsi="Times New Roman" w:eastAsia="宋体" w:cs="Times New Roman"/>
                      <w:b/>
                      <w:bCs/>
                      <w:i w:val="0"/>
                      <w:color w:val="000000"/>
                      <w:kern w:val="0"/>
                      <w:sz w:val="21"/>
                      <w:szCs w:val="21"/>
                      <w:highlight w:val="none"/>
                      <w:u w:val="none"/>
                      <w:lang w:val="en-US" w:eastAsia="zh-CN" w:bidi="ar"/>
                    </w:rPr>
                    <w:t>治理措施</w:t>
                  </w:r>
                </w:p>
              </w:tc>
              <w:tc>
                <w:tcPr>
                  <w:tcW w:w="750" w:type="dxa"/>
                  <w:vMerge w:val="restart"/>
                  <w:vAlign w:val="center"/>
                </w:tcPr>
                <w:p w14:paraId="193B97E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lang w:val="en-US" w:eastAsia="zh-CN"/>
                    </w:rPr>
                  </w:pPr>
                  <w:r>
                    <w:rPr>
                      <w:rFonts w:hint="default" w:ascii="Times New Roman" w:hAnsi="Times New Roman" w:eastAsia="宋体" w:cs="Times New Roman"/>
                      <w:b/>
                      <w:bCs/>
                      <w:i w:val="0"/>
                      <w:color w:val="000000"/>
                      <w:kern w:val="0"/>
                      <w:sz w:val="21"/>
                      <w:szCs w:val="21"/>
                      <w:highlight w:val="none"/>
                      <w:u w:val="none"/>
                      <w:lang w:val="en-US" w:eastAsia="zh-CN" w:bidi="ar"/>
                    </w:rPr>
                    <w:t>排放量（t/a）</w:t>
                  </w:r>
                </w:p>
              </w:tc>
              <w:tc>
                <w:tcPr>
                  <w:tcW w:w="765" w:type="dxa"/>
                  <w:vMerge w:val="restart"/>
                  <w:vAlign w:val="center"/>
                </w:tcPr>
                <w:p w14:paraId="4E15F45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速率（kg/h）</w:t>
                  </w:r>
                </w:p>
              </w:tc>
              <w:tc>
                <w:tcPr>
                  <w:tcW w:w="1551" w:type="dxa"/>
                  <w:gridSpan w:val="2"/>
                  <w:vAlign w:val="center"/>
                </w:tcPr>
                <w:p w14:paraId="0435B57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i w:val="0"/>
                      <w:color w:val="000000"/>
                      <w:kern w:val="0"/>
                      <w:sz w:val="21"/>
                      <w:szCs w:val="21"/>
                      <w:highlight w:val="none"/>
                      <w:u w:val="none"/>
                      <w:lang w:val="en-US" w:eastAsia="zh-CN" w:bidi="ar"/>
                    </w:rPr>
                  </w:pPr>
                  <w:r>
                    <w:rPr>
                      <w:rFonts w:hint="default" w:ascii="Times New Roman" w:hAnsi="Times New Roman" w:cs="Times New Roman"/>
                      <w:b/>
                      <w:bCs/>
                      <w:i w:val="0"/>
                      <w:color w:val="000000"/>
                      <w:kern w:val="0"/>
                      <w:sz w:val="21"/>
                      <w:szCs w:val="21"/>
                      <w:highlight w:val="none"/>
                      <w:u w:val="none"/>
                      <w:lang w:val="en-US" w:eastAsia="zh-CN" w:bidi="ar"/>
                    </w:rPr>
                    <w:t>排放标准</w:t>
                  </w:r>
                </w:p>
              </w:tc>
            </w:tr>
            <w:tr w14:paraId="41DF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7E3C253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645" w:type="dxa"/>
                  <w:vMerge w:val="continue"/>
                  <w:vAlign w:val="center"/>
                </w:tcPr>
                <w:p w14:paraId="14DCD4B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735" w:type="dxa"/>
                  <w:vMerge w:val="continue"/>
                  <w:vAlign w:val="center"/>
                </w:tcPr>
                <w:p w14:paraId="0EBA3A6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645" w:type="dxa"/>
                  <w:vAlign w:val="center"/>
                </w:tcPr>
                <w:p w14:paraId="3B7CA1D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lang w:val="en-US" w:eastAsia="zh-CN"/>
                    </w:rPr>
                    <w:t>经度</w:t>
                  </w:r>
                </w:p>
              </w:tc>
              <w:tc>
                <w:tcPr>
                  <w:tcW w:w="585" w:type="dxa"/>
                  <w:vAlign w:val="center"/>
                </w:tcPr>
                <w:p w14:paraId="1E0811A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r>
                    <w:rPr>
                      <w:rFonts w:hint="default" w:ascii="Times New Roman" w:hAnsi="Times New Roman" w:cs="Times New Roman"/>
                      <w:b/>
                      <w:bCs/>
                      <w:sz w:val="21"/>
                      <w:szCs w:val="21"/>
                      <w:highlight w:val="none"/>
                      <w:lang w:val="en-US" w:eastAsia="zh-CN"/>
                    </w:rPr>
                    <w:t>纬度</w:t>
                  </w:r>
                </w:p>
              </w:tc>
              <w:tc>
                <w:tcPr>
                  <w:tcW w:w="570" w:type="dxa"/>
                  <w:vMerge w:val="continue"/>
                  <w:vAlign w:val="center"/>
                </w:tcPr>
                <w:p w14:paraId="2A8BA2F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1380" w:type="dxa"/>
                  <w:vMerge w:val="continue"/>
                  <w:vAlign w:val="center"/>
                </w:tcPr>
                <w:p w14:paraId="3B1D8C3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1229" w:type="dxa"/>
                  <w:vMerge w:val="continue"/>
                  <w:vAlign w:val="center"/>
                </w:tcPr>
                <w:p w14:paraId="29B517F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600" w:type="dxa"/>
                  <w:vMerge w:val="continue"/>
                  <w:vAlign w:val="center"/>
                </w:tcPr>
                <w:p w14:paraId="21C674C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855" w:type="dxa"/>
                  <w:vMerge w:val="continue"/>
                  <w:vAlign w:val="center"/>
                </w:tcPr>
                <w:p w14:paraId="0217E64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945" w:type="dxa"/>
                  <w:vMerge w:val="continue"/>
                  <w:vAlign w:val="center"/>
                </w:tcPr>
                <w:p w14:paraId="3BAEE92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1665" w:type="dxa"/>
                  <w:vMerge w:val="continue"/>
                  <w:vAlign w:val="center"/>
                </w:tcPr>
                <w:p w14:paraId="1FFB86A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750" w:type="dxa"/>
                  <w:vMerge w:val="continue"/>
                  <w:vAlign w:val="center"/>
                </w:tcPr>
                <w:p w14:paraId="5593B4C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765" w:type="dxa"/>
                  <w:vMerge w:val="continue"/>
                  <w:vAlign w:val="center"/>
                </w:tcPr>
                <w:p w14:paraId="5C9DA05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p>
              </w:tc>
              <w:tc>
                <w:tcPr>
                  <w:tcW w:w="750" w:type="dxa"/>
                  <w:vAlign w:val="center"/>
                </w:tcPr>
                <w:p w14:paraId="0EC03EE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b/>
                      <w:bCs/>
                      <w:sz w:val="21"/>
                      <w:szCs w:val="21"/>
                      <w:highlight w:val="none"/>
                    </w:rPr>
                  </w:pPr>
                  <w:r>
                    <w:rPr>
                      <w:rFonts w:hint="default" w:ascii="Times New Roman" w:hAnsi="Times New Roman" w:eastAsia="宋体" w:cs="Times New Roman"/>
                      <w:b/>
                      <w:bCs/>
                      <w:i w:val="0"/>
                      <w:color w:val="000000"/>
                      <w:kern w:val="0"/>
                      <w:sz w:val="21"/>
                      <w:szCs w:val="21"/>
                      <w:highlight w:val="none"/>
                      <w:u w:val="none"/>
                      <w:lang w:val="en-US" w:eastAsia="zh-CN" w:bidi="ar"/>
                    </w:rPr>
                    <w:t>速率（kg/h）</w:t>
                  </w:r>
                </w:p>
              </w:tc>
              <w:tc>
                <w:tcPr>
                  <w:tcW w:w="801" w:type="dxa"/>
                  <w:vAlign w:val="center"/>
                </w:tcPr>
                <w:p w14:paraId="4A1BDE9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color w:val="000000"/>
                      <w:kern w:val="0"/>
                      <w:sz w:val="21"/>
                      <w:szCs w:val="21"/>
                      <w:highlight w:val="none"/>
                      <w:u w:val="none"/>
                      <w:lang w:val="en-US" w:eastAsia="zh-CN" w:bidi="ar"/>
                    </w:rPr>
                  </w:pPr>
                  <w:r>
                    <w:rPr>
                      <w:rFonts w:hint="default" w:ascii="Times New Roman" w:hAnsi="Times New Roman" w:eastAsia="宋体" w:cs="Times New Roman"/>
                      <w:b/>
                      <w:bCs/>
                      <w:i w:val="0"/>
                      <w:color w:val="000000"/>
                      <w:kern w:val="0"/>
                      <w:sz w:val="21"/>
                      <w:szCs w:val="21"/>
                      <w:highlight w:val="none"/>
                      <w:u w:val="none"/>
                      <w:lang w:val="en-US" w:eastAsia="zh-CN" w:bidi="ar"/>
                    </w:rPr>
                    <w:t>浓度（mg/m</w:t>
                  </w:r>
                  <w:r>
                    <w:rPr>
                      <w:rFonts w:hint="default" w:ascii="Times New Roman" w:hAnsi="Times New Roman" w:eastAsia="宋体" w:cs="Times New Roman"/>
                      <w:b/>
                      <w:bCs/>
                      <w:i w:val="0"/>
                      <w:color w:val="000000"/>
                      <w:kern w:val="0"/>
                      <w:sz w:val="21"/>
                      <w:szCs w:val="21"/>
                      <w:highlight w:val="none"/>
                      <w:u w:val="none"/>
                      <w:vertAlign w:val="superscript"/>
                      <w:lang w:val="en-US" w:eastAsia="zh-CN" w:bidi="ar"/>
                    </w:rPr>
                    <w:t>3</w:t>
                  </w:r>
                  <w:r>
                    <w:rPr>
                      <w:rFonts w:hint="default" w:ascii="Times New Roman" w:hAnsi="Times New Roman" w:eastAsia="宋体" w:cs="Times New Roman"/>
                      <w:b/>
                      <w:bCs/>
                      <w:i w:val="0"/>
                      <w:color w:val="000000"/>
                      <w:kern w:val="0"/>
                      <w:sz w:val="21"/>
                      <w:szCs w:val="21"/>
                      <w:highlight w:val="none"/>
                      <w:u w:val="none"/>
                      <w:lang w:val="en-US" w:eastAsia="zh-CN" w:bidi="ar"/>
                    </w:rPr>
                    <w:t>）</w:t>
                  </w:r>
                </w:p>
              </w:tc>
            </w:tr>
            <w:tr w14:paraId="5503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77D16FA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2#生产车间</w:t>
                  </w:r>
                </w:p>
              </w:tc>
              <w:tc>
                <w:tcPr>
                  <w:tcW w:w="645" w:type="dxa"/>
                  <w:vMerge w:val="restart"/>
                  <w:vAlign w:val="center"/>
                </w:tcPr>
                <w:p w14:paraId="10E3019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35" w:type="dxa"/>
                  <w:vMerge w:val="restart"/>
                  <w:vAlign w:val="center"/>
                </w:tcPr>
                <w:p w14:paraId="37DA093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9602.2</w:t>
                  </w:r>
                </w:p>
              </w:tc>
              <w:tc>
                <w:tcPr>
                  <w:tcW w:w="645" w:type="dxa"/>
                  <w:vMerge w:val="restart"/>
                  <w:vAlign w:val="center"/>
                </w:tcPr>
                <w:p w14:paraId="6C53295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116.835392</w:t>
                  </w:r>
                </w:p>
              </w:tc>
              <w:tc>
                <w:tcPr>
                  <w:tcW w:w="585" w:type="dxa"/>
                  <w:vMerge w:val="restart"/>
                  <w:vAlign w:val="center"/>
                </w:tcPr>
                <w:p w14:paraId="07F3AA1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33.870550</w:t>
                  </w:r>
                </w:p>
              </w:tc>
              <w:tc>
                <w:tcPr>
                  <w:tcW w:w="570" w:type="dxa"/>
                  <w:vMerge w:val="restart"/>
                  <w:vAlign w:val="center"/>
                </w:tcPr>
                <w:p w14:paraId="408DC1B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b w:val="0"/>
                      <w:bCs w:val="0"/>
                      <w:color w:val="auto"/>
                      <w:sz w:val="21"/>
                      <w:szCs w:val="21"/>
                      <w:lang w:val="en-US" w:eastAsia="zh-CN"/>
                    </w:rPr>
                    <w:t>1#、2#生产线</w:t>
                  </w:r>
                </w:p>
              </w:tc>
              <w:tc>
                <w:tcPr>
                  <w:tcW w:w="1380" w:type="dxa"/>
                  <w:vAlign w:val="center"/>
                </w:tcPr>
                <w:p w14:paraId="1700E6A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b w:val="0"/>
                      <w:bCs w:val="0"/>
                      <w:color w:val="auto"/>
                      <w:sz w:val="21"/>
                      <w:szCs w:val="21"/>
                      <w:lang w:val="en-US" w:eastAsia="zh-CN"/>
                    </w:rPr>
                    <w:t>1#、2#生产线布料、</w:t>
                  </w:r>
                  <w:r>
                    <w:rPr>
                      <w:rFonts w:hint="eastAsia" w:eastAsia="宋体" w:cs="Times New Roman"/>
                      <w:b w:val="0"/>
                      <w:bCs w:val="0"/>
                      <w:color w:val="auto"/>
                      <w:sz w:val="21"/>
                      <w:szCs w:val="21"/>
                      <w:lang w:val="en-US" w:eastAsia="zh-CN"/>
                    </w:rPr>
                    <w:t>熔化废气</w:t>
                  </w:r>
                </w:p>
              </w:tc>
              <w:tc>
                <w:tcPr>
                  <w:tcW w:w="1229" w:type="dxa"/>
                  <w:vAlign w:val="center"/>
                </w:tcPr>
                <w:p w14:paraId="5555F2E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eastAsia="宋体" w:cs="Times New Roman"/>
                      <w:b w:val="0"/>
                      <w:bCs w:val="0"/>
                      <w:color w:val="auto"/>
                      <w:sz w:val="21"/>
                      <w:szCs w:val="21"/>
                      <w:lang w:val="en-US" w:eastAsia="zh-CN"/>
                    </w:rPr>
                    <w:t>颗粒物</w:t>
                  </w:r>
                </w:p>
              </w:tc>
              <w:tc>
                <w:tcPr>
                  <w:tcW w:w="600" w:type="dxa"/>
                  <w:vMerge w:val="restart"/>
                  <w:vAlign w:val="center"/>
                </w:tcPr>
                <w:p w14:paraId="1EE346F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8760</w:t>
                  </w:r>
                </w:p>
              </w:tc>
              <w:tc>
                <w:tcPr>
                  <w:tcW w:w="855" w:type="dxa"/>
                  <w:vMerge w:val="restart"/>
                  <w:vAlign w:val="center"/>
                </w:tcPr>
                <w:p w14:paraId="0D1683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0.296 </w:t>
                  </w:r>
                </w:p>
              </w:tc>
              <w:tc>
                <w:tcPr>
                  <w:tcW w:w="945" w:type="dxa"/>
                  <w:vMerge w:val="restart"/>
                  <w:vAlign w:val="center"/>
                </w:tcPr>
                <w:p w14:paraId="42B23C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1665" w:type="dxa"/>
                  <w:vMerge w:val="restart"/>
                  <w:vAlign w:val="center"/>
                </w:tcPr>
                <w:p w14:paraId="5A18B5AA">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定期清扫地面</w:t>
                  </w:r>
                </w:p>
              </w:tc>
              <w:tc>
                <w:tcPr>
                  <w:tcW w:w="750" w:type="dxa"/>
                  <w:vMerge w:val="restart"/>
                  <w:vAlign w:val="center"/>
                </w:tcPr>
                <w:p w14:paraId="005382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0.296 </w:t>
                  </w:r>
                </w:p>
              </w:tc>
              <w:tc>
                <w:tcPr>
                  <w:tcW w:w="765" w:type="dxa"/>
                  <w:vMerge w:val="restart"/>
                  <w:vAlign w:val="center"/>
                </w:tcPr>
                <w:p w14:paraId="13840D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0.034 </w:t>
                  </w:r>
                </w:p>
              </w:tc>
              <w:tc>
                <w:tcPr>
                  <w:tcW w:w="750" w:type="dxa"/>
                  <w:vMerge w:val="restart"/>
                  <w:vAlign w:val="center"/>
                </w:tcPr>
                <w:p w14:paraId="61B3F5F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Merge w:val="restart"/>
                  <w:vAlign w:val="center"/>
                </w:tcPr>
                <w:p w14:paraId="138EE1D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r>
            <w:tr w14:paraId="7ABC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0DEFBB5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45" w:type="dxa"/>
                  <w:vMerge w:val="continue"/>
                  <w:vAlign w:val="center"/>
                </w:tcPr>
                <w:p w14:paraId="70E01F3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35" w:type="dxa"/>
                  <w:vMerge w:val="continue"/>
                  <w:vAlign w:val="center"/>
                </w:tcPr>
                <w:p w14:paraId="3D751E5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645" w:type="dxa"/>
                  <w:vMerge w:val="continue"/>
                  <w:vAlign w:val="center"/>
                </w:tcPr>
                <w:p w14:paraId="6B4DDC6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85" w:type="dxa"/>
                  <w:vMerge w:val="continue"/>
                  <w:vAlign w:val="center"/>
                </w:tcPr>
                <w:p w14:paraId="7864652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0" w:type="dxa"/>
                  <w:vMerge w:val="continue"/>
                  <w:vAlign w:val="center"/>
                </w:tcPr>
                <w:p w14:paraId="5D9415A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p>
              </w:tc>
              <w:tc>
                <w:tcPr>
                  <w:tcW w:w="1380" w:type="dxa"/>
                  <w:vMerge w:val="restart"/>
                  <w:vAlign w:val="center"/>
                </w:tcPr>
                <w:p w14:paraId="4F0EB7F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1#、2#生产线天然气燃烧废气</w:t>
                  </w:r>
                </w:p>
              </w:tc>
              <w:tc>
                <w:tcPr>
                  <w:tcW w:w="1229" w:type="dxa"/>
                  <w:vAlign w:val="center"/>
                </w:tcPr>
                <w:p w14:paraId="4EA8B89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颗粒物</w:t>
                  </w:r>
                </w:p>
              </w:tc>
              <w:tc>
                <w:tcPr>
                  <w:tcW w:w="600" w:type="dxa"/>
                  <w:vMerge w:val="continue"/>
                  <w:vAlign w:val="center"/>
                </w:tcPr>
                <w:p w14:paraId="6E1A492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p>
              </w:tc>
              <w:tc>
                <w:tcPr>
                  <w:tcW w:w="855" w:type="dxa"/>
                  <w:vMerge w:val="continue"/>
                  <w:vAlign w:val="center"/>
                </w:tcPr>
                <w:p w14:paraId="177D284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5" w:type="dxa"/>
                  <w:vMerge w:val="continue"/>
                  <w:vAlign w:val="center"/>
                </w:tcPr>
                <w:p w14:paraId="50F8A80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665" w:type="dxa"/>
                  <w:vMerge w:val="continue"/>
                  <w:vAlign w:val="center"/>
                </w:tcPr>
                <w:p w14:paraId="1B313233">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0" w:type="dxa"/>
                  <w:vMerge w:val="continue"/>
                  <w:vAlign w:val="center"/>
                </w:tcPr>
                <w:p w14:paraId="630DF0A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65" w:type="dxa"/>
                  <w:vMerge w:val="continue"/>
                  <w:vAlign w:val="center"/>
                </w:tcPr>
                <w:p w14:paraId="3576357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0" w:type="dxa"/>
                  <w:vMerge w:val="continue"/>
                  <w:vAlign w:val="center"/>
                </w:tcPr>
                <w:p w14:paraId="7C2069A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01" w:type="dxa"/>
                  <w:vMerge w:val="continue"/>
                  <w:vAlign w:val="center"/>
                </w:tcPr>
                <w:p w14:paraId="1086603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14:paraId="1AC0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617E48C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645" w:type="dxa"/>
                  <w:vMerge w:val="continue"/>
                  <w:vAlign w:val="center"/>
                </w:tcPr>
                <w:p w14:paraId="3F15D59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735" w:type="dxa"/>
                  <w:vMerge w:val="continue"/>
                  <w:vAlign w:val="center"/>
                </w:tcPr>
                <w:p w14:paraId="2C7A040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645" w:type="dxa"/>
                  <w:vMerge w:val="continue"/>
                  <w:vAlign w:val="center"/>
                </w:tcPr>
                <w:p w14:paraId="323A7B7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585" w:type="dxa"/>
                  <w:vMerge w:val="continue"/>
                  <w:vAlign w:val="center"/>
                </w:tcPr>
                <w:p w14:paraId="7BA0ECE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570" w:type="dxa"/>
                  <w:vMerge w:val="continue"/>
                  <w:vAlign w:val="center"/>
                </w:tcPr>
                <w:p w14:paraId="38DB104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1380" w:type="dxa"/>
                  <w:vMerge w:val="continue"/>
                  <w:vAlign w:val="center"/>
                </w:tcPr>
                <w:p w14:paraId="7E40F45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1229" w:type="dxa"/>
                  <w:vAlign w:val="center"/>
                </w:tcPr>
                <w:p w14:paraId="3C3F4E8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SO</w:t>
                  </w:r>
                  <w:r>
                    <w:rPr>
                      <w:rFonts w:hint="eastAsia" w:cs="宋体"/>
                      <w:spacing w:val="-3"/>
                      <w:sz w:val="21"/>
                      <w:szCs w:val="21"/>
                      <w:vertAlign w:val="subscript"/>
                      <w:lang w:val="en-US" w:eastAsia="zh-CN"/>
                    </w:rPr>
                    <w:t>2</w:t>
                  </w:r>
                </w:p>
              </w:tc>
              <w:tc>
                <w:tcPr>
                  <w:tcW w:w="600" w:type="dxa"/>
                  <w:vMerge w:val="continue"/>
                  <w:vAlign w:val="center"/>
                </w:tcPr>
                <w:p w14:paraId="685C32F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855" w:type="dxa"/>
                  <w:vAlign w:val="center"/>
                </w:tcPr>
                <w:p w14:paraId="6797DF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945" w:type="dxa"/>
                  <w:vAlign w:val="center"/>
                </w:tcPr>
                <w:p w14:paraId="08E122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0.00004 </w:t>
                  </w:r>
                </w:p>
              </w:tc>
              <w:tc>
                <w:tcPr>
                  <w:tcW w:w="1665" w:type="dxa"/>
                  <w:vMerge w:val="restart"/>
                  <w:vAlign w:val="center"/>
                </w:tcPr>
                <w:p w14:paraId="610D0BEB">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i w:val="0"/>
                      <w:iCs w:val="0"/>
                      <w:color w:val="000000"/>
                      <w:kern w:val="0"/>
                      <w:sz w:val="21"/>
                      <w:szCs w:val="21"/>
                      <w:u w:val="none"/>
                      <w:lang w:val="en-US" w:eastAsia="zh-CN" w:bidi="ar"/>
                    </w:rPr>
                    <w:t>/</w:t>
                  </w:r>
                </w:p>
              </w:tc>
              <w:tc>
                <w:tcPr>
                  <w:tcW w:w="750" w:type="dxa"/>
                  <w:vAlign w:val="center"/>
                </w:tcPr>
                <w:p w14:paraId="6C43C0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765" w:type="dxa"/>
                  <w:vAlign w:val="center"/>
                </w:tcPr>
                <w:p w14:paraId="021501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0.00004 </w:t>
                  </w:r>
                </w:p>
              </w:tc>
              <w:tc>
                <w:tcPr>
                  <w:tcW w:w="750" w:type="dxa"/>
                  <w:vAlign w:val="center"/>
                </w:tcPr>
                <w:p w14:paraId="10222C3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Align w:val="center"/>
                </w:tcPr>
                <w:p w14:paraId="10483E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b w:val="0"/>
                      <w:bCs w:val="0"/>
                      <w:color w:val="auto"/>
                      <w:sz w:val="21"/>
                      <w:szCs w:val="21"/>
                      <w:lang w:val="en-US" w:eastAsia="zh-CN"/>
                    </w:rPr>
                    <w:t>0.4</w:t>
                  </w:r>
                </w:p>
              </w:tc>
            </w:tr>
            <w:tr w14:paraId="4E60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44A018B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645" w:type="dxa"/>
                  <w:vMerge w:val="continue"/>
                  <w:vAlign w:val="center"/>
                </w:tcPr>
                <w:p w14:paraId="4C23C89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735" w:type="dxa"/>
                  <w:vMerge w:val="continue"/>
                  <w:vAlign w:val="center"/>
                </w:tcPr>
                <w:p w14:paraId="4B532D4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645" w:type="dxa"/>
                  <w:vMerge w:val="continue"/>
                  <w:vAlign w:val="center"/>
                </w:tcPr>
                <w:p w14:paraId="40CC682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585" w:type="dxa"/>
                  <w:vMerge w:val="continue"/>
                  <w:vAlign w:val="center"/>
                </w:tcPr>
                <w:p w14:paraId="1D9493D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570" w:type="dxa"/>
                  <w:vMerge w:val="continue"/>
                  <w:vAlign w:val="center"/>
                </w:tcPr>
                <w:p w14:paraId="703C4C5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1380" w:type="dxa"/>
                  <w:vMerge w:val="continue"/>
                  <w:vAlign w:val="center"/>
                </w:tcPr>
                <w:p w14:paraId="4DBDE56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1229" w:type="dxa"/>
                  <w:vAlign w:val="center"/>
                </w:tcPr>
                <w:p w14:paraId="2F61988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NO</w:t>
                  </w:r>
                  <w:r>
                    <w:rPr>
                      <w:rFonts w:hint="eastAsia" w:cs="宋体"/>
                      <w:spacing w:val="-3"/>
                      <w:sz w:val="21"/>
                      <w:szCs w:val="21"/>
                      <w:vertAlign w:val="subscript"/>
                      <w:lang w:val="en-US" w:eastAsia="zh-CN"/>
                    </w:rPr>
                    <w:t>x</w:t>
                  </w:r>
                </w:p>
              </w:tc>
              <w:tc>
                <w:tcPr>
                  <w:tcW w:w="600" w:type="dxa"/>
                  <w:vMerge w:val="continue"/>
                  <w:vAlign w:val="center"/>
                </w:tcPr>
                <w:p w14:paraId="6DAA56E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855" w:type="dxa"/>
                  <w:vAlign w:val="center"/>
                </w:tcPr>
                <w:p w14:paraId="1FEB56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945" w:type="dxa"/>
                  <w:vAlign w:val="center"/>
                </w:tcPr>
                <w:p w14:paraId="273560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1665" w:type="dxa"/>
                  <w:vMerge w:val="continue"/>
                  <w:vAlign w:val="center"/>
                </w:tcPr>
                <w:p w14:paraId="081020C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50" w:type="dxa"/>
                  <w:vAlign w:val="center"/>
                </w:tcPr>
                <w:p w14:paraId="1C57AC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765" w:type="dxa"/>
                  <w:vAlign w:val="center"/>
                </w:tcPr>
                <w:p w14:paraId="019780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750" w:type="dxa"/>
                  <w:vAlign w:val="center"/>
                </w:tcPr>
                <w:p w14:paraId="4140802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Align w:val="center"/>
                </w:tcPr>
                <w:p w14:paraId="5745BC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b w:val="0"/>
                      <w:bCs w:val="0"/>
                      <w:color w:val="auto"/>
                      <w:sz w:val="21"/>
                      <w:szCs w:val="21"/>
                      <w:lang w:val="en-US" w:eastAsia="zh-CN"/>
                    </w:rPr>
                    <w:t>0.12</w:t>
                  </w:r>
                </w:p>
              </w:tc>
            </w:tr>
            <w:tr w14:paraId="2AA3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2F2CAA0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1#生产车间</w:t>
                  </w:r>
                </w:p>
              </w:tc>
              <w:tc>
                <w:tcPr>
                  <w:tcW w:w="645" w:type="dxa"/>
                  <w:vMerge w:val="restart"/>
                  <w:vAlign w:val="center"/>
                </w:tcPr>
                <w:p w14:paraId="420FFF8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735" w:type="dxa"/>
                  <w:vMerge w:val="restart"/>
                  <w:vAlign w:val="center"/>
                </w:tcPr>
                <w:p w14:paraId="7CDD5CC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9602.2</w:t>
                  </w:r>
                </w:p>
              </w:tc>
              <w:tc>
                <w:tcPr>
                  <w:tcW w:w="645" w:type="dxa"/>
                  <w:vMerge w:val="restart"/>
                  <w:vAlign w:val="center"/>
                </w:tcPr>
                <w:p w14:paraId="5656258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116.836539</w:t>
                  </w:r>
                </w:p>
              </w:tc>
              <w:tc>
                <w:tcPr>
                  <w:tcW w:w="585" w:type="dxa"/>
                  <w:vMerge w:val="restart"/>
                  <w:vAlign w:val="center"/>
                </w:tcPr>
                <w:p w14:paraId="343CB15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33.870566</w:t>
                  </w:r>
                </w:p>
              </w:tc>
              <w:tc>
                <w:tcPr>
                  <w:tcW w:w="570" w:type="dxa"/>
                  <w:vMerge w:val="restart"/>
                  <w:vAlign w:val="center"/>
                </w:tcPr>
                <w:p w14:paraId="6FBE997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b w:val="0"/>
                      <w:bCs w:val="0"/>
                      <w:color w:val="auto"/>
                      <w:sz w:val="21"/>
                      <w:szCs w:val="21"/>
                      <w:lang w:val="en-US" w:eastAsia="zh-CN"/>
                    </w:rPr>
                    <w:t>3#、4#生产线</w:t>
                  </w:r>
                </w:p>
              </w:tc>
              <w:tc>
                <w:tcPr>
                  <w:tcW w:w="1380" w:type="dxa"/>
                  <w:vAlign w:val="center"/>
                </w:tcPr>
                <w:p w14:paraId="1B0568E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b w:val="0"/>
                      <w:bCs w:val="0"/>
                      <w:color w:val="auto"/>
                      <w:sz w:val="21"/>
                      <w:szCs w:val="21"/>
                      <w:lang w:val="en-US" w:eastAsia="zh-CN"/>
                    </w:rPr>
                    <w:t>3#、4#生产线布料</w:t>
                  </w:r>
                  <w:r>
                    <w:rPr>
                      <w:rFonts w:hint="eastAsia" w:eastAsia="宋体" w:cs="Times New Roman"/>
                      <w:b w:val="0"/>
                      <w:bCs w:val="0"/>
                      <w:color w:val="auto"/>
                      <w:sz w:val="21"/>
                      <w:szCs w:val="21"/>
                      <w:lang w:val="en-US" w:eastAsia="zh-CN"/>
                    </w:rPr>
                    <w:t>、熔化废气</w:t>
                  </w:r>
                </w:p>
              </w:tc>
              <w:tc>
                <w:tcPr>
                  <w:tcW w:w="1229" w:type="dxa"/>
                  <w:vAlign w:val="center"/>
                </w:tcPr>
                <w:p w14:paraId="278EDCB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eastAsia" w:eastAsia="宋体" w:cs="Times New Roman"/>
                      <w:b w:val="0"/>
                      <w:bCs w:val="0"/>
                      <w:color w:val="auto"/>
                      <w:sz w:val="21"/>
                      <w:szCs w:val="21"/>
                      <w:lang w:val="en-US" w:eastAsia="zh-CN"/>
                    </w:rPr>
                    <w:t>颗粒物</w:t>
                  </w:r>
                </w:p>
              </w:tc>
              <w:tc>
                <w:tcPr>
                  <w:tcW w:w="600" w:type="dxa"/>
                  <w:vMerge w:val="restart"/>
                  <w:vAlign w:val="center"/>
                </w:tcPr>
                <w:p w14:paraId="531DDA4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eastAsia="宋体" w:cs="Times New Roman"/>
                      <w:i w:val="0"/>
                      <w:iCs w:val="0"/>
                      <w:color w:val="000000"/>
                      <w:kern w:val="0"/>
                      <w:sz w:val="21"/>
                      <w:szCs w:val="21"/>
                      <w:u w:val="none"/>
                      <w:lang w:val="en-US" w:eastAsia="zh-CN" w:bidi="ar"/>
                    </w:rPr>
                    <w:t>8</w:t>
                  </w:r>
                  <w:r>
                    <w:rPr>
                      <w:rFonts w:hint="eastAsia" w:cs="Times New Roman"/>
                      <w:i w:val="0"/>
                      <w:iCs w:val="0"/>
                      <w:color w:val="000000"/>
                      <w:kern w:val="0"/>
                      <w:sz w:val="21"/>
                      <w:szCs w:val="21"/>
                      <w:u w:val="none"/>
                      <w:lang w:val="en-US" w:eastAsia="zh-CN" w:bidi="ar"/>
                    </w:rPr>
                    <w:t>400</w:t>
                  </w:r>
                </w:p>
              </w:tc>
              <w:tc>
                <w:tcPr>
                  <w:tcW w:w="855" w:type="dxa"/>
                  <w:vMerge w:val="restart"/>
                  <w:vAlign w:val="center"/>
                </w:tcPr>
                <w:p w14:paraId="7F2E99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0.190 </w:t>
                  </w:r>
                </w:p>
              </w:tc>
              <w:tc>
                <w:tcPr>
                  <w:tcW w:w="945" w:type="dxa"/>
                  <w:vMerge w:val="restart"/>
                  <w:vAlign w:val="center"/>
                </w:tcPr>
                <w:p w14:paraId="4E0D2A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c>
                <w:tcPr>
                  <w:tcW w:w="1665" w:type="dxa"/>
                  <w:vMerge w:val="restart"/>
                  <w:vAlign w:val="center"/>
                </w:tcPr>
                <w:p w14:paraId="2B61933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定期清扫地面</w:t>
                  </w:r>
                </w:p>
              </w:tc>
              <w:tc>
                <w:tcPr>
                  <w:tcW w:w="750" w:type="dxa"/>
                  <w:vMerge w:val="restart"/>
                  <w:vAlign w:val="center"/>
                </w:tcPr>
                <w:p w14:paraId="474E53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0.190 </w:t>
                  </w:r>
                </w:p>
              </w:tc>
              <w:tc>
                <w:tcPr>
                  <w:tcW w:w="765" w:type="dxa"/>
                  <w:vMerge w:val="restart"/>
                  <w:vAlign w:val="center"/>
                </w:tcPr>
                <w:p w14:paraId="72E9F0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0.023 </w:t>
                  </w:r>
                </w:p>
              </w:tc>
              <w:tc>
                <w:tcPr>
                  <w:tcW w:w="750" w:type="dxa"/>
                  <w:vMerge w:val="restart"/>
                  <w:vAlign w:val="center"/>
                </w:tcPr>
                <w:p w14:paraId="6A227E6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Merge w:val="restart"/>
                  <w:vAlign w:val="center"/>
                </w:tcPr>
                <w:p w14:paraId="2FD7857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r>
            <w:tr w14:paraId="479C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74454A5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45" w:type="dxa"/>
                  <w:vMerge w:val="continue"/>
                  <w:vAlign w:val="center"/>
                </w:tcPr>
                <w:p w14:paraId="52E123F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35" w:type="dxa"/>
                  <w:vMerge w:val="continue"/>
                  <w:vAlign w:val="center"/>
                </w:tcPr>
                <w:p w14:paraId="00BF98D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645" w:type="dxa"/>
                  <w:vMerge w:val="continue"/>
                  <w:vAlign w:val="center"/>
                </w:tcPr>
                <w:p w14:paraId="3EDA495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85" w:type="dxa"/>
                  <w:vMerge w:val="continue"/>
                  <w:vAlign w:val="center"/>
                </w:tcPr>
                <w:p w14:paraId="6E98D7D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0" w:type="dxa"/>
                  <w:vMerge w:val="continue"/>
                  <w:vAlign w:val="center"/>
                </w:tcPr>
                <w:p w14:paraId="0DC3BF3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p>
              </w:tc>
              <w:tc>
                <w:tcPr>
                  <w:tcW w:w="1380" w:type="dxa"/>
                  <w:vMerge w:val="restart"/>
                  <w:vAlign w:val="center"/>
                </w:tcPr>
                <w:p w14:paraId="114C36F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3#、4#生产线天然气燃烧废气</w:t>
                  </w:r>
                </w:p>
              </w:tc>
              <w:tc>
                <w:tcPr>
                  <w:tcW w:w="1229" w:type="dxa"/>
                  <w:vAlign w:val="center"/>
                </w:tcPr>
                <w:p w14:paraId="245CF65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颗粒物</w:t>
                  </w:r>
                </w:p>
              </w:tc>
              <w:tc>
                <w:tcPr>
                  <w:tcW w:w="600" w:type="dxa"/>
                  <w:vMerge w:val="continue"/>
                  <w:vAlign w:val="center"/>
                </w:tcPr>
                <w:p w14:paraId="32E40B0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p>
              </w:tc>
              <w:tc>
                <w:tcPr>
                  <w:tcW w:w="855" w:type="dxa"/>
                  <w:vMerge w:val="continue"/>
                  <w:vAlign w:val="center"/>
                </w:tcPr>
                <w:p w14:paraId="0585E2B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5" w:type="dxa"/>
                  <w:vMerge w:val="continue"/>
                  <w:vAlign w:val="center"/>
                </w:tcPr>
                <w:p w14:paraId="596F52B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665" w:type="dxa"/>
                  <w:vMerge w:val="continue"/>
                  <w:vAlign w:val="center"/>
                </w:tcPr>
                <w:p w14:paraId="34A3A81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0" w:type="dxa"/>
                  <w:vMerge w:val="continue"/>
                  <w:vAlign w:val="center"/>
                </w:tcPr>
                <w:p w14:paraId="3A803BE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65" w:type="dxa"/>
                  <w:vMerge w:val="continue"/>
                  <w:vAlign w:val="center"/>
                </w:tcPr>
                <w:p w14:paraId="580381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0" w:type="dxa"/>
                  <w:vMerge w:val="continue"/>
                  <w:vAlign w:val="center"/>
                </w:tcPr>
                <w:p w14:paraId="2043C23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01" w:type="dxa"/>
                  <w:vMerge w:val="continue"/>
                  <w:vAlign w:val="center"/>
                </w:tcPr>
                <w:p w14:paraId="4428AF7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14:paraId="751C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6F110C2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645" w:type="dxa"/>
                  <w:vMerge w:val="continue"/>
                  <w:vAlign w:val="center"/>
                </w:tcPr>
                <w:p w14:paraId="60316BD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735" w:type="dxa"/>
                  <w:vMerge w:val="continue"/>
                  <w:vAlign w:val="center"/>
                </w:tcPr>
                <w:p w14:paraId="4768089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645" w:type="dxa"/>
                  <w:vMerge w:val="continue"/>
                  <w:vAlign w:val="center"/>
                </w:tcPr>
                <w:p w14:paraId="342468B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585" w:type="dxa"/>
                  <w:vMerge w:val="continue"/>
                  <w:vAlign w:val="center"/>
                </w:tcPr>
                <w:p w14:paraId="5EAF795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570" w:type="dxa"/>
                  <w:vMerge w:val="continue"/>
                  <w:vAlign w:val="center"/>
                </w:tcPr>
                <w:p w14:paraId="62B8DCB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1380" w:type="dxa"/>
                  <w:vMerge w:val="continue"/>
                  <w:vAlign w:val="center"/>
                </w:tcPr>
                <w:p w14:paraId="7CCFB0A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1229" w:type="dxa"/>
                  <w:vAlign w:val="center"/>
                </w:tcPr>
                <w:p w14:paraId="1F31C21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SO</w:t>
                  </w:r>
                  <w:r>
                    <w:rPr>
                      <w:rFonts w:hint="eastAsia" w:cs="宋体"/>
                      <w:spacing w:val="-3"/>
                      <w:sz w:val="21"/>
                      <w:szCs w:val="21"/>
                      <w:vertAlign w:val="subscript"/>
                      <w:lang w:val="en-US" w:eastAsia="zh-CN"/>
                    </w:rPr>
                    <w:t>2</w:t>
                  </w:r>
                </w:p>
              </w:tc>
              <w:tc>
                <w:tcPr>
                  <w:tcW w:w="600" w:type="dxa"/>
                  <w:vMerge w:val="continue"/>
                  <w:vAlign w:val="center"/>
                </w:tcPr>
                <w:p w14:paraId="29F466A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855" w:type="dxa"/>
                  <w:vAlign w:val="center"/>
                </w:tcPr>
                <w:p w14:paraId="28F2E3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945" w:type="dxa"/>
                  <w:vAlign w:val="center"/>
                </w:tcPr>
                <w:p w14:paraId="0633C1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0.00004 </w:t>
                  </w:r>
                </w:p>
              </w:tc>
              <w:tc>
                <w:tcPr>
                  <w:tcW w:w="1665" w:type="dxa"/>
                  <w:vMerge w:val="restart"/>
                  <w:vAlign w:val="center"/>
                </w:tcPr>
                <w:p w14:paraId="312615A1">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i w:val="0"/>
                      <w:iCs w:val="0"/>
                      <w:color w:val="000000"/>
                      <w:kern w:val="0"/>
                      <w:sz w:val="21"/>
                      <w:szCs w:val="21"/>
                      <w:u w:val="none"/>
                      <w:lang w:val="en-US" w:eastAsia="zh-CN" w:bidi="ar"/>
                    </w:rPr>
                    <w:t>/</w:t>
                  </w:r>
                </w:p>
              </w:tc>
              <w:tc>
                <w:tcPr>
                  <w:tcW w:w="750" w:type="dxa"/>
                  <w:vAlign w:val="center"/>
                </w:tcPr>
                <w:p w14:paraId="591DCA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765" w:type="dxa"/>
                  <w:vAlign w:val="center"/>
                </w:tcPr>
                <w:p w14:paraId="3B6373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0.00004 </w:t>
                  </w:r>
                </w:p>
              </w:tc>
              <w:tc>
                <w:tcPr>
                  <w:tcW w:w="750" w:type="dxa"/>
                  <w:vAlign w:val="center"/>
                </w:tcPr>
                <w:p w14:paraId="6FF9604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Align w:val="center"/>
                </w:tcPr>
                <w:p w14:paraId="6DC263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b w:val="0"/>
                      <w:bCs w:val="0"/>
                      <w:color w:val="auto"/>
                      <w:sz w:val="21"/>
                      <w:szCs w:val="21"/>
                      <w:lang w:val="en-US" w:eastAsia="zh-CN"/>
                    </w:rPr>
                    <w:t>0.4</w:t>
                  </w:r>
                </w:p>
              </w:tc>
            </w:tr>
            <w:tr w14:paraId="7D51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01D399B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645" w:type="dxa"/>
                  <w:vMerge w:val="continue"/>
                  <w:vAlign w:val="center"/>
                </w:tcPr>
                <w:p w14:paraId="4143C2D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735" w:type="dxa"/>
                  <w:vMerge w:val="continue"/>
                  <w:vAlign w:val="center"/>
                </w:tcPr>
                <w:p w14:paraId="5CA1201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645" w:type="dxa"/>
                  <w:vMerge w:val="continue"/>
                  <w:vAlign w:val="center"/>
                </w:tcPr>
                <w:p w14:paraId="2701AEB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585" w:type="dxa"/>
                  <w:vMerge w:val="continue"/>
                  <w:vAlign w:val="center"/>
                </w:tcPr>
                <w:p w14:paraId="3178E57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570" w:type="dxa"/>
                  <w:vMerge w:val="continue"/>
                  <w:vAlign w:val="center"/>
                </w:tcPr>
                <w:p w14:paraId="2AE1492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1380" w:type="dxa"/>
                  <w:vMerge w:val="continue"/>
                  <w:vAlign w:val="center"/>
                </w:tcPr>
                <w:p w14:paraId="5F5F844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1229" w:type="dxa"/>
                  <w:vAlign w:val="center"/>
                </w:tcPr>
                <w:p w14:paraId="57BD67B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NO</w:t>
                  </w:r>
                  <w:r>
                    <w:rPr>
                      <w:rFonts w:hint="eastAsia" w:cs="宋体"/>
                      <w:spacing w:val="-3"/>
                      <w:sz w:val="21"/>
                      <w:szCs w:val="21"/>
                      <w:vertAlign w:val="subscript"/>
                      <w:lang w:val="en-US" w:eastAsia="zh-CN"/>
                    </w:rPr>
                    <w:t>x</w:t>
                  </w:r>
                </w:p>
              </w:tc>
              <w:tc>
                <w:tcPr>
                  <w:tcW w:w="600" w:type="dxa"/>
                  <w:vMerge w:val="continue"/>
                  <w:vAlign w:val="center"/>
                </w:tcPr>
                <w:p w14:paraId="3E33969D">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855" w:type="dxa"/>
                  <w:vAlign w:val="center"/>
                </w:tcPr>
                <w:p w14:paraId="74CD8C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945" w:type="dxa"/>
                  <w:vAlign w:val="center"/>
                </w:tcPr>
                <w:p w14:paraId="4E229D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1665" w:type="dxa"/>
                  <w:vMerge w:val="continue"/>
                  <w:vAlign w:val="center"/>
                </w:tcPr>
                <w:p w14:paraId="37C28A4D">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50" w:type="dxa"/>
                  <w:vAlign w:val="center"/>
                </w:tcPr>
                <w:p w14:paraId="16F8A7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0.003 </w:t>
                  </w:r>
                </w:p>
              </w:tc>
              <w:tc>
                <w:tcPr>
                  <w:tcW w:w="765" w:type="dxa"/>
                  <w:vAlign w:val="center"/>
                </w:tcPr>
                <w:p w14:paraId="518576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0.0004 </w:t>
                  </w:r>
                </w:p>
              </w:tc>
              <w:tc>
                <w:tcPr>
                  <w:tcW w:w="750" w:type="dxa"/>
                  <w:vAlign w:val="center"/>
                </w:tcPr>
                <w:p w14:paraId="537986B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Align w:val="center"/>
                </w:tcPr>
                <w:p w14:paraId="66A9CE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b w:val="0"/>
                      <w:bCs w:val="0"/>
                      <w:color w:val="auto"/>
                      <w:sz w:val="21"/>
                      <w:szCs w:val="21"/>
                      <w:lang w:val="en-US" w:eastAsia="zh-CN"/>
                    </w:rPr>
                    <w:t>0.12</w:t>
                  </w:r>
                </w:p>
              </w:tc>
            </w:tr>
            <w:tr w14:paraId="0ADA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restart"/>
                  <w:vAlign w:val="center"/>
                </w:tcPr>
                <w:p w14:paraId="1E896CC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eastAsia="宋体" w:cs="Times New Roman"/>
                      <w:i w:val="0"/>
                      <w:iCs w:val="0"/>
                      <w:color w:val="000000"/>
                      <w:kern w:val="0"/>
                      <w:sz w:val="21"/>
                      <w:szCs w:val="21"/>
                      <w:u w:val="none"/>
                      <w:lang w:val="en-US" w:eastAsia="zh-CN" w:bidi="ar"/>
                    </w:rPr>
                    <w:t>3#生产车间</w:t>
                  </w:r>
                </w:p>
              </w:tc>
              <w:tc>
                <w:tcPr>
                  <w:tcW w:w="645" w:type="dxa"/>
                  <w:vMerge w:val="restart"/>
                  <w:vAlign w:val="center"/>
                </w:tcPr>
                <w:p w14:paraId="01EE457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12</w:t>
                  </w:r>
                </w:p>
              </w:tc>
              <w:tc>
                <w:tcPr>
                  <w:tcW w:w="735" w:type="dxa"/>
                  <w:vMerge w:val="restart"/>
                  <w:vAlign w:val="center"/>
                </w:tcPr>
                <w:p w14:paraId="0754380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11341.7</w:t>
                  </w:r>
                </w:p>
              </w:tc>
              <w:tc>
                <w:tcPr>
                  <w:tcW w:w="645" w:type="dxa"/>
                  <w:vMerge w:val="restart"/>
                  <w:vAlign w:val="center"/>
                </w:tcPr>
                <w:p w14:paraId="6C1AB05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116.835373</w:t>
                  </w:r>
                </w:p>
              </w:tc>
              <w:tc>
                <w:tcPr>
                  <w:tcW w:w="585" w:type="dxa"/>
                  <w:vMerge w:val="restart"/>
                  <w:vAlign w:val="center"/>
                </w:tcPr>
                <w:p w14:paraId="1520255A">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33.869178</w:t>
                  </w:r>
                </w:p>
              </w:tc>
              <w:tc>
                <w:tcPr>
                  <w:tcW w:w="570" w:type="dxa"/>
                  <w:vMerge w:val="restart"/>
                  <w:vAlign w:val="center"/>
                </w:tcPr>
                <w:p w14:paraId="1A8B29B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r>
                    <w:rPr>
                      <w:rFonts w:hint="eastAsia" w:cs="Times New Roman"/>
                      <w:b w:val="0"/>
                      <w:bCs w:val="0"/>
                      <w:color w:val="auto"/>
                      <w:sz w:val="21"/>
                      <w:szCs w:val="21"/>
                      <w:lang w:val="en-US" w:eastAsia="zh-CN"/>
                    </w:rPr>
                    <w:t>5#生产线</w:t>
                  </w:r>
                </w:p>
              </w:tc>
              <w:tc>
                <w:tcPr>
                  <w:tcW w:w="1380" w:type="dxa"/>
                  <w:vAlign w:val="center"/>
                </w:tcPr>
                <w:p w14:paraId="4819C69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5#生产线布料、</w:t>
                  </w:r>
                  <w:r>
                    <w:rPr>
                      <w:rFonts w:hint="eastAsia" w:eastAsia="宋体" w:cs="Times New Roman"/>
                      <w:b w:val="0"/>
                      <w:bCs w:val="0"/>
                      <w:color w:val="auto"/>
                      <w:sz w:val="21"/>
                      <w:szCs w:val="21"/>
                      <w:lang w:val="en-US" w:eastAsia="zh-CN"/>
                    </w:rPr>
                    <w:t>熔化废气</w:t>
                  </w:r>
                </w:p>
              </w:tc>
              <w:tc>
                <w:tcPr>
                  <w:tcW w:w="1229" w:type="dxa"/>
                  <w:vAlign w:val="center"/>
                </w:tcPr>
                <w:p w14:paraId="5EB941B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颗粒物</w:t>
                  </w:r>
                </w:p>
              </w:tc>
              <w:tc>
                <w:tcPr>
                  <w:tcW w:w="600" w:type="dxa"/>
                  <w:vMerge w:val="restart"/>
                  <w:vAlign w:val="center"/>
                </w:tcPr>
                <w:p w14:paraId="64B4FCB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eastAsia="宋体" w:cs="Times New Roman"/>
                      <w:i w:val="0"/>
                      <w:iCs w:val="0"/>
                      <w:color w:val="000000"/>
                      <w:kern w:val="0"/>
                      <w:sz w:val="21"/>
                      <w:szCs w:val="21"/>
                      <w:u w:val="none"/>
                      <w:lang w:val="en-US" w:eastAsia="zh-CN" w:bidi="ar"/>
                    </w:rPr>
                  </w:pPr>
                  <w:r>
                    <w:rPr>
                      <w:rFonts w:hint="eastAsia" w:cs="Times New Roman"/>
                      <w:i w:val="0"/>
                      <w:iCs w:val="0"/>
                      <w:color w:val="000000"/>
                      <w:kern w:val="0"/>
                      <w:sz w:val="21"/>
                      <w:szCs w:val="21"/>
                      <w:u w:val="none"/>
                      <w:lang w:val="en-US" w:eastAsia="zh-CN" w:bidi="ar"/>
                    </w:rPr>
                    <w:t>7200</w:t>
                  </w:r>
                </w:p>
              </w:tc>
              <w:tc>
                <w:tcPr>
                  <w:tcW w:w="855" w:type="dxa"/>
                  <w:vMerge w:val="restart"/>
                  <w:vAlign w:val="center"/>
                </w:tcPr>
                <w:p w14:paraId="3E4981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945" w:type="dxa"/>
                  <w:vMerge w:val="restart"/>
                  <w:vAlign w:val="center"/>
                </w:tcPr>
                <w:p w14:paraId="149113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1665" w:type="dxa"/>
                  <w:vMerge w:val="restart"/>
                  <w:vAlign w:val="center"/>
                </w:tcPr>
                <w:p w14:paraId="69225A49">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定期清扫地面</w:t>
                  </w:r>
                </w:p>
              </w:tc>
              <w:tc>
                <w:tcPr>
                  <w:tcW w:w="750" w:type="dxa"/>
                  <w:vMerge w:val="restart"/>
                  <w:vAlign w:val="center"/>
                </w:tcPr>
                <w:p w14:paraId="014576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765" w:type="dxa"/>
                  <w:vMerge w:val="restart"/>
                  <w:vAlign w:val="center"/>
                </w:tcPr>
                <w:p w14:paraId="245356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50" w:type="dxa"/>
                  <w:vMerge w:val="restart"/>
                  <w:vAlign w:val="center"/>
                </w:tcPr>
                <w:p w14:paraId="503DC75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Merge w:val="restart"/>
                  <w:vAlign w:val="center"/>
                </w:tcPr>
                <w:p w14:paraId="0BF76BE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r>
                    <w:rPr>
                      <w:rFonts w:hint="default" w:ascii="Times New Roman" w:hAnsi="Times New Roman" w:cs="Times New Roman"/>
                      <w:i w:val="0"/>
                      <w:iCs w:val="0"/>
                      <w:color w:val="000000"/>
                      <w:kern w:val="0"/>
                      <w:sz w:val="21"/>
                      <w:szCs w:val="21"/>
                      <w:u w:val="none"/>
                      <w:lang w:val="en-US" w:eastAsia="zh-CN" w:bidi="ar"/>
                    </w:rPr>
                    <w:t>1</w:t>
                  </w:r>
                </w:p>
              </w:tc>
            </w:tr>
            <w:tr w14:paraId="53C8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4F6BDE2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645" w:type="dxa"/>
                  <w:vMerge w:val="continue"/>
                  <w:vAlign w:val="center"/>
                </w:tcPr>
                <w:p w14:paraId="212E717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35" w:type="dxa"/>
                  <w:vMerge w:val="continue"/>
                  <w:vAlign w:val="center"/>
                </w:tcPr>
                <w:p w14:paraId="0A69E3B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645" w:type="dxa"/>
                  <w:vMerge w:val="continue"/>
                  <w:vAlign w:val="center"/>
                </w:tcPr>
                <w:p w14:paraId="3E8912C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85" w:type="dxa"/>
                  <w:vMerge w:val="continue"/>
                  <w:vAlign w:val="center"/>
                </w:tcPr>
                <w:p w14:paraId="64DD423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570" w:type="dxa"/>
                  <w:vMerge w:val="continue"/>
                  <w:vAlign w:val="center"/>
                </w:tcPr>
                <w:p w14:paraId="6D19822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p>
              </w:tc>
              <w:tc>
                <w:tcPr>
                  <w:tcW w:w="1380" w:type="dxa"/>
                  <w:vMerge w:val="restart"/>
                  <w:vAlign w:val="center"/>
                </w:tcPr>
                <w:p w14:paraId="05A6663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5#生产线天然气燃烧废气</w:t>
                  </w:r>
                </w:p>
              </w:tc>
              <w:tc>
                <w:tcPr>
                  <w:tcW w:w="1229" w:type="dxa"/>
                  <w:vAlign w:val="center"/>
                </w:tcPr>
                <w:p w14:paraId="0CFD0F9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颗粒物</w:t>
                  </w:r>
                </w:p>
              </w:tc>
              <w:tc>
                <w:tcPr>
                  <w:tcW w:w="600" w:type="dxa"/>
                  <w:vMerge w:val="continue"/>
                  <w:vAlign w:val="center"/>
                </w:tcPr>
                <w:p w14:paraId="18145EA5">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i w:val="0"/>
                      <w:iCs w:val="0"/>
                      <w:color w:val="000000"/>
                      <w:kern w:val="0"/>
                      <w:sz w:val="21"/>
                      <w:szCs w:val="21"/>
                      <w:u w:val="none"/>
                      <w:lang w:val="en-US" w:eastAsia="zh-CN" w:bidi="ar"/>
                    </w:rPr>
                  </w:pPr>
                </w:p>
              </w:tc>
              <w:tc>
                <w:tcPr>
                  <w:tcW w:w="855" w:type="dxa"/>
                  <w:vMerge w:val="continue"/>
                  <w:vAlign w:val="center"/>
                </w:tcPr>
                <w:p w14:paraId="21C81F8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945" w:type="dxa"/>
                  <w:vMerge w:val="continue"/>
                  <w:vAlign w:val="center"/>
                </w:tcPr>
                <w:p w14:paraId="67562E9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1665" w:type="dxa"/>
                  <w:vMerge w:val="continue"/>
                  <w:vAlign w:val="center"/>
                </w:tcPr>
                <w:p w14:paraId="492D4436">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0" w:type="dxa"/>
                  <w:vMerge w:val="continue"/>
                  <w:vAlign w:val="center"/>
                </w:tcPr>
                <w:p w14:paraId="6A88DD8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65" w:type="dxa"/>
                  <w:vMerge w:val="continue"/>
                  <w:vAlign w:val="center"/>
                </w:tcPr>
                <w:p w14:paraId="3F1C8D8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50" w:type="dxa"/>
                  <w:vMerge w:val="continue"/>
                  <w:vAlign w:val="center"/>
                </w:tcPr>
                <w:p w14:paraId="7A87C2C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01" w:type="dxa"/>
                  <w:vMerge w:val="continue"/>
                  <w:vAlign w:val="center"/>
                </w:tcPr>
                <w:p w14:paraId="4DD25E5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cs="Times New Roman"/>
                      <w:i w:val="0"/>
                      <w:iCs w:val="0"/>
                      <w:color w:val="000000"/>
                      <w:kern w:val="0"/>
                      <w:sz w:val="21"/>
                      <w:szCs w:val="21"/>
                      <w:u w:val="none"/>
                      <w:lang w:val="en-US" w:eastAsia="zh-CN" w:bidi="ar"/>
                    </w:rPr>
                  </w:pPr>
                </w:p>
              </w:tc>
            </w:tr>
            <w:tr w14:paraId="4222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0E6732E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645" w:type="dxa"/>
                  <w:vMerge w:val="continue"/>
                  <w:vAlign w:val="center"/>
                </w:tcPr>
                <w:p w14:paraId="6616F40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735" w:type="dxa"/>
                  <w:vMerge w:val="continue"/>
                  <w:vAlign w:val="center"/>
                </w:tcPr>
                <w:p w14:paraId="1E0942D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645" w:type="dxa"/>
                  <w:vMerge w:val="continue"/>
                  <w:vAlign w:val="center"/>
                </w:tcPr>
                <w:p w14:paraId="7C4D468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585" w:type="dxa"/>
                  <w:vMerge w:val="continue"/>
                  <w:vAlign w:val="center"/>
                </w:tcPr>
                <w:p w14:paraId="45DBBFA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570" w:type="dxa"/>
                  <w:vMerge w:val="continue"/>
                  <w:vAlign w:val="center"/>
                </w:tcPr>
                <w:p w14:paraId="2D1A0831">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1380" w:type="dxa"/>
                  <w:vMerge w:val="continue"/>
                  <w:vAlign w:val="center"/>
                </w:tcPr>
                <w:p w14:paraId="74341EE7">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rPr>
                  </w:pPr>
                </w:p>
              </w:tc>
              <w:tc>
                <w:tcPr>
                  <w:tcW w:w="1229" w:type="dxa"/>
                  <w:vAlign w:val="center"/>
                </w:tcPr>
                <w:p w14:paraId="40926EBF">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SO</w:t>
                  </w:r>
                  <w:r>
                    <w:rPr>
                      <w:rFonts w:hint="eastAsia" w:cs="宋体"/>
                      <w:spacing w:val="-3"/>
                      <w:sz w:val="21"/>
                      <w:szCs w:val="21"/>
                      <w:vertAlign w:val="subscript"/>
                      <w:lang w:val="en-US" w:eastAsia="zh-CN"/>
                    </w:rPr>
                    <w:t>2</w:t>
                  </w:r>
                </w:p>
              </w:tc>
              <w:tc>
                <w:tcPr>
                  <w:tcW w:w="600" w:type="dxa"/>
                  <w:vMerge w:val="continue"/>
                  <w:vAlign w:val="center"/>
                </w:tcPr>
                <w:p w14:paraId="0AC4D87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855" w:type="dxa"/>
                  <w:vAlign w:val="center"/>
                </w:tcPr>
                <w:p w14:paraId="053210B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c>
                <w:tcPr>
                  <w:tcW w:w="945" w:type="dxa"/>
                  <w:vAlign w:val="center"/>
                </w:tcPr>
                <w:p w14:paraId="6D5744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0.00002 </w:t>
                  </w:r>
                </w:p>
              </w:tc>
              <w:tc>
                <w:tcPr>
                  <w:tcW w:w="1665" w:type="dxa"/>
                  <w:vMerge w:val="restart"/>
                  <w:vAlign w:val="center"/>
                </w:tcPr>
                <w:p w14:paraId="4D663B14">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eastAsia" w:cs="Times New Roman"/>
                      <w:i w:val="0"/>
                      <w:iCs w:val="0"/>
                      <w:color w:val="000000"/>
                      <w:kern w:val="0"/>
                      <w:sz w:val="21"/>
                      <w:szCs w:val="21"/>
                      <w:u w:val="none"/>
                      <w:lang w:val="en-US" w:eastAsia="zh-CN" w:bidi="ar"/>
                    </w:rPr>
                    <w:t>/</w:t>
                  </w:r>
                </w:p>
              </w:tc>
              <w:tc>
                <w:tcPr>
                  <w:tcW w:w="750" w:type="dxa"/>
                  <w:vAlign w:val="center"/>
                </w:tcPr>
                <w:p w14:paraId="03D836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c>
                <w:tcPr>
                  <w:tcW w:w="765" w:type="dxa"/>
                  <w:vAlign w:val="center"/>
                </w:tcPr>
                <w:p w14:paraId="3C154C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0.00002 </w:t>
                  </w:r>
                </w:p>
              </w:tc>
              <w:tc>
                <w:tcPr>
                  <w:tcW w:w="750" w:type="dxa"/>
                  <w:vAlign w:val="center"/>
                </w:tcPr>
                <w:p w14:paraId="50B4E38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Align w:val="center"/>
                </w:tcPr>
                <w:p w14:paraId="2ED80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b w:val="0"/>
                      <w:bCs w:val="0"/>
                      <w:color w:val="auto"/>
                      <w:sz w:val="21"/>
                      <w:szCs w:val="21"/>
                      <w:lang w:val="en-US" w:eastAsia="zh-CN"/>
                    </w:rPr>
                    <w:t>0.4</w:t>
                  </w:r>
                </w:p>
              </w:tc>
            </w:tr>
            <w:tr w14:paraId="79D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70" w:type="dxa"/>
                  <w:vMerge w:val="continue"/>
                  <w:vAlign w:val="center"/>
                </w:tcPr>
                <w:p w14:paraId="0A78B7A0">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645" w:type="dxa"/>
                  <w:vMerge w:val="continue"/>
                  <w:vAlign w:val="center"/>
                </w:tcPr>
                <w:p w14:paraId="3EF6D8F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735" w:type="dxa"/>
                  <w:vMerge w:val="continue"/>
                  <w:vAlign w:val="center"/>
                </w:tcPr>
                <w:p w14:paraId="1E173962">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645" w:type="dxa"/>
                  <w:vMerge w:val="continue"/>
                  <w:vAlign w:val="center"/>
                </w:tcPr>
                <w:p w14:paraId="48329B1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585" w:type="dxa"/>
                  <w:vMerge w:val="continue"/>
                  <w:vAlign w:val="center"/>
                </w:tcPr>
                <w:p w14:paraId="527EAB39">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570" w:type="dxa"/>
                  <w:vMerge w:val="continue"/>
                  <w:vAlign w:val="center"/>
                </w:tcPr>
                <w:p w14:paraId="25311A2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1380" w:type="dxa"/>
                  <w:vMerge w:val="continue"/>
                  <w:vAlign w:val="center"/>
                </w:tcPr>
                <w:p w14:paraId="18E2E643">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1229" w:type="dxa"/>
                  <w:vAlign w:val="center"/>
                </w:tcPr>
                <w:p w14:paraId="47A3BB9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center"/>
                    <w:rPr>
                      <w:rFonts w:hint="eastAsia" w:eastAsia="宋体" w:cs="Times New Roman"/>
                      <w:b w:val="0"/>
                      <w:bCs w:val="0"/>
                      <w:color w:val="auto"/>
                      <w:sz w:val="21"/>
                      <w:szCs w:val="21"/>
                      <w:lang w:val="en-US" w:eastAsia="zh-CN"/>
                    </w:rPr>
                  </w:pPr>
                  <w:r>
                    <w:rPr>
                      <w:rFonts w:hint="eastAsia" w:cs="宋体"/>
                      <w:spacing w:val="-3"/>
                      <w:sz w:val="21"/>
                      <w:szCs w:val="21"/>
                      <w:vertAlign w:val="baseline"/>
                      <w:lang w:val="en-US" w:eastAsia="zh-CN"/>
                    </w:rPr>
                    <w:t>NO</w:t>
                  </w:r>
                  <w:r>
                    <w:rPr>
                      <w:rFonts w:hint="eastAsia" w:cs="宋体"/>
                      <w:spacing w:val="-3"/>
                      <w:sz w:val="21"/>
                      <w:szCs w:val="21"/>
                      <w:vertAlign w:val="subscript"/>
                      <w:lang w:val="en-US" w:eastAsia="zh-CN"/>
                    </w:rPr>
                    <w:t>x</w:t>
                  </w:r>
                </w:p>
              </w:tc>
              <w:tc>
                <w:tcPr>
                  <w:tcW w:w="600" w:type="dxa"/>
                  <w:vMerge w:val="continue"/>
                  <w:vAlign w:val="center"/>
                </w:tcPr>
                <w:p w14:paraId="20EDD4F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eastAsia" w:eastAsia="宋体" w:cs="Times New Roman"/>
                      <w:b w:val="0"/>
                      <w:bCs w:val="0"/>
                      <w:color w:val="auto"/>
                      <w:sz w:val="21"/>
                      <w:szCs w:val="21"/>
                      <w:lang w:val="en-US" w:eastAsia="zh-CN"/>
                    </w:rPr>
                  </w:pPr>
                </w:p>
              </w:tc>
              <w:tc>
                <w:tcPr>
                  <w:tcW w:w="855" w:type="dxa"/>
                  <w:vAlign w:val="center"/>
                </w:tcPr>
                <w:p w14:paraId="239F5C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945" w:type="dxa"/>
                  <w:vAlign w:val="center"/>
                </w:tcPr>
                <w:p w14:paraId="2A2410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c>
                <w:tcPr>
                  <w:tcW w:w="1665" w:type="dxa"/>
                  <w:vMerge w:val="continue"/>
                  <w:vAlign w:val="center"/>
                </w:tcPr>
                <w:p w14:paraId="5508FF07">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p>
              </w:tc>
              <w:tc>
                <w:tcPr>
                  <w:tcW w:w="750" w:type="dxa"/>
                  <w:vAlign w:val="center"/>
                </w:tcPr>
                <w:p w14:paraId="1B4054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65" w:type="dxa"/>
                  <w:vAlign w:val="center"/>
                </w:tcPr>
                <w:p w14:paraId="2BFBE9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0.0002 </w:t>
                  </w:r>
                </w:p>
              </w:tc>
              <w:tc>
                <w:tcPr>
                  <w:tcW w:w="750" w:type="dxa"/>
                  <w:vAlign w:val="center"/>
                </w:tcPr>
                <w:p w14:paraId="3CBEE77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ind w:left="0" w:right="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w:t>
                  </w:r>
                </w:p>
              </w:tc>
              <w:tc>
                <w:tcPr>
                  <w:tcW w:w="801" w:type="dxa"/>
                  <w:vAlign w:val="center"/>
                </w:tcPr>
                <w:p w14:paraId="5987FA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b w:val="0"/>
                      <w:bCs w:val="0"/>
                      <w:color w:val="auto"/>
                      <w:sz w:val="21"/>
                      <w:szCs w:val="21"/>
                      <w:lang w:val="en-US" w:eastAsia="zh-CN"/>
                    </w:rPr>
                    <w:t>0.12</w:t>
                  </w:r>
                </w:p>
              </w:tc>
            </w:tr>
          </w:tbl>
          <w:p w14:paraId="73E1A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b/>
                <w:bCs/>
                <w:sz w:val="24"/>
                <w:szCs w:val="24"/>
                <w:highlight w:val="none"/>
                <w:vertAlign w:val="baseline"/>
                <w:lang w:val="en-US" w:eastAsia="zh-CN"/>
              </w:rPr>
            </w:pPr>
          </w:p>
        </w:tc>
      </w:tr>
    </w:tbl>
    <w:p w14:paraId="5A023530">
      <w:pPr>
        <w:pStyle w:val="28"/>
        <w:spacing w:before="0" w:beforeAutospacing="0" w:after="0" w:afterAutospacing="0" w:line="360" w:lineRule="auto"/>
        <w:jc w:val="center"/>
        <w:outlineLvl w:val="0"/>
        <w:rPr>
          <w:rFonts w:hint="eastAsia" w:ascii="黑体" w:hAnsi="黑体" w:eastAsia="黑体" w:cs="黑体"/>
          <w:b w:val="0"/>
          <w:bCs w:val="0"/>
          <w:snapToGrid w:val="0"/>
          <w:color w:val="0000FF"/>
          <w:sz w:val="30"/>
          <w:szCs w:val="30"/>
          <w:highlight w:val="none"/>
        </w:rPr>
        <w:sectPr>
          <w:footerReference r:id="rId4" w:type="default"/>
          <w:pgSz w:w="16838" w:h="11906" w:orient="landscape"/>
          <w:pgMar w:top="1417" w:right="1440" w:bottom="1800" w:left="1440" w:header="851" w:footer="992" w:gutter="0"/>
          <w:pgNumType w:fmt="decimal"/>
          <w:cols w:space="425" w:num="1"/>
          <w:docGrid w:type="lines"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8482"/>
      </w:tblGrid>
      <w:tr w14:paraId="7F6B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dxa"/>
          </w:tcPr>
          <w:p w14:paraId="430CE732">
            <w:pPr>
              <w:pStyle w:val="28"/>
              <w:keepNext w:val="0"/>
              <w:keepLines w:val="0"/>
              <w:suppressLineNumbers w:val="0"/>
              <w:spacing w:before="0" w:beforeAutospacing="0" w:after="0" w:afterAutospacing="0" w:line="360" w:lineRule="auto"/>
              <w:ind w:left="0" w:right="0"/>
              <w:jc w:val="center"/>
              <w:outlineLvl w:val="0"/>
              <w:rPr>
                <w:rFonts w:hint="default"/>
                <w:vertAlign w:val="baseline"/>
              </w:rPr>
            </w:pPr>
          </w:p>
        </w:tc>
        <w:tc>
          <w:tcPr>
            <w:tcW w:w="8482" w:type="dxa"/>
          </w:tcPr>
          <w:p w14:paraId="7669A0E7">
            <w:pPr>
              <w:keepNext w:val="0"/>
              <w:keepLines w:val="0"/>
              <w:suppressLineNumbers w:val="0"/>
              <w:spacing w:before="0" w:beforeAutospacing="0" w:after="0" w:afterAutospacing="0" w:line="360" w:lineRule="auto"/>
              <w:ind w:left="0" w:right="0"/>
              <w:jc w:val="left"/>
              <w:rPr>
                <w:rFonts w:hint="default" w:hAnsi="宋体"/>
                <w:b/>
                <w:bCs/>
                <w:color w:val="auto"/>
                <w:sz w:val="24"/>
                <w:szCs w:val="24"/>
              </w:rPr>
            </w:pPr>
            <w:r>
              <w:rPr>
                <w:rFonts w:hint="default"/>
                <w:b/>
                <w:bCs/>
                <w:color w:val="auto"/>
                <w:sz w:val="24"/>
                <w:szCs w:val="24"/>
              </w:rPr>
              <w:t>2.</w:t>
            </w:r>
            <w:r>
              <w:rPr>
                <w:rFonts w:hint="eastAsia"/>
                <w:b/>
                <w:bCs/>
                <w:color w:val="auto"/>
                <w:sz w:val="24"/>
                <w:szCs w:val="24"/>
                <w:lang w:val="en-US" w:eastAsia="zh-CN"/>
              </w:rPr>
              <w:t>3 废气治理技术可行性</w:t>
            </w:r>
            <w:r>
              <w:rPr>
                <w:rFonts w:hint="eastAsia" w:hAnsi="宋体" w:cs="宋体"/>
                <w:b/>
                <w:bCs/>
                <w:color w:val="auto"/>
                <w:sz w:val="24"/>
                <w:szCs w:val="24"/>
              </w:rPr>
              <w:t>分析</w:t>
            </w:r>
          </w:p>
          <w:p w14:paraId="0475ACA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布袋除尘器是利用棉、毛、人造纤维等编织物作为滤袋起过滤作用，对颗粒物进行捕集而达到除尘效果的。其主要工作原理是：含尘气流从下部进入圆筒形滤袋，在通过滤料的孔隙时，粉尘被捕集于滤料上，透过滤料的清洁气体由排出口排出。沉积在滤料上的粉尘，可在机械振动的作</w:t>
            </w:r>
            <w:r>
              <w:rPr>
                <w:rFonts w:hint="default" w:ascii="Times New Roman" w:hAnsi="Times New Roman" w:eastAsia="宋体" w:cs="Times New Roman"/>
                <w:color w:val="auto"/>
                <w:sz w:val="24"/>
                <w:szCs w:val="24"/>
                <w:lang w:val="en-US" w:eastAsia="zh-CN"/>
              </w:rPr>
              <w:t>用下从滤料表面脱落，落入灰斗。滤料本身网孔较小，一般为20~50μm，表面起绒的滤料为5~10μm，而新型滤料的孔径在5μm以下。按不同粒径的粉尘在流体中运动的不同物理</w:t>
            </w:r>
            <w:r>
              <w:rPr>
                <w:rFonts w:hint="eastAsia" w:ascii="Times New Roman" w:hAnsi="Times New Roman" w:eastAsia="宋体" w:cs="宋体"/>
                <w:color w:val="auto"/>
                <w:sz w:val="24"/>
                <w:szCs w:val="24"/>
                <w:lang w:val="en-US" w:eastAsia="zh-CN"/>
              </w:rPr>
              <w:t>学特征，颗粒物通过惯性碰撞、截留、扩散、静电、筛滤等作用被捕集。此外，粉尘因截留、惯性碰撞、静电和扩散等作用，逐渐在滤袋表面形成粉尘层，常称为粉层初层。初层形成后，成为袋式除尘器的主要过滤层，提高了除尘效率。滤布只不过起着形成粉尘初层和支撑它的骨架作用，但随着粉尘在滤袋上积聚，滤袋两侧的压力差增大，会把有些已附在滤料上的细小粉尘挤压过去，使除尘效率下降。另外，若除尘器阻力过高，还会使除尘系统的处理气体量显著下降，影响生产系统的排风效果。因此，除尘器阻力达到一定数值后，要及时清灰。</w:t>
            </w:r>
          </w:p>
          <w:p w14:paraId="1C2C091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根据《当前国家鼓励发展的环保产业设备（产品）目录》（第一批）、《环境工程技术手册——废气处理过程技术手册》（2016年修订版），布袋除尘器对干性粉尘、亚微米以下数量级粉尘粒子的除尘效率通常可达到99.00%~99.99%，也是当前建材行业中常用的高效过滤式除尘器。颗粒物经布袋过滤后灰尘积附在滤袋的内表面上，本环评除尘效率取99%，未吸收尾气汇集到排气筒排入大气环境。</w:t>
            </w:r>
          </w:p>
          <w:p w14:paraId="0D49990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环评要求建设单位应关注运行过程中的清灰、维护，避免布袋除尘器内部因积灰而影响处理效率。</w:t>
            </w:r>
          </w:p>
          <w:p w14:paraId="1FAD6A7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eastAsia="宋体"/>
                <w:b/>
                <w:bCs/>
                <w:sz w:val="24"/>
                <w:szCs w:val="24"/>
                <w:lang w:val="en-US" w:eastAsia="zh-CN"/>
              </w:rPr>
            </w:pPr>
            <w:r>
              <w:rPr>
                <w:rFonts w:hint="eastAsia"/>
                <w:sz w:val="24"/>
                <w:szCs w:val="24"/>
                <w:lang w:val="en-US" w:eastAsia="zh-CN"/>
              </w:rPr>
              <w:t>参照《排放源统计调查产排污核算方法和系数手册》3051技术玻璃制品制造行业系数表、</w:t>
            </w:r>
            <w:r>
              <w:rPr>
                <w:rFonts w:hint="eastAsia"/>
                <w:sz w:val="24"/>
                <w:szCs w:val="24"/>
              </w:rPr>
              <w:t>《排污许可申请与核发技术规范 总则》（HJ942-2018）中相关标准</w:t>
            </w:r>
            <w:r>
              <w:rPr>
                <w:rFonts w:hint="eastAsia"/>
                <w:sz w:val="24"/>
                <w:szCs w:val="24"/>
                <w:lang w:val="en-US" w:eastAsia="zh-CN"/>
              </w:rPr>
              <w:t>，末</w:t>
            </w:r>
            <w:r>
              <w:rPr>
                <w:rFonts w:hint="default" w:ascii="宋体" w:hAnsi="宋体" w:eastAsia="宋体" w:cs="宋体"/>
                <w:sz w:val="24"/>
                <w:szCs w:val="24"/>
              </w:rPr>
              <w:t>端治理技术</w:t>
            </w:r>
            <w:r>
              <w:rPr>
                <w:rFonts w:hint="eastAsia" w:ascii="宋体" w:hAnsi="宋体" w:eastAsia="宋体" w:cs="宋体"/>
                <w:sz w:val="24"/>
                <w:szCs w:val="24"/>
                <w:lang w:val="en-US" w:eastAsia="zh-CN"/>
              </w:rPr>
              <w:t>见下表：</w:t>
            </w:r>
          </w:p>
          <w:p w14:paraId="0059C3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表4-</w:t>
            </w:r>
            <w:r>
              <w:rPr>
                <w:rFonts w:hint="eastAsia" w:cs="Times New Roman"/>
                <w:b/>
                <w:bCs/>
                <w:color w:val="auto"/>
                <w:sz w:val="24"/>
                <w:szCs w:val="24"/>
                <w:lang w:val="en-US" w:eastAsia="zh-CN"/>
              </w:rPr>
              <w:t>21</w:t>
            </w:r>
            <w:r>
              <w:rPr>
                <w:rFonts w:hint="eastAsia" w:ascii="Times New Roman" w:hAnsi="Times New Roman" w:eastAsia="宋体" w:cs="Times New Roman"/>
                <w:b/>
                <w:bCs/>
                <w:color w:val="auto"/>
                <w:sz w:val="24"/>
                <w:szCs w:val="24"/>
                <w:lang w:val="en-US" w:eastAsia="zh-CN"/>
              </w:rPr>
              <w:t xml:space="preserve">  污染防治可行技术对比分析</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973"/>
              <w:gridCol w:w="3632"/>
              <w:gridCol w:w="1588"/>
            </w:tblGrid>
            <w:tr w14:paraId="431E9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5" w:type="dxa"/>
                  <w:noWrap w:val="0"/>
                  <w:vAlign w:val="center"/>
                </w:tcPr>
                <w:p w14:paraId="53DE6E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污染物</w:t>
                  </w:r>
                </w:p>
              </w:tc>
              <w:tc>
                <w:tcPr>
                  <w:tcW w:w="1957" w:type="dxa"/>
                  <w:noWrap w:val="0"/>
                  <w:vAlign w:val="center"/>
                </w:tcPr>
                <w:p w14:paraId="5D0AB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末端治理技术</w:t>
                  </w:r>
                </w:p>
              </w:tc>
              <w:tc>
                <w:tcPr>
                  <w:tcW w:w="3603" w:type="dxa"/>
                  <w:noWrap w:val="0"/>
                  <w:vAlign w:val="center"/>
                </w:tcPr>
                <w:p w14:paraId="193D2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本项目</w:t>
                  </w:r>
                  <w:r>
                    <w:rPr>
                      <w:rFonts w:hint="eastAsia" w:ascii="Times New Roman" w:hAnsi="Times New Roman" w:eastAsia="宋体" w:cs="Times New Roman"/>
                      <w:b/>
                      <w:bCs/>
                      <w:color w:val="auto"/>
                      <w:sz w:val="21"/>
                      <w:szCs w:val="21"/>
                      <w:lang w:val="en-US" w:eastAsia="zh-CN"/>
                    </w:rPr>
                    <w:t>内容</w:t>
                  </w:r>
                </w:p>
              </w:tc>
              <w:tc>
                <w:tcPr>
                  <w:tcW w:w="1575" w:type="dxa"/>
                  <w:noWrap w:val="0"/>
                  <w:vAlign w:val="center"/>
                </w:tcPr>
                <w:p w14:paraId="1AF74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是否可行</w:t>
                  </w:r>
                </w:p>
              </w:tc>
            </w:tr>
            <w:tr w14:paraId="0D3C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5" w:type="dxa"/>
                  <w:noWrap w:val="0"/>
                  <w:vAlign w:val="center"/>
                </w:tcPr>
                <w:p w14:paraId="64848B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颗粒物</w:t>
                  </w:r>
                </w:p>
              </w:tc>
              <w:tc>
                <w:tcPr>
                  <w:tcW w:w="1957" w:type="dxa"/>
                  <w:noWrap w:val="0"/>
                  <w:vAlign w:val="center"/>
                </w:tcPr>
                <w:p w14:paraId="030698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袋式除尘</w:t>
                  </w:r>
                </w:p>
              </w:tc>
              <w:tc>
                <w:tcPr>
                  <w:tcW w:w="3603" w:type="dxa"/>
                  <w:noWrap w:val="0"/>
                  <w:vAlign w:val="center"/>
                </w:tcPr>
                <w:p w14:paraId="27D58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布袋除尘器+15m高排气筒排放</w:t>
                  </w:r>
                </w:p>
              </w:tc>
              <w:tc>
                <w:tcPr>
                  <w:tcW w:w="1575" w:type="dxa"/>
                  <w:noWrap w:val="0"/>
                  <w:vAlign w:val="center"/>
                </w:tcPr>
                <w:p w14:paraId="175766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是</w:t>
                  </w:r>
                </w:p>
              </w:tc>
            </w:tr>
          </w:tbl>
          <w:p w14:paraId="4257C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s="宋体"/>
                <w:b/>
                <w:bCs/>
                <w:color w:val="auto"/>
                <w:sz w:val="24"/>
                <w:szCs w:val="24"/>
                <w:lang w:val="en-US" w:eastAsia="zh-CN"/>
              </w:rPr>
            </w:pPr>
            <w:r>
              <w:rPr>
                <w:rFonts w:hint="eastAsia" w:ascii="Times New Roman" w:hAnsi="Times New Roman" w:eastAsia="宋体" w:cs="宋体"/>
                <w:color w:val="auto"/>
                <w:sz w:val="24"/>
                <w:szCs w:val="24"/>
                <w:lang w:val="en-US" w:eastAsia="zh-CN"/>
              </w:rPr>
              <w:t>综上，本项目运营期废气均得到有效的处置，废气可以实现稳定达标排放。因此，本项目废气处理措施是可行的。</w:t>
            </w:r>
          </w:p>
          <w:p w14:paraId="5A607B2F">
            <w:pPr>
              <w:keepNext w:val="0"/>
              <w:keepLines w:val="0"/>
              <w:widowControl/>
              <w:suppressLineNumbers w:val="0"/>
              <w:spacing w:before="0" w:beforeAutospacing="0" w:after="0" w:afterAutospacing="0" w:line="360" w:lineRule="auto"/>
              <w:ind w:left="0" w:right="0"/>
              <w:jc w:val="left"/>
              <w:rPr>
                <w:rFonts w:hint="eastAsia"/>
                <w:b/>
                <w:bCs/>
                <w:color w:val="auto"/>
                <w:sz w:val="24"/>
                <w:szCs w:val="24"/>
                <w:lang w:val="en-US" w:eastAsia="zh-CN"/>
              </w:rPr>
            </w:pPr>
            <w:r>
              <w:rPr>
                <w:rFonts w:hint="eastAsia"/>
                <w:b/>
                <w:bCs/>
                <w:color w:val="auto"/>
                <w:sz w:val="24"/>
                <w:szCs w:val="24"/>
                <w:lang w:val="en-US" w:eastAsia="zh-CN"/>
              </w:rPr>
              <w:t>2.4无组织排放控制要求</w:t>
            </w:r>
          </w:p>
          <w:p w14:paraId="1FE38EB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（1）本项目颗粒状、</w:t>
            </w:r>
            <w:r>
              <w:rPr>
                <w:rFonts w:hint="eastAsia" w:cs="Times New Roman"/>
                <w:color w:val="auto"/>
                <w:sz w:val="24"/>
                <w:szCs w:val="24"/>
                <w:lang w:val="en-US" w:eastAsia="zh-CN"/>
              </w:rPr>
              <w:t>结晶状、</w:t>
            </w:r>
            <w:r>
              <w:rPr>
                <w:rFonts w:hint="eastAsia" w:ascii="Times New Roman" w:hAnsi="Times New Roman" w:eastAsia="宋体" w:cs="Times New Roman"/>
                <w:color w:val="auto"/>
                <w:sz w:val="24"/>
                <w:szCs w:val="24"/>
                <w:lang w:val="en-US" w:eastAsia="zh-CN"/>
              </w:rPr>
              <w:t>碎玻璃等物料均置于封闭原料库内。</w:t>
            </w:r>
          </w:p>
          <w:p w14:paraId="1BD37E4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（2）配料、混料物料输送采用密闭绞龙、皮带等输送方式。</w:t>
            </w:r>
          </w:p>
          <w:p w14:paraId="018FE10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b/>
                <w:bCs/>
                <w:color w:val="auto"/>
                <w:sz w:val="24"/>
                <w:szCs w:val="24"/>
                <w:lang w:val="en-US" w:eastAsia="zh-CN"/>
              </w:rPr>
            </w:pPr>
            <w:r>
              <w:rPr>
                <w:rFonts w:hint="eastAsia" w:ascii="Times New Roman" w:hAnsi="Times New Roman" w:eastAsia="宋体" w:cs="Times New Roman"/>
                <w:color w:val="auto"/>
                <w:sz w:val="24"/>
                <w:szCs w:val="24"/>
                <w:lang w:val="en-US" w:eastAsia="zh-CN"/>
              </w:rPr>
              <w:t>（3）厂区道路应硬化，并采取清扫等措施保持清洁。未硬化的厂区采取绿化等措施。</w:t>
            </w:r>
          </w:p>
          <w:p w14:paraId="283010E2">
            <w:pPr>
              <w:pStyle w:val="18"/>
              <w:keepNext w:val="0"/>
              <w:keepLines w:val="0"/>
              <w:suppressLineNumbers w:val="0"/>
              <w:autoSpaceDE w:val="0"/>
              <w:spacing w:before="0" w:beforeAutospacing="0" w:after="0" w:afterAutospacing="0" w:line="360" w:lineRule="auto"/>
              <w:ind w:left="0" w:right="0" w:firstLine="0"/>
              <w:rPr>
                <w:rFonts w:hint="default"/>
                <w:b/>
                <w:bCs/>
                <w:color w:val="auto"/>
                <w:sz w:val="24"/>
                <w:szCs w:val="24"/>
              </w:rPr>
            </w:pPr>
            <w:r>
              <w:rPr>
                <w:rFonts w:hint="eastAsia" w:cs="宋体"/>
                <w:b/>
                <w:bCs/>
                <w:color w:val="auto"/>
                <w:sz w:val="24"/>
                <w:szCs w:val="24"/>
                <w:lang w:val="en-US" w:eastAsia="zh-CN"/>
              </w:rPr>
              <w:t>2.5</w:t>
            </w:r>
            <w:r>
              <w:rPr>
                <w:rFonts w:hint="eastAsia" w:cs="宋体"/>
                <w:b/>
                <w:bCs/>
                <w:color w:val="auto"/>
                <w:sz w:val="24"/>
                <w:szCs w:val="24"/>
              </w:rPr>
              <w:t>监测计划</w:t>
            </w:r>
          </w:p>
          <w:p w14:paraId="3CAB39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rPr>
            </w:pPr>
            <w:r>
              <w:rPr>
                <w:rFonts w:hint="eastAsia" w:eastAsia="宋体" w:cs="宋体"/>
                <w:color w:val="auto"/>
                <w:sz w:val="24"/>
                <w:szCs w:val="24"/>
              </w:rPr>
              <w:t>根据《排污单位自行监测技术指南 总则》（HJ819-2017）</w:t>
            </w:r>
            <w:r>
              <w:rPr>
                <w:rFonts w:hint="eastAsia" w:cs="宋体"/>
                <w:color w:val="auto"/>
                <w:sz w:val="24"/>
                <w:szCs w:val="24"/>
                <w:lang w:eastAsia="zh-CN"/>
              </w:rPr>
              <w:t>、</w:t>
            </w:r>
            <w:r>
              <w:rPr>
                <w:rFonts w:hint="eastAsia" w:cs="宋体"/>
                <w:color w:val="auto"/>
                <w:sz w:val="24"/>
                <w:szCs w:val="24"/>
                <w:lang w:val="en-US" w:eastAsia="zh-CN"/>
              </w:rPr>
              <w:t>《</w:t>
            </w:r>
            <w:r>
              <w:rPr>
                <w:rFonts w:hint="eastAsia" w:cs="宋体"/>
                <w:color w:val="auto"/>
                <w:sz w:val="24"/>
                <w:szCs w:val="24"/>
                <w:lang w:val="en-US" w:eastAsia="zh-CN"/>
              </w:rPr>
              <w:fldChar w:fldCharType="begin"/>
            </w:r>
            <w:r>
              <w:rPr>
                <w:rFonts w:hint="eastAsia" w:cs="宋体"/>
                <w:color w:val="auto"/>
                <w:sz w:val="24"/>
                <w:szCs w:val="24"/>
                <w:lang w:val="en-US" w:eastAsia="zh-CN"/>
              </w:rPr>
              <w:instrText xml:space="preserve"> HYPERLINK "https://www.mee.gov.cn/ywgz/fgbz/bz/bzwb/pwxk/202004/W020200401325055992721.pdf" </w:instrText>
            </w:r>
            <w:r>
              <w:rPr>
                <w:rFonts w:hint="eastAsia" w:cs="宋体"/>
                <w:color w:val="auto"/>
                <w:sz w:val="24"/>
                <w:szCs w:val="24"/>
                <w:lang w:val="en-US" w:eastAsia="zh-CN"/>
              </w:rPr>
              <w:fldChar w:fldCharType="separate"/>
            </w:r>
            <w:r>
              <w:rPr>
                <w:rFonts w:hint="eastAsia" w:cs="宋体"/>
                <w:color w:val="auto"/>
                <w:sz w:val="24"/>
                <w:szCs w:val="24"/>
                <w:lang w:val="en-US" w:eastAsia="zh-CN"/>
              </w:rPr>
              <w:t>排污许可证申请与核发技术规范 工业炉窑》（HJ1121</w:t>
            </w:r>
            <w:r>
              <w:rPr>
                <w:rFonts w:hint="eastAsia" w:eastAsia="宋体" w:cs="宋体"/>
                <w:color w:val="auto"/>
                <w:sz w:val="24"/>
                <w:szCs w:val="24"/>
              </w:rPr>
              <w:t>-</w:t>
            </w:r>
            <w:r>
              <w:rPr>
                <w:rFonts w:hint="eastAsia" w:cs="宋体"/>
                <w:color w:val="auto"/>
                <w:sz w:val="24"/>
                <w:szCs w:val="24"/>
                <w:lang w:val="en-US" w:eastAsia="zh-CN"/>
              </w:rPr>
              <w:t>2020）</w:t>
            </w:r>
            <w:r>
              <w:rPr>
                <w:rFonts w:hint="eastAsia" w:cs="宋体"/>
                <w:color w:val="auto"/>
                <w:sz w:val="24"/>
                <w:szCs w:val="24"/>
                <w:lang w:val="en-US" w:eastAsia="zh-CN"/>
              </w:rPr>
              <w:fldChar w:fldCharType="end"/>
            </w:r>
            <w:r>
              <w:rPr>
                <w:rFonts w:hint="eastAsia" w:ascii="Times New Roman" w:hAnsi="Times New Roman" w:cs="Times New Roman"/>
                <w:color w:val="auto"/>
                <w:sz w:val="24"/>
                <w:szCs w:val="24"/>
                <w:lang w:val="en-US" w:eastAsia="zh-CN"/>
              </w:rPr>
              <w:t>要求，提出环境监测计划</w:t>
            </w:r>
            <w:r>
              <w:rPr>
                <w:rFonts w:hint="default" w:ascii="Times New Roman" w:hAnsi="Times New Roman" w:cs="Times New Roman"/>
                <w:color w:val="auto"/>
                <w:sz w:val="24"/>
                <w:szCs w:val="24"/>
              </w:rPr>
              <w:t>。</w:t>
            </w:r>
          </w:p>
          <w:p w14:paraId="68AD42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eastAsia="宋体" w:cs="宋体"/>
                <w:color w:val="auto"/>
                <w:sz w:val="24"/>
                <w:szCs w:val="24"/>
              </w:rPr>
            </w:pPr>
            <w:r>
              <w:rPr>
                <w:rFonts w:hint="default" w:ascii="Times New Roman" w:hAnsi="Times New Roman" w:cs="Times New Roman"/>
                <w:color w:val="auto"/>
                <w:sz w:val="24"/>
                <w:szCs w:val="24"/>
              </w:rPr>
              <w:t>若企业不具备监测条件，可委托有资质的监测单位进行监测，监测结果以报表形式上报当地环保主管部门。</w:t>
            </w:r>
          </w:p>
          <w:p w14:paraId="020EE6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4"/>
                <w:szCs w:val="24"/>
                <w:lang w:val="en-US" w:eastAsia="zh-CN"/>
              </w:rPr>
            </w:pPr>
            <w:r>
              <w:rPr>
                <w:rFonts w:hint="eastAsia" w:eastAsia="宋体"/>
                <w:b/>
                <w:bCs/>
                <w:color w:val="auto"/>
                <w:sz w:val="24"/>
                <w:szCs w:val="24"/>
                <w:lang w:val="en-US" w:eastAsia="zh-CN"/>
              </w:rPr>
              <w:t>表</w:t>
            </w:r>
            <w:r>
              <w:rPr>
                <w:rFonts w:hint="default" w:eastAsia="宋体"/>
                <w:b/>
                <w:bCs/>
                <w:color w:val="auto"/>
                <w:sz w:val="24"/>
                <w:szCs w:val="24"/>
                <w:lang w:val="en-US" w:eastAsia="zh-CN"/>
              </w:rPr>
              <w:t>4-</w:t>
            </w:r>
            <w:r>
              <w:rPr>
                <w:rFonts w:hint="eastAsia"/>
                <w:b/>
                <w:bCs/>
                <w:color w:val="auto"/>
                <w:sz w:val="24"/>
                <w:szCs w:val="24"/>
                <w:lang w:val="en-US" w:eastAsia="zh-CN"/>
              </w:rPr>
              <w:t>22</w:t>
            </w:r>
            <w:r>
              <w:rPr>
                <w:rFonts w:hint="eastAsia" w:eastAsia="宋体"/>
                <w:b/>
                <w:bCs/>
                <w:color w:val="auto"/>
                <w:sz w:val="24"/>
                <w:szCs w:val="24"/>
                <w:lang w:val="en-US" w:eastAsia="zh-CN"/>
              </w:rPr>
              <w:t xml:space="preserve"> </w:t>
            </w:r>
            <w:r>
              <w:rPr>
                <w:rFonts w:hint="default" w:eastAsia="宋体"/>
                <w:b/>
                <w:bCs/>
                <w:color w:val="auto"/>
                <w:sz w:val="24"/>
                <w:szCs w:val="24"/>
                <w:lang w:val="en-US" w:eastAsia="zh-CN"/>
              </w:rPr>
              <w:t xml:space="preserve"> </w:t>
            </w:r>
            <w:r>
              <w:rPr>
                <w:rFonts w:hint="eastAsia" w:eastAsia="宋体"/>
                <w:b/>
                <w:bCs/>
                <w:color w:val="auto"/>
                <w:sz w:val="24"/>
                <w:szCs w:val="24"/>
                <w:lang w:val="en-US" w:eastAsia="zh-CN"/>
              </w:rPr>
              <w:t>项目废气监测计划</w:t>
            </w:r>
          </w:p>
          <w:tbl>
            <w:tblPr>
              <w:tblStyle w:val="3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962"/>
              <w:gridCol w:w="1185"/>
              <w:gridCol w:w="2260"/>
              <w:gridCol w:w="1172"/>
              <w:gridCol w:w="1754"/>
            </w:tblGrid>
            <w:tr w14:paraId="54B95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3" w:type="dxa"/>
                  <w:tcBorders>
                    <w:tl2br w:val="nil"/>
                    <w:tr2bl w:val="nil"/>
                  </w:tcBorders>
                  <w:vAlign w:val="center"/>
                </w:tcPr>
                <w:p w14:paraId="43E60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类别</w:t>
                  </w:r>
                </w:p>
              </w:tc>
              <w:tc>
                <w:tcPr>
                  <w:tcW w:w="962" w:type="dxa"/>
                  <w:tcBorders>
                    <w:tl2br w:val="nil"/>
                    <w:tr2bl w:val="nil"/>
                  </w:tcBorders>
                  <w:vAlign w:val="center"/>
                </w:tcPr>
                <w:p w14:paraId="197DD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项目</w:t>
                  </w:r>
                </w:p>
              </w:tc>
              <w:tc>
                <w:tcPr>
                  <w:tcW w:w="1185" w:type="dxa"/>
                  <w:tcBorders>
                    <w:tl2br w:val="nil"/>
                    <w:tr2bl w:val="nil"/>
                  </w:tcBorders>
                  <w:vAlign w:val="center"/>
                </w:tcPr>
                <w:p w14:paraId="5061C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监测因子</w:t>
                  </w:r>
                </w:p>
              </w:tc>
              <w:tc>
                <w:tcPr>
                  <w:tcW w:w="2260" w:type="dxa"/>
                  <w:tcBorders>
                    <w:tl2br w:val="nil"/>
                    <w:tr2bl w:val="nil"/>
                  </w:tcBorders>
                  <w:vAlign w:val="center"/>
                </w:tcPr>
                <w:p w14:paraId="2E2764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监测点位</w:t>
                  </w:r>
                </w:p>
              </w:tc>
              <w:tc>
                <w:tcPr>
                  <w:tcW w:w="1172" w:type="dxa"/>
                  <w:tcBorders>
                    <w:tl2br w:val="nil"/>
                    <w:tr2bl w:val="nil"/>
                  </w:tcBorders>
                  <w:vAlign w:val="center"/>
                </w:tcPr>
                <w:p w14:paraId="0479F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cs="Times New Roman"/>
                      <w:b/>
                      <w:bCs/>
                      <w:color w:val="auto"/>
                      <w:sz w:val="21"/>
                      <w:szCs w:val="21"/>
                      <w:lang w:val="en-US" w:eastAsia="zh-CN"/>
                    </w:rPr>
                    <w:t>监测频</w:t>
                  </w:r>
                  <w:r>
                    <w:rPr>
                      <w:rFonts w:hint="eastAsia" w:ascii="Times New Roman" w:hAnsi="Times New Roman" w:cs="Times New Roman"/>
                      <w:b/>
                      <w:bCs/>
                      <w:color w:val="auto"/>
                      <w:sz w:val="21"/>
                      <w:szCs w:val="21"/>
                      <w:lang w:val="en-US" w:eastAsia="zh-CN"/>
                    </w:rPr>
                    <w:t>次</w:t>
                  </w:r>
                </w:p>
              </w:tc>
              <w:tc>
                <w:tcPr>
                  <w:tcW w:w="1754" w:type="dxa"/>
                  <w:tcBorders>
                    <w:tl2br w:val="nil"/>
                    <w:tr2bl w:val="nil"/>
                  </w:tcBorders>
                  <w:vAlign w:val="center"/>
                </w:tcPr>
                <w:p w14:paraId="24B1E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b/>
                      <w:bCs/>
                      <w:color w:val="auto"/>
                      <w:sz w:val="21"/>
                      <w:szCs w:val="21"/>
                      <w:lang w:val="en-US" w:eastAsia="zh-CN"/>
                    </w:rPr>
                  </w:pPr>
                  <w:r>
                    <w:rPr>
                      <w:rFonts w:hint="eastAsia" w:ascii="Times New Roman" w:hAnsi="Times New Roman" w:cs="Times New Roman"/>
                      <w:b/>
                      <w:bCs/>
                      <w:color w:val="auto"/>
                      <w:sz w:val="21"/>
                      <w:szCs w:val="21"/>
                      <w:lang w:val="en-US" w:eastAsia="zh-CN"/>
                    </w:rPr>
                    <w:t>依据</w:t>
                  </w:r>
                </w:p>
              </w:tc>
            </w:tr>
            <w:tr w14:paraId="40CDE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3" w:type="dxa"/>
                  <w:vMerge w:val="restart"/>
                  <w:tcBorders>
                    <w:tl2br w:val="nil"/>
                    <w:tr2bl w:val="nil"/>
                  </w:tcBorders>
                  <w:vAlign w:val="center"/>
                </w:tcPr>
                <w:p w14:paraId="37BA14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污染源监测计划</w:t>
                  </w:r>
                </w:p>
              </w:tc>
              <w:tc>
                <w:tcPr>
                  <w:tcW w:w="962" w:type="dxa"/>
                  <w:vMerge w:val="restart"/>
                  <w:tcBorders>
                    <w:tl2br w:val="nil"/>
                    <w:tr2bl w:val="nil"/>
                  </w:tcBorders>
                  <w:vAlign w:val="center"/>
                </w:tcPr>
                <w:p w14:paraId="0BD9B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有组织废气</w:t>
                  </w:r>
                </w:p>
              </w:tc>
              <w:tc>
                <w:tcPr>
                  <w:tcW w:w="1185" w:type="dxa"/>
                  <w:tcBorders>
                    <w:tl2br w:val="nil"/>
                    <w:tr2bl w:val="nil"/>
                  </w:tcBorders>
                  <w:vAlign w:val="center"/>
                </w:tcPr>
                <w:p w14:paraId="643C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颗粒物</w:t>
                  </w:r>
                </w:p>
              </w:tc>
              <w:tc>
                <w:tcPr>
                  <w:tcW w:w="2260" w:type="dxa"/>
                  <w:tcBorders>
                    <w:tl2br w:val="nil"/>
                    <w:tr2bl w:val="nil"/>
                  </w:tcBorders>
                  <w:vAlign w:val="center"/>
                </w:tcPr>
                <w:p w14:paraId="0D3FA6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DA001、DA002、DA003、DA004、DA005</w:t>
                  </w:r>
                </w:p>
              </w:tc>
              <w:tc>
                <w:tcPr>
                  <w:tcW w:w="1172" w:type="dxa"/>
                  <w:tcBorders>
                    <w:tl2br w:val="nil"/>
                    <w:tr2bl w:val="nil"/>
                  </w:tcBorders>
                  <w:vAlign w:val="center"/>
                </w:tcPr>
                <w:p w14:paraId="7CB2C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一次/年</w:t>
                  </w:r>
                </w:p>
              </w:tc>
              <w:tc>
                <w:tcPr>
                  <w:tcW w:w="1754" w:type="dxa"/>
                  <w:vMerge w:val="restart"/>
                  <w:tcBorders>
                    <w:tl2br w:val="nil"/>
                    <w:tr2bl w:val="nil"/>
                  </w:tcBorders>
                  <w:vAlign w:val="center"/>
                </w:tcPr>
                <w:p w14:paraId="228256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《排污单位自行监测技术指南 总则》（HJ 819-2017）</w:t>
                  </w:r>
                  <w:r>
                    <w:rPr>
                      <w:rFonts w:hint="eastAsia"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fldChar w:fldCharType="begin"/>
                  </w:r>
                  <w:r>
                    <w:rPr>
                      <w:rFonts w:hint="eastAsia" w:cs="Times New Roman"/>
                      <w:b w:val="0"/>
                      <w:bCs w:val="0"/>
                      <w:color w:val="auto"/>
                      <w:sz w:val="21"/>
                      <w:szCs w:val="21"/>
                      <w:lang w:val="en-US" w:eastAsia="zh-CN"/>
                    </w:rPr>
                    <w:instrText xml:space="preserve"> HYPERLINK "https://www.mee.gov.cn/ywgz/fgbz/bz/bzwb/pwxk/202004/W020200401325055992721.pdf" </w:instrText>
                  </w:r>
                  <w:r>
                    <w:rPr>
                      <w:rFonts w:hint="eastAsia" w:cs="Times New Roman"/>
                      <w:b w:val="0"/>
                      <w:bCs w:val="0"/>
                      <w:color w:val="auto"/>
                      <w:sz w:val="21"/>
                      <w:szCs w:val="21"/>
                      <w:lang w:val="en-US" w:eastAsia="zh-CN"/>
                    </w:rPr>
                    <w:fldChar w:fldCharType="separate"/>
                  </w:r>
                  <w:r>
                    <w:rPr>
                      <w:rFonts w:hint="eastAsia" w:cs="Times New Roman"/>
                      <w:b w:val="0"/>
                      <w:bCs w:val="0"/>
                      <w:color w:val="auto"/>
                      <w:sz w:val="21"/>
                      <w:szCs w:val="21"/>
                      <w:lang w:val="en-US" w:eastAsia="zh-CN"/>
                    </w:rPr>
                    <w:t>排污许可证申请与核发技术规范 工业炉窑</w:t>
                  </w:r>
                  <w:r>
                    <w:rPr>
                      <w:rFonts w:hint="default" w:ascii="Times New Roman" w:hAnsi="Times New Roman" w:eastAsia="宋体" w:cs="Times New Roman"/>
                      <w:b w:val="0"/>
                      <w:bCs w:val="0"/>
                      <w:color w:val="auto"/>
                      <w:sz w:val="21"/>
                      <w:szCs w:val="21"/>
                      <w:lang w:val="en-US" w:eastAsia="zh-CN"/>
                    </w:rPr>
                    <w:t>》</w:t>
                  </w:r>
                  <w:r>
                    <w:rPr>
                      <w:rFonts w:hint="eastAsia" w:cs="Times New Roman"/>
                      <w:b w:val="0"/>
                      <w:bCs w:val="0"/>
                      <w:color w:val="auto"/>
                      <w:sz w:val="21"/>
                      <w:szCs w:val="21"/>
                      <w:lang w:val="en-US" w:eastAsia="zh-CN"/>
                    </w:rPr>
                    <w:t>（HJ1121—2020）</w:t>
                  </w:r>
                  <w:r>
                    <w:rPr>
                      <w:rFonts w:hint="eastAsia" w:cs="Times New Roman"/>
                      <w:b w:val="0"/>
                      <w:bCs w:val="0"/>
                      <w:color w:val="auto"/>
                      <w:sz w:val="21"/>
                      <w:szCs w:val="21"/>
                      <w:lang w:val="en-US" w:eastAsia="zh-CN"/>
                    </w:rPr>
                    <w:fldChar w:fldCharType="end"/>
                  </w:r>
                </w:p>
              </w:tc>
            </w:tr>
            <w:tr w14:paraId="00B0E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3" w:type="dxa"/>
                  <w:vMerge w:val="continue"/>
                  <w:tcBorders>
                    <w:tl2br w:val="nil"/>
                    <w:tr2bl w:val="nil"/>
                  </w:tcBorders>
                  <w:vAlign w:val="center"/>
                </w:tcPr>
                <w:p w14:paraId="05142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962" w:type="dxa"/>
                  <w:vMerge w:val="continue"/>
                  <w:tcBorders>
                    <w:tl2br w:val="nil"/>
                    <w:tr2bl w:val="nil"/>
                  </w:tcBorders>
                  <w:vAlign w:val="center"/>
                </w:tcPr>
                <w:p w14:paraId="5E08D3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lang w:val="en-US" w:eastAsia="zh-CN"/>
                    </w:rPr>
                  </w:pPr>
                </w:p>
              </w:tc>
              <w:tc>
                <w:tcPr>
                  <w:tcW w:w="1185" w:type="dxa"/>
                  <w:tcBorders>
                    <w:tl2br w:val="nil"/>
                    <w:tr2bl w:val="nil"/>
                  </w:tcBorders>
                  <w:vAlign w:val="center"/>
                </w:tcPr>
                <w:p w14:paraId="1FE401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颗粒物、SO</w:t>
                  </w:r>
                  <w:r>
                    <w:rPr>
                      <w:rFonts w:hint="eastAsia" w:cs="Times New Roman"/>
                      <w:b w:val="0"/>
                      <w:bCs w:val="0"/>
                      <w:color w:val="auto"/>
                      <w:sz w:val="21"/>
                      <w:szCs w:val="21"/>
                      <w:vertAlign w:val="subscript"/>
                      <w:lang w:val="en-US" w:eastAsia="zh-CN"/>
                    </w:rPr>
                    <w:t>2</w:t>
                  </w:r>
                  <w:r>
                    <w:rPr>
                      <w:rFonts w:hint="eastAsia" w:cs="Times New Roman"/>
                      <w:b w:val="0"/>
                      <w:bCs w:val="0"/>
                      <w:color w:val="auto"/>
                      <w:sz w:val="21"/>
                      <w:szCs w:val="21"/>
                      <w:lang w:val="en-US" w:eastAsia="zh-CN"/>
                    </w:rPr>
                    <w:t>、NO</w:t>
                  </w:r>
                  <w:r>
                    <w:rPr>
                      <w:rFonts w:hint="eastAsia" w:cs="Times New Roman"/>
                      <w:b w:val="0"/>
                      <w:bCs w:val="0"/>
                      <w:color w:val="auto"/>
                      <w:sz w:val="21"/>
                      <w:szCs w:val="21"/>
                      <w:vertAlign w:val="subscript"/>
                      <w:lang w:val="en-US" w:eastAsia="zh-CN"/>
                    </w:rPr>
                    <w:t>X</w:t>
                  </w:r>
                </w:p>
              </w:tc>
              <w:tc>
                <w:tcPr>
                  <w:tcW w:w="2260" w:type="dxa"/>
                  <w:tcBorders>
                    <w:tl2br w:val="nil"/>
                    <w:tr2bl w:val="nil"/>
                  </w:tcBorders>
                  <w:vAlign w:val="center"/>
                </w:tcPr>
                <w:p w14:paraId="4D12A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DA006、DA007、DA008</w:t>
                  </w:r>
                </w:p>
              </w:tc>
              <w:tc>
                <w:tcPr>
                  <w:tcW w:w="1172" w:type="dxa"/>
                  <w:tcBorders>
                    <w:tl2br w:val="nil"/>
                    <w:tr2bl w:val="nil"/>
                  </w:tcBorders>
                  <w:vAlign w:val="center"/>
                </w:tcPr>
                <w:p w14:paraId="1DAC77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一次/年</w:t>
                  </w:r>
                </w:p>
              </w:tc>
              <w:tc>
                <w:tcPr>
                  <w:tcW w:w="1754" w:type="dxa"/>
                  <w:vMerge w:val="continue"/>
                  <w:tcBorders>
                    <w:tl2br w:val="nil"/>
                    <w:tr2bl w:val="nil"/>
                  </w:tcBorders>
                  <w:vAlign w:val="center"/>
                </w:tcPr>
                <w:p w14:paraId="1B6A4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r w14:paraId="78EB1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3" w:type="dxa"/>
                  <w:vMerge w:val="continue"/>
                  <w:tcBorders>
                    <w:tl2br w:val="nil"/>
                    <w:tr2bl w:val="nil"/>
                  </w:tcBorders>
                  <w:vAlign w:val="center"/>
                </w:tcPr>
                <w:p w14:paraId="1468D4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962" w:type="dxa"/>
                  <w:vMerge w:val="restart"/>
                  <w:tcBorders>
                    <w:tl2br w:val="nil"/>
                    <w:tr2bl w:val="nil"/>
                  </w:tcBorders>
                  <w:vAlign w:val="center"/>
                </w:tcPr>
                <w:p w14:paraId="1080E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lang w:val="en-US" w:eastAsia="zh-CN"/>
                    </w:rPr>
                  </w:pPr>
                  <w:r>
                    <w:rPr>
                      <w:rFonts w:hint="eastAsia" w:cs="Times New Roman"/>
                      <w:b w:val="0"/>
                      <w:bCs w:val="0"/>
                      <w:color w:val="auto"/>
                      <w:sz w:val="21"/>
                      <w:szCs w:val="21"/>
                      <w:lang w:val="en-US" w:eastAsia="zh-CN"/>
                    </w:rPr>
                    <w:t>无组织废气</w:t>
                  </w:r>
                </w:p>
              </w:tc>
              <w:tc>
                <w:tcPr>
                  <w:tcW w:w="1185" w:type="dxa"/>
                  <w:tcBorders>
                    <w:tl2br w:val="nil"/>
                    <w:tr2bl w:val="nil"/>
                  </w:tcBorders>
                  <w:vAlign w:val="center"/>
                </w:tcPr>
                <w:p w14:paraId="15ABAB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颗粒物</w:t>
                  </w:r>
                </w:p>
              </w:tc>
              <w:tc>
                <w:tcPr>
                  <w:tcW w:w="2260" w:type="dxa"/>
                  <w:tcBorders>
                    <w:tl2br w:val="nil"/>
                    <w:tr2bl w:val="nil"/>
                  </w:tcBorders>
                  <w:vAlign w:val="center"/>
                </w:tcPr>
                <w:p w14:paraId="024DBA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s="Times New Roman"/>
                      <w:b w:val="0"/>
                      <w:bCs w:val="0"/>
                      <w:color w:val="auto"/>
                      <w:sz w:val="21"/>
                      <w:szCs w:val="21"/>
                      <w:lang w:val="en-US" w:eastAsia="zh-CN"/>
                    </w:rPr>
                  </w:pPr>
                  <w:r>
                    <w:rPr>
                      <w:rFonts w:hint="eastAsia" w:cs="Times New Roman"/>
                      <w:b w:val="0"/>
                      <w:bCs w:val="0"/>
                      <w:color w:val="auto"/>
                      <w:sz w:val="21"/>
                      <w:szCs w:val="21"/>
                      <w:lang w:val="en-US" w:eastAsia="zh-CN"/>
                    </w:rPr>
                    <w:t>厂界</w:t>
                  </w:r>
                </w:p>
              </w:tc>
              <w:tc>
                <w:tcPr>
                  <w:tcW w:w="1172" w:type="dxa"/>
                  <w:tcBorders>
                    <w:tl2br w:val="nil"/>
                    <w:tr2bl w:val="nil"/>
                  </w:tcBorders>
                  <w:vAlign w:val="center"/>
                </w:tcPr>
                <w:p w14:paraId="609AA7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一次/半年</w:t>
                  </w:r>
                </w:p>
              </w:tc>
              <w:tc>
                <w:tcPr>
                  <w:tcW w:w="1754" w:type="dxa"/>
                  <w:vMerge w:val="continue"/>
                  <w:tcBorders>
                    <w:tl2br w:val="nil"/>
                    <w:tr2bl w:val="nil"/>
                  </w:tcBorders>
                  <w:vAlign w:val="center"/>
                </w:tcPr>
                <w:p w14:paraId="372D3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r w14:paraId="2FBA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923" w:type="dxa"/>
                  <w:vMerge w:val="continue"/>
                  <w:tcBorders>
                    <w:tl2br w:val="nil"/>
                    <w:tr2bl w:val="nil"/>
                  </w:tcBorders>
                  <w:vAlign w:val="center"/>
                </w:tcPr>
                <w:p w14:paraId="5C969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962" w:type="dxa"/>
                  <w:vMerge w:val="continue"/>
                  <w:tcBorders>
                    <w:tl2br w:val="nil"/>
                    <w:tr2bl w:val="nil"/>
                  </w:tcBorders>
                  <w:vAlign w:val="center"/>
                </w:tcPr>
                <w:p w14:paraId="45A2DD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p>
              </w:tc>
              <w:tc>
                <w:tcPr>
                  <w:tcW w:w="1185" w:type="dxa"/>
                  <w:tcBorders>
                    <w:tl2br w:val="nil"/>
                    <w:tr2bl w:val="nil"/>
                  </w:tcBorders>
                  <w:vAlign w:val="center"/>
                </w:tcPr>
                <w:p w14:paraId="191AD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颗粒物（工业炉窑）</w:t>
                  </w:r>
                </w:p>
              </w:tc>
              <w:tc>
                <w:tcPr>
                  <w:tcW w:w="2260" w:type="dxa"/>
                  <w:tcBorders>
                    <w:tl2br w:val="nil"/>
                    <w:tr2bl w:val="nil"/>
                  </w:tcBorders>
                  <w:vAlign w:val="center"/>
                </w:tcPr>
                <w:p w14:paraId="0EC65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eastAsia="宋体" w:cs="Times New Roman"/>
                      <w:b w:val="0"/>
                      <w:bCs w:val="0"/>
                      <w:color w:val="auto"/>
                      <w:sz w:val="21"/>
                      <w:szCs w:val="21"/>
                      <w:lang w:val="en-US" w:eastAsia="zh-CN"/>
                    </w:rPr>
                  </w:pPr>
                  <w:r>
                    <w:rPr>
                      <w:rFonts w:hint="eastAsia" w:cs="Times New Roman"/>
                      <w:b w:val="0"/>
                      <w:bCs w:val="0"/>
                      <w:color w:val="auto"/>
                      <w:sz w:val="21"/>
                      <w:szCs w:val="21"/>
                      <w:lang w:val="en-US" w:eastAsia="zh-CN"/>
                    </w:rPr>
                    <w:t>厂房</w:t>
                  </w:r>
                  <w:r>
                    <w:rPr>
                      <w:rFonts w:hint="eastAsia"/>
                      <w:color w:val="auto"/>
                      <w:lang w:val="en-US" w:eastAsia="zh-CN"/>
                    </w:rPr>
                    <w:t>内</w:t>
                  </w:r>
                </w:p>
              </w:tc>
              <w:tc>
                <w:tcPr>
                  <w:tcW w:w="1172" w:type="dxa"/>
                  <w:tcBorders>
                    <w:tl2br w:val="nil"/>
                    <w:tr2bl w:val="nil"/>
                  </w:tcBorders>
                  <w:vAlign w:val="center"/>
                </w:tcPr>
                <w:p w14:paraId="539F7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b w:val="0"/>
                      <w:bCs w:val="0"/>
                      <w:color w:val="auto"/>
                      <w:sz w:val="21"/>
                      <w:szCs w:val="21"/>
                      <w:lang w:val="en-US" w:eastAsia="zh-CN"/>
                    </w:rPr>
                  </w:pPr>
                  <w:r>
                    <w:rPr>
                      <w:rFonts w:hint="eastAsia" w:cs="Times New Roman"/>
                      <w:b w:val="0"/>
                      <w:bCs w:val="0"/>
                      <w:color w:val="auto"/>
                      <w:sz w:val="21"/>
                      <w:szCs w:val="21"/>
                      <w:lang w:val="en-US" w:eastAsia="zh-CN"/>
                    </w:rPr>
                    <w:t>一次/半年</w:t>
                  </w:r>
                </w:p>
              </w:tc>
              <w:tc>
                <w:tcPr>
                  <w:tcW w:w="1754" w:type="dxa"/>
                  <w:vMerge w:val="continue"/>
                  <w:tcBorders>
                    <w:tl2br w:val="nil"/>
                    <w:tr2bl w:val="nil"/>
                  </w:tcBorders>
                  <w:vAlign w:val="center"/>
                </w:tcPr>
                <w:p w14:paraId="4C3C11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lang w:val="en-US" w:eastAsia="zh-CN"/>
                    </w:rPr>
                  </w:pPr>
                </w:p>
              </w:tc>
            </w:tr>
          </w:tbl>
          <w:p w14:paraId="3FB8BA3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b/>
                <w:bCs/>
                <w:color w:val="auto"/>
                <w:sz w:val="24"/>
                <w:szCs w:val="24"/>
              </w:rPr>
            </w:pPr>
            <w:r>
              <w:rPr>
                <w:rFonts w:hint="eastAsia"/>
                <w:color w:val="auto"/>
                <w:sz w:val="24"/>
                <w:szCs w:val="24"/>
                <w:vertAlign w:val="baseline"/>
                <w:lang w:val="en-US" w:eastAsia="zh-CN"/>
              </w:rPr>
              <w:t>综上，</w:t>
            </w:r>
            <w:r>
              <w:rPr>
                <w:rFonts w:hint="default" w:ascii="Times New Roman" w:hAnsi="Times New Roman" w:eastAsia="宋体"/>
                <w:color w:val="auto"/>
                <w:sz w:val="24"/>
                <w:szCs w:val="24"/>
              </w:rPr>
              <w:t>项目实施后，通过采取相应的污染防治措施，废气可以做到稳定达标排放，不会降低评价区域大气环境质量原有功能级别；通过采取相应环境风险防范措施，项目环境风险在可接受范围。评价认为，拟建项目在建设和生产运行过程中，切实落实报告</w:t>
            </w:r>
            <w:r>
              <w:rPr>
                <w:rFonts w:hint="eastAsia" w:ascii="Times New Roman" w:hAnsi="Times New Roman"/>
                <w:color w:val="auto"/>
                <w:sz w:val="24"/>
                <w:szCs w:val="24"/>
                <w:lang w:val="en-US" w:eastAsia="zh-CN"/>
              </w:rPr>
              <w:t>表</w:t>
            </w:r>
            <w:r>
              <w:rPr>
                <w:rFonts w:hint="default" w:ascii="Times New Roman" w:hAnsi="Times New Roman" w:eastAsia="宋体"/>
                <w:color w:val="auto"/>
                <w:sz w:val="24"/>
                <w:szCs w:val="24"/>
              </w:rPr>
              <w:t>提出的</w:t>
            </w:r>
            <w:r>
              <w:rPr>
                <w:rFonts w:hint="eastAsia" w:ascii="Times New Roman" w:hAnsi="Times New Roman" w:eastAsia="宋体"/>
                <w:color w:val="auto"/>
                <w:sz w:val="24"/>
                <w:szCs w:val="24"/>
                <w:lang w:val="en-US" w:eastAsia="zh-CN"/>
              </w:rPr>
              <w:t>大气</w:t>
            </w:r>
            <w:r>
              <w:rPr>
                <w:rFonts w:hint="default" w:ascii="Times New Roman" w:hAnsi="Times New Roman" w:eastAsia="宋体"/>
                <w:color w:val="auto"/>
                <w:sz w:val="24"/>
                <w:szCs w:val="24"/>
              </w:rPr>
              <w:t>污染防治措施</w:t>
            </w:r>
            <w:r>
              <w:rPr>
                <w:rFonts w:hint="eastAsia" w:ascii="Times New Roman" w:hAnsi="Times New Roman" w:eastAsia="宋体"/>
                <w:color w:val="auto"/>
                <w:sz w:val="24"/>
                <w:szCs w:val="24"/>
                <w:lang w:eastAsia="zh-CN"/>
              </w:rPr>
              <w:t>，</w:t>
            </w:r>
            <w:r>
              <w:rPr>
                <w:rFonts w:hint="default" w:ascii="Times New Roman" w:hAnsi="Times New Roman" w:eastAsia="宋体"/>
                <w:color w:val="auto"/>
                <w:sz w:val="24"/>
                <w:szCs w:val="24"/>
              </w:rPr>
              <w:t>从环境影响角度，项目建设可行。</w:t>
            </w:r>
          </w:p>
          <w:p w14:paraId="0A70544C">
            <w:pPr>
              <w:keepNext w:val="0"/>
              <w:keepLines w:val="0"/>
              <w:widowControl/>
              <w:suppressLineNumbers w:val="0"/>
              <w:spacing w:before="0" w:beforeAutospacing="0" w:after="0" w:afterAutospacing="0" w:line="360" w:lineRule="auto"/>
              <w:ind w:left="0" w:right="0"/>
              <w:jc w:val="left"/>
              <w:rPr>
                <w:rFonts w:hint="default"/>
                <w:b/>
                <w:bCs/>
                <w:color w:val="auto"/>
                <w:sz w:val="24"/>
                <w:szCs w:val="24"/>
              </w:rPr>
            </w:pPr>
            <w:r>
              <w:rPr>
                <w:rFonts w:hint="default"/>
                <w:b/>
                <w:bCs/>
                <w:color w:val="auto"/>
                <w:sz w:val="24"/>
                <w:szCs w:val="24"/>
              </w:rPr>
              <w:t>3</w:t>
            </w:r>
            <w:r>
              <w:rPr>
                <w:rFonts w:hint="eastAsia" w:cs="宋体"/>
                <w:b/>
                <w:bCs/>
                <w:color w:val="auto"/>
                <w:sz w:val="24"/>
                <w:szCs w:val="24"/>
              </w:rPr>
              <w:t>、噪声</w:t>
            </w:r>
          </w:p>
          <w:p w14:paraId="1FF7B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评价采用《环境影响评价技术导则</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声环境》（HJ2.4-2021）推荐的工业噪声预测计算模式，对项目运行后厂界噪声变化情况进行分析。根据项目各个噪声源的特征，总体划分为面源和点源。对同个厂房内多个设备可作为面源，将整个厂房等效作为面源；室外的噪声源设备，则均视为单个点源。</w:t>
            </w:r>
          </w:p>
          <w:p w14:paraId="6A9A5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 xml:space="preserve">3.1 </w:t>
            </w:r>
            <w:r>
              <w:rPr>
                <w:rFonts w:hint="default" w:ascii="Times New Roman" w:hAnsi="Times New Roman" w:cs="Times New Roman"/>
                <w:b/>
                <w:bCs/>
                <w:color w:val="auto"/>
                <w:sz w:val="24"/>
                <w:szCs w:val="24"/>
              </w:rPr>
              <w:t>预测模型</w:t>
            </w:r>
          </w:p>
          <w:p w14:paraId="6FA35438">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拟建项目</w:t>
            </w:r>
            <w:r>
              <w:rPr>
                <w:rFonts w:hint="eastAsia" w:cs="Times New Roman"/>
                <w:color w:val="auto"/>
                <w:sz w:val="24"/>
                <w:szCs w:val="24"/>
                <w:lang w:val="en-US" w:eastAsia="zh-CN"/>
              </w:rPr>
              <w:t>主要生产设备</w:t>
            </w:r>
            <w:r>
              <w:rPr>
                <w:rFonts w:hint="default" w:ascii="Times New Roman" w:hAnsi="Times New Roman" w:cs="Times New Roman"/>
                <w:color w:val="auto"/>
                <w:sz w:val="24"/>
                <w:szCs w:val="24"/>
              </w:rPr>
              <w:t>位于</w:t>
            </w:r>
            <w:r>
              <w:rPr>
                <w:rFonts w:hint="eastAsia" w:ascii="Times New Roman" w:hAnsi="Times New Roman" w:cs="Times New Roman"/>
                <w:color w:val="auto"/>
                <w:sz w:val="24"/>
                <w:szCs w:val="24"/>
                <w:lang w:val="en-US" w:eastAsia="zh-CN"/>
              </w:rPr>
              <w:t>1#、2#</w:t>
            </w:r>
            <w:r>
              <w:rPr>
                <w:rFonts w:hint="eastAsia" w:cs="Times New Roman"/>
                <w:color w:val="auto"/>
                <w:sz w:val="24"/>
                <w:szCs w:val="24"/>
                <w:lang w:val="en-US" w:eastAsia="zh-CN"/>
              </w:rPr>
              <w:t>、3#生产车间。</w:t>
            </w:r>
            <w:r>
              <w:rPr>
                <w:rFonts w:hint="default" w:ascii="Times New Roman" w:hAnsi="Times New Roman" w:cs="Times New Roman"/>
                <w:color w:val="auto"/>
                <w:sz w:val="24"/>
                <w:szCs w:val="24"/>
              </w:rPr>
              <w:t>根据项目建设内容及《环境影响评价技术导则</w:t>
            </w:r>
            <w:r>
              <w:rPr>
                <w:rFonts w:hint="eastAsia" w:cs="Times New Roman"/>
                <w:color w:val="auto"/>
                <w:sz w:val="24"/>
                <w:szCs w:val="24"/>
                <w:lang w:val="en-US" w:eastAsia="zh-CN"/>
              </w:rPr>
              <w:t xml:space="preserve">  </w:t>
            </w:r>
            <w:r>
              <w:rPr>
                <w:rFonts w:hint="default" w:ascii="Times New Roman" w:hAnsi="Times New Roman" w:cs="Times New Roman"/>
                <w:color w:val="auto"/>
                <w:sz w:val="24"/>
                <w:szCs w:val="24"/>
              </w:rPr>
              <w:t>声环境》（HJ2.4-2021）的要求，项目环评采用的模型为</w:t>
            </w:r>
            <w:r>
              <w:rPr>
                <w:rFonts w:hint="eastAsia" w:ascii="Times New Roman" w:hAnsi="Times New Roman" w:cs="Times New Roman"/>
                <w:color w:val="auto"/>
                <w:sz w:val="24"/>
                <w:szCs w:val="24"/>
                <w:lang w:val="en-US" w:eastAsia="zh-CN"/>
              </w:rPr>
              <w:t>其</w:t>
            </w:r>
            <w:r>
              <w:rPr>
                <w:rFonts w:hint="default" w:ascii="Times New Roman" w:hAnsi="Times New Roman" w:cs="Times New Roman"/>
                <w:color w:val="auto"/>
                <w:sz w:val="24"/>
                <w:szCs w:val="24"/>
              </w:rPr>
              <w:t>附录A（规范性附录）户外声传播的衰减和附录B（规范性附录）中“B.1工业噪声预测计算模型”。</w:t>
            </w:r>
          </w:p>
          <w:p w14:paraId="5FBF040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（1）等效室内声源声功率级法预测模式</w:t>
            </w:r>
          </w:p>
          <w:p w14:paraId="12BB3C4C">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①计算某一室内声源靠近围护结构处产生的倍频带声压级：</w:t>
            </w:r>
          </w:p>
          <w:p w14:paraId="2E9FC1AD">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4"/>
                <w:sz w:val="24"/>
                <w:szCs w:val="24"/>
              </w:rPr>
              <w:object>
                <v:shape id="_x0000_i1025" o:spt="75" type="#_x0000_t75" style="height:31pt;width:135pt;" o:ole="t" filled="f" o:preferrelative="t" stroked="f" coordsize="21600,21600">
                  <v:path/>
                  <v:fill on="f" alignshape="1"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14:paraId="2B880D24">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P1</w:t>
            </w:r>
            <w:r>
              <w:rPr>
                <w:rFonts w:hint="default" w:ascii="Times New Roman" w:hAnsi="Times New Roman" w:eastAsia="宋体" w:cs="Times New Roman"/>
                <w:color w:val="auto"/>
                <w:sz w:val="24"/>
                <w:szCs w:val="24"/>
              </w:rPr>
              <w:t>——某个室内声源在靠近维护结构处产生的声压级，dB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2EC6A685">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W</w:t>
            </w:r>
            <w:r>
              <w:rPr>
                <w:rFonts w:hint="default" w:ascii="Times New Roman" w:hAnsi="Times New Roman" w:eastAsia="宋体" w:cs="Times New Roman"/>
                <w:color w:val="auto"/>
                <w:sz w:val="24"/>
                <w:szCs w:val="24"/>
              </w:rPr>
              <w:t>——某个声源的声功率级，dB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5C0DA6CA">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r——声源到靠近围护结构某点处的距离，m</w:t>
            </w:r>
            <w:r>
              <w:rPr>
                <w:rFonts w:hint="eastAsia" w:ascii="Times New Roman" w:hAnsi="Times New Roman" w:eastAsia="宋体" w:cs="Times New Roman"/>
                <w:color w:val="auto"/>
                <w:sz w:val="24"/>
                <w:szCs w:val="24"/>
                <w:lang w:eastAsia="zh-CN"/>
              </w:rPr>
              <w:t>；</w:t>
            </w:r>
          </w:p>
          <w:p w14:paraId="1896EA67">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Q——指向性因数：通常对无指向性声源，当声源放在房间中心时，Q=1；当放在一面墙的中心时，Q=2；当放在两面墙夹角时，Q=4；当放在三面墙夹角处时，Q=8。R——房间常数：R=Sa/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1-a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，S为房间内表面面积，m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；a为平均吸声系数。</w:t>
            </w:r>
          </w:p>
          <w:p w14:paraId="1C16A608">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②所有室内声源在靠近围护结构处产生的叠加声压级计算式为：</w:t>
            </w:r>
          </w:p>
          <w:p w14:paraId="093D032B">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30"/>
                <w:sz w:val="24"/>
                <w:szCs w:val="24"/>
              </w:rPr>
              <w:object>
                <v:shape id="_x0000_i1026" o:spt="75" type="#_x0000_t75" style="height:37pt;width:129pt;" o:ole="t" filled="f" o:preferrelative="t" stroked="f" coordsize="21600,21600">
                  <v:path/>
                  <v:fill on="f" alignshape="1" focussize="0,0"/>
                  <v:stroke on="f"/>
                  <v:imagedata r:id="rId14" o:title=""/>
                  <o:lock v:ext="edit" aspectratio="t"/>
                  <w10:wrap type="none"/>
                  <w10:anchorlock/>
                </v:shape>
                <o:OLEObject Type="Embed" ProgID="Equation.3" ShapeID="_x0000_i1026" DrawAspect="Content" ObjectID="_1468075726" r:id="rId13">
                  <o:LockedField>false</o:LockedField>
                </o:OLEObject>
              </w:object>
            </w:r>
          </w:p>
          <w:p w14:paraId="6AA4A693">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P1i</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——靠近围护结构处室内N个声源i倍频带叠加声压级，dB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13D1B3E8">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P1ij</w:t>
            </w:r>
            <w:r>
              <w:rPr>
                <w:rFonts w:hint="default" w:ascii="Times New Roman" w:hAnsi="Times New Roman" w:eastAsia="宋体" w:cs="Times New Roman"/>
                <w:color w:val="auto"/>
                <w:sz w:val="24"/>
                <w:szCs w:val="24"/>
              </w:rPr>
              <w:t>——室内j声源i倍频带的声压级，dB</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690F420E">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N——室内声源总数。</w:t>
            </w:r>
          </w:p>
          <w:p w14:paraId="17C31DA3">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③靠近室外围护结构处产生的声压级计算式为：</w:t>
            </w:r>
          </w:p>
          <w:p w14:paraId="0BC5AC4B">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4"/>
                <w:sz w:val="24"/>
                <w:szCs w:val="24"/>
              </w:rPr>
              <w:object>
                <v:shape id="_x0000_i1027" o:spt="75" type="#_x0000_t75" style="height:19pt;width:138pt;" o:ole="t" filled="f" o:preferrelative="t" stroked="f" coordsize="21600,21600">
                  <v:path/>
                  <v:fill on="f" alignshape="1" focussize="0,0"/>
                  <v:stroke on="f"/>
                  <v:imagedata r:id="rId16" o:title=""/>
                  <o:lock v:ext="edit" aspectratio="t"/>
                  <w10:wrap type="none"/>
                  <w10:anchorlock/>
                </v:shape>
                <o:OLEObject Type="Embed" ProgID="Equation.3" ShapeID="_x0000_i1027" DrawAspect="Content" ObjectID="_1468075727" r:id="rId15">
                  <o:LockedField>false</o:LockedField>
                </o:OLEObject>
              </w:object>
            </w:r>
          </w:p>
          <w:p w14:paraId="246D3F69">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P2i</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T</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——靠近围护结构处室外N个声源i倍频带的叠加声压级，dB；</w:t>
            </w:r>
          </w:p>
          <w:p w14:paraId="185FA12B">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TLi——围护结构i倍频带的隔声量，dB；</w:t>
            </w:r>
          </w:p>
          <w:p w14:paraId="54D94AC8">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④将室内声级透过面积换算成等效的室外声源，计算出中心位置位于透声面积</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S</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处的等效声源的声功率级计算式为：</w:t>
            </w:r>
          </w:p>
          <w:p w14:paraId="72176970">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2"/>
                <w:sz w:val="24"/>
                <w:szCs w:val="24"/>
              </w:rPr>
              <w:object>
                <v:shape id="_x0000_i1028" o:spt="75" type="#_x0000_t75" style="height:18pt;width:103.95pt;" o:ole="t" filled="f" o:preferrelative="t" stroked="f" coordsize="21600,21600">
                  <v:path/>
                  <v:fill on="f" alignshape="1" focussize="0,0"/>
                  <v:stroke on="f"/>
                  <v:imagedata r:id="rId18" o:title=""/>
                  <o:lock v:ext="edit" aspectratio="t"/>
                  <w10:wrap type="none"/>
                  <w10:anchorlock/>
                </v:shape>
                <o:OLEObject Type="Embed" ProgID="Equation.3" ShapeID="_x0000_i1028" DrawAspect="Content" ObjectID="_1468075728" r:id="rId17">
                  <o:LockedField>false</o:LockedField>
                </o:OLEObject>
              </w:object>
            </w:r>
          </w:p>
          <w:p w14:paraId="67DB4110">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⑤倍频带声压级和A声级转换</w:t>
            </w:r>
          </w:p>
          <w:p w14:paraId="0A08260B">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计算出的中心频率为500HZ倍频带声压级Lp</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r</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，再根据导则倍频带声压级和A声级转换公式计算式如下：</w:t>
            </w:r>
          </w:p>
          <w:p w14:paraId="6A55D8AD">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28"/>
                <w:sz w:val="24"/>
                <w:szCs w:val="24"/>
              </w:rPr>
              <w:object>
                <v:shape id="_x0000_i1029" o:spt="75" type="#_x0000_t75" style="height:36pt;width:121.95pt;" o:ole="t" filled="f" o:preferrelative="t" stroked="f" coordsize="21600,21600">
                  <v:path/>
                  <v:fill on="f" alignshape="1" focussize="0,0"/>
                  <v:stroke on="f"/>
                  <v:imagedata r:id="rId20" o:title=""/>
                  <o:lock v:ext="edit" aspectratio="t"/>
                  <w10:wrap type="none"/>
                  <w10:anchorlock/>
                </v:shape>
                <o:OLEObject Type="Embed" ProgID="Equation.3" ShapeID="_x0000_i1029" DrawAspect="Content" ObjectID="_1468075729" r:id="rId19">
                  <o:LockedField>false</o:LockedField>
                </o:OLEObject>
              </w:object>
            </w:r>
          </w:p>
          <w:p w14:paraId="5AD8AEDE">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式中：Δ L</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 xml:space="preserve"> ——为第i倍频带的A计权网络修正值，dB；</w:t>
            </w:r>
          </w:p>
          <w:p w14:paraId="7F7AC88B">
            <w:pPr>
              <w:keepNext w:val="0"/>
              <w:keepLines w:val="0"/>
              <w:pageBreakBefore w:val="0"/>
              <w:widowControl/>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N——总倍频带数。</w:t>
            </w:r>
          </w:p>
          <w:p w14:paraId="23C083BF">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查导则附录B表B1，500HZ对应的Δ L</w:t>
            </w:r>
            <w:r>
              <w:rPr>
                <w:rFonts w:hint="default" w:ascii="Times New Roman" w:hAnsi="Times New Roman" w:eastAsia="宋体" w:cs="Times New Roman"/>
                <w:color w:val="auto"/>
                <w:sz w:val="24"/>
                <w:szCs w:val="24"/>
                <w:vertAlign w:val="subscript"/>
              </w:rPr>
              <w:t>i</w:t>
            </w:r>
            <w:r>
              <w:rPr>
                <w:rFonts w:hint="default" w:ascii="Times New Roman" w:hAnsi="Times New Roman" w:eastAsia="宋体" w:cs="Times New Roman"/>
                <w:color w:val="auto"/>
                <w:sz w:val="24"/>
                <w:szCs w:val="24"/>
              </w:rPr>
              <w:t>为-3.2dB。</w:t>
            </w:r>
          </w:p>
          <w:p w14:paraId="0FB873F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预测中声功率级、声压级均按照中心频率为500HZ的倍频带做估算。</w:t>
            </w:r>
          </w:p>
          <w:p w14:paraId="3ACAD3E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（2）室外声源至预测点贡献值计算</w:t>
            </w:r>
          </w:p>
          <w:p w14:paraId="15AA647E">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一个大型机器设备的振动表面，车间透声的墙壁，均可以认为是面声源。如果已知面声源单位面积的声功率为W，各面积元噪声的位相是随机的，面声源可看作由无数点声源连续分布组合而成，其合成声级可按能量叠加法求出。</w:t>
            </w:r>
          </w:p>
          <w:p w14:paraId="5F1CD346">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当预测点和面声源中心距离r 处于以下条件时，可按下述方法近似计算：</w:t>
            </w:r>
          </w:p>
          <w:p w14:paraId="6A89811F">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r&lt;a/π时，几乎不衰减（Adiv≈0）；</w:t>
            </w:r>
          </w:p>
          <w:p w14:paraId="6D0620A2">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当a/π&lt;r&lt;b/π时，类似于线声源衰减特性，即：L</w:t>
            </w:r>
            <w:r>
              <w:rPr>
                <w:rFonts w:hint="default" w:ascii="Times New Roman" w:hAnsi="Times New Roman" w:eastAsia="宋体" w:cs="Times New Roman"/>
                <w:color w:val="auto"/>
                <w:sz w:val="24"/>
                <w:szCs w:val="24"/>
                <w:vertAlign w:val="subscript"/>
              </w:rPr>
              <w:t>A（r）</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AW</w:t>
            </w:r>
            <w:r>
              <w:rPr>
                <w:rFonts w:hint="eastAsia" w:ascii="Times New Roman" w:hAnsi="Times New Roman" w:eastAsia="宋体" w:cs="Times New Roman"/>
                <w:color w:val="auto"/>
                <w:sz w:val="24"/>
                <w:szCs w:val="24"/>
                <w:vertAlign w:val="subscript"/>
                <w:lang w:val="en-US" w:eastAsia="zh-CN"/>
              </w:rPr>
              <w:t xml:space="preserve"> </w:t>
            </w:r>
            <w:r>
              <w:rPr>
                <w:rFonts w:hint="eastAsia" w:ascii="Times New Roman" w:hAnsi="Times New Roman" w:eastAsia="宋体" w:cs="Times New Roman"/>
                <w:color w:val="auto"/>
                <w:sz w:val="24"/>
                <w:szCs w:val="24"/>
                <w:vertAlign w:val="superscript"/>
                <w:lang w:val="en-US" w:eastAsia="zh-CN"/>
              </w:rPr>
              <w:t xml:space="preserve">- </w:t>
            </w:r>
            <w:r>
              <w:rPr>
                <w:rFonts w:hint="default" w:ascii="Times New Roman" w:hAnsi="Times New Roman" w:eastAsia="宋体" w:cs="Times New Roman"/>
                <w:color w:val="auto"/>
                <w:sz w:val="24"/>
                <w:szCs w:val="24"/>
              </w:rPr>
              <w:t>10lg（r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w:t>
            </w:r>
          </w:p>
          <w:p w14:paraId="7FE9B491">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当r&gt;b/π时，类似于点声源衰减特性，即：L</w:t>
            </w:r>
            <w:r>
              <w:rPr>
                <w:rFonts w:hint="default" w:ascii="Times New Roman" w:hAnsi="Times New Roman" w:eastAsia="宋体" w:cs="Times New Roman"/>
                <w:color w:val="auto"/>
                <w:sz w:val="24"/>
                <w:szCs w:val="24"/>
                <w:vertAlign w:val="subscript"/>
              </w:rPr>
              <w:t>A（r）</w:t>
            </w: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A（b/π）</w:t>
            </w:r>
            <w:r>
              <w:rPr>
                <w:rFonts w:hint="default" w:ascii="Times New Roman" w:hAnsi="Times New Roman" w:eastAsia="宋体" w:cs="Times New Roman"/>
                <w:color w:val="auto"/>
                <w:sz w:val="24"/>
                <w:szCs w:val="24"/>
              </w:rPr>
              <w:t>-20lg[r/（b/π）]；</w:t>
            </w:r>
          </w:p>
          <w:p w14:paraId="266BA6C1">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其中：a 为面声源宽度，b 为面声源长度</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b&gt;a。</w:t>
            </w:r>
          </w:p>
          <w:p w14:paraId="6FF84533">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面声源的几何发散衰减：</w:t>
            </w:r>
          </w:p>
          <w:p w14:paraId="7D5B5A0B">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val="0"/>
                <w:bCs w:val="0"/>
                <w:color w:val="auto"/>
                <w:sz w:val="24"/>
                <w:szCs w:val="24"/>
              </w:rPr>
              <w:t>当r&gt;b/π时，类似于点声源衰减特性，即：LA（r）=LA（b/π）-20lg[r/（b/π）]</w:t>
            </w:r>
            <w:r>
              <w:rPr>
                <w:rFonts w:hint="eastAsia" w:ascii="Times New Roman" w:hAnsi="Times New Roman" w:eastAsia="宋体" w:cs="Times New Roman"/>
                <w:b w:val="0"/>
                <w:bCs w:val="0"/>
                <w:color w:val="auto"/>
                <w:sz w:val="24"/>
                <w:szCs w:val="24"/>
                <w:lang w:eastAsia="zh-CN"/>
              </w:rPr>
              <w:t>，</w:t>
            </w:r>
            <w:r>
              <w:rPr>
                <w:rFonts w:hint="eastAsia" w:ascii="Times New Roman" w:hAnsi="Times New Roman" w:eastAsia="宋体" w:cs="Times New Roman"/>
                <w:b w:val="0"/>
                <w:bCs w:val="0"/>
                <w:color w:val="auto"/>
                <w:sz w:val="24"/>
                <w:szCs w:val="24"/>
                <w:lang w:val="en-US" w:eastAsia="zh-CN"/>
              </w:rPr>
              <w:t>距离加倍衰减趋近于6</w:t>
            </w:r>
            <w:r>
              <w:rPr>
                <w:rFonts w:hint="default" w:ascii="Times New Roman" w:hAnsi="Times New Roman" w:eastAsia="宋体" w:cs="Times New Roman"/>
                <w:color w:val="auto"/>
                <w:sz w:val="24"/>
                <w:szCs w:val="24"/>
              </w:rPr>
              <w:t>dB</w:t>
            </w:r>
            <w:r>
              <w:rPr>
                <w:rFonts w:hint="eastAsia" w:cs="Times New Roman"/>
                <w:color w:val="auto"/>
                <w:sz w:val="24"/>
                <w:szCs w:val="24"/>
                <w:lang w:eastAsia="zh-CN"/>
              </w:rPr>
              <w:t>，</w:t>
            </w:r>
            <w:r>
              <w:rPr>
                <w:rFonts w:hint="eastAsia" w:cs="Times New Roman"/>
                <w:color w:val="auto"/>
                <w:sz w:val="24"/>
                <w:szCs w:val="24"/>
                <w:lang w:val="en-US" w:eastAsia="zh-CN"/>
              </w:rPr>
              <w:t>类似点声源衰减特性A</w:t>
            </w:r>
            <w:r>
              <w:rPr>
                <w:rFonts w:hint="eastAsia" w:cs="Times New Roman"/>
                <w:color w:val="auto"/>
                <w:sz w:val="24"/>
                <w:szCs w:val="24"/>
                <w:vertAlign w:val="subscript"/>
                <w:lang w:val="en-US" w:eastAsia="zh-CN"/>
              </w:rPr>
              <w:t>div</w:t>
            </w:r>
            <w:r>
              <w:rPr>
                <w:rFonts w:hint="eastAsia" w:cs="Times New Roman"/>
                <w:color w:val="auto"/>
                <w:sz w:val="24"/>
                <w:szCs w:val="24"/>
                <w:vertAlign w:val="baseline"/>
                <w:lang w:val="en-US" w:eastAsia="zh-CN"/>
              </w:rPr>
              <w:t>≈</w:t>
            </w:r>
            <w:r>
              <w:rPr>
                <w:rFonts w:hint="eastAsia" w:cs="Times New Roman"/>
                <w:color w:val="auto"/>
                <w:sz w:val="24"/>
                <w:szCs w:val="24"/>
                <w:lang w:val="en-US" w:eastAsia="zh-CN"/>
              </w:rPr>
              <w:t>20</w:t>
            </w:r>
            <w:r>
              <w:rPr>
                <w:rFonts w:hint="default" w:ascii="Times New Roman" w:hAnsi="Times New Roman" w:eastAsia="宋体" w:cs="Times New Roman"/>
                <w:color w:val="auto"/>
                <w:sz w:val="24"/>
                <w:szCs w:val="24"/>
              </w:rPr>
              <w:t>lg（</w:t>
            </w:r>
            <w:r>
              <w:rPr>
                <w:rFonts w:hint="eastAsia" w:cs="Times New Roman"/>
                <w:color w:val="auto"/>
                <w:sz w:val="24"/>
                <w:szCs w:val="24"/>
                <w:lang w:val="en-US" w:eastAsia="zh-CN"/>
              </w:rPr>
              <w:t>r/</w:t>
            </w:r>
            <w:r>
              <w:rPr>
                <w:rFonts w:hint="default" w:ascii="Times New Roman" w:hAnsi="Times New Roman" w:eastAsia="宋体" w:cs="Times New Roman"/>
                <w:color w:val="auto"/>
                <w:sz w:val="24"/>
                <w:szCs w:val="24"/>
              </w:rPr>
              <w:t>r</w:t>
            </w:r>
            <w:r>
              <w:rPr>
                <w:rFonts w:hint="default" w:ascii="Times New Roman" w:hAnsi="Times New Roman" w:eastAsia="宋体" w:cs="Times New Roman"/>
                <w:color w:val="auto"/>
                <w:sz w:val="24"/>
                <w:szCs w:val="24"/>
                <w:vertAlign w:val="subscript"/>
              </w:rPr>
              <w:t>0</w:t>
            </w:r>
            <w:r>
              <w:rPr>
                <w:rFonts w:hint="default" w:ascii="Times New Roman" w:hAnsi="Times New Roman" w:eastAsia="宋体" w:cs="Times New Roman"/>
                <w:color w:val="auto"/>
                <w:sz w:val="24"/>
                <w:szCs w:val="24"/>
              </w:rPr>
              <w:t>）</w:t>
            </w:r>
            <w:r>
              <w:rPr>
                <w:rFonts w:hint="eastAsia" w:cs="Times New Roman"/>
                <w:color w:val="auto"/>
                <w:sz w:val="24"/>
                <w:szCs w:val="24"/>
                <w:lang w:eastAsia="zh-CN"/>
              </w:rPr>
              <w:t>。</w:t>
            </w:r>
          </w:p>
          <w:p w14:paraId="5448D637">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（3）预测点的预测等效声级（L</w:t>
            </w:r>
            <w:r>
              <w:rPr>
                <w:rFonts w:hint="default" w:ascii="Times New Roman" w:hAnsi="Times New Roman" w:eastAsia="宋体" w:cs="Times New Roman"/>
                <w:b/>
                <w:bCs/>
                <w:color w:val="auto"/>
                <w:sz w:val="24"/>
                <w:szCs w:val="24"/>
                <w:vertAlign w:val="subscript"/>
              </w:rPr>
              <w:t>Eq</w:t>
            </w:r>
            <w:r>
              <w:rPr>
                <w:rFonts w:hint="default" w:ascii="Times New Roman" w:hAnsi="Times New Roman" w:eastAsia="宋体" w:cs="Times New Roman"/>
                <w:b/>
                <w:bCs/>
                <w:color w:val="auto"/>
                <w:sz w:val="24"/>
                <w:szCs w:val="24"/>
              </w:rPr>
              <w:t>）计算</w:t>
            </w:r>
          </w:p>
          <w:p w14:paraId="3FD5828D">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position w:val="-18"/>
                <w:sz w:val="24"/>
                <w:szCs w:val="24"/>
              </w:rPr>
              <w:object>
                <v:shape id="_x0000_i1030" o:spt="75" type="#_x0000_t75" style="height:23pt;width:148pt;" o:ole="t" filled="f" o:preferrelative="t" stroked="f" coordsize="21600,21600">
                  <v:path/>
                  <v:fill on="f" focussize="0,0"/>
                  <v:stroke on="f"/>
                  <v:imagedata r:id="rId22" o:title=""/>
                  <o:lock v:ext="edit" aspectratio="t"/>
                  <w10:wrap type="none"/>
                  <w10:anchorlock/>
                </v:shape>
                <o:OLEObject Type="Embed" ProgID="Equation.3" ShapeID="_x0000_i1030" DrawAspect="Content" ObjectID="_1468075730" r:id="rId21">
                  <o:LockedField>false</o:LockedField>
                </o:OLEObject>
              </w:object>
            </w:r>
          </w:p>
          <w:p w14:paraId="6AD3F781">
            <w:pPr>
              <w:keepNext w:val="0"/>
              <w:keepLines w:val="0"/>
              <w:pageBreakBefore w:val="0"/>
              <w:suppressLineNumbers w:val="0"/>
              <w:shd w:val="clear" w:color="auto" w:fill="FFFFFF"/>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式中：L</w:t>
            </w:r>
            <w:r>
              <w:rPr>
                <w:rFonts w:hint="default" w:ascii="Times New Roman" w:hAnsi="Times New Roman" w:eastAsia="宋体" w:cs="Times New Roman"/>
                <w:color w:val="auto"/>
                <w:sz w:val="24"/>
                <w:szCs w:val="24"/>
                <w:vertAlign w:val="subscript"/>
              </w:rPr>
              <w:t>Eqg</w:t>
            </w:r>
            <w:r>
              <w:rPr>
                <w:rFonts w:hint="default" w:ascii="Times New Roman" w:hAnsi="Times New Roman" w:eastAsia="宋体" w:cs="Times New Roman"/>
                <w:color w:val="auto"/>
                <w:sz w:val="24"/>
                <w:szCs w:val="24"/>
              </w:rPr>
              <w:t>——建设项目声源在预测点的等效声级贡献量，dB</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742A9AC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1200" w:firstLineChars="500"/>
              <w:jc w:val="left"/>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L</w:t>
            </w:r>
            <w:r>
              <w:rPr>
                <w:rFonts w:hint="default" w:ascii="Times New Roman" w:hAnsi="Times New Roman" w:eastAsia="宋体" w:cs="Times New Roman"/>
                <w:color w:val="auto"/>
                <w:sz w:val="24"/>
                <w:szCs w:val="24"/>
                <w:vertAlign w:val="subscript"/>
              </w:rPr>
              <w:t>Eqb</w:t>
            </w:r>
            <w:r>
              <w:rPr>
                <w:rFonts w:hint="default" w:ascii="Times New Roman" w:hAnsi="Times New Roman" w:eastAsia="宋体" w:cs="Times New Roman"/>
                <w:color w:val="auto"/>
                <w:sz w:val="24"/>
                <w:szCs w:val="24"/>
              </w:rPr>
              <w:t>——预测点背景值，dB</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w:t>
            </w:r>
          </w:p>
          <w:p w14:paraId="2E3D2B66">
            <w:pPr>
              <w:pStyle w:val="28"/>
              <w:keepNext w:val="0"/>
              <w:keepLines w:val="0"/>
              <w:suppressLineNumbers w:val="0"/>
              <w:spacing w:before="0" w:beforeAutospacing="0" w:after="0" w:afterAutospacing="0" w:line="360" w:lineRule="auto"/>
              <w:ind w:left="0" w:right="0"/>
              <w:jc w:val="both"/>
              <w:outlineLvl w:val="0"/>
              <w:rPr>
                <w:rFonts w:hint="eastAsia" w:eastAsia="宋体"/>
                <w:vertAlign w:val="baseline"/>
                <w:lang w:val="en-US" w:eastAsia="zh-CN"/>
              </w:rPr>
            </w:pPr>
          </w:p>
        </w:tc>
      </w:tr>
    </w:tbl>
    <w:p w14:paraId="366FAEC5">
      <w:pPr>
        <w:pStyle w:val="28"/>
        <w:spacing w:before="0" w:beforeAutospacing="0" w:after="0" w:afterAutospacing="0" w:line="360" w:lineRule="auto"/>
        <w:jc w:val="center"/>
        <w:outlineLvl w:val="0"/>
        <w:rPr>
          <w:rFonts w:hint="eastAsia" w:ascii="黑体" w:hAnsi="黑体" w:eastAsia="黑体" w:cs="黑体"/>
          <w:b w:val="0"/>
          <w:bCs w:val="0"/>
          <w:snapToGrid w:val="0"/>
          <w:color w:val="0000FF"/>
          <w:sz w:val="30"/>
          <w:szCs w:val="30"/>
          <w:highlight w:val="none"/>
        </w:rPr>
        <w:sectPr>
          <w:pgSz w:w="11906" w:h="16838"/>
          <w:pgMar w:top="1440" w:right="1800" w:bottom="1440" w:left="1417" w:header="851" w:footer="992" w:gutter="0"/>
          <w:pgNumType w:fmt="decimal"/>
          <w:cols w:space="425" w:num="1"/>
          <w:docGrid w:type="lines" w:linePitch="312" w:charSpace="0"/>
        </w:sect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3584"/>
      </w:tblGrid>
      <w:tr w14:paraId="74D7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dxa"/>
          </w:tcPr>
          <w:p w14:paraId="056BDFE9">
            <w:pPr>
              <w:pStyle w:val="28"/>
              <w:keepNext w:val="0"/>
              <w:keepLines w:val="0"/>
              <w:suppressLineNumbers w:val="0"/>
              <w:spacing w:before="0" w:beforeAutospacing="0" w:after="0" w:afterAutospacing="0" w:line="360" w:lineRule="auto"/>
              <w:ind w:left="0" w:right="0"/>
              <w:jc w:val="center"/>
              <w:outlineLvl w:val="0"/>
              <w:rPr>
                <w:rFonts w:hint="eastAsia" w:ascii="黑体" w:hAnsi="黑体" w:eastAsia="黑体" w:cs="黑体"/>
                <w:snapToGrid w:val="0"/>
                <w:sz w:val="30"/>
                <w:szCs w:val="30"/>
                <w:vertAlign w:val="baseline"/>
                <w:lang w:eastAsia="zh-CN"/>
              </w:rPr>
            </w:pPr>
          </w:p>
        </w:tc>
        <w:tc>
          <w:tcPr>
            <w:tcW w:w="13584" w:type="dxa"/>
          </w:tcPr>
          <w:p w14:paraId="1C2E1F1B">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cs="Times New Roman"/>
                <w:b/>
                <w:bCs/>
                <w:snapToGrid w:val="0"/>
                <w:color w:val="auto"/>
                <w:kern w:val="0"/>
                <w:sz w:val="24"/>
                <w:szCs w:val="24"/>
                <w:lang w:val="en-US" w:eastAsia="zh-CN" w:bidi="ar-SA"/>
              </w:rPr>
            </w:pPr>
            <w:r>
              <w:rPr>
                <w:rFonts w:hint="eastAsia" w:ascii="Times New Roman" w:hAnsi="Times New Roman" w:eastAsia="宋体" w:cs="Times New Roman"/>
                <w:b/>
                <w:bCs/>
                <w:snapToGrid w:val="0"/>
                <w:color w:val="auto"/>
                <w:kern w:val="0"/>
                <w:sz w:val="24"/>
                <w:szCs w:val="24"/>
                <w:lang w:val="en-US" w:eastAsia="zh-CN" w:bidi="ar-SA"/>
              </w:rPr>
              <w:t>表4-</w:t>
            </w:r>
            <w:r>
              <w:rPr>
                <w:rFonts w:hint="eastAsia" w:cs="Times New Roman"/>
                <w:b/>
                <w:bCs/>
                <w:snapToGrid w:val="0"/>
                <w:color w:val="auto"/>
                <w:kern w:val="0"/>
                <w:sz w:val="24"/>
                <w:szCs w:val="24"/>
                <w:lang w:val="en-US" w:eastAsia="zh-CN" w:bidi="ar-SA"/>
              </w:rPr>
              <w:t>25</w:t>
            </w:r>
            <w:r>
              <w:rPr>
                <w:rFonts w:hint="eastAsia" w:ascii="Times New Roman" w:hAnsi="Times New Roman" w:eastAsia="宋体" w:cs="Times New Roman"/>
                <w:b/>
                <w:bCs/>
                <w:snapToGrid w:val="0"/>
                <w:color w:val="auto"/>
                <w:kern w:val="0"/>
                <w:sz w:val="24"/>
                <w:szCs w:val="24"/>
                <w:lang w:val="en-US" w:eastAsia="zh-CN" w:bidi="ar-SA"/>
              </w:rPr>
              <w:t xml:space="preserve">  厂区产噪噪声源</w:t>
            </w:r>
            <w:r>
              <w:rPr>
                <w:rFonts w:hint="eastAsia" w:cs="Times New Roman"/>
                <w:b/>
                <w:bCs/>
                <w:snapToGrid w:val="0"/>
                <w:color w:val="auto"/>
                <w:kern w:val="0"/>
                <w:sz w:val="24"/>
                <w:szCs w:val="24"/>
                <w:lang w:val="en-US" w:eastAsia="zh-CN" w:bidi="ar-SA"/>
              </w:rPr>
              <w:t>贡献值预测</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109"/>
              <w:gridCol w:w="885"/>
              <w:gridCol w:w="1794"/>
              <w:gridCol w:w="1596"/>
              <w:gridCol w:w="1609"/>
              <w:gridCol w:w="1621"/>
              <w:gridCol w:w="817"/>
              <w:gridCol w:w="804"/>
              <w:gridCol w:w="806"/>
              <w:gridCol w:w="794"/>
              <w:gridCol w:w="723"/>
              <w:gridCol w:w="2"/>
            </w:tblGrid>
            <w:tr w14:paraId="4196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restart"/>
                  <w:vAlign w:val="center"/>
                </w:tcPr>
                <w:p w14:paraId="38FBEB4A">
                  <w:pPr>
                    <w:pStyle w:val="8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val="0"/>
                      <w:color w:val="auto"/>
                      <w:sz w:val="21"/>
                      <w:szCs w:val="21"/>
                      <w:lang w:val="en-US" w:eastAsia="zh-CN"/>
                    </w:rPr>
                    <w:t>类别</w:t>
                  </w:r>
                </w:p>
              </w:tc>
              <w:tc>
                <w:tcPr>
                  <w:tcW w:w="1109" w:type="dxa"/>
                  <w:vMerge w:val="restart"/>
                  <w:vAlign w:val="center"/>
                </w:tcPr>
                <w:p w14:paraId="79C8BB66">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声源名称</w:t>
                  </w:r>
                </w:p>
              </w:tc>
              <w:tc>
                <w:tcPr>
                  <w:tcW w:w="885" w:type="dxa"/>
                  <w:vMerge w:val="restart"/>
                  <w:vAlign w:val="center"/>
                </w:tcPr>
                <w:p w14:paraId="37B1CB7A">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1m处噪声源强</w:t>
                  </w:r>
                </w:p>
              </w:tc>
              <w:tc>
                <w:tcPr>
                  <w:tcW w:w="6620" w:type="dxa"/>
                  <w:gridSpan w:val="4"/>
                  <w:vAlign w:val="center"/>
                </w:tcPr>
                <w:p w14:paraId="4389A7C9">
                  <w:pPr>
                    <w:keepNext w:val="0"/>
                    <w:keepLines w:val="0"/>
                    <w:suppressLineNumbers w:val="0"/>
                    <w:wordWrap/>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预测参数</w:t>
                  </w:r>
                </w:p>
              </w:tc>
              <w:tc>
                <w:tcPr>
                  <w:tcW w:w="3221" w:type="dxa"/>
                  <w:gridSpan w:val="4"/>
                  <w:vAlign w:val="center"/>
                </w:tcPr>
                <w:p w14:paraId="4B02849A">
                  <w:pPr>
                    <w:keepNext w:val="0"/>
                    <w:keepLines w:val="0"/>
                    <w:suppressLineNumbers w:val="0"/>
                    <w:wordWrap/>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厂界噪声贡献值L</w:t>
                  </w:r>
                  <w:r>
                    <w:rPr>
                      <w:rFonts w:hint="default" w:ascii="Times New Roman" w:hAnsi="Times New Roman" w:eastAsia="宋体" w:cs="Times New Roman"/>
                      <w:b/>
                      <w:bCs/>
                      <w:color w:val="auto"/>
                      <w:sz w:val="21"/>
                      <w:szCs w:val="21"/>
                      <w:vertAlign w:val="subscript"/>
                      <w:lang w:val="en-US" w:eastAsia="zh-CN"/>
                    </w:rPr>
                    <w:t>A</w:t>
                  </w:r>
                  <w:r>
                    <w:rPr>
                      <w:rFonts w:hint="default" w:ascii="Times New Roman" w:hAnsi="Times New Roman" w:eastAsia="宋体" w:cs="Times New Roman"/>
                      <w:b/>
                      <w:bCs/>
                      <w:color w:val="auto"/>
                      <w:sz w:val="21"/>
                      <w:szCs w:val="21"/>
                      <w:lang w:val="en-US" w:eastAsia="zh-CN"/>
                    </w:rPr>
                    <w:t>（r）</w:t>
                  </w:r>
                </w:p>
              </w:tc>
              <w:tc>
                <w:tcPr>
                  <w:tcW w:w="725" w:type="dxa"/>
                  <w:gridSpan w:val="2"/>
                  <w:vMerge w:val="restart"/>
                  <w:vAlign w:val="center"/>
                </w:tcPr>
                <w:p w14:paraId="249350B1">
                  <w:pPr>
                    <w:keepNext w:val="0"/>
                    <w:keepLines w:val="0"/>
                    <w:suppressLineNumbers w:val="0"/>
                    <w:wordWrap/>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p>
              </w:tc>
            </w:tr>
            <w:tr w14:paraId="6968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2E008347">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p>
              </w:tc>
              <w:tc>
                <w:tcPr>
                  <w:tcW w:w="1109" w:type="dxa"/>
                  <w:vMerge w:val="continue"/>
                  <w:vAlign w:val="center"/>
                </w:tcPr>
                <w:p w14:paraId="3EA5A8A6">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p>
              </w:tc>
              <w:tc>
                <w:tcPr>
                  <w:tcW w:w="885" w:type="dxa"/>
                  <w:vMerge w:val="continue"/>
                  <w:vAlign w:val="center"/>
                </w:tcPr>
                <w:p w14:paraId="6E2D9AE1">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p>
              </w:tc>
              <w:tc>
                <w:tcPr>
                  <w:tcW w:w="1794" w:type="dxa"/>
                  <w:vAlign w:val="center"/>
                </w:tcPr>
                <w:p w14:paraId="613FE14C">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东（m）</w:t>
                  </w:r>
                </w:p>
              </w:tc>
              <w:tc>
                <w:tcPr>
                  <w:tcW w:w="1596" w:type="dxa"/>
                  <w:vAlign w:val="center"/>
                </w:tcPr>
                <w:p w14:paraId="63DB5048">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南（m）</w:t>
                  </w:r>
                </w:p>
              </w:tc>
              <w:tc>
                <w:tcPr>
                  <w:tcW w:w="1609" w:type="dxa"/>
                  <w:vAlign w:val="center"/>
                </w:tcPr>
                <w:p w14:paraId="06331825">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西（m）</w:t>
                  </w:r>
                </w:p>
              </w:tc>
              <w:tc>
                <w:tcPr>
                  <w:tcW w:w="1621" w:type="dxa"/>
                  <w:vAlign w:val="center"/>
                </w:tcPr>
                <w:p w14:paraId="49A04049">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北（m）</w:t>
                  </w:r>
                </w:p>
              </w:tc>
              <w:tc>
                <w:tcPr>
                  <w:tcW w:w="817" w:type="dxa"/>
                  <w:vAlign w:val="center"/>
                </w:tcPr>
                <w:p w14:paraId="372A834F">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东</w:t>
                  </w:r>
                </w:p>
              </w:tc>
              <w:tc>
                <w:tcPr>
                  <w:tcW w:w="804" w:type="dxa"/>
                  <w:vAlign w:val="center"/>
                </w:tcPr>
                <w:p w14:paraId="2C5DE746">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南</w:t>
                  </w:r>
                </w:p>
              </w:tc>
              <w:tc>
                <w:tcPr>
                  <w:tcW w:w="806" w:type="dxa"/>
                  <w:vAlign w:val="center"/>
                </w:tcPr>
                <w:p w14:paraId="00BF1DD5">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西</w:t>
                  </w:r>
                </w:p>
              </w:tc>
              <w:tc>
                <w:tcPr>
                  <w:tcW w:w="794" w:type="dxa"/>
                  <w:vAlign w:val="center"/>
                </w:tcPr>
                <w:p w14:paraId="45FA057C">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北</w:t>
                  </w:r>
                </w:p>
              </w:tc>
              <w:tc>
                <w:tcPr>
                  <w:tcW w:w="725" w:type="dxa"/>
                  <w:gridSpan w:val="2"/>
                  <w:vMerge w:val="continue"/>
                  <w:vAlign w:val="center"/>
                </w:tcPr>
                <w:p w14:paraId="3B227CC0">
                  <w:pPr>
                    <w:pStyle w:val="40"/>
                    <w:keepNext w:val="0"/>
                    <w:keepLines w:val="0"/>
                    <w:suppressLineNumbers w:val="0"/>
                    <w:spacing w:before="0" w:beforeAutospacing="0" w:after="0" w:afterAutospacing="0"/>
                    <w:ind w:left="0" w:right="0"/>
                    <w:rPr>
                      <w:rFonts w:hint="default" w:ascii="Times New Roman" w:hAnsi="Times New Roman" w:eastAsia="宋体" w:cs="Times New Roman"/>
                      <w:b/>
                      <w:bCs/>
                      <w:color w:val="auto"/>
                      <w:sz w:val="21"/>
                      <w:szCs w:val="21"/>
                      <w:lang w:val="en-US" w:eastAsia="zh-CN"/>
                    </w:rPr>
                  </w:pPr>
                </w:p>
              </w:tc>
            </w:tr>
            <w:tr w14:paraId="2000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97" w:hRule="atLeast"/>
                <w:jc w:val="center"/>
              </w:trPr>
              <w:tc>
                <w:tcPr>
                  <w:tcW w:w="793" w:type="dxa"/>
                  <w:vMerge w:val="restart"/>
                  <w:vAlign w:val="center"/>
                </w:tcPr>
                <w:p w14:paraId="5026BDE0">
                  <w:pPr>
                    <w:pStyle w:val="8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全厂项目</w:t>
                  </w:r>
                </w:p>
              </w:tc>
              <w:tc>
                <w:tcPr>
                  <w:tcW w:w="1109" w:type="dxa"/>
                  <w:vMerge w:val="restart"/>
                  <w:vAlign w:val="center"/>
                </w:tcPr>
                <w:p w14:paraId="1E792D80">
                  <w:pPr>
                    <w:pStyle w:val="8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2</w:t>
                  </w:r>
                  <w:r>
                    <w:rPr>
                      <w:rFonts w:hint="default" w:ascii="Times New Roman" w:hAnsi="Times New Roman" w:eastAsia="宋体" w:cs="Times New Roman"/>
                      <w:b w:val="0"/>
                      <w:bCs/>
                      <w:color w:val="auto"/>
                      <w:sz w:val="21"/>
                      <w:szCs w:val="21"/>
                      <w:lang w:val="en-US" w:eastAsia="zh-CN"/>
                    </w:rPr>
                    <w:t>#生产车间</w:t>
                  </w:r>
                </w:p>
              </w:tc>
              <w:tc>
                <w:tcPr>
                  <w:tcW w:w="885" w:type="dxa"/>
                  <w:vMerge w:val="restart"/>
                  <w:vAlign w:val="center"/>
                </w:tcPr>
                <w:p w14:paraId="5469C0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52.53 </w:t>
                  </w:r>
                </w:p>
              </w:tc>
              <w:tc>
                <w:tcPr>
                  <w:tcW w:w="6620" w:type="dxa"/>
                  <w:gridSpan w:val="4"/>
                  <w:vMerge w:val="restart"/>
                  <w:tcBorders/>
                  <w:vAlign w:val="center"/>
                </w:tcPr>
                <w:p w14:paraId="09B8E1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w:t>
                  </w:r>
                  <w:bookmarkStart w:id="15" w:name="_GoBack"/>
                  <w:bookmarkEnd w:id="15"/>
                </w:p>
              </w:tc>
              <w:tc>
                <w:tcPr>
                  <w:tcW w:w="817" w:type="dxa"/>
                  <w:vMerge w:val="restart"/>
                  <w:vAlign w:val="center"/>
                </w:tcPr>
                <w:p w14:paraId="72CFCF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42.1 </w:t>
                  </w:r>
                </w:p>
              </w:tc>
              <w:tc>
                <w:tcPr>
                  <w:tcW w:w="804" w:type="dxa"/>
                  <w:vMerge w:val="restart"/>
                  <w:vAlign w:val="center"/>
                </w:tcPr>
                <w:p w14:paraId="533FEF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26.6 </w:t>
                  </w:r>
                </w:p>
              </w:tc>
              <w:tc>
                <w:tcPr>
                  <w:tcW w:w="806" w:type="dxa"/>
                  <w:vMerge w:val="restart"/>
                  <w:vAlign w:val="center"/>
                </w:tcPr>
                <w:p w14:paraId="7CC0DA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33.1 </w:t>
                  </w:r>
                </w:p>
              </w:tc>
              <w:tc>
                <w:tcPr>
                  <w:tcW w:w="794" w:type="dxa"/>
                  <w:vMerge w:val="restart"/>
                  <w:vAlign w:val="center"/>
                </w:tcPr>
                <w:p w14:paraId="1B683C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44.7 </w:t>
                  </w:r>
                </w:p>
              </w:tc>
              <w:tc>
                <w:tcPr>
                  <w:tcW w:w="723" w:type="dxa"/>
                  <w:vMerge w:val="restart"/>
                  <w:vAlign w:val="center"/>
                </w:tcPr>
                <w:p w14:paraId="5A70FA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面源 </w:t>
                  </w:r>
                </w:p>
              </w:tc>
            </w:tr>
            <w:tr w14:paraId="21F0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397" w:hRule="atLeast"/>
                <w:jc w:val="center"/>
              </w:trPr>
              <w:tc>
                <w:tcPr>
                  <w:tcW w:w="793" w:type="dxa"/>
                  <w:vMerge w:val="continue"/>
                  <w:vAlign w:val="center"/>
                </w:tcPr>
                <w:p w14:paraId="127397A0">
                  <w:pPr>
                    <w:pStyle w:val="40"/>
                    <w:keepNext w:val="0"/>
                    <w:keepLines w:val="0"/>
                    <w:suppressLineNumbers w:val="0"/>
                    <w:spacing w:before="0" w:beforeAutospacing="0" w:after="0" w:afterAutospacing="0"/>
                    <w:ind w:left="0" w:right="0"/>
                    <w:rPr>
                      <w:rFonts w:hint="default" w:ascii="Times New Roman" w:hAnsi="Times New Roman" w:cs="Times New Roman"/>
                      <w:color w:val="auto"/>
                      <w:sz w:val="21"/>
                      <w:szCs w:val="21"/>
                      <w:lang w:val="en-US" w:eastAsia="zh-CN"/>
                    </w:rPr>
                  </w:pPr>
                </w:p>
              </w:tc>
              <w:tc>
                <w:tcPr>
                  <w:tcW w:w="1109" w:type="dxa"/>
                  <w:vMerge w:val="restart"/>
                  <w:shd w:val="clear" w:color="auto" w:fill="auto"/>
                  <w:vAlign w:val="center"/>
                </w:tcPr>
                <w:p w14:paraId="5A5BCDCB">
                  <w:pPr>
                    <w:pStyle w:val="8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sz w:val="21"/>
                      <w:szCs w:val="21"/>
                      <w:lang w:val="en-US" w:eastAsia="zh-CN"/>
                    </w:rPr>
                    <w:t>1</w:t>
                  </w:r>
                  <w:r>
                    <w:rPr>
                      <w:rFonts w:hint="default" w:ascii="Times New Roman" w:hAnsi="Times New Roman" w:cs="Times New Roman"/>
                      <w:b w:val="0"/>
                      <w:bCs/>
                      <w:color w:val="auto"/>
                      <w:sz w:val="21"/>
                      <w:szCs w:val="21"/>
                      <w:lang w:val="en-US" w:eastAsia="zh-CN"/>
                    </w:rPr>
                    <w:t>#生产车间</w:t>
                  </w:r>
                </w:p>
              </w:tc>
              <w:tc>
                <w:tcPr>
                  <w:tcW w:w="885" w:type="dxa"/>
                  <w:vMerge w:val="restart"/>
                  <w:shd w:val="clear" w:color="auto" w:fill="auto"/>
                  <w:vAlign w:val="center"/>
                </w:tcPr>
                <w:p w14:paraId="2FB0D0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 xml:space="preserve">52.53 </w:t>
                  </w:r>
                </w:p>
              </w:tc>
              <w:tc>
                <w:tcPr>
                  <w:tcW w:w="6620" w:type="dxa"/>
                  <w:gridSpan w:val="4"/>
                  <w:vMerge w:val="continue"/>
                  <w:tcBorders/>
                  <w:shd w:val="clear" w:color="auto" w:fill="auto"/>
                  <w:vAlign w:val="center"/>
                </w:tcPr>
                <w:p w14:paraId="6C34D6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vMerge w:val="restart"/>
                  <w:shd w:val="clear" w:color="auto" w:fill="auto"/>
                  <w:vAlign w:val="center"/>
                </w:tcPr>
                <w:p w14:paraId="1EBA59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33.1 </w:t>
                  </w:r>
                </w:p>
              </w:tc>
              <w:tc>
                <w:tcPr>
                  <w:tcW w:w="804" w:type="dxa"/>
                  <w:vMerge w:val="restart"/>
                  <w:shd w:val="clear" w:color="auto" w:fill="auto"/>
                  <w:vAlign w:val="center"/>
                </w:tcPr>
                <w:p w14:paraId="192273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26.6 </w:t>
                  </w:r>
                </w:p>
              </w:tc>
              <w:tc>
                <w:tcPr>
                  <w:tcW w:w="806" w:type="dxa"/>
                  <w:vMerge w:val="restart"/>
                  <w:shd w:val="clear" w:color="auto" w:fill="auto"/>
                  <w:vAlign w:val="center"/>
                </w:tcPr>
                <w:p w14:paraId="299CFD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37.1 </w:t>
                  </w:r>
                </w:p>
              </w:tc>
              <w:tc>
                <w:tcPr>
                  <w:tcW w:w="794" w:type="dxa"/>
                  <w:vMerge w:val="restart"/>
                  <w:shd w:val="clear" w:color="auto" w:fill="auto"/>
                  <w:vAlign w:val="center"/>
                </w:tcPr>
                <w:p w14:paraId="53D7CF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44.7 </w:t>
                  </w:r>
                </w:p>
              </w:tc>
              <w:tc>
                <w:tcPr>
                  <w:tcW w:w="723" w:type="dxa"/>
                  <w:vAlign w:val="center"/>
                </w:tcPr>
                <w:p w14:paraId="47BEEA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面源 </w:t>
                  </w:r>
                </w:p>
              </w:tc>
            </w:tr>
            <w:tr w14:paraId="460E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2C66F391">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vAlign w:val="center"/>
                </w:tcPr>
                <w:p w14:paraId="41AF7F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3#生产车间</w:t>
                  </w:r>
                </w:p>
              </w:tc>
              <w:tc>
                <w:tcPr>
                  <w:tcW w:w="885" w:type="dxa"/>
                  <w:vAlign w:val="center"/>
                </w:tcPr>
                <w:p w14:paraId="73BC6DB2">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36.80 </w:t>
                  </w:r>
                </w:p>
              </w:tc>
              <w:tc>
                <w:tcPr>
                  <w:tcW w:w="6620" w:type="dxa"/>
                  <w:gridSpan w:val="4"/>
                  <w:vMerge w:val="continue"/>
                  <w:tcBorders/>
                  <w:shd w:val="clear" w:color="auto" w:fill="auto"/>
                  <w:vAlign w:val="center"/>
                </w:tcPr>
                <w:p w14:paraId="2CD64E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726B84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18.1 </w:t>
                  </w:r>
                </w:p>
              </w:tc>
              <w:tc>
                <w:tcPr>
                  <w:tcW w:w="804" w:type="dxa"/>
                  <w:shd w:val="clear" w:color="auto" w:fill="auto"/>
                  <w:vAlign w:val="center"/>
                </w:tcPr>
                <w:p w14:paraId="4B2BB6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29.0 </w:t>
                  </w:r>
                </w:p>
              </w:tc>
              <w:tc>
                <w:tcPr>
                  <w:tcW w:w="806" w:type="dxa"/>
                  <w:shd w:val="clear" w:color="auto" w:fill="auto"/>
                  <w:vAlign w:val="center"/>
                </w:tcPr>
                <w:p w14:paraId="26B9E1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25.7 </w:t>
                  </w:r>
                </w:p>
              </w:tc>
              <w:tc>
                <w:tcPr>
                  <w:tcW w:w="794" w:type="dxa"/>
                  <w:shd w:val="clear" w:color="auto" w:fill="auto"/>
                  <w:vAlign w:val="center"/>
                </w:tcPr>
                <w:p w14:paraId="19BFD7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10.0 </w:t>
                  </w:r>
                </w:p>
              </w:tc>
              <w:tc>
                <w:tcPr>
                  <w:tcW w:w="725" w:type="dxa"/>
                  <w:gridSpan w:val="2"/>
                  <w:vAlign w:val="center"/>
                </w:tcPr>
                <w:p w14:paraId="16B7C5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面源</w:t>
                  </w:r>
                </w:p>
              </w:tc>
            </w:tr>
            <w:tr w14:paraId="6BFC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30505411">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474644D3">
                  <w:pPr>
                    <w:pStyle w:val="8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1#风机</w:t>
                  </w:r>
                </w:p>
              </w:tc>
              <w:tc>
                <w:tcPr>
                  <w:tcW w:w="885" w:type="dxa"/>
                  <w:shd w:val="clear" w:color="auto" w:fill="auto"/>
                  <w:vAlign w:val="center"/>
                </w:tcPr>
                <w:p w14:paraId="592740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620" w:type="dxa"/>
                  <w:gridSpan w:val="4"/>
                  <w:vMerge w:val="continue"/>
                  <w:tcBorders/>
                  <w:shd w:val="clear" w:color="auto" w:fill="auto"/>
                  <w:vAlign w:val="center"/>
                </w:tcPr>
                <w:p w14:paraId="55D51C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166C6E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38.4 </w:t>
                  </w:r>
                </w:p>
              </w:tc>
              <w:tc>
                <w:tcPr>
                  <w:tcW w:w="804" w:type="dxa"/>
                  <w:shd w:val="clear" w:color="auto" w:fill="auto"/>
                  <w:vAlign w:val="center"/>
                </w:tcPr>
                <w:p w14:paraId="2330D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12.0 </w:t>
                  </w:r>
                </w:p>
              </w:tc>
              <w:tc>
                <w:tcPr>
                  <w:tcW w:w="806" w:type="dxa"/>
                  <w:shd w:val="clear" w:color="auto" w:fill="auto"/>
                  <w:vAlign w:val="center"/>
                </w:tcPr>
                <w:p w14:paraId="05399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14.3 </w:t>
                  </w:r>
                </w:p>
              </w:tc>
              <w:tc>
                <w:tcPr>
                  <w:tcW w:w="794" w:type="dxa"/>
                  <w:shd w:val="clear" w:color="auto" w:fill="auto"/>
                  <w:vAlign w:val="center"/>
                </w:tcPr>
                <w:p w14:paraId="3DECF0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21.3 </w:t>
                  </w:r>
                </w:p>
              </w:tc>
              <w:tc>
                <w:tcPr>
                  <w:tcW w:w="725" w:type="dxa"/>
                  <w:gridSpan w:val="2"/>
                  <w:vAlign w:val="center"/>
                </w:tcPr>
                <w:p w14:paraId="75F470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2F7F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07D174C2">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7D8531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2#风机</w:t>
                  </w:r>
                </w:p>
              </w:tc>
              <w:tc>
                <w:tcPr>
                  <w:tcW w:w="885" w:type="dxa"/>
                  <w:shd w:val="clear" w:color="auto" w:fill="auto"/>
                  <w:vAlign w:val="center"/>
                </w:tcPr>
                <w:p w14:paraId="1A6FEA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620" w:type="dxa"/>
                  <w:gridSpan w:val="4"/>
                  <w:vMerge w:val="continue"/>
                  <w:tcBorders/>
                  <w:shd w:val="clear" w:color="auto" w:fill="auto"/>
                  <w:vAlign w:val="center"/>
                </w:tcPr>
                <w:p w14:paraId="39DC43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0B4E39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21.5 </w:t>
                  </w:r>
                </w:p>
              </w:tc>
              <w:tc>
                <w:tcPr>
                  <w:tcW w:w="804" w:type="dxa"/>
                  <w:shd w:val="clear" w:color="auto" w:fill="auto"/>
                  <w:vAlign w:val="center"/>
                </w:tcPr>
                <w:p w14:paraId="2C6C9B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12.0 </w:t>
                  </w:r>
                </w:p>
              </w:tc>
              <w:tc>
                <w:tcPr>
                  <w:tcW w:w="806" w:type="dxa"/>
                  <w:shd w:val="clear" w:color="auto" w:fill="auto"/>
                  <w:vAlign w:val="center"/>
                </w:tcPr>
                <w:p w14:paraId="773092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18.4 </w:t>
                  </w:r>
                </w:p>
              </w:tc>
              <w:tc>
                <w:tcPr>
                  <w:tcW w:w="794" w:type="dxa"/>
                  <w:shd w:val="clear" w:color="auto" w:fill="auto"/>
                  <w:vAlign w:val="center"/>
                </w:tcPr>
                <w:p w14:paraId="2753F5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21.4 </w:t>
                  </w:r>
                </w:p>
              </w:tc>
              <w:tc>
                <w:tcPr>
                  <w:tcW w:w="725" w:type="dxa"/>
                  <w:gridSpan w:val="2"/>
                  <w:vAlign w:val="center"/>
                </w:tcPr>
                <w:p w14:paraId="6144C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7808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1AD80955">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6F367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3#风机</w:t>
                  </w:r>
                </w:p>
              </w:tc>
              <w:tc>
                <w:tcPr>
                  <w:tcW w:w="885" w:type="dxa"/>
                  <w:shd w:val="clear" w:color="auto" w:fill="auto"/>
                  <w:vAlign w:val="center"/>
                </w:tcPr>
                <w:p w14:paraId="5E3CE9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620" w:type="dxa"/>
                  <w:gridSpan w:val="4"/>
                  <w:vMerge w:val="continue"/>
                  <w:tcBorders/>
                  <w:shd w:val="clear" w:color="auto" w:fill="auto"/>
                  <w:vAlign w:val="center"/>
                </w:tcPr>
                <w:p w14:paraId="3A7201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6AEB1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14.4 </w:t>
                  </w:r>
                </w:p>
              </w:tc>
              <w:tc>
                <w:tcPr>
                  <w:tcW w:w="804" w:type="dxa"/>
                  <w:shd w:val="clear" w:color="auto" w:fill="auto"/>
                  <w:vAlign w:val="center"/>
                </w:tcPr>
                <w:p w14:paraId="03956F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12.0 </w:t>
                  </w:r>
                </w:p>
              </w:tc>
              <w:tc>
                <w:tcPr>
                  <w:tcW w:w="806" w:type="dxa"/>
                  <w:shd w:val="clear" w:color="auto" w:fill="auto"/>
                  <w:vAlign w:val="center"/>
                </w:tcPr>
                <w:p w14:paraId="1C7C60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37.7 </w:t>
                  </w:r>
                </w:p>
              </w:tc>
              <w:tc>
                <w:tcPr>
                  <w:tcW w:w="794" w:type="dxa"/>
                  <w:shd w:val="clear" w:color="auto" w:fill="auto"/>
                  <w:vAlign w:val="center"/>
                </w:tcPr>
                <w:p w14:paraId="34717D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21.3 </w:t>
                  </w:r>
                </w:p>
              </w:tc>
              <w:tc>
                <w:tcPr>
                  <w:tcW w:w="725" w:type="dxa"/>
                  <w:gridSpan w:val="2"/>
                  <w:vAlign w:val="center"/>
                </w:tcPr>
                <w:p w14:paraId="28F862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55D6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3C183D7F">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39C46C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b w:val="0"/>
                      <w:bCs/>
                      <w:color w:val="auto"/>
                      <w:sz w:val="21"/>
                      <w:szCs w:val="21"/>
                      <w:lang w:val="en-US" w:eastAsia="zh-CN"/>
                    </w:rPr>
                    <w:t>4#风机</w:t>
                  </w:r>
                </w:p>
              </w:tc>
              <w:tc>
                <w:tcPr>
                  <w:tcW w:w="885" w:type="dxa"/>
                  <w:shd w:val="clear" w:color="auto" w:fill="auto"/>
                  <w:vAlign w:val="center"/>
                </w:tcPr>
                <w:p w14:paraId="759C8F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620" w:type="dxa"/>
                  <w:gridSpan w:val="4"/>
                  <w:vMerge w:val="continue"/>
                  <w:tcBorders/>
                  <w:shd w:val="clear" w:color="auto" w:fill="auto"/>
                  <w:vAlign w:val="center"/>
                </w:tcPr>
                <w:p w14:paraId="718F12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54E0FC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18.6 </w:t>
                  </w:r>
                </w:p>
              </w:tc>
              <w:tc>
                <w:tcPr>
                  <w:tcW w:w="804" w:type="dxa"/>
                  <w:shd w:val="clear" w:color="auto" w:fill="auto"/>
                  <w:vAlign w:val="center"/>
                </w:tcPr>
                <w:p w14:paraId="49CF0F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11.9 </w:t>
                  </w:r>
                </w:p>
              </w:tc>
              <w:tc>
                <w:tcPr>
                  <w:tcW w:w="806" w:type="dxa"/>
                  <w:shd w:val="clear" w:color="auto" w:fill="auto"/>
                  <w:vAlign w:val="center"/>
                </w:tcPr>
                <w:p w14:paraId="6B4E41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21.3 </w:t>
                  </w:r>
                </w:p>
              </w:tc>
              <w:tc>
                <w:tcPr>
                  <w:tcW w:w="794" w:type="dxa"/>
                  <w:shd w:val="clear" w:color="auto" w:fill="auto"/>
                  <w:vAlign w:val="center"/>
                </w:tcPr>
                <w:p w14:paraId="74C22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21.4 </w:t>
                  </w:r>
                </w:p>
              </w:tc>
              <w:tc>
                <w:tcPr>
                  <w:tcW w:w="725" w:type="dxa"/>
                  <w:gridSpan w:val="2"/>
                  <w:vAlign w:val="center"/>
                </w:tcPr>
                <w:p w14:paraId="4564DC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4117D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4FBE120E">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788177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5#风机</w:t>
                  </w:r>
                </w:p>
              </w:tc>
              <w:tc>
                <w:tcPr>
                  <w:tcW w:w="885" w:type="dxa"/>
                  <w:shd w:val="clear" w:color="auto" w:fill="auto"/>
                  <w:vAlign w:val="center"/>
                </w:tcPr>
                <w:p w14:paraId="74D14309">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620" w:type="dxa"/>
                  <w:gridSpan w:val="4"/>
                  <w:vMerge w:val="continue"/>
                  <w:tcBorders/>
                  <w:shd w:val="clear" w:color="auto" w:fill="auto"/>
                  <w:vAlign w:val="center"/>
                </w:tcPr>
                <w:p w14:paraId="263479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72799C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14.8 </w:t>
                  </w:r>
                </w:p>
              </w:tc>
              <w:tc>
                <w:tcPr>
                  <w:tcW w:w="804" w:type="dxa"/>
                  <w:shd w:val="clear" w:color="auto" w:fill="auto"/>
                  <w:vAlign w:val="center"/>
                </w:tcPr>
                <w:p w14:paraId="7099B7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21.1 </w:t>
                  </w:r>
                </w:p>
              </w:tc>
              <w:tc>
                <w:tcPr>
                  <w:tcW w:w="806" w:type="dxa"/>
                  <w:shd w:val="clear" w:color="auto" w:fill="auto"/>
                  <w:vAlign w:val="center"/>
                </w:tcPr>
                <w:p w14:paraId="5B25D9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36.5 </w:t>
                  </w:r>
                </w:p>
              </w:tc>
              <w:tc>
                <w:tcPr>
                  <w:tcW w:w="794" w:type="dxa"/>
                  <w:shd w:val="clear" w:color="auto" w:fill="auto"/>
                  <w:vAlign w:val="center"/>
                </w:tcPr>
                <w:p w14:paraId="3111D8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12.3 </w:t>
                  </w:r>
                </w:p>
              </w:tc>
              <w:tc>
                <w:tcPr>
                  <w:tcW w:w="725" w:type="dxa"/>
                  <w:gridSpan w:val="2"/>
                  <w:vAlign w:val="center"/>
                </w:tcPr>
                <w:p w14:paraId="4EE349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780B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04F0A606">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75A242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6</w:t>
                  </w:r>
                  <w:r>
                    <w:rPr>
                      <w:rFonts w:hint="default" w:ascii="Times New Roman" w:hAnsi="Times New Roman" w:cs="Times New Roman"/>
                      <w:b w:val="0"/>
                      <w:bCs/>
                      <w:color w:val="auto"/>
                      <w:sz w:val="21"/>
                      <w:szCs w:val="21"/>
                      <w:lang w:val="en-US" w:eastAsia="zh-CN"/>
                    </w:rPr>
                    <w:t>#风机</w:t>
                  </w:r>
                </w:p>
              </w:tc>
              <w:tc>
                <w:tcPr>
                  <w:tcW w:w="885" w:type="dxa"/>
                  <w:shd w:val="clear" w:color="auto" w:fill="auto"/>
                  <w:vAlign w:val="center"/>
                </w:tcPr>
                <w:p w14:paraId="59FABEF7">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6620" w:type="dxa"/>
                  <w:gridSpan w:val="4"/>
                  <w:vMerge w:val="continue"/>
                  <w:tcBorders/>
                  <w:shd w:val="clear" w:color="auto" w:fill="auto"/>
                  <w:vAlign w:val="center"/>
                </w:tcPr>
                <w:p w14:paraId="0F1B68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112CD6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40.4 </w:t>
                  </w:r>
                </w:p>
              </w:tc>
              <w:tc>
                <w:tcPr>
                  <w:tcW w:w="804" w:type="dxa"/>
                  <w:shd w:val="clear" w:color="auto" w:fill="auto"/>
                  <w:vAlign w:val="center"/>
                </w:tcPr>
                <w:p w14:paraId="792727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13.8 </w:t>
                  </w:r>
                </w:p>
              </w:tc>
              <w:tc>
                <w:tcPr>
                  <w:tcW w:w="806" w:type="dxa"/>
                  <w:shd w:val="clear" w:color="auto" w:fill="auto"/>
                  <w:vAlign w:val="center"/>
                </w:tcPr>
                <w:p w14:paraId="3F5E19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16.3 </w:t>
                  </w:r>
                </w:p>
              </w:tc>
              <w:tc>
                <w:tcPr>
                  <w:tcW w:w="794" w:type="dxa"/>
                  <w:shd w:val="clear" w:color="auto" w:fill="auto"/>
                  <w:vAlign w:val="center"/>
                </w:tcPr>
                <w:p w14:paraId="145594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23.8 </w:t>
                  </w:r>
                </w:p>
              </w:tc>
              <w:tc>
                <w:tcPr>
                  <w:tcW w:w="725" w:type="dxa"/>
                  <w:gridSpan w:val="2"/>
                  <w:vAlign w:val="center"/>
                </w:tcPr>
                <w:p w14:paraId="100AE6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29C4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4ABE0BA5">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49F1C6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7</w:t>
                  </w:r>
                  <w:r>
                    <w:rPr>
                      <w:rFonts w:hint="default" w:ascii="Times New Roman" w:hAnsi="Times New Roman" w:cs="Times New Roman"/>
                      <w:b w:val="0"/>
                      <w:bCs/>
                      <w:color w:val="auto"/>
                      <w:sz w:val="21"/>
                      <w:szCs w:val="21"/>
                      <w:lang w:val="en-US" w:eastAsia="zh-CN"/>
                    </w:rPr>
                    <w:t>#风机</w:t>
                  </w:r>
                </w:p>
              </w:tc>
              <w:tc>
                <w:tcPr>
                  <w:tcW w:w="885" w:type="dxa"/>
                  <w:shd w:val="clear" w:color="auto" w:fill="auto"/>
                  <w:vAlign w:val="center"/>
                </w:tcPr>
                <w:p w14:paraId="3E2167B0">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6620" w:type="dxa"/>
                  <w:gridSpan w:val="4"/>
                  <w:vMerge w:val="continue"/>
                  <w:tcBorders/>
                  <w:shd w:val="clear" w:color="auto" w:fill="auto"/>
                  <w:vAlign w:val="center"/>
                </w:tcPr>
                <w:p w14:paraId="221FC6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66E3C3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14.4 </w:t>
                  </w:r>
                </w:p>
              </w:tc>
              <w:tc>
                <w:tcPr>
                  <w:tcW w:w="804" w:type="dxa"/>
                  <w:shd w:val="clear" w:color="auto" w:fill="auto"/>
                  <w:vAlign w:val="center"/>
                </w:tcPr>
                <w:p w14:paraId="68C882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11.8 </w:t>
                  </w:r>
                </w:p>
              </w:tc>
              <w:tc>
                <w:tcPr>
                  <w:tcW w:w="806" w:type="dxa"/>
                  <w:shd w:val="clear" w:color="auto" w:fill="auto"/>
                  <w:vAlign w:val="center"/>
                </w:tcPr>
                <w:p w14:paraId="59DF03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37.7 </w:t>
                  </w:r>
                </w:p>
              </w:tc>
              <w:tc>
                <w:tcPr>
                  <w:tcW w:w="794" w:type="dxa"/>
                  <w:shd w:val="clear" w:color="auto" w:fill="auto"/>
                  <w:vAlign w:val="center"/>
                </w:tcPr>
                <w:p w14:paraId="750C85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21.8 </w:t>
                  </w:r>
                </w:p>
              </w:tc>
              <w:tc>
                <w:tcPr>
                  <w:tcW w:w="725" w:type="dxa"/>
                  <w:gridSpan w:val="2"/>
                  <w:vAlign w:val="center"/>
                </w:tcPr>
                <w:p w14:paraId="4351BD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73A6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3" w:type="dxa"/>
                  <w:vMerge w:val="continue"/>
                  <w:vAlign w:val="center"/>
                </w:tcPr>
                <w:p w14:paraId="2A28FE74">
                  <w:pPr>
                    <w:pStyle w:val="40"/>
                    <w:keepNext w:val="0"/>
                    <w:keepLines w:val="0"/>
                    <w:suppressLineNumbers w:val="0"/>
                    <w:spacing w:before="0" w:beforeAutospacing="0" w:after="0" w:afterAutospacing="0"/>
                    <w:ind w:left="0" w:right="0"/>
                    <w:rPr>
                      <w:rFonts w:hint="default" w:ascii="Times New Roman" w:hAnsi="Times New Roman" w:eastAsia="宋体" w:cs="Times New Roman"/>
                      <w:color w:val="auto"/>
                      <w:sz w:val="21"/>
                      <w:szCs w:val="21"/>
                      <w:lang w:val="en-US" w:eastAsia="zh-CN"/>
                    </w:rPr>
                  </w:pPr>
                </w:p>
              </w:tc>
              <w:tc>
                <w:tcPr>
                  <w:tcW w:w="1109" w:type="dxa"/>
                  <w:shd w:val="clear" w:color="auto" w:fill="auto"/>
                  <w:vAlign w:val="center"/>
                </w:tcPr>
                <w:p w14:paraId="063404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b w:val="0"/>
                      <w:bCs/>
                      <w:color w:val="auto"/>
                      <w:sz w:val="21"/>
                      <w:szCs w:val="21"/>
                      <w:lang w:val="en-US" w:eastAsia="zh-CN"/>
                    </w:rPr>
                  </w:pPr>
                  <w:r>
                    <w:rPr>
                      <w:rFonts w:hint="eastAsia" w:ascii="Times New Roman" w:hAnsi="Times New Roman" w:cs="Times New Roman"/>
                      <w:b w:val="0"/>
                      <w:bCs/>
                      <w:color w:val="auto"/>
                      <w:sz w:val="21"/>
                      <w:szCs w:val="21"/>
                      <w:lang w:val="en-US" w:eastAsia="zh-CN"/>
                    </w:rPr>
                    <w:t>8</w:t>
                  </w:r>
                  <w:r>
                    <w:rPr>
                      <w:rFonts w:hint="default" w:ascii="Times New Roman" w:hAnsi="Times New Roman" w:cs="Times New Roman"/>
                      <w:b w:val="0"/>
                      <w:bCs/>
                      <w:color w:val="auto"/>
                      <w:sz w:val="21"/>
                      <w:szCs w:val="21"/>
                      <w:lang w:val="en-US" w:eastAsia="zh-CN"/>
                    </w:rPr>
                    <w:t>#风机</w:t>
                  </w:r>
                </w:p>
              </w:tc>
              <w:tc>
                <w:tcPr>
                  <w:tcW w:w="885" w:type="dxa"/>
                  <w:shd w:val="clear" w:color="auto" w:fill="auto"/>
                  <w:vAlign w:val="center"/>
                </w:tcPr>
                <w:p w14:paraId="659B8FEC">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b w:val="0"/>
                      <w:bCs/>
                      <w:color w:val="auto"/>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6620" w:type="dxa"/>
                  <w:gridSpan w:val="4"/>
                  <w:vMerge w:val="continue"/>
                  <w:tcBorders/>
                  <w:shd w:val="clear" w:color="auto" w:fill="auto"/>
                  <w:vAlign w:val="center"/>
                </w:tcPr>
                <w:p w14:paraId="01A9B5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shd w:val="clear" w:color="auto" w:fill="auto"/>
                  <w:vAlign w:val="center"/>
                </w:tcPr>
                <w:p w14:paraId="73A9B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4.8 </w:t>
                  </w:r>
                </w:p>
              </w:tc>
              <w:tc>
                <w:tcPr>
                  <w:tcW w:w="804" w:type="dxa"/>
                  <w:shd w:val="clear" w:color="auto" w:fill="auto"/>
                  <w:vAlign w:val="center"/>
                </w:tcPr>
                <w:p w14:paraId="56E782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10.6 </w:t>
                  </w:r>
                </w:p>
              </w:tc>
              <w:tc>
                <w:tcPr>
                  <w:tcW w:w="806" w:type="dxa"/>
                  <w:shd w:val="clear" w:color="auto" w:fill="auto"/>
                  <w:vAlign w:val="center"/>
                </w:tcPr>
                <w:p w14:paraId="125F73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26.5 </w:t>
                  </w:r>
                </w:p>
              </w:tc>
              <w:tc>
                <w:tcPr>
                  <w:tcW w:w="794" w:type="dxa"/>
                  <w:shd w:val="clear" w:color="auto" w:fill="auto"/>
                  <w:vAlign w:val="center"/>
                </w:tcPr>
                <w:p w14:paraId="257C13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2.5 </w:t>
                  </w:r>
                </w:p>
              </w:tc>
              <w:tc>
                <w:tcPr>
                  <w:tcW w:w="725" w:type="dxa"/>
                  <w:gridSpan w:val="2"/>
                  <w:vAlign w:val="center"/>
                </w:tcPr>
                <w:p w14:paraId="152C5D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点源</w:t>
                  </w:r>
                </w:p>
              </w:tc>
            </w:tr>
            <w:tr w14:paraId="0AE2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787" w:type="dxa"/>
                  <w:gridSpan w:val="3"/>
                  <w:vAlign w:val="center"/>
                </w:tcPr>
                <w:p w14:paraId="5D243DE7">
                  <w:pPr>
                    <w:pStyle w:val="40"/>
                    <w:keepNext w:val="0"/>
                    <w:keepLines w:val="0"/>
                    <w:suppressLineNumbers w:val="0"/>
                    <w:spacing w:before="0" w:beforeAutospacing="0" w:after="0" w:afterAutospacing="0"/>
                    <w:ind w:left="0" w:right="0" w:firstLine="0" w:firstLineChars="0"/>
                    <w:rPr>
                      <w:rFonts w:hint="default" w:ascii="Times New Roman" w:hAnsi="Times New Roman" w:eastAsia="宋体" w:cs="Times New Roman"/>
                      <w:b w:val="0"/>
                      <w:bCs w:val="0"/>
                      <w:i w:val="0"/>
                      <w:iCs w:val="0"/>
                      <w:color w:val="auto"/>
                      <w:kern w:val="0"/>
                      <w:sz w:val="21"/>
                      <w:szCs w:val="21"/>
                      <w:u w:val="none"/>
                      <w:lang w:val="en-US" w:eastAsia="zh-CN"/>
                    </w:rPr>
                  </w:pPr>
                  <w:r>
                    <w:rPr>
                      <w:rFonts w:hint="default" w:ascii="Times New Roman" w:hAnsi="Times New Roman" w:eastAsia="宋体" w:cs="Times New Roman"/>
                      <w:color w:val="auto"/>
                      <w:sz w:val="21"/>
                      <w:szCs w:val="21"/>
                      <w:lang w:val="en-US" w:eastAsia="zh-CN"/>
                    </w:rPr>
                    <w:t>全厂合计</w:t>
                  </w:r>
                </w:p>
              </w:tc>
              <w:tc>
                <w:tcPr>
                  <w:tcW w:w="6620" w:type="dxa"/>
                  <w:gridSpan w:val="4"/>
                  <w:vMerge w:val="continue"/>
                  <w:tcBorders/>
                  <w:vAlign w:val="center"/>
                </w:tcPr>
                <w:p w14:paraId="6095F8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p>
              </w:tc>
              <w:tc>
                <w:tcPr>
                  <w:tcW w:w="817" w:type="dxa"/>
                  <w:vAlign w:val="center"/>
                </w:tcPr>
                <w:p w14:paraId="7DB344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4</w:t>
                  </w:r>
                  <w:r>
                    <w:rPr>
                      <w:rFonts w:hint="eastAsia" w:cs="Times New Roman"/>
                      <w:b w:val="0"/>
                      <w:bCs/>
                      <w:color w:val="auto"/>
                      <w:sz w:val="21"/>
                      <w:szCs w:val="21"/>
                      <w:lang w:val="en-US" w:eastAsia="zh-CN"/>
                    </w:rPr>
                    <w:t>5.6</w:t>
                  </w:r>
                </w:p>
              </w:tc>
              <w:tc>
                <w:tcPr>
                  <w:tcW w:w="804" w:type="dxa"/>
                  <w:vAlign w:val="center"/>
                </w:tcPr>
                <w:p w14:paraId="70EC6F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32</w:t>
                  </w:r>
                  <w:r>
                    <w:rPr>
                      <w:rFonts w:hint="eastAsia" w:cs="Times New Roman"/>
                      <w:b w:val="0"/>
                      <w:bCs/>
                      <w:color w:val="auto"/>
                      <w:sz w:val="21"/>
                      <w:szCs w:val="21"/>
                      <w:lang w:val="en-US" w:eastAsia="zh-CN"/>
                    </w:rPr>
                    <w:t>.9</w:t>
                  </w:r>
                </w:p>
              </w:tc>
              <w:tc>
                <w:tcPr>
                  <w:tcW w:w="806" w:type="dxa"/>
                  <w:vAlign w:val="center"/>
                </w:tcPr>
                <w:p w14:paraId="341ACC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4</w:t>
                  </w:r>
                  <w:r>
                    <w:rPr>
                      <w:rFonts w:hint="eastAsia" w:cs="Times New Roman"/>
                      <w:b w:val="0"/>
                      <w:bCs/>
                      <w:color w:val="auto"/>
                      <w:sz w:val="21"/>
                      <w:szCs w:val="21"/>
                      <w:lang w:val="en-US" w:eastAsia="zh-CN"/>
                    </w:rPr>
                    <w:t>3.9</w:t>
                  </w:r>
                </w:p>
              </w:tc>
              <w:tc>
                <w:tcPr>
                  <w:tcW w:w="794" w:type="dxa"/>
                  <w:vAlign w:val="center"/>
                </w:tcPr>
                <w:p w14:paraId="514023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cs="Times New Roman"/>
                      <w:b w:val="0"/>
                      <w:bCs/>
                      <w:color w:val="auto"/>
                      <w:sz w:val="21"/>
                      <w:szCs w:val="21"/>
                      <w:lang w:val="en-US" w:eastAsia="zh-CN"/>
                    </w:rPr>
                    <w:t>47.8</w:t>
                  </w:r>
                  <w:r>
                    <w:rPr>
                      <w:rFonts w:hint="default" w:ascii="Times New Roman" w:hAnsi="Times New Roman" w:eastAsia="宋体" w:cs="Times New Roman"/>
                      <w:b w:val="0"/>
                      <w:bCs/>
                      <w:color w:val="auto"/>
                      <w:sz w:val="21"/>
                      <w:szCs w:val="21"/>
                      <w:lang w:val="en-US" w:eastAsia="zh-CN"/>
                    </w:rPr>
                    <w:t xml:space="preserve"> </w:t>
                  </w:r>
                </w:p>
              </w:tc>
              <w:tc>
                <w:tcPr>
                  <w:tcW w:w="725" w:type="dxa"/>
                  <w:gridSpan w:val="2"/>
                  <w:vAlign w:val="center"/>
                </w:tcPr>
                <w:p w14:paraId="7BC0D0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w:t>
                  </w:r>
                </w:p>
              </w:tc>
            </w:tr>
          </w:tbl>
          <w:p w14:paraId="6B96C207">
            <w:pPr>
              <w:keepNext w:val="0"/>
              <w:keepLines w:val="0"/>
              <w:suppressLineNumbers w:val="0"/>
              <w:spacing w:before="0" w:beforeLines="0" w:beforeAutospacing="0" w:after="0" w:afterLines="0" w:afterAutospacing="0" w:line="360" w:lineRule="auto"/>
              <w:ind w:left="0" w:right="0"/>
              <w:jc w:val="left"/>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3.3 预测结果</w:t>
            </w:r>
          </w:p>
          <w:p w14:paraId="4F9DE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在考虑各噪声经过减振、隔声等降噪措施后，根据噪声预测模式，将有关参数代入公式计算，预测工程噪声源对各预测点的影响。根据计算，预测结果见</w:t>
            </w:r>
            <w:r>
              <w:rPr>
                <w:rFonts w:hint="eastAsia" w:ascii="Times New Roman" w:hAnsi="Times New Roman" w:eastAsia="宋体" w:cs="Times New Roman"/>
                <w:color w:val="auto"/>
                <w:sz w:val="24"/>
                <w:szCs w:val="24"/>
                <w:lang w:eastAsia="zh-CN"/>
              </w:rPr>
              <w:t>下表</w:t>
            </w:r>
            <w:r>
              <w:rPr>
                <w:rFonts w:hint="default" w:ascii="Times New Roman" w:hAnsi="Times New Roman" w:eastAsia="宋体" w:cs="Times New Roman"/>
                <w:color w:val="auto"/>
                <w:sz w:val="24"/>
                <w:szCs w:val="24"/>
              </w:rPr>
              <w:t>所示。</w:t>
            </w:r>
          </w:p>
          <w:p w14:paraId="05D1C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w:t>
            </w:r>
            <w:r>
              <w:rPr>
                <w:rFonts w:hint="eastAsia" w:ascii="Times New Roman" w:hAnsi="Times New Roman" w:eastAsia="宋体" w:cs="Times New Roman"/>
                <w:b/>
                <w:bCs/>
                <w:color w:val="auto"/>
                <w:sz w:val="24"/>
                <w:szCs w:val="24"/>
                <w:lang w:val="en-US" w:eastAsia="zh-CN"/>
              </w:rPr>
              <w:t>4</w:t>
            </w:r>
            <w:r>
              <w:rPr>
                <w:rFonts w:hint="eastAsia" w:cs="Times New Roman"/>
                <w:b/>
                <w:bCs/>
                <w:color w:val="auto"/>
                <w:sz w:val="24"/>
                <w:szCs w:val="24"/>
                <w:lang w:val="en-US" w:eastAsia="zh-CN"/>
              </w:rPr>
              <w:t>-26</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项目厂界噪声预测结果</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单位：dB</w:t>
            </w:r>
            <w:r>
              <w:rPr>
                <w:rFonts w:hint="eastAsia"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A</w:t>
            </w:r>
            <w:r>
              <w:rPr>
                <w:rFonts w:hint="eastAsia" w:cs="Times New Roman"/>
                <w:b/>
                <w:bCs/>
                <w:color w:val="auto"/>
                <w:sz w:val="24"/>
                <w:szCs w:val="24"/>
                <w:lang w:val="en-US" w:eastAsia="zh-CN"/>
              </w:rPr>
              <w:t>）</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685"/>
              <w:gridCol w:w="3423"/>
              <w:gridCol w:w="3143"/>
              <w:gridCol w:w="3107"/>
            </w:tblGrid>
            <w:tr w14:paraId="7CC3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85" w:type="dxa"/>
                  <w:vAlign w:val="center"/>
                </w:tcPr>
                <w:p w14:paraId="01671E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baseline"/>
                    <w:rPr>
                      <w:rFonts w:hint="eastAsia" w:ascii="Times New Roman" w:hAnsi="Times New Roman" w:eastAsia="宋体" w:cs="Times New Roman"/>
                      <w:b/>
                      <w:bCs/>
                      <w:color w:val="auto"/>
                      <w:sz w:val="21"/>
                      <w:szCs w:val="21"/>
                      <w:highlight w:val="none"/>
                      <w:lang w:eastAsia="zh-CN"/>
                    </w:rPr>
                  </w:pPr>
                  <w:r>
                    <w:rPr>
                      <w:rFonts w:hint="eastAsia" w:cs="Times New Roman"/>
                      <w:b/>
                      <w:bCs/>
                      <w:color w:val="auto"/>
                      <w:sz w:val="21"/>
                      <w:szCs w:val="21"/>
                      <w:highlight w:val="none"/>
                      <w:lang w:val="en-US" w:eastAsia="zh-CN"/>
                    </w:rPr>
                    <w:t>预测点</w:t>
                  </w:r>
                </w:p>
              </w:tc>
              <w:tc>
                <w:tcPr>
                  <w:tcW w:w="3423" w:type="dxa"/>
                  <w:vAlign w:val="center"/>
                </w:tcPr>
                <w:p w14:paraId="313074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baseline"/>
                    <w:rPr>
                      <w:rFonts w:hint="default" w:ascii="Times New Roman" w:hAnsi="Times New Roman" w:eastAsia="宋体"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昼间预测值</w:t>
                  </w:r>
                </w:p>
              </w:tc>
              <w:tc>
                <w:tcPr>
                  <w:tcW w:w="3143" w:type="dxa"/>
                  <w:vAlign w:val="center"/>
                </w:tcPr>
                <w:p w14:paraId="465B0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baseline"/>
                    <w:rPr>
                      <w:rFonts w:hint="default" w:ascii="Times New Roman" w:hAnsi="Times New Roman" w:eastAsia="宋体" w:cs="Times New Roman"/>
                      <w:b/>
                      <w:bCs/>
                      <w:color w:val="auto"/>
                      <w:sz w:val="21"/>
                      <w:szCs w:val="21"/>
                      <w:highlight w:val="none"/>
                    </w:rPr>
                  </w:pPr>
                  <w:r>
                    <w:rPr>
                      <w:rFonts w:hint="eastAsia" w:cs="Times New Roman"/>
                      <w:b/>
                      <w:bCs/>
                      <w:color w:val="auto"/>
                      <w:sz w:val="21"/>
                      <w:szCs w:val="21"/>
                      <w:highlight w:val="none"/>
                      <w:lang w:val="en-US" w:eastAsia="zh-CN"/>
                    </w:rPr>
                    <w:t>夜间预测值</w:t>
                  </w:r>
                </w:p>
              </w:tc>
              <w:tc>
                <w:tcPr>
                  <w:tcW w:w="3107" w:type="dxa"/>
                  <w:vAlign w:val="center"/>
                </w:tcPr>
                <w:p w14:paraId="67510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baseline"/>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评价结果</w:t>
                  </w:r>
                </w:p>
              </w:tc>
            </w:tr>
            <w:tr w14:paraId="653B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85" w:type="dxa"/>
                  <w:vAlign w:val="center"/>
                </w:tcPr>
                <w:p w14:paraId="7CA052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东厂界</w:t>
                  </w:r>
                </w:p>
              </w:tc>
              <w:tc>
                <w:tcPr>
                  <w:tcW w:w="3423" w:type="dxa"/>
                  <w:shd w:val="clear" w:color="auto" w:fill="auto"/>
                  <w:vAlign w:val="center"/>
                </w:tcPr>
                <w:p w14:paraId="6B6A50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45.6 </w:t>
                  </w:r>
                </w:p>
              </w:tc>
              <w:tc>
                <w:tcPr>
                  <w:tcW w:w="3143" w:type="dxa"/>
                  <w:shd w:val="clear" w:color="auto" w:fill="auto"/>
                  <w:vAlign w:val="center"/>
                </w:tcPr>
                <w:p w14:paraId="76D47C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45.6 </w:t>
                  </w:r>
                </w:p>
              </w:tc>
              <w:tc>
                <w:tcPr>
                  <w:tcW w:w="3107" w:type="dxa"/>
                  <w:vAlign w:val="center"/>
                </w:tcPr>
                <w:p w14:paraId="5C8D47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14:paraId="269E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85" w:type="dxa"/>
                  <w:vAlign w:val="center"/>
                </w:tcPr>
                <w:p w14:paraId="3985AA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南厂界</w:t>
                  </w:r>
                </w:p>
              </w:tc>
              <w:tc>
                <w:tcPr>
                  <w:tcW w:w="3423" w:type="dxa"/>
                  <w:shd w:val="clear" w:color="auto" w:fill="auto"/>
                  <w:vAlign w:val="center"/>
                </w:tcPr>
                <w:p w14:paraId="0FEE02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32.9 </w:t>
                  </w:r>
                </w:p>
              </w:tc>
              <w:tc>
                <w:tcPr>
                  <w:tcW w:w="3143" w:type="dxa"/>
                  <w:shd w:val="clear" w:color="auto" w:fill="auto"/>
                  <w:vAlign w:val="center"/>
                </w:tcPr>
                <w:p w14:paraId="4B478F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32.9 </w:t>
                  </w:r>
                </w:p>
              </w:tc>
              <w:tc>
                <w:tcPr>
                  <w:tcW w:w="3107" w:type="dxa"/>
                  <w:vAlign w:val="center"/>
                </w:tcPr>
                <w:p w14:paraId="6C7830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14:paraId="1E21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85" w:type="dxa"/>
                  <w:vAlign w:val="center"/>
                </w:tcPr>
                <w:p w14:paraId="552EA9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西厂界</w:t>
                  </w:r>
                </w:p>
              </w:tc>
              <w:tc>
                <w:tcPr>
                  <w:tcW w:w="3423" w:type="dxa"/>
                  <w:shd w:val="clear" w:color="auto" w:fill="auto"/>
                  <w:vAlign w:val="center"/>
                </w:tcPr>
                <w:p w14:paraId="0E31F1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43.9 </w:t>
                  </w:r>
                </w:p>
              </w:tc>
              <w:tc>
                <w:tcPr>
                  <w:tcW w:w="3143" w:type="dxa"/>
                  <w:shd w:val="clear" w:color="auto" w:fill="auto"/>
                  <w:vAlign w:val="center"/>
                </w:tcPr>
                <w:p w14:paraId="45E39D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43.9 </w:t>
                  </w:r>
                </w:p>
              </w:tc>
              <w:tc>
                <w:tcPr>
                  <w:tcW w:w="3107" w:type="dxa"/>
                  <w:vAlign w:val="center"/>
                </w:tcPr>
                <w:p w14:paraId="7D30C7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r w14:paraId="21E9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685" w:type="dxa"/>
                  <w:vAlign w:val="center"/>
                </w:tcPr>
                <w:p w14:paraId="5260D6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北厂界</w:t>
                  </w:r>
                </w:p>
              </w:tc>
              <w:tc>
                <w:tcPr>
                  <w:tcW w:w="3423" w:type="dxa"/>
                  <w:shd w:val="clear" w:color="auto" w:fill="auto"/>
                  <w:vAlign w:val="center"/>
                </w:tcPr>
                <w:p w14:paraId="4A1595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47.8 </w:t>
                  </w:r>
                </w:p>
              </w:tc>
              <w:tc>
                <w:tcPr>
                  <w:tcW w:w="3143" w:type="dxa"/>
                  <w:shd w:val="clear" w:color="auto" w:fill="auto"/>
                  <w:vAlign w:val="center"/>
                </w:tcPr>
                <w:p w14:paraId="59750D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 xml:space="preserve">47.8 </w:t>
                  </w:r>
                </w:p>
              </w:tc>
              <w:tc>
                <w:tcPr>
                  <w:tcW w:w="3107" w:type="dxa"/>
                  <w:vAlign w:val="center"/>
                </w:tcPr>
                <w:p w14:paraId="6109FB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达标</w:t>
                  </w:r>
                </w:p>
              </w:tc>
            </w:tr>
          </w:tbl>
          <w:p w14:paraId="38DA31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textAlignment w:val="auto"/>
              <w:rPr>
                <w:rFonts w:hint="default"/>
                <w:color w:val="auto"/>
                <w:sz w:val="24"/>
                <w:highlight w:val="none"/>
              </w:rPr>
            </w:pPr>
            <w:r>
              <w:rPr>
                <w:rFonts w:hint="default"/>
                <w:color w:val="auto"/>
                <w:sz w:val="24"/>
                <w:highlight w:val="none"/>
              </w:rPr>
              <w:t>由预测结果可知，</w:t>
            </w:r>
            <w:r>
              <w:rPr>
                <w:rFonts w:hint="eastAsia" w:cs="Times New Roman"/>
                <w:color w:val="auto"/>
                <w:sz w:val="24"/>
                <w:highlight w:val="none"/>
                <w:lang w:val="en-US" w:eastAsia="zh-CN"/>
              </w:rPr>
              <w:t>项目</w:t>
            </w:r>
            <w:r>
              <w:rPr>
                <w:rFonts w:hint="default" w:ascii="Times New Roman" w:hAnsi="Times New Roman" w:eastAsia="宋体" w:cs="Times New Roman"/>
                <w:color w:val="auto"/>
                <w:sz w:val="24"/>
                <w:szCs w:val="24"/>
              </w:rPr>
              <w:t>减振、隔声等降噪措施后</w:t>
            </w:r>
            <w:r>
              <w:rPr>
                <w:rFonts w:hint="eastAsia" w:cs="Times New Roman"/>
                <w:color w:val="auto"/>
                <w:sz w:val="24"/>
                <w:highlight w:val="none"/>
                <w:lang w:val="en-US" w:eastAsia="zh-CN"/>
              </w:rPr>
              <w:t>厂界噪声</w:t>
            </w:r>
            <w:r>
              <w:rPr>
                <w:rFonts w:hint="eastAsia" w:ascii="Times New Roman" w:hAnsi="Times New Roman" w:eastAsia="宋体" w:cs="Times New Roman"/>
                <w:color w:val="auto"/>
                <w:sz w:val="24"/>
                <w:highlight w:val="none"/>
                <w:lang w:val="en-US" w:eastAsia="zh-CN"/>
              </w:rPr>
              <w:t>可以满足《声环境质量标准》（GB3096-2008）中</w:t>
            </w:r>
            <w:r>
              <w:rPr>
                <w:rFonts w:hint="eastAsia"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类标准，不会改变区域声环境功能。</w:t>
            </w:r>
          </w:p>
          <w:p w14:paraId="0B8B09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cs="Times New Roman"/>
                <w:b/>
                <w:bCs/>
                <w:sz w:val="24"/>
                <w:szCs w:val="24"/>
              </w:rPr>
            </w:pPr>
            <w:r>
              <w:rPr>
                <w:rFonts w:hint="eastAsia" w:cs="Times New Roman"/>
                <w:b/>
                <w:bCs/>
                <w:sz w:val="24"/>
                <w:szCs w:val="24"/>
                <w:lang w:val="en-US" w:eastAsia="zh-CN"/>
              </w:rPr>
              <w:t>3.4</w:t>
            </w:r>
            <w:r>
              <w:rPr>
                <w:rFonts w:hint="default" w:ascii="Times New Roman" w:hAnsi="Times New Roman" w:cs="Times New Roman"/>
                <w:b/>
                <w:bCs/>
                <w:sz w:val="24"/>
                <w:szCs w:val="24"/>
              </w:rPr>
              <w:t>噪声治理措施</w:t>
            </w:r>
          </w:p>
          <w:p w14:paraId="0851E4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①设备布置</w:t>
            </w:r>
          </w:p>
          <w:p w14:paraId="2D83E4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从设备布置的角度出发，让高噪声设备尽量布置在车间中央位置，以增大噪声的传播距离。利用墙壁的作用，使噪声受到不同程度的隔绝和吸收，做到尽可能屏蔽声源，减少对环境的影响。</w:t>
            </w:r>
          </w:p>
          <w:p w14:paraId="12627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textAlignment w:val="auto"/>
              <w:rPr>
                <w:rFonts w:hint="default" w:ascii="Times New Roman" w:hAnsi="Times New Roman" w:cs="Times New Roman"/>
                <w:sz w:val="24"/>
                <w:szCs w:val="24"/>
              </w:rPr>
            </w:pPr>
            <w:r>
              <w:rPr>
                <w:rFonts w:hint="default" w:ascii="Times New Roman" w:hAnsi="Times New Roman" w:cs="Times New Roman"/>
                <w:sz w:val="24"/>
                <w:szCs w:val="24"/>
              </w:rPr>
              <w:t>②加强管理</w:t>
            </w:r>
          </w:p>
          <w:p w14:paraId="2C2B34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70" w:firstLineChars="196"/>
              <w:textAlignment w:val="auto"/>
              <w:rPr>
                <w:rFonts w:hint="default" w:ascii="Times New Roman" w:hAnsi="Times New Roman" w:cs="Times New Roman"/>
                <w:kern w:val="0"/>
                <w:sz w:val="24"/>
                <w:szCs w:val="24"/>
              </w:rPr>
            </w:pPr>
            <w:r>
              <w:rPr>
                <w:rFonts w:hint="default" w:ascii="Times New Roman" w:hAnsi="Times New Roman" w:cs="Times New Roman"/>
                <w:sz w:val="24"/>
                <w:szCs w:val="24"/>
              </w:rPr>
              <w:t>加强内部管理，完善合理各项操作规程、规范，尽可能减少由于设备维护不善、工人操作不规范带来噪声提高的情况；合理安排生产时间，在午休等时间尽量不安排生产作业。</w:t>
            </w:r>
          </w:p>
          <w:p w14:paraId="21055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b/>
                <w:bCs/>
                <w:sz w:val="24"/>
                <w:szCs w:val="24"/>
                <w:lang w:val="en-US" w:eastAsia="zh-CN"/>
              </w:rPr>
            </w:pPr>
            <w:r>
              <w:rPr>
                <w:rFonts w:hint="eastAsia" w:cs="Times New Roman"/>
                <w:b/>
                <w:bCs/>
                <w:sz w:val="24"/>
                <w:szCs w:val="24"/>
                <w:lang w:val="en-US" w:eastAsia="zh-CN"/>
              </w:rPr>
              <w:t>3.5噪声监测计划</w:t>
            </w:r>
          </w:p>
          <w:p w14:paraId="6645C7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评价项目</w:t>
            </w:r>
            <w:r>
              <w:rPr>
                <w:rFonts w:hint="eastAsia" w:ascii="Times New Roman" w:hAnsi="Times New Roman" w:cs="Times New Roman"/>
                <w:sz w:val="24"/>
                <w:szCs w:val="24"/>
                <w:lang w:val="en-US" w:eastAsia="zh-CN"/>
              </w:rPr>
              <w:t>可参照</w:t>
            </w:r>
            <w:r>
              <w:rPr>
                <w:rFonts w:hint="default" w:ascii="Times New Roman" w:hAnsi="Times New Roman" w:cs="Times New Roman"/>
                <w:b w:val="0"/>
                <w:bCs w:val="0"/>
                <w:sz w:val="24"/>
                <w:szCs w:val="24"/>
              </w:rPr>
              <w:t>《排污单位自行监测技术指南 总则》（HJ 819-2017）</w:t>
            </w:r>
            <w:r>
              <w:rPr>
                <w:rFonts w:hint="eastAsia" w:ascii="Times New Roman" w:hAnsi="Times New Roman" w:cs="Times New Roman"/>
                <w:sz w:val="24"/>
                <w:szCs w:val="24"/>
                <w:lang w:val="en-US" w:eastAsia="zh-CN"/>
              </w:rPr>
              <w:t>要求，提出并简化环境监测计划</w:t>
            </w:r>
            <w:r>
              <w:rPr>
                <w:rFonts w:hint="default" w:ascii="Times New Roman" w:hAnsi="Times New Roman" w:cs="Times New Roman"/>
                <w:sz w:val="24"/>
                <w:szCs w:val="24"/>
              </w:rPr>
              <w:t>。</w:t>
            </w:r>
          </w:p>
          <w:p w14:paraId="6D8040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若企业不具备监测条件，可委托有资质的监测单位进行监测，监测结果以报表形式上报当地环保主管部门。</w:t>
            </w:r>
          </w:p>
          <w:p w14:paraId="512C32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4"/>
                <w:szCs w:val="24"/>
                <w:lang w:val="en-US" w:eastAsia="zh-CN"/>
              </w:rPr>
            </w:pPr>
            <w:r>
              <w:rPr>
                <w:rFonts w:hint="eastAsia" w:eastAsia="宋体"/>
                <w:b/>
                <w:bCs/>
                <w:color w:val="auto"/>
                <w:sz w:val="24"/>
                <w:szCs w:val="24"/>
                <w:lang w:val="en-US" w:eastAsia="zh-CN"/>
              </w:rPr>
              <w:t>表</w:t>
            </w:r>
            <w:r>
              <w:rPr>
                <w:rFonts w:hint="default" w:eastAsia="宋体"/>
                <w:b/>
                <w:bCs/>
                <w:color w:val="auto"/>
                <w:sz w:val="24"/>
                <w:szCs w:val="24"/>
                <w:lang w:val="en-US" w:eastAsia="zh-CN"/>
              </w:rPr>
              <w:t>4-</w:t>
            </w:r>
            <w:r>
              <w:rPr>
                <w:rFonts w:hint="eastAsia"/>
                <w:b/>
                <w:bCs/>
                <w:color w:val="auto"/>
                <w:sz w:val="24"/>
                <w:szCs w:val="24"/>
                <w:lang w:val="en-US" w:eastAsia="zh-CN"/>
              </w:rPr>
              <w:t>27</w:t>
            </w:r>
            <w:r>
              <w:rPr>
                <w:rFonts w:hint="eastAsia" w:eastAsia="宋体"/>
                <w:b/>
                <w:bCs/>
                <w:color w:val="auto"/>
                <w:sz w:val="24"/>
                <w:szCs w:val="24"/>
                <w:lang w:val="en-US" w:eastAsia="zh-CN"/>
              </w:rPr>
              <w:t xml:space="preserve"> </w:t>
            </w:r>
            <w:r>
              <w:rPr>
                <w:rFonts w:hint="default" w:eastAsia="宋体"/>
                <w:b/>
                <w:bCs/>
                <w:color w:val="auto"/>
                <w:sz w:val="24"/>
                <w:szCs w:val="24"/>
                <w:lang w:val="en-US" w:eastAsia="zh-CN"/>
              </w:rPr>
              <w:t xml:space="preserve"> </w:t>
            </w:r>
            <w:r>
              <w:rPr>
                <w:rFonts w:hint="eastAsia" w:eastAsia="宋体"/>
                <w:b/>
                <w:bCs/>
                <w:color w:val="auto"/>
                <w:sz w:val="24"/>
                <w:szCs w:val="24"/>
                <w:lang w:val="en-US" w:eastAsia="zh-CN"/>
              </w:rPr>
              <w:t>项目噪声监测计划</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2"/>
              <w:gridCol w:w="1830"/>
              <w:gridCol w:w="5004"/>
              <w:gridCol w:w="1815"/>
              <w:gridCol w:w="2257"/>
            </w:tblGrid>
            <w:tr w14:paraId="682D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63" w:type="dxa"/>
                  <w:tcBorders>
                    <w:top w:val="single" w:color="auto" w:sz="4" w:space="0"/>
                    <w:left w:val="single" w:color="auto" w:sz="4" w:space="0"/>
                    <w:bottom w:val="single" w:color="auto" w:sz="4" w:space="0"/>
                    <w:right w:val="single" w:color="auto" w:sz="4" w:space="0"/>
                  </w:tcBorders>
                  <w:vAlign w:val="center"/>
                </w:tcPr>
                <w:p w14:paraId="4A334428">
                  <w:pPr>
                    <w:keepNext w:val="0"/>
                    <w:keepLines w:val="0"/>
                    <w:suppressLineNumbers w:val="0"/>
                    <w:spacing w:before="0" w:beforeAutospacing="0" w:after="0" w:afterAutospacing="0"/>
                    <w:ind w:left="0" w:right="0"/>
                    <w:jc w:val="center"/>
                    <w:rPr>
                      <w:rFonts w:hint="default"/>
                      <w:b/>
                      <w:bCs/>
                    </w:rPr>
                  </w:pPr>
                  <w:r>
                    <w:rPr>
                      <w:rFonts w:hint="eastAsia" w:cs="宋体"/>
                      <w:b/>
                      <w:bCs/>
                    </w:rPr>
                    <w:t>监测点位</w:t>
                  </w:r>
                </w:p>
              </w:tc>
              <w:tc>
                <w:tcPr>
                  <w:tcW w:w="1092" w:type="dxa"/>
                  <w:tcBorders>
                    <w:top w:val="single" w:color="auto" w:sz="4" w:space="0"/>
                    <w:left w:val="single" w:color="auto" w:sz="4" w:space="0"/>
                    <w:bottom w:val="single" w:color="auto" w:sz="4" w:space="0"/>
                    <w:right w:val="single" w:color="auto" w:sz="4" w:space="0"/>
                  </w:tcBorders>
                  <w:vAlign w:val="center"/>
                </w:tcPr>
                <w:p w14:paraId="1C240CF1">
                  <w:pPr>
                    <w:keepNext w:val="0"/>
                    <w:keepLines w:val="0"/>
                    <w:suppressLineNumbers w:val="0"/>
                    <w:spacing w:before="0" w:beforeAutospacing="0" w:after="0" w:afterAutospacing="0"/>
                    <w:ind w:left="0" w:right="0"/>
                    <w:jc w:val="center"/>
                    <w:rPr>
                      <w:rFonts w:hint="default"/>
                      <w:b/>
                      <w:bCs/>
                    </w:rPr>
                  </w:pPr>
                  <w:r>
                    <w:rPr>
                      <w:rFonts w:hint="eastAsia" w:cs="宋体"/>
                      <w:b/>
                      <w:bCs/>
                    </w:rPr>
                    <w:t>监测项目</w:t>
                  </w:r>
                </w:p>
              </w:tc>
              <w:tc>
                <w:tcPr>
                  <w:tcW w:w="2985" w:type="dxa"/>
                  <w:tcBorders>
                    <w:top w:val="single" w:color="auto" w:sz="4" w:space="0"/>
                    <w:left w:val="single" w:color="auto" w:sz="4" w:space="0"/>
                    <w:bottom w:val="single" w:color="auto" w:sz="4" w:space="0"/>
                    <w:right w:val="single" w:color="auto" w:sz="4" w:space="0"/>
                  </w:tcBorders>
                  <w:vAlign w:val="center"/>
                </w:tcPr>
                <w:p w14:paraId="6DCCC535">
                  <w:pPr>
                    <w:keepNext w:val="0"/>
                    <w:keepLines w:val="0"/>
                    <w:suppressLineNumbers w:val="0"/>
                    <w:spacing w:before="0" w:beforeAutospacing="0" w:after="0" w:afterAutospacing="0"/>
                    <w:ind w:left="0" w:right="0"/>
                    <w:jc w:val="center"/>
                    <w:rPr>
                      <w:rFonts w:hint="default"/>
                      <w:b/>
                      <w:bCs/>
                    </w:rPr>
                  </w:pPr>
                  <w:r>
                    <w:rPr>
                      <w:rFonts w:hint="eastAsia" w:cs="宋体"/>
                      <w:b/>
                      <w:bCs/>
                    </w:rPr>
                    <w:t>执行标准</w:t>
                  </w:r>
                </w:p>
              </w:tc>
              <w:tc>
                <w:tcPr>
                  <w:tcW w:w="1083" w:type="dxa"/>
                  <w:tcBorders>
                    <w:top w:val="single" w:color="auto" w:sz="4" w:space="0"/>
                    <w:left w:val="single" w:color="auto" w:sz="4" w:space="0"/>
                    <w:bottom w:val="single" w:color="auto" w:sz="4" w:space="0"/>
                    <w:right w:val="single" w:color="auto" w:sz="4" w:space="0"/>
                  </w:tcBorders>
                  <w:vAlign w:val="center"/>
                </w:tcPr>
                <w:p w14:paraId="541AE0ED">
                  <w:pPr>
                    <w:keepNext w:val="0"/>
                    <w:keepLines w:val="0"/>
                    <w:suppressLineNumbers w:val="0"/>
                    <w:spacing w:before="0" w:beforeAutospacing="0" w:after="0" w:afterAutospacing="0"/>
                    <w:ind w:left="0" w:right="0"/>
                    <w:jc w:val="center"/>
                    <w:rPr>
                      <w:rFonts w:hint="default"/>
                      <w:b/>
                      <w:bCs/>
                    </w:rPr>
                  </w:pPr>
                  <w:r>
                    <w:rPr>
                      <w:rFonts w:hint="eastAsia" w:cs="宋体"/>
                      <w:b/>
                      <w:bCs/>
                    </w:rPr>
                    <w:t>监测频次</w:t>
                  </w:r>
                </w:p>
              </w:tc>
              <w:tc>
                <w:tcPr>
                  <w:tcW w:w="1346" w:type="dxa"/>
                  <w:tcBorders>
                    <w:top w:val="single" w:color="auto" w:sz="4" w:space="0"/>
                    <w:left w:val="single" w:color="auto" w:sz="4" w:space="0"/>
                    <w:bottom w:val="single" w:color="auto" w:sz="4" w:space="0"/>
                    <w:right w:val="single" w:color="auto" w:sz="4" w:space="0"/>
                  </w:tcBorders>
                  <w:vAlign w:val="center"/>
                </w:tcPr>
                <w:p w14:paraId="20CABCD2">
                  <w:pPr>
                    <w:keepNext w:val="0"/>
                    <w:keepLines w:val="0"/>
                    <w:suppressLineNumbers w:val="0"/>
                    <w:spacing w:before="0" w:beforeAutospacing="0" w:after="0" w:afterAutospacing="0"/>
                    <w:ind w:left="0" w:right="0"/>
                    <w:jc w:val="center"/>
                    <w:rPr>
                      <w:rFonts w:hint="default"/>
                      <w:b/>
                      <w:bCs/>
                    </w:rPr>
                  </w:pPr>
                  <w:r>
                    <w:rPr>
                      <w:rFonts w:hint="eastAsia" w:cs="宋体"/>
                      <w:b/>
                      <w:bCs/>
                    </w:rPr>
                    <w:t>监测方式</w:t>
                  </w:r>
                </w:p>
              </w:tc>
            </w:tr>
            <w:tr w14:paraId="1AC3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63" w:type="dxa"/>
                  <w:tcBorders>
                    <w:top w:val="single" w:color="auto" w:sz="4" w:space="0"/>
                    <w:left w:val="single" w:color="auto" w:sz="4" w:space="0"/>
                    <w:bottom w:val="single" w:color="auto" w:sz="4" w:space="0"/>
                    <w:right w:val="single" w:color="auto" w:sz="4" w:space="0"/>
                  </w:tcBorders>
                  <w:vAlign w:val="center"/>
                </w:tcPr>
                <w:p w14:paraId="5E7A8E31">
                  <w:pPr>
                    <w:keepNext w:val="0"/>
                    <w:keepLines w:val="0"/>
                    <w:suppressLineNumbers w:val="0"/>
                    <w:spacing w:before="0" w:beforeAutospacing="0" w:after="0" w:afterAutospacing="0"/>
                    <w:ind w:left="0" w:right="0"/>
                    <w:jc w:val="center"/>
                    <w:rPr>
                      <w:rFonts w:hint="default"/>
                      <w:position w:val="-6"/>
                    </w:rPr>
                  </w:pPr>
                  <w:r>
                    <w:rPr>
                      <w:rFonts w:hint="eastAsia" w:cs="宋体"/>
                      <w:position w:val="-6"/>
                    </w:rPr>
                    <w:t>厂界四周、厂界外</w:t>
                  </w:r>
                  <w:r>
                    <w:rPr>
                      <w:rFonts w:hint="default"/>
                      <w:position w:val="-6"/>
                    </w:rPr>
                    <w:t>1m</w:t>
                  </w:r>
                  <w:r>
                    <w:rPr>
                      <w:rFonts w:hint="eastAsia" w:cs="宋体"/>
                      <w:position w:val="-6"/>
                    </w:rPr>
                    <w:t>处</w:t>
                  </w:r>
                </w:p>
              </w:tc>
              <w:tc>
                <w:tcPr>
                  <w:tcW w:w="1092" w:type="dxa"/>
                  <w:tcBorders>
                    <w:top w:val="single" w:color="auto" w:sz="4" w:space="0"/>
                    <w:left w:val="single" w:color="auto" w:sz="4" w:space="0"/>
                    <w:bottom w:val="single" w:color="auto" w:sz="4" w:space="0"/>
                    <w:right w:val="single" w:color="auto" w:sz="4" w:space="0"/>
                  </w:tcBorders>
                  <w:vAlign w:val="center"/>
                </w:tcPr>
                <w:p w14:paraId="5D537254">
                  <w:pPr>
                    <w:keepNext w:val="0"/>
                    <w:keepLines w:val="0"/>
                    <w:suppressLineNumbers w:val="0"/>
                    <w:spacing w:before="0" w:beforeAutospacing="0" w:after="0" w:afterAutospacing="0"/>
                    <w:ind w:left="0" w:right="0"/>
                    <w:jc w:val="center"/>
                    <w:rPr>
                      <w:rFonts w:hint="default"/>
                    </w:rPr>
                  </w:pPr>
                  <w:r>
                    <w:rPr>
                      <w:rFonts w:hint="default"/>
                    </w:rPr>
                    <w:t>Leq</w:t>
                  </w:r>
                </w:p>
              </w:tc>
              <w:tc>
                <w:tcPr>
                  <w:tcW w:w="2985" w:type="dxa"/>
                  <w:tcBorders>
                    <w:top w:val="single" w:color="auto" w:sz="4" w:space="0"/>
                    <w:left w:val="single" w:color="auto" w:sz="4" w:space="0"/>
                    <w:bottom w:val="single" w:color="auto" w:sz="4" w:space="0"/>
                    <w:right w:val="single" w:color="auto" w:sz="4" w:space="0"/>
                  </w:tcBorders>
                  <w:vAlign w:val="center"/>
                </w:tcPr>
                <w:p w14:paraId="46760B76">
                  <w:pPr>
                    <w:keepNext w:val="0"/>
                    <w:keepLines w:val="0"/>
                    <w:suppressLineNumbers w:val="0"/>
                    <w:spacing w:before="0" w:beforeAutospacing="0" w:after="0" w:afterAutospacing="0"/>
                    <w:ind w:left="0" w:right="0"/>
                    <w:jc w:val="center"/>
                    <w:rPr>
                      <w:rFonts w:hint="default"/>
                    </w:rPr>
                  </w:pPr>
                  <w:r>
                    <w:rPr>
                      <w:rFonts w:hint="eastAsia" w:cs="宋体"/>
                    </w:rPr>
                    <w:t>《工业企业厂界环境噪声排放标准》（</w:t>
                  </w:r>
                  <w:r>
                    <w:rPr>
                      <w:rFonts w:hint="default"/>
                    </w:rPr>
                    <w:t>GB12348—2008</w:t>
                  </w:r>
                  <w:r>
                    <w:rPr>
                      <w:rFonts w:hint="eastAsia" w:cs="宋体"/>
                    </w:rPr>
                    <w:t>）</w:t>
                  </w:r>
                </w:p>
              </w:tc>
              <w:tc>
                <w:tcPr>
                  <w:tcW w:w="1083" w:type="dxa"/>
                  <w:tcBorders>
                    <w:top w:val="single" w:color="auto" w:sz="4" w:space="0"/>
                    <w:left w:val="single" w:color="auto" w:sz="4" w:space="0"/>
                    <w:bottom w:val="single" w:color="auto" w:sz="4" w:space="0"/>
                    <w:right w:val="single" w:color="auto" w:sz="4" w:space="0"/>
                  </w:tcBorders>
                  <w:vAlign w:val="center"/>
                </w:tcPr>
                <w:p w14:paraId="00F26D0C">
                  <w:pPr>
                    <w:keepNext w:val="0"/>
                    <w:keepLines w:val="0"/>
                    <w:suppressLineNumbers w:val="0"/>
                    <w:spacing w:before="0" w:beforeAutospacing="0" w:after="0" w:afterAutospacing="0"/>
                    <w:ind w:left="0" w:right="0"/>
                    <w:jc w:val="center"/>
                    <w:rPr>
                      <w:rFonts w:hint="default"/>
                    </w:rPr>
                  </w:pPr>
                  <w:r>
                    <w:rPr>
                      <w:rFonts w:hint="default"/>
                    </w:rPr>
                    <w:t>1</w:t>
                  </w:r>
                  <w:r>
                    <w:rPr>
                      <w:rFonts w:hint="eastAsia" w:cs="宋体"/>
                    </w:rPr>
                    <w:t>次</w:t>
                  </w:r>
                  <w:r>
                    <w:rPr>
                      <w:rFonts w:hint="default"/>
                    </w:rPr>
                    <w:t>/</w:t>
                  </w:r>
                  <w:r>
                    <w:rPr>
                      <w:rFonts w:hint="eastAsia" w:cs="宋体"/>
                    </w:rPr>
                    <w:t>季</w:t>
                  </w:r>
                </w:p>
              </w:tc>
              <w:tc>
                <w:tcPr>
                  <w:tcW w:w="1346" w:type="dxa"/>
                  <w:tcBorders>
                    <w:top w:val="single" w:color="auto" w:sz="4" w:space="0"/>
                    <w:left w:val="single" w:color="auto" w:sz="4" w:space="0"/>
                    <w:bottom w:val="single" w:color="auto" w:sz="4" w:space="0"/>
                    <w:right w:val="single" w:color="auto" w:sz="4" w:space="0"/>
                  </w:tcBorders>
                  <w:vAlign w:val="center"/>
                </w:tcPr>
                <w:p w14:paraId="6B952FD9">
                  <w:pPr>
                    <w:keepNext w:val="0"/>
                    <w:keepLines w:val="0"/>
                    <w:suppressLineNumbers w:val="0"/>
                    <w:spacing w:before="0" w:beforeAutospacing="0" w:after="0" w:afterAutospacing="0"/>
                    <w:ind w:left="0" w:right="0"/>
                    <w:jc w:val="center"/>
                    <w:rPr>
                      <w:rFonts w:hint="default"/>
                    </w:rPr>
                  </w:pPr>
                  <w:r>
                    <w:rPr>
                      <w:rFonts w:hint="eastAsia" w:cs="宋体"/>
                    </w:rPr>
                    <w:t>委托监测</w:t>
                  </w:r>
                </w:p>
              </w:tc>
            </w:tr>
          </w:tbl>
          <w:p w14:paraId="7FF7E5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600" w:firstLineChars="200"/>
              <w:textAlignment w:val="auto"/>
              <w:rPr>
                <w:rFonts w:hint="default" w:ascii="黑体" w:hAnsi="黑体" w:eastAsia="黑体" w:cs="黑体"/>
                <w:snapToGrid w:val="0"/>
                <w:sz w:val="30"/>
                <w:szCs w:val="30"/>
                <w:vertAlign w:val="baseline"/>
                <w:lang w:val="en-US" w:eastAsia="zh-CN"/>
              </w:rPr>
            </w:pPr>
          </w:p>
        </w:tc>
      </w:tr>
    </w:tbl>
    <w:p w14:paraId="29B92BC0">
      <w:pPr>
        <w:pStyle w:val="28"/>
        <w:spacing w:before="0" w:beforeAutospacing="0" w:after="0" w:afterAutospacing="0" w:line="360" w:lineRule="auto"/>
        <w:jc w:val="center"/>
        <w:outlineLvl w:val="0"/>
        <w:rPr>
          <w:rFonts w:hint="eastAsia" w:ascii="黑体" w:hAnsi="黑体" w:eastAsia="黑体" w:cs="黑体"/>
          <w:snapToGrid w:val="0"/>
          <w:sz w:val="30"/>
          <w:szCs w:val="30"/>
          <w:lang w:eastAsia="zh-CN"/>
        </w:rPr>
        <w:sectPr>
          <w:footerReference r:id="rId5" w:type="default"/>
          <w:pgSz w:w="16838" w:h="11906" w:orient="landscape"/>
          <w:pgMar w:top="1417" w:right="1440" w:bottom="1800" w:left="1440" w:header="851" w:footer="992" w:gutter="0"/>
          <w:pgNumType w:fmt="decimal"/>
          <w:cols w:space="425" w:num="1"/>
          <w:docGrid w:type="lines" w:linePitch="312" w:charSpace="0"/>
        </w:sectPr>
      </w:pPr>
    </w:p>
    <w:tbl>
      <w:tblPr>
        <w:tblStyle w:val="31"/>
        <w:tblW w:w="8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8467"/>
      </w:tblGrid>
      <w:tr w14:paraId="5043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tcPr>
          <w:p w14:paraId="595A2E1E">
            <w:pPr>
              <w:pStyle w:val="28"/>
              <w:keepNext w:val="0"/>
              <w:keepLines w:val="0"/>
              <w:suppressLineNumbers w:val="0"/>
              <w:spacing w:before="0" w:beforeAutospacing="0" w:after="0" w:afterAutospacing="0" w:line="360" w:lineRule="auto"/>
              <w:ind w:left="0" w:right="0"/>
              <w:jc w:val="center"/>
              <w:outlineLvl w:val="0"/>
              <w:rPr>
                <w:rFonts w:hint="eastAsia" w:ascii="黑体" w:hAnsi="黑体" w:eastAsia="黑体" w:cs="黑体"/>
                <w:snapToGrid w:val="0"/>
                <w:sz w:val="30"/>
                <w:szCs w:val="30"/>
                <w:vertAlign w:val="baseline"/>
              </w:rPr>
            </w:pPr>
          </w:p>
        </w:tc>
        <w:tc>
          <w:tcPr>
            <w:tcW w:w="8467" w:type="dxa"/>
          </w:tcPr>
          <w:p w14:paraId="3935B461">
            <w:pPr>
              <w:keepNext w:val="0"/>
              <w:keepLines w:val="0"/>
              <w:suppressLineNumbers w:val="0"/>
              <w:spacing w:before="0" w:beforeAutospacing="0" w:after="0" w:afterAutospacing="0" w:line="360" w:lineRule="auto"/>
              <w:ind w:left="0" w:right="0"/>
              <w:rPr>
                <w:rFonts w:hint="default"/>
                <w:b/>
                <w:bCs/>
                <w:sz w:val="24"/>
                <w:szCs w:val="24"/>
              </w:rPr>
            </w:pPr>
            <w:r>
              <w:rPr>
                <w:rFonts w:hint="default"/>
                <w:b/>
                <w:bCs/>
                <w:sz w:val="24"/>
                <w:szCs w:val="24"/>
              </w:rPr>
              <w:t>4</w:t>
            </w:r>
            <w:r>
              <w:rPr>
                <w:rFonts w:hint="eastAsia" w:cs="宋体"/>
                <w:b/>
                <w:bCs/>
                <w:sz w:val="24"/>
                <w:szCs w:val="24"/>
              </w:rPr>
              <w:t>、固体废物</w:t>
            </w:r>
          </w:p>
          <w:p w14:paraId="34FD7F2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cs="Times New Roman"/>
                <w:sz w:val="24"/>
                <w:szCs w:val="24"/>
              </w:rPr>
              <w:t>营运期的固体废物主要包括</w:t>
            </w:r>
            <w:r>
              <w:rPr>
                <w:rFonts w:hint="default" w:ascii="Times New Roman" w:hAnsi="Times New Roman" w:cs="Times New Roman"/>
                <w:sz w:val="24"/>
                <w:szCs w:val="24"/>
                <w:lang w:val="en-US" w:eastAsia="zh-CN"/>
              </w:rPr>
              <w:t>生活垃圾</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eastAsia="zh-CN"/>
              </w:rPr>
              <w:t>废包装</w:t>
            </w:r>
            <w:r>
              <w:rPr>
                <w:rFonts w:hint="default" w:ascii="Times New Roman" w:hAnsi="Times New Roman" w:cs="Times New Roman"/>
                <w:color w:val="000000"/>
                <w:sz w:val="24"/>
                <w:szCs w:val="24"/>
                <w:lang w:val="en-US" w:eastAsia="zh-CN"/>
              </w:rPr>
              <w:t>材料、玻璃废边角料、</w:t>
            </w:r>
            <w:r>
              <w:rPr>
                <w:rFonts w:hint="default" w:ascii="Times New Roman" w:hAnsi="Times New Roman" w:cs="Times New Roman"/>
                <w:color w:val="000000"/>
                <w:sz w:val="24"/>
                <w:szCs w:val="24"/>
              </w:rPr>
              <w:t>不合格产品</w:t>
            </w:r>
            <w:r>
              <w:rPr>
                <w:rFonts w:hint="default" w:ascii="Times New Roman" w:hAnsi="Times New Roman" w:cs="Times New Roman"/>
                <w:color w:val="000000"/>
                <w:sz w:val="24"/>
                <w:szCs w:val="24"/>
                <w:lang w:val="en-US" w:eastAsia="zh-CN"/>
              </w:rPr>
              <w:t>、</w:t>
            </w:r>
            <w:r>
              <w:rPr>
                <w:rFonts w:hint="default" w:ascii="Times New Roman" w:hAnsi="Times New Roman" w:eastAsia="宋体" w:cs="Times New Roman"/>
                <w:sz w:val="24"/>
                <w:szCs w:val="24"/>
                <w:lang w:val="en-US" w:eastAsia="zh-CN"/>
              </w:rPr>
              <w:t>纯水制备产生的废过滤材料</w:t>
            </w:r>
            <w:r>
              <w:rPr>
                <w:rFonts w:hint="default" w:ascii="Times New Roman" w:hAnsi="Times New Roman" w:cs="Times New Roman"/>
                <w:color w:val="000000"/>
                <w:sz w:val="24"/>
                <w:szCs w:val="24"/>
                <w:lang w:eastAsia="zh-CN"/>
              </w:rPr>
              <w:t>、</w:t>
            </w:r>
            <w:r>
              <w:rPr>
                <w:rFonts w:hint="default" w:ascii="Times New Roman" w:hAnsi="Times New Roman" w:eastAsia="宋体" w:cs="Times New Roman"/>
                <w:sz w:val="24"/>
                <w:szCs w:val="24"/>
                <w:lang w:val="en-US" w:eastAsia="zh-CN"/>
              </w:rPr>
              <w:t>除尘器收集的粉尘</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废润滑油及包装桶</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废含油抹布、废手套</w:t>
            </w:r>
            <w:r>
              <w:rPr>
                <w:rFonts w:hint="eastAsia" w:cs="Times New Roman"/>
                <w:color w:val="000000"/>
                <w:sz w:val="24"/>
                <w:szCs w:val="24"/>
                <w:lang w:val="en-US" w:eastAsia="zh-CN"/>
              </w:rPr>
              <w:t>、停机检修产生的废保温材料</w:t>
            </w:r>
            <w:r>
              <w:rPr>
                <w:rFonts w:hint="default" w:ascii="Times New Roman" w:hAnsi="Times New Roman" w:cs="Times New Roman"/>
                <w:color w:val="000000"/>
                <w:sz w:val="24"/>
                <w:szCs w:val="24"/>
              </w:rPr>
              <w:t>。</w:t>
            </w:r>
          </w:p>
          <w:p w14:paraId="461C04F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rPr>
              <w:t>（1）</w:t>
            </w:r>
            <w:r>
              <w:rPr>
                <w:rFonts w:hint="default" w:ascii="Times New Roman" w:hAnsi="Times New Roman" w:cs="Times New Roman"/>
                <w:sz w:val="24"/>
                <w:szCs w:val="24"/>
              </w:rPr>
              <w:t>生活垃圾</w:t>
            </w:r>
          </w:p>
          <w:p w14:paraId="32B46D1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本项目员工生活垃圾产生量按0.5kg/人·d计，</w:t>
            </w:r>
            <w:r>
              <w:rPr>
                <w:rFonts w:hint="default" w:ascii="Times New Roman" w:hAnsi="Times New Roman" w:cs="Times New Roman"/>
                <w:sz w:val="24"/>
                <w:szCs w:val="24"/>
                <w:lang w:val="en-US" w:eastAsia="zh-CN"/>
              </w:rPr>
              <w:t>项目</w:t>
            </w:r>
            <w:r>
              <w:rPr>
                <w:rFonts w:hint="eastAsia" w:ascii="Times New Roman" w:hAnsi="Times New Roman" w:cs="Times New Roman"/>
                <w:sz w:val="24"/>
                <w:szCs w:val="24"/>
                <w:lang w:val="en-US" w:eastAsia="zh-CN"/>
              </w:rPr>
              <w:t>全厂职工</w:t>
            </w:r>
            <w:r>
              <w:rPr>
                <w:rFonts w:hint="default" w:ascii="Times New Roman" w:hAnsi="Times New Roman" w:cs="Times New Roman"/>
                <w:sz w:val="24"/>
                <w:szCs w:val="24"/>
              </w:rPr>
              <w:t>人数</w:t>
            </w:r>
            <w:r>
              <w:rPr>
                <w:rFonts w:hint="eastAsia" w:cs="Times New Roman"/>
                <w:sz w:val="24"/>
                <w:szCs w:val="24"/>
                <w:lang w:val="en-US" w:eastAsia="zh-CN"/>
              </w:rPr>
              <w:t>60</w:t>
            </w:r>
            <w:r>
              <w:rPr>
                <w:rFonts w:hint="default" w:ascii="Times New Roman" w:hAnsi="Times New Roman" w:cs="Times New Roman"/>
                <w:sz w:val="24"/>
                <w:szCs w:val="24"/>
              </w:rPr>
              <w:t>人，年运行3</w:t>
            </w:r>
            <w:r>
              <w:rPr>
                <w:rFonts w:hint="default" w:ascii="Times New Roman" w:hAnsi="Times New Roman" w:cs="Times New Roman"/>
                <w:sz w:val="24"/>
                <w:szCs w:val="24"/>
                <w:lang w:val="en-US" w:eastAsia="zh-CN"/>
              </w:rPr>
              <w:t>65</w:t>
            </w:r>
            <w:r>
              <w:rPr>
                <w:rFonts w:hint="default" w:ascii="Times New Roman" w:hAnsi="Times New Roman" w:cs="Times New Roman"/>
                <w:sz w:val="24"/>
                <w:szCs w:val="24"/>
              </w:rPr>
              <w:t>天，经计算，项目</w:t>
            </w:r>
            <w:r>
              <w:rPr>
                <w:rFonts w:hint="default" w:ascii="Times New Roman" w:hAnsi="Times New Roman" w:cs="Times New Roman"/>
                <w:sz w:val="24"/>
                <w:szCs w:val="24"/>
                <w:lang w:val="en-US" w:eastAsia="zh-CN"/>
              </w:rPr>
              <w:t>全厂</w:t>
            </w:r>
            <w:r>
              <w:rPr>
                <w:rFonts w:hint="default" w:ascii="Times New Roman" w:hAnsi="Times New Roman" w:cs="Times New Roman"/>
                <w:sz w:val="24"/>
                <w:szCs w:val="24"/>
              </w:rPr>
              <w:t>运营期职工生活垃圾产生量</w:t>
            </w:r>
            <w:r>
              <w:rPr>
                <w:rFonts w:hint="eastAsia" w:cs="Times New Roman"/>
                <w:sz w:val="24"/>
                <w:szCs w:val="24"/>
                <w:lang w:val="en-US" w:eastAsia="zh-CN"/>
              </w:rPr>
              <w:t>10.95</w:t>
            </w:r>
            <w:r>
              <w:rPr>
                <w:rFonts w:hint="default" w:ascii="Times New Roman" w:hAnsi="Times New Roman" w:cs="Times New Roman"/>
                <w:sz w:val="24"/>
                <w:szCs w:val="24"/>
              </w:rPr>
              <w:t>t/a，统一收集由环卫部门定期清运处理。</w:t>
            </w:r>
            <w:r>
              <w:rPr>
                <w:rFonts w:hint="eastAsia" w:ascii="Times New Roman" w:hAnsi="Times New Roman" w:eastAsia="宋体" w:cs="宋体"/>
                <w:sz w:val="24"/>
                <w:szCs w:val="24"/>
              </w:rPr>
              <w:t>根据</w:t>
            </w:r>
            <w:r>
              <w:rPr>
                <w:rFonts w:hint="eastAsia" w:ascii="Times New Roman" w:hAnsi="Times New Roman" w:eastAsia="宋体" w:cs="宋体"/>
                <w:sz w:val="24"/>
                <w:szCs w:val="24"/>
                <w:lang w:eastAsia="zh-CN"/>
              </w:rPr>
              <w:t>《固体废物分类与代码目录》（2024版）</w:t>
            </w:r>
            <w:r>
              <w:rPr>
                <w:rFonts w:hint="eastAsia" w:ascii="Times New Roman" w:hAnsi="Times New Roman" w:eastAsia="宋体" w:cs="宋体"/>
                <w:sz w:val="24"/>
                <w:szCs w:val="24"/>
              </w:rPr>
              <w:t>中规定，</w:t>
            </w:r>
            <w:r>
              <w:rPr>
                <w:rFonts w:hint="eastAsia" w:ascii="Times New Roman" w:hAnsi="Times New Roman" w:eastAsia="宋体" w:cs="宋体"/>
                <w:sz w:val="24"/>
                <w:szCs w:val="24"/>
                <w:lang w:val="en-US" w:eastAsia="zh-CN"/>
              </w:rPr>
              <w:t>生活垃圾</w:t>
            </w:r>
            <w:r>
              <w:rPr>
                <w:rFonts w:hint="eastAsia" w:ascii="Times New Roman" w:hAnsi="Times New Roman" w:eastAsia="宋体" w:cs="宋体"/>
                <w:sz w:val="24"/>
                <w:szCs w:val="24"/>
              </w:rPr>
              <w:t>属于SW</w:t>
            </w:r>
            <w:r>
              <w:rPr>
                <w:rFonts w:hint="eastAsia" w:ascii="Times New Roman" w:hAnsi="Times New Roman" w:eastAsia="宋体" w:cs="宋体"/>
                <w:sz w:val="24"/>
                <w:szCs w:val="24"/>
                <w:lang w:val="en-US" w:eastAsia="zh-CN"/>
              </w:rPr>
              <w:t>64其他垃圾-非特定行业-其他生活垃圾</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固废代码：900-099-S64</w:t>
            </w:r>
            <w:r>
              <w:rPr>
                <w:rFonts w:hint="eastAsia" w:ascii="Times New Roman" w:hAnsi="Times New Roman" w:eastAsia="宋体" w:cs="宋体"/>
                <w:sz w:val="24"/>
                <w:szCs w:val="24"/>
              </w:rPr>
              <w:t>。生活垃圾由垃圾桶收集，交由环卫部门</w:t>
            </w:r>
            <w:r>
              <w:rPr>
                <w:rFonts w:hint="eastAsia" w:ascii="Times New Roman" w:hAnsi="Times New Roman" w:eastAsia="宋体" w:cs="宋体"/>
                <w:sz w:val="24"/>
                <w:szCs w:val="24"/>
                <w:lang w:val="en-US" w:eastAsia="zh-CN"/>
              </w:rPr>
              <w:t>清运</w:t>
            </w:r>
            <w:r>
              <w:rPr>
                <w:rFonts w:hint="eastAsia" w:ascii="Times New Roman" w:hAnsi="Times New Roman" w:eastAsia="宋体" w:cs="宋体"/>
                <w:sz w:val="24"/>
                <w:szCs w:val="24"/>
              </w:rPr>
              <w:t>处置。</w:t>
            </w:r>
          </w:p>
          <w:p w14:paraId="62E090D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2</w:t>
            </w:r>
            <w:r>
              <w:rPr>
                <w:rFonts w:hint="default" w:ascii="Times New Roman" w:hAnsi="Times New Roman" w:cs="Times New Roman"/>
                <w:sz w:val="24"/>
                <w:szCs w:val="24"/>
                <w:lang w:eastAsia="zh-CN"/>
              </w:rPr>
              <w:t>）</w:t>
            </w:r>
            <w:r>
              <w:rPr>
                <w:rFonts w:hint="eastAsia" w:cs="宋体"/>
                <w:color w:val="000000"/>
                <w:sz w:val="24"/>
                <w:szCs w:val="24"/>
                <w:lang w:eastAsia="zh-CN"/>
              </w:rPr>
              <w:t>废包装</w:t>
            </w:r>
            <w:r>
              <w:rPr>
                <w:rFonts w:hint="eastAsia" w:cs="宋体"/>
                <w:color w:val="000000"/>
                <w:sz w:val="24"/>
                <w:szCs w:val="24"/>
                <w:lang w:val="en-US" w:eastAsia="zh-CN"/>
              </w:rPr>
              <w:t>材料</w:t>
            </w:r>
          </w:p>
          <w:p w14:paraId="2D7A858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rPr>
            </w:pPr>
            <w:r>
              <w:rPr>
                <w:rFonts w:hint="eastAsia" w:cs="宋体"/>
                <w:sz w:val="24"/>
                <w:szCs w:val="24"/>
                <w:lang w:val="en-US" w:eastAsia="zh-CN"/>
              </w:rPr>
              <w:t>原料</w:t>
            </w:r>
            <w:r>
              <w:rPr>
                <w:rFonts w:hint="eastAsia" w:cs="宋体"/>
                <w:sz w:val="24"/>
                <w:szCs w:val="24"/>
              </w:rPr>
              <w:t>拆包、包装过程中产生废包装物，根据企业提供的资料，</w:t>
            </w:r>
            <w:r>
              <w:rPr>
                <w:rFonts w:hint="default" w:ascii="Times New Roman" w:hAnsi="Times New Roman" w:cs="Times New Roman"/>
                <w:sz w:val="24"/>
                <w:szCs w:val="24"/>
                <w:lang w:val="en-US" w:eastAsia="zh-CN"/>
              </w:rPr>
              <w:t>项目</w:t>
            </w:r>
            <w:r>
              <w:rPr>
                <w:rFonts w:hint="eastAsia" w:ascii="Times New Roman" w:hAnsi="Times New Roman" w:cs="Times New Roman"/>
                <w:sz w:val="24"/>
                <w:szCs w:val="24"/>
                <w:lang w:val="en-US" w:eastAsia="zh-CN"/>
              </w:rPr>
              <w:t>全厂</w:t>
            </w:r>
            <w:r>
              <w:rPr>
                <w:rFonts w:hint="eastAsia" w:cs="宋体"/>
                <w:sz w:val="24"/>
                <w:szCs w:val="24"/>
              </w:rPr>
              <w:t>废包装物产生量约为</w:t>
            </w:r>
            <w:r>
              <w:rPr>
                <w:rFonts w:hint="eastAsia" w:cs="宋体"/>
                <w:sz w:val="24"/>
                <w:szCs w:val="24"/>
                <w:lang w:val="en-US" w:eastAsia="zh-CN"/>
              </w:rPr>
              <w:t>0.35</w:t>
            </w:r>
            <w:r>
              <w:rPr>
                <w:rFonts w:hint="eastAsia" w:cs="宋体"/>
                <w:sz w:val="24"/>
                <w:szCs w:val="24"/>
              </w:rPr>
              <w:t>t/a，经统一收集后暂存于</w:t>
            </w:r>
            <w:r>
              <w:rPr>
                <w:rFonts w:hint="eastAsia" w:cs="宋体"/>
                <w:sz w:val="24"/>
                <w:szCs w:val="24"/>
                <w:lang w:eastAsia="zh-CN"/>
              </w:rPr>
              <w:t>一般工业固体废物暂存场所</w:t>
            </w:r>
            <w:r>
              <w:rPr>
                <w:rFonts w:hint="eastAsia" w:cs="宋体"/>
                <w:sz w:val="24"/>
                <w:szCs w:val="24"/>
              </w:rPr>
              <w:t>，定期外售给物资回收部门。</w:t>
            </w:r>
            <w:r>
              <w:rPr>
                <w:rFonts w:hint="eastAsia"/>
                <w:color w:val="auto"/>
                <w:sz w:val="24"/>
                <w:lang w:val="en-US" w:eastAsia="zh-CN"/>
              </w:rPr>
              <w:t>根据《固体废物分类与代码目录》（2024版）中规定，</w:t>
            </w:r>
            <w:r>
              <w:rPr>
                <w:rFonts w:hint="eastAsia" w:cs="宋体"/>
                <w:color w:val="000000"/>
                <w:sz w:val="24"/>
                <w:szCs w:val="24"/>
                <w:lang w:eastAsia="zh-CN"/>
              </w:rPr>
              <w:t>废包装</w:t>
            </w:r>
            <w:r>
              <w:rPr>
                <w:rFonts w:hint="eastAsia" w:cs="宋体"/>
                <w:color w:val="000000"/>
                <w:sz w:val="24"/>
                <w:szCs w:val="24"/>
                <w:lang w:val="en-US" w:eastAsia="zh-CN"/>
              </w:rPr>
              <w:t>材料</w:t>
            </w:r>
            <w:r>
              <w:rPr>
                <w:rFonts w:hint="eastAsia"/>
                <w:color w:val="auto"/>
                <w:sz w:val="24"/>
                <w:lang w:val="en-US" w:eastAsia="zh-CN"/>
              </w:rPr>
              <w:t>属于”SW59其他工业固体废物-非特定行业-其他工业生产过程中产生的固体废物”</w:t>
            </w:r>
            <w:r>
              <w:rPr>
                <w:rFonts w:hint="eastAsia" w:ascii="Times New Roman" w:hAnsi="Times New Roman" w:eastAsia="宋体" w:cs="宋体"/>
                <w:sz w:val="24"/>
                <w:szCs w:val="24"/>
                <w:lang w:val="en-US" w:eastAsia="zh-CN"/>
              </w:rPr>
              <w:t>固废代码：</w:t>
            </w:r>
            <w:r>
              <w:rPr>
                <w:rFonts w:hint="eastAsia"/>
                <w:color w:val="auto"/>
                <w:sz w:val="24"/>
                <w:lang w:val="en-US" w:eastAsia="zh-CN"/>
              </w:rPr>
              <w:t>900-099-S59</w:t>
            </w:r>
            <w:r>
              <w:rPr>
                <w:rFonts w:hint="default" w:ascii="Times New Roman" w:hAnsi="Times New Roman" w:eastAsia="宋体" w:cs="Times New Roman"/>
                <w:sz w:val="24"/>
                <w:szCs w:val="24"/>
                <w:lang w:val="en-US" w:eastAsia="zh-CN"/>
              </w:rPr>
              <w:t>。</w:t>
            </w:r>
          </w:p>
          <w:p w14:paraId="580FE66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24"/>
              </w:rPr>
            </w:pPr>
            <w:r>
              <w:rPr>
                <w:rFonts w:hint="eastAsia" w:cs="Times New Roman"/>
                <w:sz w:val="24"/>
                <w:szCs w:val="24"/>
                <w:lang w:eastAsia="zh-CN"/>
              </w:rPr>
              <w:t>（</w:t>
            </w:r>
            <w:r>
              <w:rPr>
                <w:rFonts w:hint="eastAsia" w:cs="Times New Roman"/>
                <w:sz w:val="24"/>
                <w:szCs w:val="24"/>
                <w:lang w:val="en-US" w:eastAsia="zh-CN"/>
              </w:rPr>
              <w:t>3</w:t>
            </w:r>
            <w:r>
              <w:rPr>
                <w:rFonts w:hint="eastAsia" w:cs="Times New Roman"/>
                <w:sz w:val="24"/>
                <w:szCs w:val="24"/>
                <w:lang w:eastAsia="zh-CN"/>
              </w:rPr>
              <w:t>）</w:t>
            </w:r>
            <w:r>
              <w:rPr>
                <w:rFonts w:hint="default" w:ascii="Times New Roman" w:hAnsi="Times New Roman" w:cs="Times New Roman"/>
                <w:color w:val="000000"/>
                <w:sz w:val="24"/>
                <w:szCs w:val="24"/>
                <w:lang w:val="en-US" w:eastAsia="zh-CN"/>
              </w:rPr>
              <w:t>玻璃废边角料、</w:t>
            </w:r>
            <w:r>
              <w:rPr>
                <w:rFonts w:hint="default" w:ascii="Times New Roman" w:hAnsi="Times New Roman" w:cs="Times New Roman"/>
                <w:color w:val="000000"/>
                <w:sz w:val="24"/>
                <w:szCs w:val="24"/>
              </w:rPr>
              <w:t>不合格产品</w:t>
            </w:r>
          </w:p>
          <w:p w14:paraId="47FE53C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sz w:val="24"/>
                <w:szCs w:val="24"/>
                <w:lang w:val="en-US" w:eastAsia="zh-CN"/>
              </w:rPr>
            </w:pPr>
            <w:r>
              <w:rPr>
                <w:rFonts w:hint="eastAsia" w:cs="宋体"/>
                <w:sz w:val="24"/>
                <w:szCs w:val="24"/>
                <w:lang w:val="en-US" w:eastAsia="zh-CN"/>
              </w:rPr>
              <w:t>生产</w:t>
            </w:r>
            <w:r>
              <w:rPr>
                <w:rFonts w:hint="eastAsia" w:cs="宋体"/>
                <w:sz w:val="24"/>
                <w:szCs w:val="24"/>
              </w:rPr>
              <w:t>过程中会产生</w:t>
            </w:r>
            <w:r>
              <w:rPr>
                <w:rFonts w:hint="default" w:ascii="Times New Roman" w:hAnsi="Times New Roman" w:cs="Times New Roman"/>
                <w:color w:val="000000"/>
                <w:sz w:val="24"/>
                <w:szCs w:val="24"/>
                <w:lang w:val="en-US" w:eastAsia="zh-CN"/>
              </w:rPr>
              <w:t>玻璃废边角料、</w:t>
            </w:r>
            <w:r>
              <w:rPr>
                <w:rFonts w:hint="default" w:ascii="Times New Roman" w:hAnsi="Times New Roman" w:cs="Times New Roman"/>
                <w:color w:val="000000"/>
                <w:sz w:val="24"/>
                <w:szCs w:val="24"/>
              </w:rPr>
              <w:t>不合格产品</w:t>
            </w:r>
            <w:r>
              <w:rPr>
                <w:rFonts w:hint="eastAsia" w:cs="宋体"/>
                <w:sz w:val="24"/>
                <w:szCs w:val="24"/>
              </w:rPr>
              <w:t>，则边角料、不合格产品的产生量约为</w:t>
            </w:r>
            <w:r>
              <w:rPr>
                <w:rFonts w:hint="eastAsia" w:cs="宋体"/>
                <w:sz w:val="24"/>
                <w:szCs w:val="24"/>
                <w:lang w:val="en-US" w:eastAsia="zh-CN"/>
              </w:rPr>
              <w:t>99.6</w:t>
            </w:r>
            <w:r>
              <w:rPr>
                <w:rFonts w:hint="eastAsia" w:cs="宋体"/>
                <w:sz w:val="24"/>
                <w:szCs w:val="24"/>
              </w:rPr>
              <w:t>t/a，</w:t>
            </w:r>
            <w:r>
              <w:rPr>
                <w:rFonts w:hint="eastAsia"/>
                <w:color w:val="auto"/>
                <w:sz w:val="24"/>
                <w:lang w:val="en-US" w:eastAsia="zh-CN"/>
              </w:rPr>
              <w:t>根据《固体废物分类与代码目录》（2024版）中规定，</w:t>
            </w:r>
            <w:r>
              <w:rPr>
                <w:rFonts w:hint="eastAsia" w:cs="宋体"/>
                <w:color w:val="000000"/>
                <w:sz w:val="24"/>
                <w:szCs w:val="24"/>
              </w:rPr>
              <w:t>废边角料、不合格产品</w:t>
            </w:r>
            <w:r>
              <w:rPr>
                <w:rFonts w:hint="eastAsia"/>
                <w:color w:val="auto"/>
                <w:sz w:val="24"/>
                <w:lang w:val="en-US" w:eastAsia="zh-CN"/>
              </w:rPr>
              <w:t>属于“SW17可再生类废物-非特定行业-工业生产活动中产生的废玻璃边角料、残次品等废物”。</w:t>
            </w:r>
            <w:r>
              <w:rPr>
                <w:rFonts w:hint="eastAsia" w:ascii="Times New Roman" w:hAnsi="Times New Roman" w:eastAsia="宋体" w:cs="宋体"/>
                <w:sz w:val="24"/>
                <w:szCs w:val="24"/>
                <w:lang w:val="en-US" w:eastAsia="zh-CN"/>
              </w:rPr>
              <w:t>固废代码：</w:t>
            </w:r>
            <w:r>
              <w:rPr>
                <w:rFonts w:hint="eastAsia"/>
                <w:color w:val="auto"/>
                <w:sz w:val="24"/>
                <w:lang w:val="en-US" w:eastAsia="zh-CN"/>
              </w:rPr>
              <w:t>900-004-S17。</w:t>
            </w:r>
            <w:r>
              <w:rPr>
                <w:rFonts w:hint="eastAsia" w:cs="宋体"/>
                <w:sz w:val="24"/>
                <w:szCs w:val="24"/>
              </w:rPr>
              <w:t>统</w:t>
            </w:r>
            <w:r>
              <w:rPr>
                <w:rFonts w:hint="eastAsia" w:ascii="Times New Roman" w:hAnsi="Times New Roman" w:eastAsia="宋体" w:cs="Times New Roman"/>
                <w:sz w:val="24"/>
                <w:szCs w:val="24"/>
                <w:lang w:val="en-US" w:eastAsia="zh-CN"/>
              </w:rPr>
              <w:t>一收集后暂存一般工业固体废物暂存场所，定期回用于生产线。</w:t>
            </w:r>
          </w:p>
          <w:p w14:paraId="4E50F5D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纯水制备产生的废过滤材料</w:t>
            </w:r>
          </w:p>
          <w:p w14:paraId="1A41B80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本项目在纯水制备过程中使用的过滤材料，如活性炭、反渗透膜在使用过程需定期更换。更换周期约为三个月一次，一次单台设备更换量约为0.003t/次，则纯水制备产生的废过滤材料量为0.012t/a。</w:t>
            </w:r>
          </w:p>
          <w:p w14:paraId="175BC7B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根据《固体废物分类与代码目录》（2024版）中规定，纯水制备过程中使用的过滤介质属于SW59其他工业固体废物——非特定行业——废过滤材料。工业生产活动中产生的等过滤材料，固废代码：900-0</w:t>
            </w:r>
            <w:r>
              <w:rPr>
                <w:rFonts w:hint="eastAsia" w:cs="Times New Roman"/>
                <w:color w:val="000000"/>
                <w:sz w:val="24"/>
                <w:szCs w:val="24"/>
                <w:lang w:val="en-US" w:eastAsia="zh-CN"/>
              </w:rPr>
              <w:t>0</w:t>
            </w:r>
            <w:r>
              <w:rPr>
                <w:rFonts w:hint="default" w:ascii="Times New Roman" w:hAnsi="Times New Roman" w:cs="Times New Roman"/>
                <w:color w:val="000000"/>
                <w:sz w:val="24"/>
                <w:szCs w:val="24"/>
                <w:lang w:val="en-US" w:eastAsia="zh-CN"/>
              </w:rPr>
              <w:t>9-S59，纯水制备过程中使用的纯水制备产生的费过滤材料定期更换，更换后交由厂家回收处置。</w:t>
            </w:r>
          </w:p>
          <w:p w14:paraId="39D7D56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（5）</w:t>
            </w:r>
            <w:r>
              <w:rPr>
                <w:rFonts w:hint="default" w:ascii="Times New Roman" w:hAnsi="Times New Roman" w:eastAsia="宋体" w:cs="Times New Roman"/>
                <w:color w:val="000000"/>
                <w:sz w:val="24"/>
                <w:szCs w:val="24"/>
                <w:lang w:val="en-US" w:eastAsia="zh-CN"/>
              </w:rPr>
              <w:t>除尘器收集的粉尘</w:t>
            </w:r>
          </w:p>
          <w:p w14:paraId="1089DE6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项目全厂设置</w:t>
            </w:r>
            <w:r>
              <w:rPr>
                <w:rFonts w:hint="eastAsia" w:cs="Times New Roman"/>
                <w:color w:val="000000"/>
                <w:sz w:val="24"/>
                <w:szCs w:val="24"/>
                <w:lang w:val="en-US" w:eastAsia="zh-CN"/>
              </w:rPr>
              <w:t>5套</w:t>
            </w:r>
            <w:r>
              <w:rPr>
                <w:rFonts w:hint="default" w:ascii="Times New Roman" w:hAnsi="Times New Roman" w:eastAsia="宋体" w:cs="Times New Roman"/>
                <w:color w:val="000000"/>
                <w:sz w:val="24"/>
                <w:szCs w:val="24"/>
                <w:lang w:val="en-US" w:eastAsia="zh-CN"/>
              </w:rPr>
              <w:t>布袋除尘器，除尘器收集到粉尘量合计为</w:t>
            </w:r>
            <w:r>
              <w:rPr>
                <w:rFonts w:hint="eastAsia" w:cs="Times New Roman"/>
                <w:color w:val="000000"/>
                <w:sz w:val="24"/>
                <w:szCs w:val="24"/>
                <w:lang w:val="en-US" w:eastAsia="zh-CN"/>
              </w:rPr>
              <w:t>9.269</w:t>
            </w:r>
            <w:r>
              <w:rPr>
                <w:rFonts w:hint="default" w:ascii="Times New Roman" w:hAnsi="Times New Roman" w:eastAsia="宋体" w:cs="Times New Roman"/>
                <w:color w:val="000000"/>
                <w:sz w:val="24"/>
                <w:szCs w:val="24"/>
                <w:lang w:val="en-US" w:eastAsia="zh-CN"/>
              </w:rPr>
              <w:t>t/a，</w:t>
            </w:r>
            <w:r>
              <w:rPr>
                <w:rFonts w:hint="default" w:ascii="Times New Roman" w:hAnsi="Times New Roman" w:cs="Times New Roman"/>
                <w:color w:val="auto"/>
                <w:sz w:val="24"/>
                <w:lang w:val="en-US" w:eastAsia="zh-CN"/>
              </w:rPr>
              <w:t>根据《固体废物分类与代码目录》（2024版）中规定，</w:t>
            </w:r>
            <w:r>
              <w:rPr>
                <w:rFonts w:hint="default" w:ascii="Times New Roman" w:hAnsi="Times New Roman" w:eastAsia="宋体" w:cs="Times New Roman"/>
                <w:color w:val="000000"/>
                <w:sz w:val="24"/>
                <w:szCs w:val="24"/>
                <w:lang w:val="en-US" w:eastAsia="zh-CN"/>
              </w:rPr>
              <w:t>除尘器收集的粉尘</w:t>
            </w:r>
            <w:r>
              <w:rPr>
                <w:rFonts w:hint="default" w:ascii="Times New Roman" w:hAnsi="Times New Roman" w:cs="Times New Roman"/>
                <w:color w:val="auto"/>
                <w:sz w:val="24"/>
                <w:lang w:val="en-US" w:eastAsia="zh-CN"/>
              </w:rPr>
              <w:t>属于”SW59其他工业固体废物-非特定行业-其他工业生产过程中产生的固体废物”</w:t>
            </w:r>
            <w:r>
              <w:rPr>
                <w:rFonts w:hint="default" w:ascii="Times New Roman" w:hAnsi="Times New Roman" w:eastAsia="宋体" w:cs="Times New Roman"/>
                <w:sz w:val="24"/>
                <w:szCs w:val="24"/>
                <w:lang w:val="en-US" w:eastAsia="zh-CN"/>
              </w:rPr>
              <w:t>固废代码：</w:t>
            </w:r>
            <w:r>
              <w:rPr>
                <w:rFonts w:hint="default" w:ascii="Times New Roman" w:hAnsi="Times New Roman" w:cs="Times New Roman"/>
                <w:color w:val="auto"/>
                <w:sz w:val="24"/>
                <w:lang w:val="en-US" w:eastAsia="zh-CN"/>
              </w:rPr>
              <w:t>900-099-S59</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color w:val="000000"/>
                <w:sz w:val="24"/>
                <w:szCs w:val="24"/>
                <w:lang w:val="en-US" w:eastAsia="zh-CN"/>
              </w:rPr>
              <w:t>除尘器收集粉尘暂存于一般固废暂存间，定期外售。</w:t>
            </w:r>
          </w:p>
          <w:p w14:paraId="6897679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（6）</w:t>
            </w:r>
            <w:r>
              <w:rPr>
                <w:rFonts w:hint="default" w:ascii="Times New Roman" w:hAnsi="Times New Roman" w:eastAsia="宋体" w:cs="Times New Roman"/>
                <w:color w:val="000000"/>
                <w:sz w:val="24"/>
                <w:szCs w:val="24"/>
                <w:lang w:val="en-US" w:eastAsia="zh-CN"/>
              </w:rPr>
              <w:t>废润滑油及包装桶</w:t>
            </w:r>
          </w:p>
          <w:p w14:paraId="7EAE72D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本项目设备在定期保养中，需要更换润滑油。因此会产生废润滑油及包装桶，根据建设单位提供的资料，全厂废润滑油及包装桶产生量约0.4t/a。根据《国家危险废物名录》（2025年版）中规定，废润滑油及包装桶属于HW08废矿物油与含矿物油废物，危废代码：900-2</w:t>
            </w:r>
            <w:r>
              <w:rPr>
                <w:rFonts w:hint="eastAsia" w:cs="Times New Roman"/>
                <w:color w:val="000000"/>
                <w:sz w:val="24"/>
                <w:szCs w:val="24"/>
                <w:lang w:val="en-US" w:eastAsia="zh-CN"/>
              </w:rPr>
              <w:t>14</w:t>
            </w:r>
            <w:r>
              <w:rPr>
                <w:rFonts w:hint="default" w:ascii="Times New Roman" w:hAnsi="Times New Roman" w:eastAsia="宋体" w:cs="Times New Roman"/>
                <w:color w:val="000000"/>
                <w:sz w:val="24"/>
                <w:szCs w:val="24"/>
                <w:lang w:val="en-US" w:eastAsia="zh-CN"/>
              </w:rPr>
              <w:t>-08。废润滑油及包装桶暂存于</w:t>
            </w:r>
            <w:r>
              <w:rPr>
                <w:rFonts w:hint="default" w:ascii="Times New Roman" w:hAnsi="Times New Roman" w:cs="Times New Roman"/>
                <w:color w:val="000000"/>
                <w:sz w:val="24"/>
                <w:szCs w:val="24"/>
                <w:lang w:val="en-US" w:eastAsia="zh-CN"/>
              </w:rPr>
              <w:t>危险废物贮存点</w:t>
            </w:r>
            <w:r>
              <w:rPr>
                <w:rFonts w:hint="default" w:ascii="Times New Roman" w:hAnsi="Times New Roman" w:eastAsia="宋体" w:cs="Times New Roman"/>
                <w:color w:val="000000"/>
                <w:sz w:val="24"/>
                <w:szCs w:val="24"/>
                <w:lang w:val="en-US" w:eastAsia="zh-CN"/>
              </w:rPr>
              <w:t>，交由有资质单位处置。</w:t>
            </w:r>
          </w:p>
          <w:p w14:paraId="3C3A646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val="en-US" w:eastAsia="zh-CN"/>
              </w:rPr>
              <w:t>（7）</w:t>
            </w:r>
            <w:r>
              <w:rPr>
                <w:rFonts w:hint="default" w:ascii="Times New Roman" w:hAnsi="Times New Roman" w:eastAsia="宋体" w:cs="Times New Roman"/>
                <w:color w:val="000000"/>
                <w:sz w:val="24"/>
                <w:szCs w:val="24"/>
                <w:lang w:val="en-US" w:eastAsia="zh-CN"/>
              </w:rPr>
              <w:t>废含油抹布、废手套</w:t>
            </w:r>
          </w:p>
          <w:p w14:paraId="5C4F0E6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车间机修过程产生少量废含油抹布、废手套，项目全厂总产生量0.02t/a。根据《国家危险废物名录》（2025版），废含油抹布、废手套危废代码：900-041-49。暂存于厂区的</w:t>
            </w:r>
            <w:r>
              <w:rPr>
                <w:rFonts w:hint="default" w:ascii="Times New Roman" w:hAnsi="Times New Roman" w:cs="Times New Roman"/>
                <w:color w:val="000000"/>
                <w:sz w:val="24"/>
                <w:szCs w:val="24"/>
                <w:lang w:val="en-US" w:eastAsia="zh-CN"/>
              </w:rPr>
              <w:t>危险废物贮存点</w:t>
            </w:r>
            <w:r>
              <w:rPr>
                <w:rFonts w:hint="default" w:ascii="Times New Roman" w:hAnsi="Times New Roman" w:eastAsia="宋体" w:cs="Times New Roman"/>
                <w:color w:val="000000"/>
                <w:sz w:val="24"/>
                <w:szCs w:val="24"/>
                <w:lang w:val="en-US" w:eastAsia="zh-CN"/>
              </w:rPr>
              <w:t>，定期交由有资质单位处置。</w:t>
            </w:r>
          </w:p>
          <w:p w14:paraId="74B24D7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cs="Times New Roman"/>
                <w:color w:val="000000"/>
                <w:sz w:val="24"/>
                <w:szCs w:val="24"/>
                <w:lang w:val="en-US" w:eastAsia="zh-CN"/>
              </w:rPr>
            </w:pPr>
            <w:r>
              <w:rPr>
                <w:rFonts w:hint="eastAsia" w:cs="Times New Roman"/>
                <w:color w:val="000000"/>
                <w:sz w:val="24"/>
                <w:szCs w:val="24"/>
                <w:lang w:val="en-US" w:eastAsia="zh-CN"/>
              </w:rPr>
              <w:t>（8）停机检修产生的废保温材料</w:t>
            </w:r>
          </w:p>
          <w:p w14:paraId="0B4E86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本项目</w:t>
            </w:r>
            <w:r>
              <w:rPr>
                <w:rFonts w:hint="eastAsia" w:cs="Times New Roman"/>
                <w:color w:val="000000"/>
                <w:sz w:val="24"/>
                <w:szCs w:val="24"/>
                <w:lang w:val="en-US" w:eastAsia="zh-CN"/>
              </w:rPr>
              <w:t>在</w:t>
            </w:r>
            <w:r>
              <w:rPr>
                <w:rFonts w:hint="eastAsia" w:ascii="Times New Roman" w:hAnsi="Times New Roman" w:eastAsia="宋体" w:cs="Times New Roman"/>
                <w:color w:val="000000"/>
                <w:sz w:val="24"/>
                <w:szCs w:val="24"/>
                <w:lang w:val="en-US" w:eastAsia="zh-CN"/>
              </w:rPr>
              <w:t>检修过程中会产生废保温材料，主要为废刚玉砖，产生量约50t/次</w:t>
            </w:r>
            <w:r>
              <w:rPr>
                <w:rFonts w:hint="default" w:ascii="Times New Roman" w:hAnsi="Times New Roman" w:eastAsia="宋体" w:cs="Times New Roman"/>
                <w:color w:val="000000"/>
                <w:sz w:val="24"/>
                <w:szCs w:val="24"/>
                <w:lang w:val="en-US" w:eastAsia="zh-CN"/>
              </w:rPr>
              <w:t>。根据根据《固体废物分类与代码目录》（2024版）中规定，停机检修产生的废保温材料</w:t>
            </w:r>
            <w:r>
              <w:rPr>
                <w:rFonts w:hint="eastAsia" w:ascii="Times New Roman" w:hAnsi="Times New Roman" w:eastAsia="宋体" w:cs="Times New Roman"/>
                <w:color w:val="000000"/>
                <w:sz w:val="24"/>
                <w:szCs w:val="24"/>
                <w:lang w:val="en-US" w:eastAsia="zh-CN"/>
              </w:rPr>
              <w:t>属于</w:t>
            </w:r>
            <w:r>
              <w:rPr>
                <w:rFonts w:hint="default" w:ascii="Times New Roman" w:hAnsi="Times New Roman" w:eastAsia="宋体" w:cs="Times New Roman"/>
                <w:color w:val="000000"/>
                <w:sz w:val="24"/>
                <w:szCs w:val="24"/>
                <w:lang w:val="en-US" w:eastAsia="zh-CN"/>
              </w:rPr>
              <w:t>SW59 其他工业固体废物</w:t>
            </w:r>
            <w:r>
              <w:rPr>
                <w:rFonts w:hint="eastAsia" w:ascii="Times New Roman" w:hAnsi="Times New Roman" w:eastAsia="宋体" w:cs="Times New Roman"/>
                <w:color w:val="000000"/>
                <w:sz w:val="24"/>
                <w:szCs w:val="24"/>
                <w:lang w:val="en-US" w:eastAsia="zh-CN"/>
              </w:rPr>
              <w:t>，</w:t>
            </w:r>
            <w:r>
              <w:rPr>
                <w:rFonts w:hint="eastAsia" w:cs="Times New Roman"/>
                <w:color w:val="000000"/>
                <w:sz w:val="24"/>
                <w:szCs w:val="24"/>
                <w:lang w:val="en-US" w:eastAsia="zh-CN"/>
              </w:rPr>
              <w:t>固废代码：900-099-S59，</w:t>
            </w:r>
            <w:r>
              <w:rPr>
                <w:rFonts w:hint="eastAsia" w:ascii="Times New Roman" w:hAnsi="Times New Roman" w:eastAsia="宋体" w:cs="Times New Roman"/>
                <w:color w:val="000000"/>
                <w:sz w:val="24"/>
                <w:szCs w:val="24"/>
                <w:lang w:val="en-US" w:eastAsia="zh-CN"/>
              </w:rPr>
              <w:t>停机检修后交由厂家回收，不在场内贮存</w:t>
            </w:r>
            <w:r>
              <w:rPr>
                <w:rFonts w:hint="default" w:ascii="Times New Roman" w:hAnsi="Times New Roman" w:eastAsia="宋体" w:cs="Times New Roman"/>
                <w:color w:val="000000"/>
                <w:sz w:val="24"/>
                <w:szCs w:val="24"/>
                <w:lang w:val="en-US" w:eastAsia="zh-CN"/>
              </w:rPr>
              <w:t>。</w:t>
            </w:r>
          </w:p>
          <w:p w14:paraId="687DD32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项目全厂固体产生情况汇总表如下表所示：</w:t>
            </w:r>
          </w:p>
          <w:p w14:paraId="2C600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表4-</w:t>
            </w:r>
            <w:r>
              <w:rPr>
                <w:rFonts w:hint="eastAsia" w:cs="Times New Roman"/>
                <w:b/>
                <w:bCs/>
                <w:color w:val="auto"/>
                <w:sz w:val="24"/>
                <w:szCs w:val="24"/>
                <w:lang w:val="en-US" w:eastAsia="zh-CN"/>
              </w:rPr>
              <w:t>28</w:t>
            </w:r>
            <w:r>
              <w:rPr>
                <w:rFonts w:hint="eastAsia" w:ascii="Times New Roman" w:hAnsi="Times New Roman" w:eastAsia="宋体" w:cs="Times New Roman"/>
                <w:b/>
                <w:bCs/>
                <w:color w:val="auto"/>
                <w:sz w:val="24"/>
                <w:szCs w:val="24"/>
                <w:lang w:val="en-US" w:eastAsia="zh-CN"/>
              </w:rPr>
              <w:t xml:space="preserve">  </w:t>
            </w:r>
            <w:r>
              <w:rPr>
                <w:rFonts w:hint="default" w:ascii="Times New Roman" w:hAnsi="Times New Roman" w:eastAsia="宋体" w:cs="Times New Roman"/>
                <w:b/>
                <w:bCs/>
                <w:color w:val="auto"/>
                <w:sz w:val="24"/>
                <w:szCs w:val="24"/>
                <w:lang w:val="en-US" w:eastAsia="zh-CN"/>
              </w:rPr>
              <w:t>危险废物属性判定表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194"/>
              <w:gridCol w:w="1672"/>
              <w:gridCol w:w="1110"/>
              <w:gridCol w:w="1460"/>
              <w:gridCol w:w="1133"/>
            </w:tblGrid>
            <w:tr w14:paraId="0054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14:paraId="0099C75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序号</w:t>
                  </w:r>
                </w:p>
              </w:tc>
              <w:tc>
                <w:tcPr>
                  <w:tcW w:w="2122" w:type="dxa"/>
                  <w:vAlign w:val="center"/>
                </w:tcPr>
                <w:p w14:paraId="3050D77A">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固体废物名称</w:t>
                  </w:r>
                </w:p>
              </w:tc>
              <w:tc>
                <w:tcPr>
                  <w:tcW w:w="1617" w:type="dxa"/>
                  <w:vAlign w:val="center"/>
                </w:tcPr>
                <w:p w14:paraId="3138ECB0">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产生工序</w:t>
                  </w:r>
                </w:p>
              </w:tc>
              <w:tc>
                <w:tcPr>
                  <w:tcW w:w="1074" w:type="dxa"/>
                  <w:vAlign w:val="center"/>
                </w:tcPr>
                <w:p w14:paraId="7FF68F40">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是否属危险废物</w:t>
                  </w:r>
                </w:p>
              </w:tc>
              <w:tc>
                <w:tcPr>
                  <w:tcW w:w="1412" w:type="dxa"/>
                  <w:vAlign w:val="center"/>
                </w:tcPr>
                <w:p w14:paraId="64C71331">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废物类别</w:t>
                  </w:r>
                </w:p>
              </w:tc>
              <w:tc>
                <w:tcPr>
                  <w:tcW w:w="1096" w:type="dxa"/>
                  <w:vAlign w:val="center"/>
                </w:tcPr>
                <w:p w14:paraId="57D26590">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产生量（t/a）</w:t>
                  </w:r>
                </w:p>
              </w:tc>
            </w:tr>
            <w:tr w14:paraId="6279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14:paraId="5573AD7E">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122" w:type="dxa"/>
                  <w:vAlign w:val="center"/>
                </w:tcPr>
                <w:p w14:paraId="40565EF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rPr>
                    <w:t>生活垃圾</w:t>
                  </w:r>
                </w:p>
              </w:tc>
              <w:tc>
                <w:tcPr>
                  <w:tcW w:w="1617" w:type="dxa"/>
                  <w:vAlign w:val="center"/>
                </w:tcPr>
                <w:p w14:paraId="4917998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日常生活</w:t>
                  </w:r>
                </w:p>
              </w:tc>
              <w:tc>
                <w:tcPr>
                  <w:tcW w:w="1074" w:type="dxa"/>
                  <w:vAlign w:val="center"/>
                </w:tcPr>
                <w:p w14:paraId="68424E9A">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1412" w:type="dxa"/>
                  <w:vAlign w:val="center"/>
                </w:tcPr>
                <w:p w14:paraId="1E2F06C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900-099-S64</w:t>
                  </w:r>
                </w:p>
              </w:tc>
              <w:tc>
                <w:tcPr>
                  <w:tcW w:w="1096" w:type="dxa"/>
                  <w:vAlign w:val="center"/>
                </w:tcPr>
                <w:p w14:paraId="7BC7585F">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10.95</w:t>
                  </w:r>
                </w:p>
              </w:tc>
            </w:tr>
            <w:tr w14:paraId="2D8D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vAlign w:val="center"/>
                </w:tcPr>
                <w:p w14:paraId="18FF87BD">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122" w:type="dxa"/>
                  <w:vAlign w:val="center"/>
                </w:tcPr>
                <w:p w14:paraId="2128E83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t>废包装</w:t>
                  </w:r>
                  <w:r>
                    <w:rPr>
                      <w:rFonts w:hint="default" w:ascii="Times New Roman" w:hAnsi="Times New Roman" w:cs="Times New Roman"/>
                      <w:sz w:val="21"/>
                      <w:szCs w:val="21"/>
                      <w:lang w:val="en-US" w:eastAsia="zh-CN"/>
                    </w:rPr>
                    <w:t>材料</w:t>
                  </w:r>
                </w:p>
              </w:tc>
              <w:tc>
                <w:tcPr>
                  <w:tcW w:w="1617" w:type="dxa"/>
                  <w:vAlign w:val="center"/>
                </w:tcPr>
                <w:p w14:paraId="66015D91">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生产过程</w:t>
                  </w:r>
                </w:p>
              </w:tc>
              <w:tc>
                <w:tcPr>
                  <w:tcW w:w="1074" w:type="dxa"/>
                  <w:vAlign w:val="center"/>
                </w:tcPr>
                <w:p w14:paraId="56D99674">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1412" w:type="dxa"/>
                  <w:vAlign w:val="center"/>
                </w:tcPr>
                <w:p w14:paraId="21509EE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900-099-S59</w:t>
                  </w:r>
                </w:p>
              </w:tc>
              <w:tc>
                <w:tcPr>
                  <w:tcW w:w="1096" w:type="dxa"/>
                  <w:vAlign w:val="center"/>
                </w:tcPr>
                <w:p w14:paraId="0F8388D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0.35</w:t>
                  </w:r>
                </w:p>
              </w:tc>
            </w:tr>
            <w:tr w14:paraId="7D4A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shd w:val="clear" w:color="auto" w:fill="auto"/>
                  <w:vAlign w:val="center"/>
                </w:tcPr>
                <w:p w14:paraId="012F373E">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rPr>
                    <w:t>3</w:t>
                  </w:r>
                </w:p>
              </w:tc>
              <w:tc>
                <w:tcPr>
                  <w:tcW w:w="2122" w:type="dxa"/>
                  <w:vAlign w:val="center"/>
                </w:tcPr>
                <w:p w14:paraId="418AFBD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玻璃废边角料、不合格产品</w:t>
                  </w:r>
                </w:p>
              </w:tc>
              <w:tc>
                <w:tcPr>
                  <w:tcW w:w="1617" w:type="dxa"/>
                  <w:vAlign w:val="center"/>
                </w:tcPr>
                <w:p w14:paraId="7537141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生产过程</w:t>
                  </w:r>
                </w:p>
              </w:tc>
              <w:tc>
                <w:tcPr>
                  <w:tcW w:w="1074" w:type="dxa"/>
                  <w:vAlign w:val="center"/>
                </w:tcPr>
                <w:p w14:paraId="696DFFE6">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否</w:t>
                  </w:r>
                </w:p>
              </w:tc>
              <w:tc>
                <w:tcPr>
                  <w:tcW w:w="1412" w:type="dxa"/>
                  <w:vAlign w:val="center"/>
                </w:tcPr>
                <w:p w14:paraId="50547AD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900-004-S17</w:t>
                  </w:r>
                </w:p>
              </w:tc>
              <w:tc>
                <w:tcPr>
                  <w:tcW w:w="1096" w:type="dxa"/>
                  <w:vAlign w:val="center"/>
                </w:tcPr>
                <w:p w14:paraId="6ECB75F3">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99.6</w:t>
                  </w:r>
                </w:p>
              </w:tc>
            </w:tr>
            <w:tr w14:paraId="68E7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shd w:val="clear" w:color="auto" w:fill="auto"/>
                  <w:vAlign w:val="center"/>
                </w:tcPr>
                <w:p w14:paraId="5352158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rPr>
                    <w:t>4</w:t>
                  </w:r>
                </w:p>
              </w:tc>
              <w:tc>
                <w:tcPr>
                  <w:tcW w:w="2122" w:type="dxa"/>
                  <w:vAlign w:val="center"/>
                </w:tcPr>
                <w:p w14:paraId="6147629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纯水制备产生的废过滤材料</w:t>
                  </w:r>
                </w:p>
              </w:tc>
              <w:tc>
                <w:tcPr>
                  <w:tcW w:w="1617" w:type="dxa"/>
                  <w:vAlign w:val="center"/>
                </w:tcPr>
                <w:p w14:paraId="6E7948F4">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生产过程</w:t>
                  </w:r>
                </w:p>
              </w:tc>
              <w:tc>
                <w:tcPr>
                  <w:tcW w:w="1074" w:type="dxa"/>
                  <w:vAlign w:val="center"/>
                </w:tcPr>
                <w:p w14:paraId="4E582D9F">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否</w:t>
                  </w:r>
                </w:p>
              </w:tc>
              <w:tc>
                <w:tcPr>
                  <w:tcW w:w="1412" w:type="dxa"/>
                  <w:vAlign w:val="center"/>
                </w:tcPr>
                <w:p w14:paraId="0244AED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900-009-S59</w:t>
                  </w:r>
                </w:p>
              </w:tc>
              <w:tc>
                <w:tcPr>
                  <w:tcW w:w="1096" w:type="dxa"/>
                  <w:vAlign w:val="center"/>
                </w:tcPr>
                <w:p w14:paraId="6AFC5752">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0.012</w:t>
                  </w:r>
                </w:p>
              </w:tc>
            </w:tr>
            <w:tr w14:paraId="3C49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shd w:val="clear" w:color="auto" w:fill="auto"/>
                  <w:vAlign w:val="center"/>
                </w:tcPr>
                <w:p w14:paraId="2BC033BF">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rPr>
                    <w:t>5</w:t>
                  </w:r>
                </w:p>
              </w:tc>
              <w:tc>
                <w:tcPr>
                  <w:tcW w:w="2122" w:type="dxa"/>
                  <w:vAlign w:val="center"/>
                </w:tcPr>
                <w:p w14:paraId="5F60128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除尘器收集的粉尘</w:t>
                  </w:r>
                </w:p>
              </w:tc>
              <w:tc>
                <w:tcPr>
                  <w:tcW w:w="1617" w:type="dxa"/>
                  <w:vAlign w:val="center"/>
                </w:tcPr>
                <w:p w14:paraId="1D37D4A2">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生产过程</w:t>
                  </w:r>
                </w:p>
              </w:tc>
              <w:tc>
                <w:tcPr>
                  <w:tcW w:w="1074" w:type="dxa"/>
                  <w:vAlign w:val="center"/>
                </w:tcPr>
                <w:p w14:paraId="034D5CFF">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是</w:t>
                  </w:r>
                </w:p>
              </w:tc>
              <w:tc>
                <w:tcPr>
                  <w:tcW w:w="1412" w:type="dxa"/>
                  <w:vAlign w:val="center"/>
                </w:tcPr>
                <w:p w14:paraId="6BC645C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900-099-S59</w:t>
                  </w:r>
                </w:p>
              </w:tc>
              <w:tc>
                <w:tcPr>
                  <w:tcW w:w="1096" w:type="dxa"/>
                  <w:vAlign w:val="center"/>
                </w:tcPr>
                <w:p w14:paraId="5EFFE3A6">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9.269</w:t>
                  </w:r>
                </w:p>
              </w:tc>
            </w:tr>
            <w:tr w14:paraId="1F27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shd w:val="clear" w:color="auto" w:fill="auto"/>
                  <w:vAlign w:val="center"/>
                </w:tcPr>
                <w:p w14:paraId="2AD364D1">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6</w:t>
                  </w:r>
                </w:p>
              </w:tc>
              <w:tc>
                <w:tcPr>
                  <w:tcW w:w="2122" w:type="dxa"/>
                  <w:vAlign w:val="center"/>
                </w:tcPr>
                <w:p w14:paraId="4E2B8B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废润滑油及包装桶</w:t>
                  </w:r>
                </w:p>
              </w:tc>
              <w:tc>
                <w:tcPr>
                  <w:tcW w:w="1617" w:type="dxa"/>
                  <w:vAlign w:val="center"/>
                </w:tcPr>
                <w:p w14:paraId="63215C4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保养维修过程</w:t>
                  </w:r>
                </w:p>
              </w:tc>
              <w:tc>
                <w:tcPr>
                  <w:tcW w:w="1074" w:type="dxa"/>
                  <w:vAlign w:val="center"/>
                </w:tcPr>
                <w:p w14:paraId="53B5D4E7">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是</w:t>
                  </w:r>
                </w:p>
              </w:tc>
              <w:tc>
                <w:tcPr>
                  <w:tcW w:w="1412" w:type="dxa"/>
                  <w:vAlign w:val="center"/>
                </w:tcPr>
                <w:p w14:paraId="7498F76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rPr>
                  </w:pPr>
                  <w:r>
                    <w:rPr>
                      <w:rFonts w:hint="eastAsia" w:cs="宋体"/>
                      <w:sz w:val="21"/>
                      <w:szCs w:val="21"/>
                      <w:lang w:val="en-US" w:eastAsia="zh-CN"/>
                    </w:rPr>
                    <w:t>900-214-08</w:t>
                  </w:r>
                </w:p>
              </w:tc>
              <w:tc>
                <w:tcPr>
                  <w:tcW w:w="1096" w:type="dxa"/>
                  <w:vAlign w:val="center"/>
                </w:tcPr>
                <w:p w14:paraId="5BD0E81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w:t>
                  </w:r>
                </w:p>
              </w:tc>
            </w:tr>
            <w:tr w14:paraId="55E9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shd w:val="clear" w:color="auto" w:fill="auto"/>
                  <w:vAlign w:val="center"/>
                </w:tcPr>
                <w:p w14:paraId="76EC8974">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7</w:t>
                  </w:r>
                </w:p>
              </w:tc>
              <w:tc>
                <w:tcPr>
                  <w:tcW w:w="2122" w:type="dxa"/>
                  <w:vAlign w:val="center"/>
                </w:tcPr>
                <w:p w14:paraId="2F1BE18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废含油抹布、废手套</w:t>
                  </w:r>
                </w:p>
              </w:tc>
              <w:tc>
                <w:tcPr>
                  <w:tcW w:w="1617" w:type="dxa"/>
                  <w:vAlign w:val="center"/>
                </w:tcPr>
                <w:p w14:paraId="39D75BB2">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生产过程</w:t>
                  </w:r>
                </w:p>
              </w:tc>
              <w:tc>
                <w:tcPr>
                  <w:tcW w:w="1074" w:type="dxa"/>
                  <w:vAlign w:val="center"/>
                </w:tcPr>
                <w:p w14:paraId="5E8A3B56">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是</w:t>
                  </w:r>
                </w:p>
              </w:tc>
              <w:tc>
                <w:tcPr>
                  <w:tcW w:w="1412" w:type="dxa"/>
                  <w:vAlign w:val="center"/>
                </w:tcPr>
                <w:p w14:paraId="461FB05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cs="宋体"/>
                      <w:sz w:val="21"/>
                      <w:szCs w:val="21"/>
                      <w:lang w:val="en-US" w:eastAsia="zh-CN"/>
                    </w:rPr>
                    <w:t>900-041-49</w:t>
                  </w:r>
                </w:p>
              </w:tc>
              <w:tc>
                <w:tcPr>
                  <w:tcW w:w="1096" w:type="dxa"/>
                  <w:vAlign w:val="center"/>
                </w:tcPr>
                <w:p w14:paraId="3646237D">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0.02</w:t>
                  </w:r>
                </w:p>
              </w:tc>
            </w:tr>
            <w:tr w14:paraId="1836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shd w:val="clear" w:color="auto" w:fill="auto"/>
                  <w:vAlign w:val="center"/>
                </w:tcPr>
                <w:p w14:paraId="5E8EF602">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8</w:t>
                  </w:r>
                </w:p>
              </w:tc>
              <w:tc>
                <w:tcPr>
                  <w:tcW w:w="2122" w:type="dxa"/>
                  <w:vAlign w:val="center"/>
                </w:tcPr>
                <w:p w14:paraId="379F331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停机检修产生的废保温材料</w:t>
                  </w:r>
                </w:p>
              </w:tc>
              <w:tc>
                <w:tcPr>
                  <w:tcW w:w="1617" w:type="dxa"/>
                  <w:vAlign w:val="center"/>
                </w:tcPr>
                <w:p w14:paraId="62ABEC8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保养维修过程</w:t>
                  </w:r>
                </w:p>
              </w:tc>
              <w:tc>
                <w:tcPr>
                  <w:tcW w:w="1074" w:type="dxa"/>
                  <w:vAlign w:val="center"/>
                </w:tcPr>
                <w:p w14:paraId="61496E05">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否</w:t>
                  </w:r>
                </w:p>
              </w:tc>
              <w:tc>
                <w:tcPr>
                  <w:tcW w:w="1412" w:type="dxa"/>
                  <w:vAlign w:val="center"/>
                </w:tcPr>
                <w:p w14:paraId="219314A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cs="宋体"/>
                      <w:sz w:val="21"/>
                      <w:szCs w:val="21"/>
                      <w:lang w:val="en-US" w:eastAsia="zh-CN"/>
                    </w:rPr>
                  </w:pPr>
                  <w:r>
                    <w:rPr>
                      <w:rFonts w:hint="default" w:cs="宋体"/>
                      <w:sz w:val="21"/>
                      <w:szCs w:val="21"/>
                      <w:lang w:val="en-US" w:eastAsia="zh-CN"/>
                    </w:rPr>
                    <w:t>900-099-S59</w:t>
                  </w:r>
                </w:p>
              </w:tc>
              <w:tc>
                <w:tcPr>
                  <w:tcW w:w="1096" w:type="dxa"/>
                  <w:vAlign w:val="center"/>
                </w:tcPr>
                <w:p w14:paraId="46F70BD4">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50t/</w:t>
                  </w:r>
                  <w:r>
                    <w:rPr>
                      <w:rFonts w:hint="eastAsia" w:cs="Times New Roman"/>
                      <w:sz w:val="21"/>
                      <w:szCs w:val="21"/>
                      <w:lang w:val="en-US" w:eastAsia="zh-CN"/>
                    </w:rPr>
                    <w:t>4年</w:t>
                  </w:r>
                </w:p>
              </w:tc>
            </w:tr>
          </w:tbl>
          <w:p w14:paraId="31C6FCD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eastAsia" w:eastAsia="宋体"/>
                <w:b/>
                <w:bCs/>
                <w:color w:val="auto"/>
                <w:sz w:val="24"/>
                <w:szCs w:val="24"/>
                <w:lang w:val="en-US" w:eastAsia="zh-CN"/>
              </w:rPr>
            </w:pPr>
            <w:r>
              <w:rPr>
                <w:rFonts w:hint="eastAsia" w:eastAsia="宋体"/>
                <w:b/>
                <w:bCs/>
                <w:color w:val="auto"/>
                <w:sz w:val="24"/>
                <w:szCs w:val="24"/>
                <w:lang w:val="en-US" w:eastAsia="zh-CN"/>
              </w:rPr>
              <w:t>表</w:t>
            </w:r>
            <w:r>
              <w:rPr>
                <w:rFonts w:hint="default" w:eastAsia="宋体"/>
                <w:b/>
                <w:bCs/>
                <w:color w:val="auto"/>
                <w:sz w:val="24"/>
                <w:szCs w:val="24"/>
                <w:lang w:val="en-US" w:eastAsia="zh-CN"/>
              </w:rPr>
              <w:t>4-</w:t>
            </w:r>
            <w:r>
              <w:rPr>
                <w:rFonts w:hint="eastAsia"/>
                <w:b/>
                <w:bCs/>
                <w:color w:val="auto"/>
                <w:sz w:val="24"/>
                <w:szCs w:val="24"/>
                <w:lang w:val="en-US" w:eastAsia="zh-CN"/>
              </w:rPr>
              <w:t>29</w:t>
            </w:r>
            <w:r>
              <w:rPr>
                <w:rFonts w:hint="default" w:eastAsia="宋体"/>
                <w:b/>
                <w:bCs/>
                <w:color w:val="auto"/>
                <w:sz w:val="24"/>
                <w:szCs w:val="24"/>
                <w:lang w:val="en-US" w:eastAsia="zh-CN"/>
              </w:rPr>
              <w:t xml:space="preserve">  </w:t>
            </w:r>
            <w:r>
              <w:rPr>
                <w:rFonts w:hint="eastAsia" w:eastAsia="宋体"/>
                <w:b/>
                <w:bCs/>
                <w:color w:val="auto"/>
                <w:sz w:val="24"/>
                <w:szCs w:val="24"/>
                <w:lang w:val="en-US" w:eastAsia="zh-CN"/>
              </w:rPr>
              <w:t>固体废物汇总表</w:t>
            </w:r>
          </w:p>
          <w:tbl>
            <w:tblPr>
              <w:tblStyle w:val="30"/>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3"/>
              <w:gridCol w:w="659"/>
              <w:gridCol w:w="1233"/>
              <w:gridCol w:w="284"/>
              <w:gridCol w:w="770"/>
              <w:gridCol w:w="516"/>
              <w:gridCol w:w="440"/>
              <w:gridCol w:w="734"/>
              <w:gridCol w:w="1043"/>
              <w:gridCol w:w="585"/>
              <w:gridCol w:w="530"/>
              <w:gridCol w:w="512"/>
              <w:gridCol w:w="535"/>
            </w:tblGrid>
            <w:tr w14:paraId="059C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vAlign w:val="center"/>
                </w:tcPr>
                <w:p w14:paraId="265CB7E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b/>
                      <w:bCs/>
                      <w:sz w:val="21"/>
                      <w:szCs w:val="21"/>
                      <w:lang w:eastAsia="zh-CN"/>
                    </w:rPr>
                  </w:pPr>
                  <w:r>
                    <w:rPr>
                      <w:rFonts w:hint="eastAsia" w:cs="宋体"/>
                      <w:b/>
                      <w:bCs/>
                      <w:sz w:val="21"/>
                      <w:szCs w:val="21"/>
                      <w:lang w:val="en-US" w:eastAsia="zh-CN"/>
                    </w:rPr>
                    <w:t>编号</w:t>
                  </w:r>
                </w:p>
              </w:tc>
              <w:tc>
                <w:tcPr>
                  <w:tcW w:w="659" w:type="dxa"/>
                  <w:tcBorders>
                    <w:top w:val="single" w:color="000000" w:sz="6" w:space="0"/>
                    <w:left w:val="single" w:color="000000" w:sz="6" w:space="0"/>
                    <w:bottom w:val="single" w:color="000000" w:sz="6" w:space="0"/>
                    <w:right w:val="single" w:color="000000" w:sz="6" w:space="0"/>
                  </w:tcBorders>
                  <w:vAlign w:val="center"/>
                </w:tcPr>
                <w:p w14:paraId="174FF4B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b/>
                      <w:bCs/>
                      <w:sz w:val="21"/>
                      <w:szCs w:val="21"/>
                      <w:lang w:eastAsia="zh-CN"/>
                    </w:rPr>
                  </w:pPr>
                  <w:r>
                    <w:rPr>
                      <w:rFonts w:hint="eastAsia" w:cs="宋体"/>
                      <w:b/>
                      <w:bCs/>
                      <w:sz w:val="21"/>
                      <w:szCs w:val="21"/>
                      <w:lang w:val="en-US" w:eastAsia="zh-CN"/>
                    </w:rPr>
                    <w:t>产生源</w:t>
                  </w:r>
                </w:p>
              </w:tc>
              <w:tc>
                <w:tcPr>
                  <w:tcW w:w="1233" w:type="dxa"/>
                  <w:tcBorders>
                    <w:top w:val="single" w:color="000000" w:sz="6" w:space="0"/>
                    <w:left w:val="single" w:color="000000" w:sz="6" w:space="0"/>
                    <w:bottom w:val="single" w:color="000000" w:sz="6" w:space="0"/>
                    <w:right w:val="single" w:color="000000" w:sz="6" w:space="0"/>
                  </w:tcBorders>
                  <w:vAlign w:val="center"/>
                </w:tcPr>
                <w:p w14:paraId="4A5CD23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b/>
                      <w:bCs/>
                      <w:sz w:val="21"/>
                      <w:szCs w:val="21"/>
                      <w:lang w:eastAsia="zh-CN"/>
                    </w:rPr>
                  </w:pPr>
                  <w:r>
                    <w:rPr>
                      <w:rFonts w:hint="eastAsia" w:cs="宋体"/>
                      <w:b/>
                      <w:bCs/>
                      <w:sz w:val="21"/>
                      <w:szCs w:val="21"/>
                      <w:lang w:val="en-US" w:eastAsia="zh-CN"/>
                    </w:rPr>
                    <w:t>固废名称</w:t>
                  </w:r>
                </w:p>
              </w:tc>
              <w:tc>
                <w:tcPr>
                  <w:tcW w:w="284" w:type="dxa"/>
                  <w:tcBorders>
                    <w:top w:val="single" w:color="000000" w:sz="6" w:space="0"/>
                    <w:left w:val="single" w:color="000000" w:sz="6" w:space="0"/>
                    <w:bottom w:val="single" w:color="000000" w:sz="6" w:space="0"/>
                    <w:right w:val="single" w:color="000000" w:sz="6" w:space="0"/>
                  </w:tcBorders>
                  <w:vAlign w:val="center"/>
                </w:tcPr>
                <w:p w14:paraId="1CA1573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b/>
                      <w:bCs/>
                      <w:sz w:val="21"/>
                      <w:szCs w:val="21"/>
                      <w:lang w:eastAsia="zh-CN"/>
                    </w:rPr>
                  </w:pPr>
                  <w:r>
                    <w:rPr>
                      <w:rFonts w:hint="eastAsia" w:cs="宋体"/>
                      <w:b/>
                      <w:bCs/>
                      <w:sz w:val="21"/>
                      <w:szCs w:val="21"/>
                      <w:lang w:val="en-US" w:eastAsia="zh-CN"/>
                    </w:rPr>
                    <w:t>属性</w:t>
                  </w:r>
                </w:p>
              </w:tc>
              <w:tc>
                <w:tcPr>
                  <w:tcW w:w="770" w:type="dxa"/>
                  <w:tcBorders>
                    <w:top w:val="single" w:color="000000" w:sz="6" w:space="0"/>
                    <w:left w:val="single" w:color="000000" w:sz="6" w:space="0"/>
                    <w:bottom w:val="single" w:color="000000" w:sz="6" w:space="0"/>
                    <w:right w:val="single" w:color="000000" w:sz="6" w:space="0"/>
                  </w:tcBorders>
                  <w:vAlign w:val="center"/>
                </w:tcPr>
                <w:p w14:paraId="3093AB8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b/>
                      <w:bCs/>
                      <w:sz w:val="21"/>
                      <w:szCs w:val="21"/>
                      <w:lang w:eastAsia="zh-CN"/>
                    </w:rPr>
                  </w:pPr>
                  <w:r>
                    <w:rPr>
                      <w:rFonts w:hint="eastAsia" w:cs="宋体"/>
                      <w:b/>
                      <w:bCs/>
                      <w:sz w:val="21"/>
                      <w:szCs w:val="21"/>
                      <w:lang w:val="en-US" w:eastAsia="zh-CN"/>
                    </w:rPr>
                    <w:t>类别及编码</w:t>
                  </w:r>
                </w:p>
              </w:tc>
              <w:tc>
                <w:tcPr>
                  <w:tcW w:w="516" w:type="dxa"/>
                  <w:tcBorders>
                    <w:top w:val="single" w:color="000000" w:sz="6" w:space="0"/>
                    <w:left w:val="single" w:color="000000" w:sz="6" w:space="0"/>
                    <w:bottom w:val="single" w:color="000000" w:sz="6" w:space="0"/>
                    <w:right w:val="single" w:color="000000" w:sz="6" w:space="0"/>
                  </w:tcBorders>
                  <w:vAlign w:val="center"/>
                </w:tcPr>
                <w:p w14:paraId="62E452A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b/>
                      <w:bCs/>
                      <w:sz w:val="21"/>
                      <w:szCs w:val="21"/>
                      <w:lang w:eastAsia="zh-CN"/>
                    </w:rPr>
                  </w:pPr>
                  <w:r>
                    <w:rPr>
                      <w:rFonts w:hint="eastAsia" w:cs="宋体"/>
                      <w:b/>
                      <w:bCs/>
                      <w:sz w:val="21"/>
                      <w:szCs w:val="21"/>
                      <w:lang w:val="en-US" w:eastAsia="zh-CN"/>
                    </w:rPr>
                    <w:t>物理性状</w:t>
                  </w:r>
                </w:p>
              </w:tc>
              <w:tc>
                <w:tcPr>
                  <w:tcW w:w="440" w:type="dxa"/>
                  <w:tcBorders>
                    <w:top w:val="single" w:color="000000" w:sz="6" w:space="0"/>
                    <w:left w:val="single" w:color="000000" w:sz="6" w:space="0"/>
                    <w:bottom w:val="single" w:color="000000" w:sz="6" w:space="0"/>
                    <w:right w:val="single" w:color="000000" w:sz="6" w:space="0"/>
                  </w:tcBorders>
                  <w:vAlign w:val="center"/>
                </w:tcPr>
                <w:p w14:paraId="0CD346E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b/>
                      <w:bCs/>
                      <w:sz w:val="21"/>
                      <w:szCs w:val="21"/>
                      <w:lang w:eastAsia="zh-CN"/>
                    </w:rPr>
                  </w:pPr>
                  <w:r>
                    <w:rPr>
                      <w:rFonts w:hint="eastAsia" w:cs="宋体"/>
                      <w:b/>
                      <w:bCs/>
                      <w:sz w:val="21"/>
                      <w:szCs w:val="21"/>
                      <w:lang w:val="en-US" w:eastAsia="zh-CN"/>
                    </w:rPr>
                    <w:t>环境危险特性</w:t>
                  </w:r>
                </w:p>
              </w:tc>
              <w:tc>
                <w:tcPr>
                  <w:tcW w:w="734" w:type="dxa"/>
                  <w:tcBorders>
                    <w:top w:val="single" w:color="000000" w:sz="6" w:space="0"/>
                    <w:left w:val="single" w:color="000000" w:sz="6" w:space="0"/>
                    <w:bottom w:val="single" w:color="000000" w:sz="6" w:space="0"/>
                    <w:right w:val="single" w:color="000000" w:sz="6" w:space="0"/>
                  </w:tcBorders>
                  <w:vAlign w:val="center"/>
                </w:tcPr>
                <w:p w14:paraId="299C175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default" w:eastAsia="宋体" w:cs="宋体"/>
                      <w:b/>
                      <w:bCs/>
                      <w:sz w:val="21"/>
                      <w:szCs w:val="21"/>
                      <w:lang w:val="en-US" w:eastAsia="zh-CN"/>
                    </w:rPr>
                  </w:pPr>
                  <w:r>
                    <w:rPr>
                      <w:rFonts w:hint="eastAsia" w:cs="宋体"/>
                      <w:b/>
                      <w:bCs/>
                      <w:sz w:val="21"/>
                      <w:szCs w:val="21"/>
                      <w:lang w:val="en-US" w:eastAsia="zh-CN"/>
                    </w:rPr>
                    <w:t>产生量t/a</w:t>
                  </w:r>
                </w:p>
              </w:tc>
              <w:tc>
                <w:tcPr>
                  <w:tcW w:w="1043" w:type="dxa"/>
                  <w:tcBorders>
                    <w:top w:val="single" w:color="000000" w:sz="6" w:space="0"/>
                    <w:left w:val="single" w:color="000000" w:sz="6" w:space="0"/>
                    <w:bottom w:val="single" w:color="000000" w:sz="6" w:space="0"/>
                    <w:right w:val="single" w:color="000000" w:sz="6" w:space="0"/>
                  </w:tcBorders>
                  <w:vAlign w:val="center"/>
                </w:tcPr>
                <w:p w14:paraId="24A1FCD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cs="宋体"/>
                      <w:b/>
                      <w:bCs/>
                      <w:sz w:val="21"/>
                      <w:szCs w:val="21"/>
                      <w:lang w:val="en-US" w:eastAsia="zh-CN"/>
                    </w:rPr>
                  </w:pPr>
                  <w:r>
                    <w:rPr>
                      <w:rFonts w:hint="eastAsia" w:cs="宋体"/>
                      <w:b/>
                      <w:bCs/>
                      <w:sz w:val="21"/>
                      <w:szCs w:val="21"/>
                      <w:lang w:val="en-US" w:eastAsia="zh-CN"/>
                    </w:rPr>
                    <w:t>贮存方式</w:t>
                  </w:r>
                </w:p>
              </w:tc>
              <w:tc>
                <w:tcPr>
                  <w:tcW w:w="585" w:type="dxa"/>
                  <w:tcBorders>
                    <w:top w:val="single" w:color="000000" w:sz="6" w:space="0"/>
                    <w:left w:val="single" w:color="000000" w:sz="6" w:space="0"/>
                    <w:bottom w:val="single" w:color="000000" w:sz="6" w:space="0"/>
                    <w:right w:val="single" w:color="000000" w:sz="6" w:space="0"/>
                  </w:tcBorders>
                  <w:vAlign w:val="center"/>
                </w:tcPr>
                <w:p w14:paraId="60E7133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cs="宋体"/>
                      <w:b/>
                      <w:bCs/>
                      <w:sz w:val="21"/>
                      <w:szCs w:val="21"/>
                      <w:lang w:val="en-US" w:eastAsia="zh-CN"/>
                    </w:rPr>
                  </w:pPr>
                  <w:r>
                    <w:rPr>
                      <w:rFonts w:hint="eastAsia" w:cs="宋体"/>
                      <w:b/>
                      <w:bCs/>
                      <w:sz w:val="21"/>
                      <w:szCs w:val="21"/>
                      <w:lang w:val="en-US" w:eastAsia="zh-CN"/>
                    </w:rPr>
                    <w:t>利用处置方式</w:t>
                  </w:r>
                </w:p>
              </w:tc>
              <w:tc>
                <w:tcPr>
                  <w:tcW w:w="530" w:type="dxa"/>
                  <w:tcBorders>
                    <w:top w:val="single" w:color="000000" w:sz="6" w:space="0"/>
                    <w:left w:val="single" w:color="000000" w:sz="6" w:space="0"/>
                    <w:bottom w:val="single" w:color="000000" w:sz="6" w:space="0"/>
                    <w:right w:val="single" w:color="000000" w:sz="6" w:space="0"/>
                  </w:tcBorders>
                  <w:vAlign w:val="center"/>
                </w:tcPr>
                <w:p w14:paraId="5D809DC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eastAsia="宋体" w:cs="宋体"/>
                      <w:b/>
                      <w:bCs/>
                      <w:sz w:val="21"/>
                      <w:szCs w:val="21"/>
                      <w:lang w:val="en-US" w:eastAsia="zh-CN"/>
                    </w:rPr>
                  </w:pPr>
                  <w:r>
                    <w:rPr>
                      <w:rFonts w:hint="eastAsia" w:cs="宋体"/>
                      <w:b/>
                      <w:bCs/>
                      <w:sz w:val="21"/>
                      <w:szCs w:val="21"/>
                      <w:lang w:val="en-US" w:eastAsia="zh-CN"/>
                    </w:rPr>
                    <w:t>去向</w:t>
                  </w:r>
                </w:p>
              </w:tc>
              <w:tc>
                <w:tcPr>
                  <w:tcW w:w="512" w:type="dxa"/>
                  <w:tcBorders>
                    <w:top w:val="single" w:color="000000" w:sz="6" w:space="0"/>
                    <w:left w:val="single" w:color="000000" w:sz="6" w:space="0"/>
                    <w:bottom w:val="single" w:color="000000" w:sz="6" w:space="0"/>
                    <w:right w:val="single" w:color="000000" w:sz="6" w:space="0"/>
                  </w:tcBorders>
                  <w:vAlign w:val="center"/>
                </w:tcPr>
                <w:p w14:paraId="1948889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default" w:eastAsia="宋体" w:cs="宋体"/>
                      <w:b/>
                      <w:bCs/>
                      <w:sz w:val="21"/>
                      <w:szCs w:val="21"/>
                      <w:lang w:val="en-US" w:eastAsia="zh-CN"/>
                    </w:rPr>
                  </w:pPr>
                  <w:r>
                    <w:rPr>
                      <w:rFonts w:hint="eastAsia" w:cs="宋体"/>
                      <w:b/>
                      <w:bCs/>
                      <w:sz w:val="21"/>
                      <w:szCs w:val="21"/>
                      <w:lang w:val="en-US" w:eastAsia="zh-CN"/>
                    </w:rPr>
                    <w:t>利用量t/a</w:t>
                  </w:r>
                </w:p>
              </w:tc>
              <w:tc>
                <w:tcPr>
                  <w:tcW w:w="535" w:type="dxa"/>
                  <w:tcBorders>
                    <w:top w:val="single" w:color="000000" w:sz="6" w:space="0"/>
                    <w:left w:val="single" w:color="000000" w:sz="6" w:space="0"/>
                    <w:bottom w:val="single" w:color="000000" w:sz="6" w:space="0"/>
                    <w:right w:val="single" w:color="000000" w:sz="6" w:space="0"/>
                  </w:tcBorders>
                  <w:vAlign w:val="center"/>
                </w:tcPr>
                <w:p w14:paraId="75DB1A1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right="0"/>
                    <w:jc w:val="center"/>
                    <w:textAlignment w:val="auto"/>
                    <w:rPr>
                      <w:rFonts w:hint="eastAsia" w:cs="宋体"/>
                      <w:b/>
                      <w:bCs/>
                      <w:sz w:val="21"/>
                      <w:szCs w:val="21"/>
                    </w:rPr>
                  </w:pPr>
                  <w:r>
                    <w:rPr>
                      <w:rFonts w:hint="eastAsia" w:cs="宋体"/>
                      <w:b/>
                      <w:bCs/>
                      <w:sz w:val="21"/>
                      <w:szCs w:val="21"/>
                      <w:lang w:val="en-US" w:eastAsia="zh-CN"/>
                    </w:rPr>
                    <w:t>处置量t/a</w:t>
                  </w:r>
                </w:p>
              </w:tc>
            </w:tr>
            <w:tr w14:paraId="1DB1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0A6D9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rPr>
                    <w:t>1</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15AFF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lang w:val="en-US" w:eastAsia="zh-CN"/>
                    </w:rPr>
                    <w:t>办公生活</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DCE14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rPr>
                    <w:t>生活垃圾</w:t>
                  </w:r>
                </w:p>
              </w:tc>
              <w:tc>
                <w:tcPr>
                  <w:tcW w:w="284" w:type="dxa"/>
                  <w:tcBorders>
                    <w:left w:val="single" w:color="000000" w:sz="6" w:space="0"/>
                    <w:right w:val="single" w:color="000000" w:sz="6" w:space="0"/>
                  </w:tcBorders>
                  <w:shd w:val="clear" w:color="auto" w:fill="auto"/>
                  <w:vAlign w:val="center"/>
                </w:tcPr>
                <w:p w14:paraId="2BEC903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生活垃圾</w:t>
                  </w: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E504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sz w:val="21"/>
                      <w:szCs w:val="21"/>
                    </w:rPr>
                    <w:t>/</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B1757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40290BC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34" w:type="dxa"/>
                  <w:tcBorders>
                    <w:left w:val="single" w:color="000000" w:sz="6" w:space="0"/>
                    <w:right w:val="single" w:color="000000" w:sz="6" w:space="0"/>
                  </w:tcBorders>
                  <w:shd w:val="clear" w:color="auto" w:fill="auto"/>
                  <w:vAlign w:val="center"/>
                </w:tcPr>
                <w:p w14:paraId="30A8EEB7">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10.95</w:t>
                  </w:r>
                </w:p>
              </w:tc>
              <w:tc>
                <w:tcPr>
                  <w:tcW w:w="1043" w:type="dxa"/>
                  <w:tcBorders>
                    <w:left w:val="single" w:color="000000" w:sz="6" w:space="0"/>
                    <w:right w:val="single" w:color="000000" w:sz="6" w:space="0"/>
                  </w:tcBorders>
                  <w:shd w:val="clear" w:color="auto" w:fill="auto"/>
                  <w:vAlign w:val="center"/>
                </w:tcPr>
                <w:p w14:paraId="1778AE8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eastAsia" w:cs="宋体"/>
                      <w:sz w:val="21"/>
                      <w:szCs w:val="21"/>
                      <w:lang w:val="en-US" w:eastAsia="zh-CN"/>
                    </w:rPr>
                    <w:t>暂存于生活垃圾桶</w:t>
                  </w:r>
                </w:p>
              </w:tc>
              <w:tc>
                <w:tcPr>
                  <w:tcW w:w="585" w:type="dxa"/>
                  <w:tcBorders>
                    <w:left w:val="single" w:color="000000" w:sz="6" w:space="0"/>
                    <w:right w:val="single" w:color="000000" w:sz="6" w:space="0"/>
                  </w:tcBorders>
                  <w:shd w:val="clear" w:color="auto" w:fill="auto"/>
                  <w:vAlign w:val="center"/>
                </w:tcPr>
                <w:p w14:paraId="02480CA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eastAsia="宋体"/>
                      <w:sz w:val="21"/>
                      <w:szCs w:val="21"/>
                      <w:lang w:val="en-US" w:eastAsia="zh-CN"/>
                    </w:rPr>
                    <w:t>委托处置</w:t>
                  </w:r>
                </w:p>
              </w:tc>
              <w:tc>
                <w:tcPr>
                  <w:tcW w:w="530" w:type="dxa"/>
                  <w:tcBorders>
                    <w:left w:val="single" w:color="000000" w:sz="6" w:space="0"/>
                    <w:right w:val="single" w:color="000000" w:sz="6" w:space="0"/>
                  </w:tcBorders>
                  <w:shd w:val="clear" w:color="auto" w:fill="auto"/>
                  <w:vAlign w:val="center"/>
                </w:tcPr>
                <w:p w14:paraId="11FA5B4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rPr>
                    <w:t>环卫部门统一清运处理</w:t>
                  </w:r>
                </w:p>
              </w:tc>
              <w:tc>
                <w:tcPr>
                  <w:tcW w:w="512" w:type="dxa"/>
                  <w:tcBorders>
                    <w:left w:val="single" w:color="000000" w:sz="6" w:space="0"/>
                    <w:right w:val="single" w:color="000000" w:sz="6" w:space="0"/>
                  </w:tcBorders>
                  <w:shd w:val="clear" w:color="auto" w:fill="auto"/>
                  <w:vAlign w:val="center"/>
                </w:tcPr>
                <w:p w14:paraId="46DBE88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lang w:val="en-US" w:eastAsia="zh-CN"/>
                    </w:rPr>
                    <w:t>0</w:t>
                  </w:r>
                </w:p>
              </w:tc>
              <w:tc>
                <w:tcPr>
                  <w:tcW w:w="535" w:type="dxa"/>
                  <w:tcBorders>
                    <w:left w:val="single" w:color="000000" w:sz="6" w:space="0"/>
                    <w:right w:val="single" w:color="000000" w:sz="6" w:space="0"/>
                  </w:tcBorders>
                  <w:shd w:val="clear" w:color="auto" w:fill="auto"/>
                  <w:vAlign w:val="center"/>
                </w:tcPr>
                <w:p w14:paraId="2DF87766">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default" w:ascii="Times New Roman" w:hAnsi="Times New Roman" w:eastAsia="宋体" w:cs="Times New Roman"/>
                      <w:sz w:val="21"/>
                      <w:szCs w:val="21"/>
                      <w:lang w:val="en-US" w:eastAsia="zh-CN"/>
                    </w:rPr>
                    <w:t>10.95</w:t>
                  </w:r>
                </w:p>
              </w:tc>
            </w:tr>
            <w:tr w14:paraId="0929E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EECA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rPr>
                    <w:t>2</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39417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生产过程</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22AB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eastAsia="zh-CN"/>
                    </w:rPr>
                    <w:t>废包装</w:t>
                  </w:r>
                  <w:r>
                    <w:rPr>
                      <w:rFonts w:hint="default"/>
                      <w:sz w:val="21"/>
                      <w:szCs w:val="21"/>
                      <w:lang w:val="en-US" w:eastAsia="zh-CN"/>
                    </w:rPr>
                    <w:t>材料</w:t>
                  </w:r>
                </w:p>
              </w:tc>
              <w:tc>
                <w:tcPr>
                  <w:tcW w:w="284" w:type="dxa"/>
                  <w:vMerge w:val="restart"/>
                  <w:tcBorders>
                    <w:left w:val="single" w:color="000000" w:sz="6" w:space="0"/>
                    <w:right w:val="single" w:color="000000" w:sz="6" w:space="0"/>
                  </w:tcBorders>
                  <w:shd w:val="clear" w:color="auto" w:fill="auto"/>
                  <w:vAlign w:val="center"/>
                </w:tcPr>
                <w:p w14:paraId="3C82121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一般工业固体废物</w:t>
                  </w: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EAC7D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sz w:val="21"/>
                      <w:szCs w:val="21"/>
                      <w:lang w:val="en-US" w:eastAsia="zh-CN"/>
                    </w:rPr>
                    <w:t>900-999-99</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0A54C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2745C13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w:t>
                  </w:r>
                </w:p>
              </w:tc>
              <w:tc>
                <w:tcPr>
                  <w:tcW w:w="734" w:type="dxa"/>
                  <w:tcBorders>
                    <w:left w:val="single" w:color="000000" w:sz="6" w:space="0"/>
                    <w:right w:val="single" w:color="000000" w:sz="6" w:space="0"/>
                  </w:tcBorders>
                  <w:shd w:val="clear" w:color="auto" w:fill="auto"/>
                  <w:vAlign w:val="center"/>
                </w:tcPr>
                <w:p w14:paraId="0715C961">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0.35</w:t>
                  </w:r>
                </w:p>
              </w:tc>
              <w:tc>
                <w:tcPr>
                  <w:tcW w:w="1043" w:type="dxa"/>
                  <w:tcBorders>
                    <w:left w:val="single" w:color="000000" w:sz="6" w:space="0"/>
                    <w:right w:val="single" w:color="000000" w:sz="6" w:space="0"/>
                  </w:tcBorders>
                  <w:shd w:val="clear" w:color="auto" w:fill="auto"/>
                  <w:vAlign w:val="center"/>
                </w:tcPr>
                <w:p w14:paraId="7BDB27F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暂存于一般工业固体废物暂存场所</w:t>
                  </w:r>
                </w:p>
              </w:tc>
              <w:tc>
                <w:tcPr>
                  <w:tcW w:w="585" w:type="dxa"/>
                  <w:tcBorders>
                    <w:left w:val="single" w:color="000000" w:sz="6" w:space="0"/>
                    <w:right w:val="single" w:color="000000" w:sz="6" w:space="0"/>
                  </w:tcBorders>
                  <w:shd w:val="clear" w:color="auto" w:fill="auto"/>
                  <w:vAlign w:val="center"/>
                </w:tcPr>
                <w:p w14:paraId="0856916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委托处置</w:t>
                  </w:r>
                </w:p>
              </w:tc>
              <w:tc>
                <w:tcPr>
                  <w:tcW w:w="530" w:type="dxa"/>
                  <w:tcBorders>
                    <w:left w:val="single" w:color="000000" w:sz="6" w:space="0"/>
                    <w:right w:val="single" w:color="000000" w:sz="6" w:space="0"/>
                  </w:tcBorders>
                  <w:shd w:val="clear" w:color="auto" w:fill="auto"/>
                  <w:vAlign w:val="center"/>
                </w:tcPr>
                <w:p w14:paraId="22FF1BE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外售</w:t>
                  </w:r>
                </w:p>
              </w:tc>
              <w:tc>
                <w:tcPr>
                  <w:tcW w:w="512" w:type="dxa"/>
                  <w:tcBorders>
                    <w:left w:val="single" w:color="000000" w:sz="6" w:space="0"/>
                    <w:right w:val="single" w:color="000000" w:sz="6" w:space="0"/>
                  </w:tcBorders>
                  <w:shd w:val="clear" w:color="auto" w:fill="auto"/>
                  <w:vAlign w:val="center"/>
                </w:tcPr>
                <w:p w14:paraId="1FF217D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lang w:val="en-US" w:eastAsia="zh-CN"/>
                    </w:rPr>
                    <w:t>0</w:t>
                  </w:r>
                </w:p>
              </w:tc>
              <w:tc>
                <w:tcPr>
                  <w:tcW w:w="535" w:type="dxa"/>
                  <w:tcBorders>
                    <w:left w:val="single" w:color="000000" w:sz="6" w:space="0"/>
                    <w:right w:val="single" w:color="000000" w:sz="6" w:space="0"/>
                  </w:tcBorders>
                  <w:shd w:val="clear" w:color="auto" w:fill="auto"/>
                  <w:vAlign w:val="center"/>
                </w:tcPr>
                <w:p w14:paraId="786F891F">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0.35</w:t>
                  </w:r>
                </w:p>
              </w:tc>
            </w:tr>
            <w:tr w14:paraId="037B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011C7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rPr>
                    <w:t>3</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B6E09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生产过程</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0417E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default"/>
                      <w:sz w:val="21"/>
                      <w:szCs w:val="21"/>
                      <w:lang w:val="en-US" w:eastAsia="zh-CN"/>
                    </w:rPr>
                    <w:t>玻璃废边角料、不合格产品</w:t>
                  </w:r>
                </w:p>
              </w:tc>
              <w:tc>
                <w:tcPr>
                  <w:tcW w:w="284" w:type="dxa"/>
                  <w:vMerge w:val="continue"/>
                  <w:tcBorders>
                    <w:left w:val="single" w:color="000000" w:sz="6" w:space="0"/>
                    <w:right w:val="single" w:color="000000" w:sz="6" w:space="0"/>
                  </w:tcBorders>
                  <w:shd w:val="clear" w:color="auto" w:fill="auto"/>
                  <w:vAlign w:val="center"/>
                </w:tcPr>
                <w:p w14:paraId="61E78CE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32BA7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305-003-08</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D2D7F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4750552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w:t>
                  </w:r>
                </w:p>
              </w:tc>
              <w:tc>
                <w:tcPr>
                  <w:tcW w:w="734" w:type="dxa"/>
                  <w:tcBorders>
                    <w:left w:val="single" w:color="000000" w:sz="6" w:space="0"/>
                    <w:right w:val="single" w:color="000000" w:sz="6" w:space="0"/>
                  </w:tcBorders>
                  <w:shd w:val="clear" w:color="auto" w:fill="auto"/>
                  <w:vAlign w:val="center"/>
                </w:tcPr>
                <w:p w14:paraId="2515477D">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99.6</w:t>
                  </w:r>
                </w:p>
              </w:tc>
              <w:tc>
                <w:tcPr>
                  <w:tcW w:w="1043" w:type="dxa"/>
                  <w:tcBorders>
                    <w:left w:val="single" w:color="000000" w:sz="6" w:space="0"/>
                    <w:right w:val="single" w:color="000000" w:sz="6" w:space="0"/>
                  </w:tcBorders>
                  <w:shd w:val="clear" w:color="auto" w:fill="auto"/>
                  <w:vAlign w:val="center"/>
                </w:tcPr>
                <w:p w14:paraId="573A091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暂存于一般工业固体废物暂存场所</w:t>
                  </w:r>
                </w:p>
              </w:tc>
              <w:tc>
                <w:tcPr>
                  <w:tcW w:w="585" w:type="dxa"/>
                  <w:tcBorders>
                    <w:left w:val="single" w:color="000000" w:sz="6" w:space="0"/>
                    <w:right w:val="single" w:color="000000" w:sz="6" w:space="0"/>
                  </w:tcBorders>
                  <w:shd w:val="clear" w:color="auto" w:fill="auto"/>
                  <w:vAlign w:val="center"/>
                </w:tcPr>
                <w:p w14:paraId="3D068BB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自行利用</w:t>
                  </w:r>
                </w:p>
              </w:tc>
              <w:tc>
                <w:tcPr>
                  <w:tcW w:w="530" w:type="dxa"/>
                  <w:tcBorders>
                    <w:left w:val="single" w:color="000000" w:sz="6" w:space="0"/>
                    <w:right w:val="single" w:color="000000" w:sz="6" w:space="0"/>
                  </w:tcBorders>
                  <w:shd w:val="clear" w:color="auto" w:fill="auto"/>
                  <w:vAlign w:val="center"/>
                </w:tcPr>
                <w:p w14:paraId="55DFE53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回用于生产线</w:t>
                  </w:r>
                </w:p>
              </w:tc>
              <w:tc>
                <w:tcPr>
                  <w:tcW w:w="512" w:type="dxa"/>
                  <w:tcBorders>
                    <w:left w:val="single" w:color="000000" w:sz="6" w:space="0"/>
                    <w:right w:val="single" w:color="000000" w:sz="6" w:space="0"/>
                  </w:tcBorders>
                  <w:shd w:val="clear" w:color="auto" w:fill="auto"/>
                  <w:vAlign w:val="center"/>
                </w:tcPr>
                <w:p w14:paraId="07D20BB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99.6</w:t>
                  </w:r>
                </w:p>
              </w:tc>
              <w:tc>
                <w:tcPr>
                  <w:tcW w:w="535" w:type="dxa"/>
                  <w:tcBorders>
                    <w:left w:val="single" w:color="000000" w:sz="6" w:space="0"/>
                    <w:right w:val="single" w:color="000000" w:sz="6" w:space="0"/>
                  </w:tcBorders>
                  <w:shd w:val="clear" w:color="auto" w:fill="auto"/>
                  <w:vAlign w:val="center"/>
                </w:tcPr>
                <w:p w14:paraId="647B60E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99.6</w:t>
                  </w:r>
                </w:p>
              </w:tc>
            </w:tr>
            <w:tr w14:paraId="463F8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CBD0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4</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44868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sz w:val="21"/>
                      <w:szCs w:val="21"/>
                      <w:lang w:val="en-US" w:eastAsia="zh-CN"/>
                    </w:rPr>
                    <w:t>生产过程</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DFA2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lang w:val="en-US" w:eastAsia="zh-CN"/>
                    </w:rPr>
                    <w:t>纯水制备产生的废过滤材料</w:t>
                  </w:r>
                </w:p>
              </w:tc>
              <w:tc>
                <w:tcPr>
                  <w:tcW w:w="284" w:type="dxa"/>
                  <w:vMerge w:val="continue"/>
                  <w:tcBorders>
                    <w:left w:val="single" w:color="000000" w:sz="6" w:space="0"/>
                    <w:right w:val="single" w:color="000000" w:sz="6" w:space="0"/>
                  </w:tcBorders>
                  <w:shd w:val="clear" w:color="auto" w:fill="auto"/>
                  <w:vAlign w:val="center"/>
                </w:tcPr>
                <w:p w14:paraId="580A0A7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052A3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eastAsia" w:cs="宋体"/>
                      <w:sz w:val="21"/>
                      <w:szCs w:val="21"/>
                      <w:lang w:val="en-US" w:eastAsia="zh-CN"/>
                    </w:rPr>
                    <w:t>900-039-S59</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37AE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19DFD16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w:t>
                  </w:r>
                </w:p>
              </w:tc>
              <w:tc>
                <w:tcPr>
                  <w:tcW w:w="734" w:type="dxa"/>
                  <w:tcBorders>
                    <w:left w:val="single" w:color="000000" w:sz="6" w:space="0"/>
                    <w:right w:val="single" w:color="000000" w:sz="6" w:space="0"/>
                  </w:tcBorders>
                  <w:shd w:val="clear" w:color="auto" w:fill="auto"/>
                  <w:vAlign w:val="center"/>
                </w:tcPr>
                <w:p w14:paraId="620C8F1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0.012</w:t>
                  </w:r>
                </w:p>
              </w:tc>
              <w:tc>
                <w:tcPr>
                  <w:tcW w:w="1043" w:type="dxa"/>
                  <w:tcBorders>
                    <w:left w:val="single" w:color="000000" w:sz="6" w:space="0"/>
                    <w:right w:val="single" w:color="000000" w:sz="6" w:space="0"/>
                  </w:tcBorders>
                  <w:shd w:val="clear" w:color="auto" w:fill="auto"/>
                  <w:vAlign w:val="center"/>
                </w:tcPr>
                <w:p w14:paraId="3CE4907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暂存于一般工业固体废物暂存场所</w:t>
                  </w:r>
                </w:p>
              </w:tc>
              <w:tc>
                <w:tcPr>
                  <w:tcW w:w="585" w:type="dxa"/>
                  <w:tcBorders>
                    <w:left w:val="single" w:color="000000" w:sz="6" w:space="0"/>
                    <w:right w:val="single" w:color="000000" w:sz="6" w:space="0"/>
                  </w:tcBorders>
                  <w:shd w:val="clear" w:color="auto" w:fill="auto"/>
                  <w:vAlign w:val="center"/>
                </w:tcPr>
                <w:p w14:paraId="7AD91FC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委托处置</w:t>
                  </w:r>
                </w:p>
              </w:tc>
              <w:tc>
                <w:tcPr>
                  <w:tcW w:w="530" w:type="dxa"/>
                  <w:tcBorders>
                    <w:left w:val="single" w:color="000000" w:sz="6" w:space="0"/>
                    <w:right w:val="single" w:color="000000" w:sz="6" w:space="0"/>
                  </w:tcBorders>
                  <w:shd w:val="clear" w:color="auto" w:fill="auto"/>
                  <w:vAlign w:val="center"/>
                </w:tcPr>
                <w:p w14:paraId="6F11C43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厂家回收</w:t>
                  </w:r>
                </w:p>
              </w:tc>
              <w:tc>
                <w:tcPr>
                  <w:tcW w:w="512" w:type="dxa"/>
                  <w:tcBorders>
                    <w:left w:val="single" w:color="000000" w:sz="6" w:space="0"/>
                    <w:right w:val="single" w:color="000000" w:sz="6" w:space="0"/>
                  </w:tcBorders>
                  <w:shd w:val="clear" w:color="auto" w:fill="auto"/>
                  <w:vAlign w:val="center"/>
                </w:tcPr>
                <w:p w14:paraId="6FB51FE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Times New Roman" w:cs="Times New Roman"/>
                      <w:kern w:val="2"/>
                      <w:sz w:val="21"/>
                      <w:szCs w:val="21"/>
                      <w:lang w:val="en-US" w:eastAsia="zh-CN" w:bidi="ar-SA"/>
                    </w:rPr>
                  </w:pPr>
                  <w:r>
                    <w:rPr>
                      <w:rFonts w:hint="eastAsia" w:cs="宋体"/>
                      <w:sz w:val="21"/>
                      <w:szCs w:val="21"/>
                      <w:lang w:val="en-US" w:eastAsia="zh-CN"/>
                    </w:rPr>
                    <w:t>0</w:t>
                  </w:r>
                </w:p>
              </w:tc>
              <w:tc>
                <w:tcPr>
                  <w:tcW w:w="535" w:type="dxa"/>
                  <w:tcBorders>
                    <w:left w:val="single" w:color="000000" w:sz="6" w:space="0"/>
                    <w:right w:val="single" w:color="000000" w:sz="6" w:space="0"/>
                  </w:tcBorders>
                  <w:shd w:val="clear" w:color="auto" w:fill="auto"/>
                  <w:vAlign w:val="center"/>
                </w:tcPr>
                <w:p w14:paraId="3BCF337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0.012</w:t>
                  </w:r>
                </w:p>
              </w:tc>
            </w:tr>
            <w:tr w14:paraId="3C487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E029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5</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6B16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sz w:val="21"/>
                      <w:szCs w:val="21"/>
                      <w:lang w:val="en-US" w:eastAsia="zh-CN"/>
                    </w:rPr>
                    <w:t>生产过程</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72EE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eastAsia="宋体" w:cs="宋体"/>
                      <w:sz w:val="21"/>
                      <w:szCs w:val="21"/>
                      <w:lang w:val="en-US" w:eastAsia="zh-CN"/>
                    </w:rPr>
                    <w:t>除尘器收集的粉尘</w:t>
                  </w:r>
                </w:p>
              </w:tc>
              <w:tc>
                <w:tcPr>
                  <w:tcW w:w="284" w:type="dxa"/>
                  <w:vMerge w:val="continue"/>
                  <w:tcBorders>
                    <w:left w:val="single" w:color="000000" w:sz="6" w:space="0"/>
                    <w:right w:val="single" w:color="000000" w:sz="6" w:space="0"/>
                  </w:tcBorders>
                  <w:shd w:val="clear" w:color="auto" w:fill="auto"/>
                  <w:vAlign w:val="center"/>
                </w:tcPr>
                <w:p w14:paraId="5112167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17B27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eastAsia" w:cs="宋体"/>
                      <w:sz w:val="21"/>
                      <w:szCs w:val="21"/>
                      <w:lang w:val="en-US" w:eastAsia="zh-CN"/>
                    </w:rPr>
                    <w:t>900-999-66</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E1E9F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0E57CDA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w:t>
                  </w:r>
                </w:p>
              </w:tc>
              <w:tc>
                <w:tcPr>
                  <w:tcW w:w="734" w:type="dxa"/>
                  <w:tcBorders>
                    <w:left w:val="single" w:color="000000" w:sz="6" w:space="0"/>
                    <w:right w:val="single" w:color="000000" w:sz="6" w:space="0"/>
                  </w:tcBorders>
                  <w:shd w:val="clear" w:color="auto" w:fill="auto"/>
                  <w:vAlign w:val="center"/>
                </w:tcPr>
                <w:p w14:paraId="68D5638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9.269</w:t>
                  </w:r>
                </w:p>
              </w:tc>
              <w:tc>
                <w:tcPr>
                  <w:tcW w:w="1043" w:type="dxa"/>
                  <w:tcBorders>
                    <w:left w:val="single" w:color="000000" w:sz="6" w:space="0"/>
                    <w:right w:val="single" w:color="000000" w:sz="6" w:space="0"/>
                  </w:tcBorders>
                  <w:shd w:val="clear" w:color="auto" w:fill="auto"/>
                  <w:vAlign w:val="center"/>
                </w:tcPr>
                <w:p w14:paraId="0D2C8C1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暂存于一般工业固体废物暂存场所</w:t>
                  </w:r>
                </w:p>
              </w:tc>
              <w:tc>
                <w:tcPr>
                  <w:tcW w:w="585" w:type="dxa"/>
                  <w:tcBorders>
                    <w:left w:val="single" w:color="000000" w:sz="6" w:space="0"/>
                    <w:right w:val="single" w:color="000000" w:sz="6" w:space="0"/>
                  </w:tcBorders>
                  <w:shd w:val="clear" w:color="auto" w:fill="auto"/>
                  <w:vAlign w:val="center"/>
                </w:tcPr>
                <w:p w14:paraId="032DABF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委托处置</w:t>
                  </w:r>
                </w:p>
              </w:tc>
              <w:tc>
                <w:tcPr>
                  <w:tcW w:w="530" w:type="dxa"/>
                  <w:tcBorders>
                    <w:left w:val="single" w:color="000000" w:sz="6" w:space="0"/>
                    <w:right w:val="single" w:color="000000" w:sz="6" w:space="0"/>
                  </w:tcBorders>
                  <w:shd w:val="clear" w:color="auto" w:fill="auto"/>
                  <w:vAlign w:val="center"/>
                </w:tcPr>
                <w:p w14:paraId="0D4D86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外售</w:t>
                  </w:r>
                </w:p>
              </w:tc>
              <w:tc>
                <w:tcPr>
                  <w:tcW w:w="512" w:type="dxa"/>
                  <w:tcBorders>
                    <w:left w:val="single" w:color="000000" w:sz="6" w:space="0"/>
                    <w:right w:val="single" w:color="000000" w:sz="6" w:space="0"/>
                  </w:tcBorders>
                  <w:shd w:val="clear" w:color="auto" w:fill="auto"/>
                  <w:vAlign w:val="center"/>
                </w:tcPr>
                <w:p w14:paraId="0DFFC3F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Times New Roman" w:cs="Times New Roman"/>
                      <w:kern w:val="2"/>
                      <w:sz w:val="21"/>
                      <w:szCs w:val="21"/>
                      <w:lang w:val="en-US" w:eastAsia="zh-CN" w:bidi="ar-SA"/>
                    </w:rPr>
                  </w:pPr>
                  <w:r>
                    <w:rPr>
                      <w:rFonts w:hint="eastAsia" w:cs="宋体"/>
                      <w:sz w:val="21"/>
                      <w:szCs w:val="21"/>
                      <w:lang w:val="en-US" w:eastAsia="zh-CN"/>
                    </w:rPr>
                    <w:t>0</w:t>
                  </w:r>
                </w:p>
              </w:tc>
              <w:tc>
                <w:tcPr>
                  <w:tcW w:w="535" w:type="dxa"/>
                  <w:tcBorders>
                    <w:left w:val="single" w:color="000000" w:sz="6" w:space="0"/>
                    <w:right w:val="single" w:color="000000" w:sz="6" w:space="0"/>
                  </w:tcBorders>
                  <w:shd w:val="clear" w:color="auto" w:fill="auto"/>
                  <w:vAlign w:val="center"/>
                </w:tcPr>
                <w:p w14:paraId="7E9B660E">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9.269</w:t>
                  </w:r>
                </w:p>
              </w:tc>
            </w:tr>
            <w:tr w14:paraId="43D5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67E52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sz w:val="21"/>
                      <w:szCs w:val="21"/>
                      <w:lang w:val="en-US" w:eastAsia="zh-CN"/>
                    </w:rPr>
                  </w:pPr>
                  <w:r>
                    <w:rPr>
                      <w:rFonts w:hint="eastAsia"/>
                      <w:sz w:val="21"/>
                      <w:szCs w:val="21"/>
                      <w:lang w:val="en-US" w:eastAsia="zh-CN"/>
                    </w:rPr>
                    <w:t>6</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B8556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sz w:val="21"/>
                      <w:szCs w:val="21"/>
                      <w:lang w:val="en-US" w:eastAsia="zh-CN"/>
                    </w:rPr>
                  </w:pPr>
                  <w:r>
                    <w:rPr>
                      <w:rFonts w:hint="eastAsia" w:cs="宋体"/>
                      <w:sz w:val="21"/>
                      <w:szCs w:val="21"/>
                      <w:lang w:val="en-US" w:eastAsia="zh-CN"/>
                    </w:rPr>
                    <w:t>维修</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05ECF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eastAsia="宋体" w:cs="宋体"/>
                      <w:sz w:val="21"/>
                      <w:szCs w:val="21"/>
                      <w:lang w:val="en-US" w:eastAsia="zh-CN"/>
                    </w:rPr>
                  </w:pPr>
                  <w:r>
                    <w:rPr>
                      <w:rFonts w:hint="eastAsia" w:eastAsia="宋体" w:cs="宋体"/>
                      <w:sz w:val="21"/>
                      <w:szCs w:val="21"/>
                      <w:lang w:val="en-US" w:eastAsia="zh-CN"/>
                    </w:rPr>
                    <w:t>停机检修产生的废保温材料</w:t>
                  </w:r>
                </w:p>
              </w:tc>
              <w:tc>
                <w:tcPr>
                  <w:tcW w:w="284" w:type="dxa"/>
                  <w:vMerge w:val="continue"/>
                  <w:tcBorders>
                    <w:left w:val="single" w:color="000000" w:sz="6" w:space="0"/>
                    <w:right w:val="single" w:color="000000" w:sz="6" w:space="0"/>
                  </w:tcBorders>
                  <w:shd w:val="clear" w:color="auto" w:fill="auto"/>
                  <w:vAlign w:val="center"/>
                </w:tcPr>
                <w:p w14:paraId="33D5511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89893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900-099-S59</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9409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cs="宋体"/>
                      <w:sz w:val="21"/>
                      <w:szCs w:val="21"/>
                    </w:rPr>
                  </w:pP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0EC6BE2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eastAsia="宋体"/>
                      <w:sz w:val="21"/>
                      <w:szCs w:val="21"/>
                      <w:lang w:val="en-US" w:eastAsia="zh-CN"/>
                    </w:rPr>
                  </w:pPr>
                  <w:r>
                    <w:rPr>
                      <w:rFonts w:hint="eastAsia"/>
                      <w:sz w:val="21"/>
                      <w:szCs w:val="21"/>
                      <w:lang w:val="en-US" w:eastAsia="zh-CN"/>
                    </w:rPr>
                    <w:t>/</w:t>
                  </w:r>
                </w:p>
              </w:tc>
              <w:tc>
                <w:tcPr>
                  <w:tcW w:w="734" w:type="dxa"/>
                  <w:tcBorders>
                    <w:left w:val="single" w:color="000000" w:sz="6" w:space="0"/>
                    <w:right w:val="single" w:color="000000" w:sz="6" w:space="0"/>
                  </w:tcBorders>
                  <w:shd w:val="clear" w:color="auto" w:fill="auto"/>
                  <w:vAlign w:val="center"/>
                </w:tcPr>
                <w:p w14:paraId="4B8C56C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50t/</w:t>
                  </w:r>
                  <w:r>
                    <w:rPr>
                      <w:rFonts w:hint="eastAsia" w:cs="Times New Roman"/>
                      <w:sz w:val="21"/>
                      <w:szCs w:val="21"/>
                      <w:lang w:val="en-US" w:eastAsia="zh-CN"/>
                    </w:rPr>
                    <w:t>4年</w:t>
                  </w:r>
                </w:p>
              </w:tc>
              <w:tc>
                <w:tcPr>
                  <w:tcW w:w="1043" w:type="dxa"/>
                  <w:tcBorders>
                    <w:left w:val="single" w:color="000000" w:sz="6" w:space="0"/>
                    <w:right w:val="single" w:color="000000" w:sz="6" w:space="0"/>
                  </w:tcBorders>
                  <w:shd w:val="clear" w:color="auto" w:fill="auto"/>
                  <w:vAlign w:val="center"/>
                </w:tcPr>
                <w:p w14:paraId="17450D3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sz w:val="21"/>
                      <w:szCs w:val="21"/>
                      <w:lang w:val="en-US" w:eastAsia="zh-CN"/>
                    </w:rPr>
                  </w:pPr>
                  <w:r>
                    <w:rPr>
                      <w:rFonts w:hint="eastAsia"/>
                      <w:sz w:val="21"/>
                      <w:szCs w:val="21"/>
                      <w:lang w:val="en-US" w:eastAsia="zh-CN"/>
                    </w:rPr>
                    <w:t>检修后直接由厂家回收</w:t>
                  </w:r>
                </w:p>
              </w:tc>
              <w:tc>
                <w:tcPr>
                  <w:tcW w:w="585" w:type="dxa"/>
                  <w:tcBorders>
                    <w:left w:val="single" w:color="000000" w:sz="6" w:space="0"/>
                    <w:right w:val="single" w:color="000000" w:sz="6" w:space="0"/>
                  </w:tcBorders>
                  <w:shd w:val="clear" w:color="auto" w:fill="auto"/>
                  <w:vAlign w:val="center"/>
                </w:tcPr>
                <w:p w14:paraId="7F3736B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eastAsia="宋体"/>
                      <w:sz w:val="21"/>
                      <w:szCs w:val="21"/>
                      <w:lang w:val="en-US" w:eastAsia="zh-CN"/>
                    </w:rPr>
                  </w:pPr>
                  <w:r>
                    <w:rPr>
                      <w:rFonts w:hint="eastAsia" w:eastAsia="宋体"/>
                      <w:sz w:val="21"/>
                      <w:szCs w:val="21"/>
                      <w:lang w:val="en-US" w:eastAsia="zh-CN"/>
                    </w:rPr>
                    <w:t>委托处置</w:t>
                  </w:r>
                </w:p>
              </w:tc>
              <w:tc>
                <w:tcPr>
                  <w:tcW w:w="530" w:type="dxa"/>
                  <w:tcBorders>
                    <w:left w:val="single" w:color="000000" w:sz="6" w:space="0"/>
                    <w:right w:val="single" w:color="000000" w:sz="6" w:space="0"/>
                  </w:tcBorders>
                  <w:shd w:val="clear" w:color="auto" w:fill="auto"/>
                  <w:vAlign w:val="center"/>
                </w:tcPr>
                <w:p w14:paraId="6ABBF06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sz w:val="21"/>
                      <w:szCs w:val="21"/>
                      <w:lang w:val="en-US" w:eastAsia="zh-CN"/>
                    </w:rPr>
                  </w:pPr>
                  <w:r>
                    <w:rPr>
                      <w:rFonts w:hint="eastAsia" w:eastAsia="宋体"/>
                      <w:sz w:val="21"/>
                      <w:szCs w:val="21"/>
                      <w:lang w:val="en-US" w:eastAsia="zh-CN"/>
                    </w:rPr>
                    <w:t>厂家回收</w:t>
                  </w:r>
                </w:p>
              </w:tc>
              <w:tc>
                <w:tcPr>
                  <w:tcW w:w="512" w:type="dxa"/>
                  <w:tcBorders>
                    <w:left w:val="single" w:color="000000" w:sz="6" w:space="0"/>
                    <w:right w:val="single" w:color="000000" w:sz="6" w:space="0"/>
                  </w:tcBorders>
                  <w:shd w:val="clear" w:color="auto" w:fill="auto"/>
                  <w:vAlign w:val="center"/>
                </w:tcPr>
                <w:p w14:paraId="258B3C4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cs="宋体"/>
                      <w:sz w:val="21"/>
                      <w:szCs w:val="21"/>
                      <w:lang w:val="en-US" w:eastAsia="zh-CN"/>
                    </w:rPr>
                  </w:pPr>
                  <w:r>
                    <w:rPr>
                      <w:rFonts w:hint="eastAsia" w:cs="宋体"/>
                      <w:sz w:val="21"/>
                      <w:szCs w:val="21"/>
                      <w:lang w:val="en-US" w:eastAsia="zh-CN"/>
                    </w:rPr>
                    <w:t>0</w:t>
                  </w:r>
                </w:p>
              </w:tc>
              <w:tc>
                <w:tcPr>
                  <w:tcW w:w="535" w:type="dxa"/>
                  <w:tcBorders>
                    <w:left w:val="single" w:color="000000" w:sz="6" w:space="0"/>
                    <w:right w:val="single" w:color="000000" w:sz="6" w:space="0"/>
                  </w:tcBorders>
                  <w:shd w:val="clear" w:color="auto" w:fill="auto"/>
                  <w:vAlign w:val="center"/>
                </w:tcPr>
                <w:p w14:paraId="56EDA3A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50t/</w:t>
                  </w:r>
                  <w:r>
                    <w:rPr>
                      <w:rFonts w:hint="eastAsia" w:cs="Times New Roman"/>
                      <w:sz w:val="21"/>
                      <w:szCs w:val="21"/>
                      <w:lang w:val="en-US" w:eastAsia="zh-CN"/>
                    </w:rPr>
                    <w:t>4年</w:t>
                  </w:r>
                </w:p>
              </w:tc>
            </w:tr>
            <w:tr w14:paraId="2A38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6EEE7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7</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99BB0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lang w:val="en-US" w:eastAsia="zh-CN"/>
                    </w:rPr>
                    <w:t>维修</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1F5E4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eastAsia="宋体" w:cs="宋体"/>
                      <w:sz w:val="21"/>
                      <w:szCs w:val="21"/>
                      <w:lang w:val="en-US" w:eastAsia="zh-CN"/>
                    </w:rPr>
                    <w:t>废润滑油及包装桶</w:t>
                  </w:r>
                </w:p>
              </w:tc>
              <w:tc>
                <w:tcPr>
                  <w:tcW w:w="284" w:type="dxa"/>
                  <w:vMerge w:val="restart"/>
                  <w:tcBorders>
                    <w:left w:val="single" w:color="000000" w:sz="6" w:space="0"/>
                    <w:right w:val="single" w:color="000000" w:sz="6" w:space="0"/>
                  </w:tcBorders>
                  <w:shd w:val="clear" w:color="auto" w:fill="auto"/>
                  <w:vAlign w:val="center"/>
                </w:tcPr>
                <w:p w14:paraId="2F250F9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lang w:val="en-US" w:eastAsia="zh-CN"/>
                    </w:rPr>
                    <w:t>危险废物</w:t>
                  </w: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9F7A2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eastAsia" w:cs="宋体"/>
                      <w:sz w:val="21"/>
                      <w:szCs w:val="21"/>
                      <w:lang w:val="en-US" w:eastAsia="zh-CN"/>
                    </w:rPr>
                    <w:t>900-214-08</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63CAA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lang w:val="en-US" w:eastAsia="zh-CN"/>
                    </w:rPr>
                    <w:t>液态、</w:t>
                  </w: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7C345E2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T</w:t>
                  </w:r>
                  <w:r>
                    <w:rPr>
                      <w:rFonts w:hint="eastAsia" w:cs="Times New Roman"/>
                      <w:kern w:val="2"/>
                      <w:sz w:val="21"/>
                      <w:szCs w:val="21"/>
                      <w:lang w:val="en-US" w:eastAsia="zh-CN" w:bidi="ar-SA"/>
                    </w:rPr>
                    <w:t>、</w:t>
                  </w:r>
                  <w:r>
                    <w:rPr>
                      <w:rFonts w:hint="eastAsia" w:ascii="Times New Roman" w:hAnsi="Times New Roman" w:eastAsia="宋体" w:cs="Times New Roman"/>
                      <w:kern w:val="2"/>
                      <w:sz w:val="21"/>
                      <w:szCs w:val="21"/>
                      <w:lang w:val="en-US" w:eastAsia="zh-CN" w:bidi="ar-SA"/>
                    </w:rPr>
                    <w:t>I</w:t>
                  </w:r>
                </w:p>
              </w:tc>
              <w:tc>
                <w:tcPr>
                  <w:tcW w:w="734" w:type="dxa"/>
                  <w:tcBorders>
                    <w:left w:val="single" w:color="000000" w:sz="6" w:space="0"/>
                    <w:right w:val="single" w:color="000000" w:sz="6" w:space="0"/>
                  </w:tcBorders>
                  <w:shd w:val="clear" w:color="auto" w:fill="auto"/>
                  <w:vAlign w:val="center"/>
                </w:tcPr>
                <w:p w14:paraId="5D770E67">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0.4</w:t>
                  </w:r>
                </w:p>
              </w:tc>
              <w:tc>
                <w:tcPr>
                  <w:tcW w:w="1043" w:type="dxa"/>
                  <w:tcBorders>
                    <w:left w:val="single" w:color="000000" w:sz="6" w:space="0"/>
                    <w:right w:val="single" w:color="000000" w:sz="6" w:space="0"/>
                  </w:tcBorders>
                  <w:shd w:val="clear" w:color="auto" w:fill="auto"/>
                  <w:vAlign w:val="center"/>
                </w:tcPr>
                <w:p w14:paraId="7374E27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暂存于危险固废暂存场所</w:t>
                  </w:r>
                </w:p>
              </w:tc>
              <w:tc>
                <w:tcPr>
                  <w:tcW w:w="585" w:type="dxa"/>
                  <w:tcBorders>
                    <w:left w:val="single" w:color="000000" w:sz="6" w:space="0"/>
                    <w:right w:val="single" w:color="000000" w:sz="6" w:space="0"/>
                  </w:tcBorders>
                  <w:shd w:val="clear" w:color="auto" w:fill="auto"/>
                  <w:vAlign w:val="center"/>
                </w:tcPr>
                <w:p w14:paraId="56CBE96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委托处置</w:t>
                  </w:r>
                </w:p>
              </w:tc>
              <w:tc>
                <w:tcPr>
                  <w:tcW w:w="530" w:type="dxa"/>
                  <w:tcBorders>
                    <w:left w:val="single" w:color="000000" w:sz="6" w:space="0"/>
                    <w:right w:val="single" w:color="000000" w:sz="6" w:space="0"/>
                  </w:tcBorders>
                  <w:shd w:val="clear" w:color="auto" w:fill="auto"/>
                  <w:vAlign w:val="center"/>
                </w:tcPr>
                <w:p w14:paraId="265DE1B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外售</w:t>
                  </w:r>
                </w:p>
              </w:tc>
              <w:tc>
                <w:tcPr>
                  <w:tcW w:w="512" w:type="dxa"/>
                  <w:tcBorders>
                    <w:left w:val="single" w:color="000000" w:sz="6" w:space="0"/>
                    <w:right w:val="single" w:color="000000" w:sz="6" w:space="0"/>
                  </w:tcBorders>
                  <w:shd w:val="clear" w:color="auto" w:fill="auto"/>
                  <w:vAlign w:val="center"/>
                </w:tcPr>
                <w:p w14:paraId="07C6E3B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Times New Roman" w:cs="Times New Roman"/>
                      <w:kern w:val="2"/>
                      <w:sz w:val="21"/>
                      <w:szCs w:val="21"/>
                      <w:lang w:val="en-US" w:eastAsia="zh-CN" w:bidi="ar-SA"/>
                    </w:rPr>
                  </w:pPr>
                  <w:r>
                    <w:rPr>
                      <w:rFonts w:hint="eastAsia" w:cs="宋体"/>
                      <w:sz w:val="21"/>
                      <w:szCs w:val="21"/>
                      <w:lang w:val="en-US" w:eastAsia="zh-CN"/>
                    </w:rPr>
                    <w:t>0</w:t>
                  </w:r>
                </w:p>
              </w:tc>
              <w:tc>
                <w:tcPr>
                  <w:tcW w:w="535" w:type="dxa"/>
                  <w:tcBorders>
                    <w:left w:val="single" w:color="000000" w:sz="6" w:space="0"/>
                    <w:right w:val="single" w:color="000000" w:sz="6" w:space="0"/>
                  </w:tcBorders>
                  <w:shd w:val="clear" w:color="auto" w:fill="auto"/>
                  <w:vAlign w:val="center"/>
                </w:tcPr>
                <w:p w14:paraId="5D708843">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0.4</w:t>
                  </w:r>
                </w:p>
              </w:tc>
            </w:tr>
            <w:tr w14:paraId="7C4A4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39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3ECBB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w:t>
                  </w:r>
                </w:p>
              </w:tc>
              <w:tc>
                <w:tcPr>
                  <w:tcW w:w="659"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1EB5A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cs="宋体"/>
                      <w:sz w:val="21"/>
                      <w:szCs w:val="21"/>
                      <w:lang w:val="en-US" w:eastAsia="zh-CN"/>
                    </w:rPr>
                    <w:t>维修</w:t>
                  </w:r>
                </w:p>
              </w:tc>
              <w:tc>
                <w:tcPr>
                  <w:tcW w:w="12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D07CA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r>
                    <w:rPr>
                      <w:rFonts w:hint="eastAsia" w:eastAsia="宋体" w:cs="宋体"/>
                      <w:sz w:val="21"/>
                      <w:szCs w:val="21"/>
                      <w:lang w:val="en-US" w:eastAsia="zh-CN"/>
                    </w:rPr>
                    <w:t>废含油抹布、废手套</w:t>
                  </w:r>
                </w:p>
              </w:tc>
              <w:tc>
                <w:tcPr>
                  <w:tcW w:w="284" w:type="dxa"/>
                  <w:vMerge w:val="continue"/>
                  <w:tcBorders>
                    <w:left w:val="single" w:color="000000" w:sz="6" w:space="0"/>
                    <w:right w:val="single" w:color="000000" w:sz="6" w:space="0"/>
                  </w:tcBorders>
                  <w:shd w:val="clear" w:color="auto" w:fill="auto"/>
                  <w:vAlign w:val="center"/>
                </w:tcPr>
                <w:p w14:paraId="2C0A0E0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宋体"/>
                      <w:kern w:val="2"/>
                      <w:sz w:val="21"/>
                      <w:szCs w:val="21"/>
                      <w:lang w:val="en-US" w:eastAsia="zh-CN" w:bidi="ar-SA"/>
                    </w:rPr>
                  </w:pPr>
                </w:p>
              </w:tc>
              <w:tc>
                <w:tcPr>
                  <w:tcW w:w="77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084B9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宋体"/>
                      <w:kern w:val="2"/>
                      <w:sz w:val="21"/>
                      <w:szCs w:val="21"/>
                      <w:lang w:val="en-US" w:eastAsia="zh-CN" w:bidi="ar-SA"/>
                    </w:rPr>
                  </w:pPr>
                  <w:r>
                    <w:rPr>
                      <w:rFonts w:hint="default" w:cs="宋体"/>
                      <w:sz w:val="21"/>
                      <w:szCs w:val="21"/>
                      <w:lang w:val="en-US" w:eastAsia="zh-CN"/>
                    </w:rPr>
                    <w:t>900-041-49</w:t>
                  </w:r>
                </w:p>
              </w:tc>
              <w:tc>
                <w:tcPr>
                  <w:tcW w:w="51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A72BC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cs="宋体"/>
                      <w:sz w:val="21"/>
                      <w:szCs w:val="21"/>
                    </w:rPr>
                    <w:t>固态</w:t>
                  </w:r>
                </w:p>
              </w:tc>
              <w:tc>
                <w:tcPr>
                  <w:tcW w:w="440" w:type="dxa"/>
                  <w:tcBorders>
                    <w:left w:val="single" w:color="000000" w:sz="6" w:space="0"/>
                    <w:right w:val="single" w:color="000000" w:sz="6" w:space="0"/>
                  </w:tcBorders>
                  <w:shd w:val="clear" w:color="auto" w:fill="auto"/>
                  <w:vAlign w:val="center"/>
                </w:tcPr>
                <w:p w14:paraId="2522347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T/In</w:t>
                  </w:r>
                </w:p>
              </w:tc>
              <w:tc>
                <w:tcPr>
                  <w:tcW w:w="734" w:type="dxa"/>
                  <w:tcBorders>
                    <w:left w:val="single" w:color="000000" w:sz="6" w:space="0"/>
                    <w:right w:val="single" w:color="000000" w:sz="6" w:space="0"/>
                  </w:tcBorders>
                  <w:shd w:val="clear" w:color="auto" w:fill="auto"/>
                  <w:vAlign w:val="center"/>
                </w:tcPr>
                <w:p w14:paraId="0A3F5247">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0.02</w:t>
                  </w:r>
                </w:p>
              </w:tc>
              <w:tc>
                <w:tcPr>
                  <w:tcW w:w="1043" w:type="dxa"/>
                  <w:tcBorders>
                    <w:left w:val="single" w:color="000000" w:sz="6" w:space="0"/>
                    <w:right w:val="single" w:color="000000" w:sz="6" w:space="0"/>
                  </w:tcBorders>
                  <w:shd w:val="clear" w:color="auto" w:fill="auto"/>
                  <w:vAlign w:val="center"/>
                </w:tcPr>
                <w:p w14:paraId="5F5264B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eastAsia="宋体" w:cs="Times New Roman"/>
                      <w:kern w:val="2"/>
                      <w:sz w:val="21"/>
                      <w:szCs w:val="21"/>
                      <w:lang w:val="en-US" w:eastAsia="zh-CN" w:bidi="ar-SA"/>
                    </w:rPr>
                  </w:pPr>
                  <w:r>
                    <w:rPr>
                      <w:rFonts w:hint="eastAsia" w:eastAsia="宋体"/>
                      <w:sz w:val="21"/>
                      <w:szCs w:val="21"/>
                      <w:lang w:val="en-US" w:eastAsia="zh-CN"/>
                    </w:rPr>
                    <w:t>暂存于危险固废暂存场所</w:t>
                  </w:r>
                </w:p>
              </w:tc>
              <w:tc>
                <w:tcPr>
                  <w:tcW w:w="585" w:type="dxa"/>
                  <w:tcBorders>
                    <w:left w:val="single" w:color="000000" w:sz="6" w:space="0"/>
                    <w:right w:val="single" w:color="000000" w:sz="6" w:space="0"/>
                  </w:tcBorders>
                  <w:shd w:val="clear" w:color="auto" w:fill="auto"/>
                  <w:vAlign w:val="center"/>
                </w:tcPr>
                <w:p w14:paraId="5B2B7F0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eastAsia="宋体"/>
                      <w:sz w:val="21"/>
                      <w:szCs w:val="21"/>
                      <w:lang w:val="en-US" w:eastAsia="zh-CN"/>
                    </w:rPr>
                    <w:t>委托处置</w:t>
                  </w:r>
                </w:p>
              </w:tc>
              <w:tc>
                <w:tcPr>
                  <w:tcW w:w="530" w:type="dxa"/>
                  <w:tcBorders>
                    <w:left w:val="single" w:color="000000" w:sz="6" w:space="0"/>
                    <w:right w:val="single" w:color="000000" w:sz="6" w:space="0"/>
                  </w:tcBorders>
                  <w:shd w:val="clear" w:color="auto" w:fill="auto"/>
                  <w:vAlign w:val="center"/>
                </w:tcPr>
                <w:p w14:paraId="45F16FE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外售</w:t>
                  </w:r>
                </w:p>
              </w:tc>
              <w:tc>
                <w:tcPr>
                  <w:tcW w:w="512" w:type="dxa"/>
                  <w:tcBorders>
                    <w:left w:val="single" w:color="000000" w:sz="6" w:space="0"/>
                    <w:right w:val="single" w:color="000000" w:sz="6" w:space="0"/>
                  </w:tcBorders>
                  <w:shd w:val="clear" w:color="auto" w:fill="auto"/>
                  <w:vAlign w:val="center"/>
                </w:tcPr>
                <w:p w14:paraId="7091EC6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ascii="Times New Roman" w:hAnsi="Times New Roman" w:eastAsia="Times New Roman" w:cs="Times New Roman"/>
                      <w:kern w:val="2"/>
                      <w:sz w:val="21"/>
                      <w:szCs w:val="21"/>
                      <w:lang w:val="en-US" w:eastAsia="zh-CN" w:bidi="ar-SA"/>
                    </w:rPr>
                  </w:pPr>
                  <w:r>
                    <w:rPr>
                      <w:rFonts w:hint="eastAsia"/>
                      <w:sz w:val="21"/>
                      <w:szCs w:val="21"/>
                      <w:lang w:val="en-US" w:eastAsia="zh-CN"/>
                    </w:rPr>
                    <w:t>0</w:t>
                  </w:r>
                </w:p>
              </w:tc>
              <w:tc>
                <w:tcPr>
                  <w:tcW w:w="535" w:type="dxa"/>
                  <w:tcBorders>
                    <w:left w:val="single" w:color="000000" w:sz="6" w:space="0"/>
                    <w:right w:val="single" w:color="000000" w:sz="6" w:space="0"/>
                  </w:tcBorders>
                  <w:shd w:val="clear" w:color="auto" w:fill="auto"/>
                  <w:vAlign w:val="center"/>
                </w:tcPr>
                <w:p w14:paraId="7642597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Times New Roman" w:cs="Times New Roman"/>
                      <w:kern w:val="2"/>
                      <w:sz w:val="21"/>
                      <w:szCs w:val="21"/>
                      <w:lang w:val="en-US" w:eastAsia="zh-CN" w:bidi="ar-SA"/>
                    </w:rPr>
                  </w:pPr>
                  <w:r>
                    <w:rPr>
                      <w:rFonts w:hint="default" w:ascii="Times New Roman" w:hAnsi="Times New Roman" w:eastAsia="宋体" w:cs="Times New Roman"/>
                      <w:sz w:val="21"/>
                      <w:szCs w:val="21"/>
                      <w:lang w:val="en-US" w:eastAsia="zh-CN"/>
                    </w:rPr>
                    <w:t>0.02</w:t>
                  </w:r>
                </w:p>
              </w:tc>
            </w:tr>
          </w:tbl>
          <w:p w14:paraId="7CD9ED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eastAsia="宋体" w:cs="Times New Roman"/>
                <w:b/>
                <w:bCs/>
                <w:sz w:val="24"/>
                <w:szCs w:val="24"/>
                <w:lang w:val="en-US" w:eastAsia="zh-CN"/>
              </w:rPr>
            </w:pPr>
            <w:r>
              <w:rPr>
                <w:rFonts w:hint="eastAsia" w:eastAsia="宋体" w:cs="Times New Roman"/>
                <w:b/>
                <w:bCs/>
                <w:sz w:val="24"/>
                <w:szCs w:val="24"/>
                <w:lang w:val="en-US" w:eastAsia="zh-CN"/>
              </w:rPr>
              <w:t>4.1 固废暂存场所建设要求</w:t>
            </w:r>
          </w:p>
          <w:p w14:paraId="15F3A25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cs="Times New Roman"/>
                <w:b w:val="0"/>
                <w:bCs w:val="0"/>
                <w:color w:val="000000"/>
                <w:sz w:val="24"/>
                <w:szCs w:val="24"/>
                <w:lang w:val="en-US" w:eastAsia="zh-CN"/>
              </w:rPr>
            </w:pPr>
            <w:r>
              <w:rPr>
                <w:rFonts w:hint="eastAsia" w:cs="Times New Roman"/>
                <w:b w:val="0"/>
                <w:bCs w:val="0"/>
                <w:color w:val="000000"/>
                <w:sz w:val="24"/>
                <w:szCs w:val="24"/>
                <w:lang w:val="en-US" w:eastAsia="zh-CN"/>
              </w:rPr>
              <w:t>本项目新建一个一般工业固体废物暂存场所及危险废物贮存点，</w:t>
            </w:r>
            <w:r>
              <w:rPr>
                <w:rFonts w:hint="eastAsia" w:cs="Times New Roman"/>
                <w:b/>
                <w:bCs/>
                <w:color w:val="000000"/>
                <w:sz w:val="24"/>
                <w:szCs w:val="24"/>
                <w:lang w:val="en-US" w:eastAsia="zh-CN"/>
              </w:rPr>
              <w:t>环评要求企业按如下要求进一步规范建设一般工业固体废物暂存间、危险废物贮存点：</w:t>
            </w:r>
          </w:p>
          <w:p w14:paraId="7D64954F">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sz w:val="24"/>
                <w:szCs w:val="24"/>
                <w:lang w:val="en-US" w:eastAsia="zh-CN"/>
              </w:rPr>
            </w:pPr>
            <w:r>
              <w:rPr>
                <w:rFonts w:hint="eastAsia" w:cs="Times New Roman"/>
                <w:b w:val="0"/>
                <w:bCs w:val="0"/>
                <w:color w:val="000000"/>
                <w:sz w:val="24"/>
                <w:szCs w:val="24"/>
                <w:lang w:val="en-US" w:eastAsia="zh-CN"/>
              </w:rPr>
              <w:t>（1）一般工业固体废物暂存场所</w:t>
            </w:r>
            <w:r>
              <w:rPr>
                <w:rFonts w:hint="default" w:ascii="Times New Roman" w:hAnsi="Times New Roman" w:cs="Times New Roman"/>
                <w:b w:val="0"/>
                <w:bCs w:val="0"/>
                <w:color w:val="000000"/>
                <w:sz w:val="24"/>
                <w:szCs w:val="24"/>
                <w:lang w:val="en-US" w:eastAsia="zh-CN"/>
              </w:rPr>
              <w:t>的设置</w:t>
            </w:r>
            <w:r>
              <w:rPr>
                <w:rFonts w:hint="eastAsia" w:ascii="Times New Roman" w:hAnsi="Times New Roman" w:cs="Times New Roman"/>
                <w:b w:val="0"/>
                <w:bCs w:val="0"/>
                <w:color w:val="000000"/>
                <w:sz w:val="24"/>
                <w:szCs w:val="24"/>
                <w:lang w:val="en-US" w:eastAsia="zh-CN"/>
              </w:rPr>
              <w:t>要求</w:t>
            </w:r>
            <w:r>
              <w:rPr>
                <w:rFonts w:hint="default" w:ascii="Times New Roman" w:hAnsi="Times New Roman" w:cs="Times New Roman"/>
                <w:b w:val="0"/>
                <w:bCs w:val="0"/>
                <w:color w:val="000000"/>
                <w:sz w:val="24"/>
                <w:szCs w:val="24"/>
                <w:lang w:val="en-US" w:eastAsia="zh-CN"/>
              </w:rPr>
              <w:t>：</w:t>
            </w:r>
          </w:p>
          <w:p w14:paraId="2369646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a、设分区暂存，确保各类一般固废得到合理处置；</w:t>
            </w:r>
          </w:p>
          <w:p w14:paraId="33712466">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b、防扬散、防流失、防渗漏，分区暂存各固废；</w:t>
            </w:r>
          </w:p>
          <w:p w14:paraId="7BC9C36C">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c、一般固废在运输过程中要防止散落地面，以免产生二次污染；d、一般固废均按其资源化、无害化的方式进行处置；</w:t>
            </w:r>
          </w:p>
          <w:p w14:paraId="6BBCE5B5">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e、场所地面与裙角要用竖固、防渗的建筑材料建造，基础必须防渗，应设计建造径流疏导系统，保证能防止暴雨不会流到临时堆放的场所；</w:t>
            </w:r>
          </w:p>
          <w:p w14:paraId="5789B609">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f、</w:t>
            </w:r>
            <w:r>
              <w:rPr>
                <w:rFonts w:hint="eastAsia" w:cs="Times New Roman"/>
                <w:b w:val="0"/>
                <w:bCs w:val="0"/>
                <w:color w:val="000000"/>
                <w:sz w:val="24"/>
                <w:szCs w:val="24"/>
                <w:lang w:val="en-US" w:eastAsia="zh-CN"/>
              </w:rPr>
              <w:t>“</w:t>
            </w:r>
            <w:r>
              <w:rPr>
                <w:rFonts w:hint="default" w:ascii="Times New Roman" w:hAnsi="Times New Roman" w:cs="Times New Roman"/>
                <w:b w:val="0"/>
                <w:bCs w:val="0"/>
                <w:color w:val="000000"/>
                <w:sz w:val="24"/>
                <w:szCs w:val="24"/>
                <w:lang w:val="en-US" w:eastAsia="zh-CN"/>
              </w:rPr>
              <w:t>防风、防雨、防晒</w:t>
            </w:r>
            <w:r>
              <w:rPr>
                <w:rFonts w:hint="eastAsia" w:cs="Times New Roman"/>
                <w:b w:val="0"/>
                <w:bCs w:val="0"/>
                <w:color w:val="000000"/>
                <w:sz w:val="24"/>
                <w:szCs w:val="24"/>
                <w:lang w:val="en-US" w:eastAsia="zh-CN"/>
              </w:rPr>
              <w:t>”</w:t>
            </w:r>
            <w:r>
              <w:rPr>
                <w:rFonts w:hint="default" w:ascii="Times New Roman" w:hAnsi="Times New Roman" w:cs="Times New Roman"/>
                <w:b w:val="0"/>
                <w:bCs w:val="0"/>
                <w:color w:val="000000"/>
                <w:sz w:val="24"/>
                <w:szCs w:val="24"/>
                <w:lang w:val="en-US" w:eastAsia="zh-CN"/>
              </w:rPr>
              <w:t>，外围设置围堰，并做好密闭处理，禁止危险废物及生活垃混入。</w:t>
            </w:r>
          </w:p>
          <w:p w14:paraId="39E4F0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危险废物收集、暂存、运输污染防治措施分析</w:t>
            </w:r>
          </w:p>
          <w:p w14:paraId="13BB54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sz w:val="24"/>
                <w:szCs w:val="24"/>
              </w:rPr>
            </w:pPr>
            <w:r>
              <w:rPr>
                <w:rFonts w:hint="eastAsia"/>
                <w:sz w:val="24"/>
                <w:szCs w:val="24"/>
              </w:rPr>
              <w:t>按照</w:t>
            </w:r>
            <w:r>
              <w:rPr>
                <w:rFonts w:hint="eastAsia"/>
                <w:sz w:val="24"/>
                <w:szCs w:val="24"/>
                <w:lang w:eastAsia="zh-CN"/>
              </w:rPr>
              <w:t>《危险废物贮存污染控制标准》（GB18597-2023）</w:t>
            </w:r>
            <w:r>
              <w:rPr>
                <w:rFonts w:hint="eastAsia"/>
                <w:sz w:val="24"/>
                <w:szCs w:val="24"/>
                <w:lang w:val="en-US" w:eastAsia="zh-CN"/>
              </w:rPr>
              <w:t>的要求</w:t>
            </w:r>
            <w:r>
              <w:rPr>
                <w:rFonts w:hint="eastAsia"/>
                <w:sz w:val="24"/>
                <w:szCs w:val="24"/>
              </w:rPr>
              <w:t>，危险废物在收集时，应清楚废物的类别及主要成份并标注说明，以方便委托处理单位处理；应根据危险废物的性质和形态分类收集，采用符合标准要求的容器进行包装，所有包装容器应足够安全，并经过周密检查，严防在装载、搬移或运输途中出现渗漏、溢出、抛洒或挥发等情况。按照《中华人民共和国固体废物污染环境防治法》</w:t>
            </w:r>
            <w:r>
              <w:rPr>
                <w:rFonts w:hint="eastAsia"/>
                <w:sz w:val="24"/>
                <w:szCs w:val="24"/>
                <w:lang w:eastAsia="zh-CN"/>
              </w:rPr>
              <w:t>（</w:t>
            </w:r>
            <w:r>
              <w:rPr>
                <w:rFonts w:hint="eastAsia"/>
                <w:sz w:val="24"/>
                <w:szCs w:val="24"/>
                <w:lang w:val="en-US" w:eastAsia="zh-CN"/>
              </w:rPr>
              <w:t>2020年修订</w:t>
            </w:r>
            <w:r>
              <w:rPr>
                <w:rFonts w:hint="eastAsia"/>
                <w:sz w:val="24"/>
                <w:szCs w:val="24"/>
                <w:lang w:eastAsia="zh-CN"/>
              </w:rPr>
              <w:t>）</w:t>
            </w:r>
            <w:r>
              <w:rPr>
                <w:rFonts w:hint="eastAsia"/>
                <w:sz w:val="24"/>
                <w:szCs w:val="24"/>
              </w:rPr>
              <w:t>要求，实施危险废物转移联单制度，对危险废物进行安全包装，并在包装的明显位置附上危险废物标签</w:t>
            </w:r>
            <w:r>
              <w:rPr>
                <w:rFonts w:hint="eastAsia"/>
                <w:sz w:val="24"/>
                <w:szCs w:val="24"/>
                <w:lang w:eastAsia="zh-CN"/>
              </w:rPr>
              <w:t>，</w:t>
            </w:r>
            <w:r>
              <w:rPr>
                <w:rFonts w:hint="eastAsia"/>
                <w:sz w:val="24"/>
                <w:szCs w:val="24"/>
                <w:lang w:val="en-US" w:eastAsia="zh-CN"/>
              </w:rPr>
              <w:t>危险废物贮存点密闭</w:t>
            </w:r>
            <w:r>
              <w:rPr>
                <w:rFonts w:hint="eastAsia"/>
                <w:sz w:val="24"/>
                <w:szCs w:val="24"/>
              </w:rPr>
              <w:t>。</w:t>
            </w:r>
          </w:p>
          <w:p w14:paraId="678B1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eastAsia" w:ascii="Times New Roman" w:hAnsi="Times New Roman" w:cs="Times New Roman"/>
                <w:sz w:val="24"/>
                <w:szCs w:val="24"/>
              </w:rPr>
            </w:pPr>
            <w:r>
              <w:rPr>
                <w:rFonts w:hint="eastAsia"/>
                <w:sz w:val="24"/>
                <w:szCs w:val="24"/>
              </w:rPr>
              <w:t>日常管理中</w:t>
            </w:r>
            <w:r>
              <w:rPr>
                <w:rFonts w:hint="eastAsia"/>
                <w:sz w:val="24"/>
                <w:szCs w:val="24"/>
                <w:lang w:val="en-US" w:eastAsia="zh-CN"/>
              </w:rPr>
              <w:t>，厂区</w:t>
            </w:r>
            <w:r>
              <w:rPr>
                <w:rFonts w:hint="eastAsia"/>
                <w:sz w:val="24"/>
                <w:szCs w:val="24"/>
              </w:rPr>
              <w:t>须做好危险废物的申报登记，建立台帐管理制度，记录上须注明危险废物的名称、来源、数量、特征和包装容器的类别、入库时间、存放位置、废物出库日期及接受单位名称。同时在危险废物转运的时候必须报请当地</w:t>
            </w:r>
            <w:r>
              <w:rPr>
                <w:rFonts w:hint="eastAsia"/>
                <w:sz w:val="24"/>
                <w:szCs w:val="24"/>
                <w:lang w:val="en-US" w:eastAsia="zh-CN"/>
              </w:rPr>
              <w:t>生态环境</w:t>
            </w:r>
            <w:r>
              <w:rPr>
                <w:rFonts w:hint="eastAsia"/>
                <w:sz w:val="24"/>
                <w:szCs w:val="24"/>
              </w:rPr>
              <w:t>局批准，同时填写危险废物转运单。企业须按照国家有关规定处置危险废物，不得擅自倾倒、堆放。收集、贮存危</w:t>
            </w:r>
            <w:r>
              <w:rPr>
                <w:rFonts w:hint="eastAsia" w:ascii="Times New Roman" w:hAnsi="Times New Roman" w:cs="Times New Roman"/>
                <w:sz w:val="24"/>
                <w:szCs w:val="24"/>
              </w:rPr>
              <w:t>险废物须按照危险废物特性分类进行。禁止混合收集、贮存、运输、处置性质不相容而未经安全性处置的危险废物。</w:t>
            </w:r>
          </w:p>
          <w:p w14:paraId="796C24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ascii="Times New Roman" w:hAnsi="Times New Roman" w:cs="Times New Roman"/>
                <w:color w:val="000000"/>
                <w:sz w:val="24"/>
                <w:szCs w:val="24"/>
              </w:rPr>
            </w:pPr>
            <w:r>
              <w:rPr>
                <w:rFonts w:hint="default" w:ascii="Times New Roman" w:hAnsi="Times New Roman" w:cs="Times New Roman"/>
                <w:sz w:val="24"/>
                <w:szCs w:val="24"/>
              </w:rPr>
              <w:t>综上，项目产生的各类固废均能得到综合利用和妥善处理，满足环保要求，对环境影响较小。</w:t>
            </w:r>
          </w:p>
          <w:p w14:paraId="4237D2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b/>
                <w:bCs/>
                <w:snapToGrid w:val="0"/>
                <w:sz w:val="24"/>
                <w:szCs w:val="24"/>
              </w:rPr>
            </w:pPr>
            <w:r>
              <w:rPr>
                <w:rFonts w:hint="default"/>
                <w:b/>
                <w:bCs/>
                <w:snapToGrid w:val="0"/>
                <w:sz w:val="24"/>
                <w:szCs w:val="24"/>
              </w:rPr>
              <w:t>5</w:t>
            </w:r>
            <w:r>
              <w:rPr>
                <w:rFonts w:hint="eastAsia" w:cs="宋体"/>
                <w:b/>
                <w:bCs/>
                <w:snapToGrid w:val="0"/>
                <w:sz w:val="24"/>
                <w:szCs w:val="24"/>
              </w:rPr>
              <w:t>、地下水、</w:t>
            </w:r>
            <w:r>
              <w:rPr>
                <w:rFonts w:hint="eastAsia" w:cs="宋体"/>
                <w:b/>
                <w:bCs/>
                <w:sz w:val="24"/>
                <w:szCs w:val="24"/>
              </w:rPr>
              <w:t>土壤</w:t>
            </w:r>
            <w:r>
              <w:rPr>
                <w:rFonts w:hint="eastAsia" w:cs="宋体"/>
                <w:b/>
                <w:bCs/>
                <w:snapToGrid w:val="0"/>
                <w:sz w:val="24"/>
                <w:szCs w:val="24"/>
              </w:rPr>
              <w:t>影响分析</w:t>
            </w:r>
          </w:p>
          <w:p w14:paraId="2C1B80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rPr>
            </w:pPr>
            <w:r>
              <w:rPr>
                <w:rFonts w:hint="eastAsia" w:ascii="Times New Roman" w:hAnsi="Times New Roman" w:eastAsia="宋体" w:cs="宋体"/>
                <w:sz w:val="24"/>
                <w:szCs w:val="24"/>
                <w:lang w:val="en-US" w:eastAsia="zh-CN"/>
              </w:rPr>
              <w:t>厂区雨污分流制</w:t>
            </w:r>
            <w:r>
              <w:rPr>
                <w:rFonts w:hint="eastAsia" w:ascii="Times New Roman" w:hAnsi="Times New Roman" w:eastAsia="宋体" w:cs="宋体"/>
                <w:sz w:val="24"/>
                <w:szCs w:val="24"/>
                <w:lang w:val="en-AU"/>
              </w:rPr>
              <w:t>；</w:t>
            </w:r>
            <w:r>
              <w:rPr>
                <w:rFonts w:hint="eastAsia" w:ascii="Times New Roman" w:hAnsi="Times New Roman" w:eastAsia="宋体" w:cs="宋体"/>
                <w:sz w:val="24"/>
                <w:szCs w:val="24"/>
                <w:lang w:val="en-AU" w:eastAsia="zh-CN"/>
              </w:rPr>
              <w:t>经化粪池预处理生活污水与定期排放的循环冷却定期排污水，汇同纯水制备浓水接管进入淮北蓝海水处理有限公司进一步处理，处理达标后部分作为平山电厂冷却循环水，剩余部分排入萧濉新河</w:t>
            </w:r>
            <w:r>
              <w:rPr>
                <w:rFonts w:hint="default" w:ascii="Times New Roman" w:hAnsi="Times New Roman" w:eastAsia="宋体" w:cs="宋体"/>
                <w:sz w:val="24"/>
                <w:szCs w:val="24"/>
              </w:rPr>
              <w:t>。为避免对地下水体</w:t>
            </w:r>
            <w:r>
              <w:rPr>
                <w:rFonts w:hint="eastAsia" w:ascii="Times New Roman" w:hAnsi="Times New Roman" w:eastAsia="宋体" w:cs="宋体"/>
                <w:sz w:val="24"/>
                <w:szCs w:val="24"/>
              </w:rPr>
              <w:t>、土壤</w:t>
            </w:r>
            <w:r>
              <w:rPr>
                <w:rFonts w:hint="default" w:ascii="Times New Roman" w:hAnsi="Times New Roman" w:eastAsia="宋体" w:cs="宋体"/>
                <w:sz w:val="24"/>
                <w:szCs w:val="24"/>
              </w:rPr>
              <w:t>造成影响，建设单位采取主动控制（源头控制措施）及被动控制（末端控制措施）相结合的措施。</w:t>
            </w:r>
          </w:p>
          <w:p w14:paraId="4A718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rPr>
            </w:pPr>
            <w:r>
              <w:rPr>
                <w:rFonts w:hint="default" w:ascii="Times New Roman" w:hAnsi="Times New Roman" w:eastAsia="宋体" w:cs="宋体"/>
                <w:sz w:val="24"/>
                <w:szCs w:val="24"/>
              </w:rPr>
              <w:fldChar w:fldCharType="begin"/>
            </w:r>
            <w:r>
              <w:rPr>
                <w:rFonts w:hint="default" w:ascii="Times New Roman" w:hAnsi="Times New Roman" w:eastAsia="宋体" w:cs="宋体"/>
                <w:sz w:val="24"/>
                <w:szCs w:val="24"/>
              </w:rPr>
              <w:instrText xml:space="preserve"> = 1 \* GB3 \* MERGEFORMAT </w:instrText>
            </w:r>
            <w:r>
              <w:rPr>
                <w:rFonts w:hint="default" w:ascii="Times New Roman" w:hAnsi="Times New Roman" w:eastAsia="宋体" w:cs="宋体"/>
                <w:sz w:val="24"/>
                <w:szCs w:val="24"/>
              </w:rPr>
              <w:fldChar w:fldCharType="separate"/>
            </w:r>
            <w:r>
              <w:rPr>
                <w:rFonts w:hint="default" w:ascii="Times New Roman" w:hAnsi="Times New Roman" w:eastAsia="宋体" w:cs="宋体"/>
                <w:sz w:val="24"/>
                <w:szCs w:val="24"/>
              </w:rPr>
              <w:t>①</w:t>
            </w:r>
            <w:r>
              <w:rPr>
                <w:rFonts w:hint="default" w:ascii="Times New Roman" w:hAnsi="Times New Roman" w:eastAsia="宋体" w:cs="宋体"/>
                <w:sz w:val="24"/>
                <w:szCs w:val="24"/>
              </w:rPr>
              <w:fldChar w:fldCharType="end"/>
            </w:r>
            <w:r>
              <w:rPr>
                <w:rFonts w:hint="default" w:ascii="Times New Roman" w:hAnsi="Times New Roman" w:eastAsia="宋体" w:cs="宋体"/>
                <w:sz w:val="24"/>
                <w:szCs w:val="24"/>
              </w:rPr>
              <w:t>主动控制（源头控制措施）</w:t>
            </w:r>
          </w:p>
          <w:p w14:paraId="42CE5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rPr>
            </w:pPr>
            <w:r>
              <w:rPr>
                <w:rFonts w:hint="default" w:ascii="Times New Roman" w:hAnsi="Times New Roman" w:eastAsia="宋体" w:cs="宋体"/>
                <w:sz w:val="24"/>
                <w:szCs w:val="24"/>
              </w:rPr>
              <w:t>主要包括在工艺、设备、物料输送管道、污水输送管线采取相应措施，防止和降低污染物跑、冒、滴、漏，将污染物泄漏的风险事故降到最低。例如针对事故废水设置事故水池、污水管网设置切换阀等，确保发生事故时产生的事故废水能够及时收集进入</w:t>
            </w:r>
            <w:r>
              <w:rPr>
                <w:rFonts w:hint="eastAsia" w:ascii="Times New Roman" w:hAnsi="Times New Roman" w:eastAsia="宋体" w:cs="宋体"/>
                <w:sz w:val="24"/>
                <w:szCs w:val="24"/>
              </w:rPr>
              <w:t>消防事故池</w:t>
            </w:r>
            <w:r>
              <w:rPr>
                <w:rFonts w:hint="default" w:ascii="Times New Roman" w:hAnsi="Times New Roman" w:eastAsia="宋体" w:cs="宋体"/>
                <w:sz w:val="24"/>
                <w:szCs w:val="24"/>
              </w:rPr>
              <w:t>，并通过控制切换阀防止事故废水直接外排；建设单位已制定严格的管理措施，设专人定时对厂区内管道进行巡检，要求巡检人员对发现的跑冒滴漏现象要及时上报，对出现的问题要求及时妥善处置。同时也要加强对管道、阀门采购的质量管理，如发现问题，应及时更换。</w:t>
            </w:r>
          </w:p>
          <w:p w14:paraId="294D17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rPr>
            </w:pPr>
            <w:r>
              <w:rPr>
                <w:rFonts w:hint="default" w:ascii="Times New Roman" w:hAnsi="Times New Roman" w:eastAsia="宋体" w:cs="宋体"/>
                <w:sz w:val="24"/>
                <w:szCs w:val="24"/>
              </w:rPr>
              <w:fldChar w:fldCharType="begin"/>
            </w:r>
            <w:r>
              <w:rPr>
                <w:rFonts w:hint="default" w:ascii="Times New Roman" w:hAnsi="Times New Roman" w:eastAsia="宋体" w:cs="宋体"/>
                <w:sz w:val="24"/>
                <w:szCs w:val="24"/>
              </w:rPr>
              <w:instrText xml:space="preserve"> = 2 \* GB3 \* MERGEFORMAT </w:instrText>
            </w:r>
            <w:r>
              <w:rPr>
                <w:rFonts w:hint="default" w:ascii="Times New Roman" w:hAnsi="Times New Roman" w:eastAsia="宋体" w:cs="宋体"/>
                <w:sz w:val="24"/>
                <w:szCs w:val="24"/>
              </w:rPr>
              <w:fldChar w:fldCharType="separate"/>
            </w:r>
            <w:r>
              <w:rPr>
                <w:rFonts w:hint="default" w:ascii="Times New Roman" w:hAnsi="Times New Roman" w:eastAsia="宋体" w:cs="宋体"/>
                <w:sz w:val="24"/>
                <w:szCs w:val="24"/>
              </w:rPr>
              <w:t>②</w:t>
            </w:r>
            <w:r>
              <w:rPr>
                <w:rFonts w:hint="default" w:ascii="Times New Roman" w:hAnsi="Times New Roman" w:eastAsia="宋体" w:cs="宋体"/>
                <w:sz w:val="24"/>
                <w:szCs w:val="24"/>
              </w:rPr>
              <w:fldChar w:fldCharType="end"/>
            </w:r>
            <w:r>
              <w:rPr>
                <w:rFonts w:hint="default" w:ascii="Times New Roman" w:hAnsi="Times New Roman" w:eastAsia="宋体" w:cs="宋体"/>
                <w:sz w:val="24"/>
                <w:szCs w:val="24"/>
              </w:rPr>
              <w:t>被动控制（末端控制措施）</w:t>
            </w:r>
          </w:p>
          <w:p w14:paraId="38DE3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rPr>
            </w:pPr>
            <w:r>
              <w:rPr>
                <w:rFonts w:hint="default" w:ascii="Times New Roman" w:hAnsi="Times New Roman" w:eastAsia="宋体" w:cs="宋体"/>
                <w:sz w:val="24"/>
                <w:szCs w:val="24"/>
              </w:rPr>
              <w:t>主要包括厂内污染区地面的防渗措施和泄漏、渗漏污染物的收集措施，即在污染区地面进行防渗处理，防止撒落在地面上的污染物渗入地下，并把滞留在地面上的污染物收集起来，集中处理。</w:t>
            </w:r>
          </w:p>
          <w:p w14:paraId="59E0C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rPr>
            </w:pPr>
            <w:r>
              <w:rPr>
                <w:rFonts w:hint="default" w:ascii="Times New Roman" w:hAnsi="Times New Roman" w:eastAsia="宋体" w:cs="宋体"/>
                <w:sz w:val="24"/>
                <w:szCs w:val="24"/>
              </w:rPr>
              <w:t>防渗区分为简单防渗区、一般防渗区、重点防渗区。</w:t>
            </w:r>
          </w:p>
          <w:p w14:paraId="0B3AA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厂房防渗参照《生活垃圾填埋场污染控制标准》（GB1689-2023）中相关要求进行防腐防渗；</w:t>
            </w:r>
          </w:p>
          <w:p w14:paraId="2B836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sz w:val="24"/>
                <w:szCs w:val="24"/>
                <w:lang w:val="en-US" w:eastAsia="zh-CN"/>
              </w:rPr>
            </w:pPr>
            <w:r>
              <w:rPr>
                <w:rFonts w:hint="eastAsia" w:cs="宋体"/>
                <w:sz w:val="24"/>
                <w:szCs w:val="24"/>
                <w:lang w:val="en-US" w:eastAsia="zh-CN"/>
              </w:rPr>
              <w:t>危险废物贮存点</w:t>
            </w:r>
            <w:r>
              <w:rPr>
                <w:rFonts w:hint="eastAsia" w:ascii="Times New Roman" w:hAnsi="Times New Roman" w:eastAsia="宋体" w:cs="宋体"/>
                <w:sz w:val="24"/>
                <w:szCs w:val="24"/>
                <w:lang w:val="en-US" w:eastAsia="zh-CN"/>
              </w:rPr>
              <w:t>参照《危险废物贮存污染控制标准》（GB18597-2023）进行重点防渗。</w:t>
            </w:r>
          </w:p>
          <w:p w14:paraId="4A4D1F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宋体"/>
                <w:sz w:val="24"/>
                <w:szCs w:val="24"/>
                <w:lang w:val="en-US"/>
              </w:rPr>
            </w:pPr>
            <w:r>
              <w:rPr>
                <w:rFonts w:hint="eastAsia" w:ascii="Times New Roman" w:hAnsi="Times New Roman" w:eastAsia="宋体" w:cs="宋体"/>
                <w:sz w:val="24"/>
                <w:szCs w:val="24"/>
                <w:lang w:val="en-US" w:eastAsia="zh-CN"/>
              </w:rPr>
              <w:t>具体防渗要求见下表：</w:t>
            </w:r>
          </w:p>
          <w:p w14:paraId="0841F3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4"/>
                <w:szCs w:val="24"/>
                <w:lang w:val="en-US" w:eastAsia="zh-CN"/>
              </w:rPr>
            </w:pPr>
            <w:r>
              <w:rPr>
                <w:rFonts w:hint="eastAsia" w:eastAsia="宋体"/>
                <w:b/>
                <w:bCs/>
                <w:color w:val="auto"/>
                <w:sz w:val="24"/>
                <w:szCs w:val="24"/>
                <w:lang w:val="en-US" w:eastAsia="zh-CN"/>
              </w:rPr>
              <w:t>表</w:t>
            </w:r>
            <w:r>
              <w:rPr>
                <w:rFonts w:hint="default" w:eastAsia="宋体"/>
                <w:b/>
                <w:bCs/>
                <w:color w:val="auto"/>
                <w:sz w:val="24"/>
                <w:szCs w:val="24"/>
                <w:lang w:val="en-US" w:eastAsia="zh-CN"/>
              </w:rPr>
              <w:t>4-</w:t>
            </w:r>
            <w:r>
              <w:rPr>
                <w:rFonts w:hint="eastAsia"/>
                <w:b/>
                <w:bCs/>
                <w:color w:val="auto"/>
                <w:sz w:val="24"/>
                <w:szCs w:val="24"/>
                <w:lang w:val="en-US" w:eastAsia="zh-CN"/>
              </w:rPr>
              <w:t>30</w:t>
            </w:r>
            <w:r>
              <w:rPr>
                <w:rFonts w:hint="default" w:eastAsia="宋体"/>
                <w:b/>
                <w:bCs/>
                <w:color w:val="auto"/>
                <w:sz w:val="24"/>
                <w:szCs w:val="24"/>
                <w:lang w:val="en-US" w:eastAsia="zh-CN"/>
              </w:rPr>
              <w:t xml:space="preserve"> </w:t>
            </w:r>
            <w:r>
              <w:rPr>
                <w:rFonts w:hint="eastAsia" w:eastAsia="宋体"/>
                <w:b/>
                <w:bCs/>
                <w:color w:val="auto"/>
                <w:sz w:val="24"/>
                <w:szCs w:val="24"/>
                <w:lang w:val="en-US" w:eastAsia="zh-CN"/>
              </w:rPr>
              <w:t>土壤、地下水防渗要求</w:t>
            </w:r>
          </w:p>
          <w:tbl>
            <w:tblPr>
              <w:tblStyle w:val="30"/>
              <w:tblW w:w="8108"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1426"/>
              <w:gridCol w:w="1648"/>
              <w:gridCol w:w="3969"/>
            </w:tblGrid>
            <w:tr w14:paraId="2576F62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65" w:type="dxa"/>
                  <w:tcBorders>
                    <w:top w:val="single" w:color="auto" w:sz="4" w:space="0"/>
                    <w:left w:val="single" w:color="auto" w:sz="0" w:space="0"/>
                    <w:bottom w:val="single" w:color="auto" w:sz="4" w:space="0"/>
                    <w:right w:val="single" w:color="auto" w:sz="4" w:space="0"/>
                  </w:tcBorders>
                  <w:vAlign w:val="center"/>
                </w:tcPr>
                <w:p w14:paraId="379A75D5">
                  <w:pPr>
                    <w:pStyle w:val="40"/>
                    <w:keepNext w:val="0"/>
                    <w:keepLines w:val="0"/>
                    <w:suppressLineNumbers w:val="0"/>
                    <w:spacing w:before="0" w:beforeAutospacing="0" w:after="0" w:afterAutospacing="0"/>
                    <w:ind w:left="0" w:right="0"/>
                    <w:rPr>
                      <w:rFonts w:hint="default"/>
                      <w:b/>
                      <w:bCs/>
                    </w:rPr>
                  </w:pPr>
                  <w:r>
                    <w:rPr>
                      <w:rFonts w:hint="default"/>
                      <w:b/>
                      <w:bCs/>
                    </w:rPr>
                    <w:t>分区</w:t>
                  </w:r>
                </w:p>
              </w:tc>
              <w:tc>
                <w:tcPr>
                  <w:tcW w:w="1426" w:type="dxa"/>
                  <w:tcBorders>
                    <w:top w:val="single" w:color="auto" w:sz="4" w:space="0"/>
                    <w:left w:val="single" w:color="auto" w:sz="4" w:space="0"/>
                    <w:bottom w:val="single" w:color="auto" w:sz="4" w:space="0"/>
                    <w:right w:val="single" w:color="auto" w:sz="4" w:space="0"/>
                  </w:tcBorders>
                  <w:vAlign w:val="center"/>
                </w:tcPr>
                <w:p w14:paraId="1F86344A">
                  <w:pPr>
                    <w:pStyle w:val="40"/>
                    <w:keepNext w:val="0"/>
                    <w:keepLines w:val="0"/>
                    <w:suppressLineNumbers w:val="0"/>
                    <w:spacing w:before="0" w:beforeAutospacing="0" w:after="0" w:afterAutospacing="0"/>
                    <w:ind w:left="0" w:right="0"/>
                    <w:rPr>
                      <w:rFonts w:hint="eastAsia"/>
                      <w:b/>
                      <w:bCs/>
                      <w:lang w:val="en-US" w:eastAsia="zh-CN"/>
                    </w:rPr>
                  </w:pPr>
                  <w:r>
                    <w:rPr>
                      <w:rFonts w:hint="eastAsia"/>
                      <w:b/>
                      <w:bCs/>
                      <w:lang w:val="en-US" w:eastAsia="zh-CN"/>
                    </w:rPr>
                    <w:t>污染物类型</w:t>
                  </w:r>
                </w:p>
              </w:tc>
              <w:tc>
                <w:tcPr>
                  <w:tcW w:w="1648" w:type="dxa"/>
                  <w:tcBorders>
                    <w:top w:val="single" w:color="auto" w:sz="4" w:space="0"/>
                    <w:left w:val="single" w:color="auto" w:sz="4" w:space="0"/>
                    <w:bottom w:val="single" w:color="auto" w:sz="4" w:space="0"/>
                    <w:right w:val="single" w:color="auto" w:sz="4" w:space="0"/>
                  </w:tcBorders>
                  <w:vAlign w:val="center"/>
                </w:tcPr>
                <w:p w14:paraId="61544532">
                  <w:pPr>
                    <w:pStyle w:val="40"/>
                    <w:keepNext w:val="0"/>
                    <w:keepLines w:val="0"/>
                    <w:suppressLineNumbers w:val="0"/>
                    <w:spacing w:before="0" w:beforeAutospacing="0" w:after="0" w:afterAutospacing="0"/>
                    <w:ind w:left="0" w:right="0"/>
                    <w:rPr>
                      <w:rFonts w:hint="default"/>
                      <w:b/>
                      <w:bCs/>
                    </w:rPr>
                  </w:pPr>
                  <w:r>
                    <w:rPr>
                      <w:rFonts w:hint="default"/>
                      <w:b/>
                      <w:bCs/>
                    </w:rPr>
                    <w:t>厂内分区</w:t>
                  </w:r>
                </w:p>
              </w:tc>
              <w:tc>
                <w:tcPr>
                  <w:tcW w:w="3969" w:type="dxa"/>
                  <w:tcBorders>
                    <w:top w:val="single" w:color="auto" w:sz="4" w:space="0"/>
                    <w:left w:val="single" w:color="auto" w:sz="4" w:space="0"/>
                    <w:bottom w:val="single" w:color="auto" w:sz="4" w:space="0"/>
                    <w:right w:val="single" w:color="auto" w:sz="4" w:space="0"/>
                  </w:tcBorders>
                  <w:vAlign w:val="center"/>
                </w:tcPr>
                <w:p w14:paraId="0F5A7026">
                  <w:pPr>
                    <w:pStyle w:val="40"/>
                    <w:keepNext w:val="0"/>
                    <w:keepLines w:val="0"/>
                    <w:suppressLineNumbers w:val="0"/>
                    <w:spacing w:before="0" w:beforeAutospacing="0" w:after="0" w:afterAutospacing="0"/>
                    <w:ind w:left="0" w:right="0"/>
                    <w:rPr>
                      <w:rFonts w:hint="default"/>
                      <w:b/>
                      <w:bCs/>
                    </w:rPr>
                  </w:pPr>
                  <w:r>
                    <w:rPr>
                      <w:rFonts w:hint="default"/>
                      <w:b/>
                      <w:bCs/>
                    </w:rPr>
                    <w:t>防渗技术要求</w:t>
                  </w:r>
                </w:p>
              </w:tc>
            </w:tr>
            <w:tr w14:paraId="3C73D8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72505455">
                  <w:pPr>
                    <w:pStyle w:val="40"/>
                    <w:keepNext w:val="0"/>
                    <w:keepLines w:val="0"/>
                    <w:suppressLineNumbers w:val="0"/>
                    <w:spacing w:before="0" w:beforeAutospacing="0" w:after="0" w:afterAutospacing="0"/>
                    <w:ind w:left="0" w:right="0"/>
                    <w:rPr>
                      <w:rFonts w:hint="default"/>
                    </w:rPr>
                  </w:pPr>
                  <w:r>
                    <w:rPr>
                      <w:rFonts w:hint="default"/>
                    </w:rPr>
                    <w:t>简单防渗区</w:t>
                  </w:r>
                </w:p>
              </w:tc>
              <w:tc>
                <w:tcPr>
                  <w:tcW w:w="1426" w:type="dxa"/>
                  <w:tcBorders>
                    <w:top w:val="single" w:color="auto" w:sz="4" w:space="0"/>
                    <w:left w:val="single" w:color="auto" w:sz="4" w:space="0"/>
                    <w:bottom w:val="single" w:color="auto" w:sz="4" w:space="0"/>
                    <w:right w:val="single" w:color="auto" w:sz="4" w:space="0"/>
                  </w:tcBorders>
                  <w:vAlign w:val="center"/>
                </w:tcPr>
                <w:p w14:paraId="6B2859AF">
                  <w:pPr>
                    <w:pStyle w:val="40"/>
                    <w:keepNext w:val="0"/>
                    <w:keepLines w:val="0"/>
                    <w:suppressLineNumbers w:val="0"/>
                    <w:spacing w:before="0" w:beforeAutospacing="0" w:after="0" w:afterAutospacing="0"/>
                    <w:ind w:left="0" w:right="0"/>
                    <w:rPr>
                      <w:rFonts w:hint="default"/>
                    </w:rPr>
                  </w:pPr>
                  <w:r>
                    <w:rPr>
                      <w:rFonts w:hint="default"/>
                      <w:lang w:val="en-US" w:eastAsia="zh-CN"/>
                    </w:rPr>
                    <w:t>除重点、一般</w:t>
                  </w:r>
                  <w:r>
                    <w:rPr>
                      <w:rFonts w:hint="eastAsia"/>
                      <w:lang w:val="en-US" w:eastAsia="zh-CN"/>
                    </w:rPr>
                    <w:t>防渗之</w:t>
                  </w:r>
                  <w:r>
                    <w:rPr>
                      <w:rFonts w:hint="default"/>
                      <w:lang w:val="en-US" w:eastAsia="zh-CN"/>
                    </w:rPr>
                    <w:t>外的其他区域</w:t>
                  </w:r>
                </w:p>
              </w:tc>
              <w:tc>
                <w:tcPr>
                  <w:tcW w:w="1648" w:type="dxa"/>
                  <w:tcBorders>
                    <w:top w:val="single" w:color="auto" w:sz="4" w:space="0"/>
                    <w:left w:val="single" w:color="auto" w:sz="4" w:space="0"/>
                    <w:bottom w:val="single" w:color="auto" w:sz="4" w:space="0"/>
                    <w:right w:val="single" w:color="auto" w:sz="4" w:space="0"/>
                  </w:tcBorders>
                  <w:vAlign w:val="center"/>
                </w:tcPr>
                <w:p w14:paraId="34494D1B">
                  <w:pPr>
                    <w:pStyle w:val="40"/>
                    <w:keepNext w:val="0"/>
                    <w:keepLines w:val="0"/>
                    <w:suppressLineNumbers w:val="0"/>
                    <w:spacing w:before="0" w:beforeAutospacing="0" w:after="0" w:afterAutospacing="0"/>
                    <w:ind w:left="0" w:right="0"/>
                    <w:rPr>
                      <w:rFonts w:hint="default"/>
                    </w:rPr>
                  </w:pPr>
                  <w:r>
                    <w:rPr>
                      <w:rFonts w:hint="default"/>
                    </w:rPr>
                    <w:t>办公区</w:t>
                  </w:r>
                  <w:r>
                    <w:rPr>
                      <w:rFonts w:hint="eastAsia"/>
                      <w:lang w:eastAsia="zh-CN"/>
                    </w:rPr>
                    <w:t>、</w:t>
                  </w:r>
                  <w:r>
                    <w:rPr>
                      <w:rFonts w:hint="eastAsia"/>
                      <w:lang w:val="en-US" w:eastAsia="zh-CN"/>
                    </w:rPr>
                    <w:t>生产车间、事故池、一般工业废物暂存场所等</w:t>
                  </w:r>
                </w:p>
              </w:tc>
              <w:tc>
                <w:tcPr>
                  <w:tcW w:w="3969" w:type="dxa"/>
                  <w:tcBorders>
                    <w:top w:val="single" w:color="auto" w:sz="4" w:space="0"/>
                    <w:left w:val="single" w:color="auto" w:sz="4" w:space="0"/>
                    <w:bottom w:val="single" w:color="auto" w:sz="4" w:space="0"/>
                    <w:right w:val="single" w:color="auto" w:sz="4" w:space="0"/>
                  </w:tcBorders>
                  <w:vAlign w:val="center"/>
                </w:tcPr>
                <w:p w14:paraId="7DD21ED0">
                  <w:pPr>
                    <w:pStyle w:val="40"/>
                    <w:keepNext w:val="0"/>
                    <w:keepLines w:val="0"/>
                    <w:suppressLineNumbers w:val="0"/>
                    <w:spacing w:before="0" w:beforeAutospacing="0" w:after="0" w:afterAutospacing="0"/>
                    <w:ind w:left="0" w:right="0"/>
                    <w:rPr>
                      <w:rFonts w:hint="default"/>
                    </w:rPr>
                  </w:pPr>
                  <w:r>
                    <w:rPr>
                      <w:rFonts w:hint="default"/>
                    </w:rPr>
                    <w:t>一般地面硬化</w:t>
                  </w:r>
                </w:p>
              </w:tc>
            </w:tr>
            <w:tr w14:paraId="4374CD9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10755213">
                  <w:pPr>
                    <w:pStyle w:val="40"/>
                    <w:keepNext w:val="0"/>
                    <w:keepLines w:val="0"/>
                    <w:suppressLineNumbers w:val="0"/>
                    <w:spacing w:before="0" w:beforeAutospacing="0" w:after="0" w:afterAutospacing="0"/>
                    <w:ind w:left="0" w:right="0"/>
                    <w:rPr>
                      <w:rFonts w:hint="default"/>
                    </w:rPr>
                  </w:pPr>
                  <w:r>
                    <w:rPr>
                      <w:rFonts w:hint="eastAsia"/>
                      <w:lang w:val="en-US" w:eastAsia="zh-CN"/>
                    </w:rPr>
                    <w:t>一般防渗区</w:t>
                  </w:r>
                </w:p>
              </w:tc>
              <w:tc>
                <w:tcPr>
                  <w:tcW w:w="1426" w:type="dxa"/>
                  <w:tcBorders>
                    <w:top w:val="single" w:color="auto" w:sz="4" w:space="0"/>
                    <w:left w:val="single" w:color="auto" w:sz="4" w:space="0"/>
                    <w:bottom w:val="single" w:color="auto" w:sz="4" w:space="0"/>
                    <w:right w:val="single" w:color="auto" w:sz="4" w:space="0"/>
                  </w:tcBorders>
                  <w:vAlign w:val="center"/>
                </w:tcPr>
                <w:p w14:paraId="4B6471B6">
                  <w:pPr>
                    <w:pStyle w:val="40"/>
                    <w:keepNext w:val="0"/>
                    <w:keepLines w:val="0"/>
                    <w:suppressLineNumbers w:val="0"/>
                    <w:spacing w:before="0" w:beforeAutospacing="0" w:after="0" w:afterAutospacing="0"/>
                    <w:ind w:left="0" w:right="0"/>
                    <w:rPr>
                      <w:rFonts w:hint="default"/>
                    </w:rPr>
                  </w:pPr>
                  <w:r>
                    <w:rPr>
                      <w:rFonts w:hint="eastAsia"/>
                      <w:lang w:val="en-US" w:eastAsia="zh-CN"/>
                    </w:rPr>
                    <w:t>其他类型</w:t>
                  </w:r>
                </w:p>
              </w:tc>
              <w:tc>
                <w:tcPr>
                  <w:tcW w:w="1648" w:type="dxa"/>
                  <w:tcBorders>
                    <w:top w:val="single" w:color="auto" w:sz="4" w:space="0"/>
                    <w:left w:val="single" w:color="auto" w:sz="4" w:space="0"/>
                    <w:bottom w:val="single" w:color="auto" w:sz="4" w:space="0"/>
                    <w:right w:val="single" w:color="auto" w:sz="4" w:space="0"/>
                  </w:tcBorders>
                  <w:vAlign w:val="center"/>
                </w:tcPr>
                <w:p w14:paraId="3C8C5976">
                  <w:pPr>
                    <w:pStyle w:val="40"/>
                    <w:keepNext w:val="0"/>
                    <w:keepLines w:val="0"/>
                    <w:suppressLineNumbers w:val="0"/>
                    <w:spacing w:before="0" w:beforeAutospacing="0" w:after="0" w:afterAutospacing="0"/>
                    <w:ind w:left="0" w:right="0"/>
                    <w:rPr>
                      <w:rFonts w:hint="default"/>
                    </w:rPr>
                  </w:pPr>
                  <w:r>
                    <w:rPr>
                      <w:rFonts w:hint="eastAsia"/>
                      <w:lang w:val="en-US" w:eastAsia="zh-CN"/>
                    </w:rPr>
                    <w:t>/</w:t>
                  </w:r>
                </w:p>
              </w:tc>
              <w:tc>
                <w:tcPr>
                  <w:tcW w:w="3969" w:type="dxa"/>
                  <w:tcBorders>
                    <w:top w:val="single" w:color="auto" w:sz="4" w:space="0"/>
                    <w:left w:val="single" w:color="auto" w:sz="4" w:space="0"/>
                    <w:bottom w:val="single" w:color="auto" w:sz="4" w:space="0"/>
                    <w:right w:val="single" w:color="auto" w:sz="4" w:space="0"/>
                  </w:tcBorders>
                  <w:vAlign w:val="center"/>
                </w:tcPr>
                <w:p w14:paraId="2481F176">
                  <w:pPr>
                    <w:pStyle w:val="40"/>
                    <w:keepNext w:val="0"/>
                    <w:keepLines w:val="0"/>
                    <w:suppressLineNumbers w:val="0"/>
                    <w:spacing w:before="0" w:beforeAutospacing="0" w:after="0" w:afterAutospacing="0"/>
                    <w:ind w:left="0" w:right="0"/>
                    <w:rPr>
                      <w:rFonts w:hint="default"/>
                    </w:rPr>
                  </w:pPr>
                  <w:r>
                    <w:rPr>
                      <w:rFonts w:hint="eastAsia"/>
                      <w:lang w:val="en-US" w:eastAsia="zh-CN"/>
                    </w:rPr>
                    <w:t>本项目不涉及</w:t>
                  </w:r>
                </w:p>
              </w:tc>
            </w:tr>
            <w:tr w14:paraId="26ECC02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065" w:type="dxa"/>
                  <w:tcBorders>
                    <w:top w:val="single" w:color="auto" w:sz="4" w:space="0"/>
                    <w:left w:val="single" w:color="auto" w:sz="4" w:space="0"/>
                    <w:bottom w:val="single" w:color="auto" w:sz="4" w:space="0"/>
                    <w:right w:val="single" w:color="auto" w:sz="4" w:space="0"/>
                  </w:tcBorders>
                  <w:vAlign w:val="center"/>
                </w:tcPr>
                <w:p w14:paraId="22684063">
                  <w:pPr>
                    <w:pStyle w:val="40"/>
                    <w:keepNext w:val="0"/>
                    <w:keepLines w:val="0"/>
                    <w:suppressLineNumbers w:val="0"/>
                    <w:spacing w:before="0" w:beforeAutospacing="0" w:after="0" w:afterAutospacing="0"/>
                    <w:ind w:left="0" w:right="0"/>
                    <w:rPr>
                      <w:rFonts w:hint="default"/>
                    </w:rPr>
                  </w:pPr>
                  <w:r>
                    <w:rPr>
                      <w:rFonts w:hint="default"/>
                    </w:rPr>
                    <w:t>重点防渗区</w:t>
                  </w:r>
                </w:p>
              </w:tc>
              <w:tc>
                <w:tcPr>
                  <w:tcW w:w="1426" w:type="dxa"/>
                  <w:tcBorders>
                    <w:top w:val="single" w:color="auto" w:sz="4" w:space="0"/>
                    <w:left w:val="single" w:color="auto" w:sz="4" w:space="0"/>
                    <w:bottom w:val="single" w:color="auto" w:sz="4" w:space="0"/>
                    <w:right w:val="single" w:color="auto" w:sz="4" w:space="0"/>
                  </w:tcBorders>
                  <w:vAlign w:val="center"/>
                </w:tcPr>
                <w:p w14:paraId="2D618481">
                  <w:pPr>
                    <w:pStyle w:val="40"/>
                    <w:keepNext w:val="0"/>
                    <w:keepLines w:val="0"/>
                    <w:suppressLineNumbers w:val="0"/>
                    <w:spacing w:before="0" w:beforeAutospacing="0" w:after="0" w:afterAutospacing="0"/>
                    <w:ind w:left="0" w:right="0"/>
                    <w:rPr>
                      <w:rFonts w:hint="default"/>
                      <w:lang w:val="en-US" w:eastAsia="zh-CN"/>
                    </w:rPr>
                  </w:pPr>
                  <w:r>
                    <w:rPr>
                      <w:rFonts w:hint="default"/>
                    </w:rPr>
                    <w:t>危害性大的</w:t>
                  </w:r>
                  <w:r>
                    <w:rPr>
                      <w:rFonts w:hint="eastAsia"/>
                      <w:lang w:val="en-US" w:eastAsia="zh-CN"/>
                    </w:rPr>
                    <w:t>危险废物暂存区等</w:t>
                  </w:r>
                </w:p>
              </w:tc>
              <w:tc>
                <w:tcPr>
                  <w:tcW w:w="1648" w:type="dxa"/>
                  <w:tcBorders>
                    <w:top w:val="single" w:color="auto" w:sz="4" w:space="0"/>
                    <w:left w:val="single" w:color="auto" w:sz="4" w:space="0"/>
                    <w:bottom w:val="single" w:color="auto" w:sz="4" w:space="0"/>
                    <w:right w:val="single" w:color="auto" w:sz="4" w:space="0"/>
                  </w:tcBorders>
                  <w:vAlign w:val="center"/>
                </w:tcPr>
                <w:p w14:paraId="015556EA">
                  <w:pPr>
                    <w:pStyle w:val="40"/>
                    <w:keepNext w:val="0"/>
                    <w:keepLines w:val="0"/>
                    <w:suppressLineNumbers w:val="0"/>
                    <w:spacing w:before="0" w:beforeAutospacing="0" w:after="0" w:afterAutospacing="0"/>
                    <w:ind w:left="0" w:right="0"/>
                    <w:rPr>
                      <w:rFonts w:hint="default"/>
                      <w:lang w:val="en-US"/>
                    </w:rPr>
                  </w:pPr>
                  <w:r>
                    <w:rPr>
                      <w:rFonts w:hint="eastAsia"/>
                      <w:lang w:val="en-US" w:eastAsia="zh-CN"/>
                    </w:rPr>
                    <w:t>危险废物贮存点、污水管线</w:t>
                  </w:r>
                </w:p>
              </w:tc>
              <w:tc>
                <w:tcPr>
                  <w:tcW w:w="3969" w:type="dxa"/>
                  <w:tcBorders>
                    <w:top w:val="single" w:color="auto" w:sz="4" w:space="0"/>
                    <w:left w:val="single" w:color="auto" w:sz="4" w:space="0"/>
                    <w:bottom w:val="single" w:color="auto" w:sz="4" w:space="0"/>
                    <w:right w:val="single" w:color="auto" w:sz="4" w:space="0"/>
                  </w:tcBorders>
                  <w:vAlign w:val="center"/>
                </w:tcPr>
                <w:p w14:paraId="3F3418FD">
                  <w:pPr>
                    <w:pStyle w:val="40"/>
                    <w:keepNext w:val="0"/>
                    <w:keepLines w:val="0"/>
                    <w:suppressLineNumbers w:val="0"/>
                    <w:spacing w:before="0" w:beforeAutospacing="0" w:after="0" w:afterAutospacing="0"/>
                    <w:ind w:left="0" w:right="0"/>
                    <w:jc w:val="left"/>
                    <w:rPr>
                      <w:rFonts w:hint="default"/>
                      <w:color w:val="auto"/>
                      <w:lang w:val="en-US" w:eastAsia="zh-CN"/>
                    </w:rPr>
                  </w:pPr>
                  <w:r>
                    <w:rPr>
                      <w:rFonts w:hint="default" w:ascii="Times New Roman" w:hAnsi="Times New Roman" w:cs="Times New Roman"/>
                      <w:snapToGrid w:val="0"/>
                      <w:color w:val="auto"/>
                      <w:szCs w:val="21"/>
                      <w:lang w:val="en-US" w:eastAsia="zh-CN"/>
                    </w:rPr>
                    <w:t>根据《危险废物贮存污染控制标准》（GB 18597-2023）要求，防渗层为至少1m厚黏土层（渗透系数不大于10</w:t>
                  </w:r>
                  <w:r>
                    <w:rPr>
                      <w:rFonts w:hint="default" w:ascii="Times New Roman" w:hAnsi="Times New Roman" w:cs="Times New Roman"/>
                      <w:snapToGrid w:val="0"/>
                      <w:color w:val="auto"/>
                      <w:szCs w:val="21"/>
                      <w:vertAlign w:val="superscript"/>
                      <w:lang w:val="en-US" w:eastAsia="zh-CN"/>
                    </w:rPr>
                    <w:t>-7</w:t>
                  </w:r>
                  <w:r>
                    <w:rPr>
                      <w:rFonts w:hint="default" w:ascii="Times New Roman" w:hAnsi="Times New Roman" w:cs="Times New Roman"/>
                      <w:snapToGrid w:val="0"/>
                      <w:color w:val="auto"/>
                      <w:szCs w:val="21"/>
                      <w:lang w:val="en-US" w:eastAsia="zh-CN"/>
                    </w:rPr>
                    <w:t>cm/s），或至少2mm厚高密度聚乙烯膜等人工防渗材料（渗透系数不大于10</w:t>
                  </w:r>
                  <w:r>
                    <w:rPr>
                      <w:rFonts w:hint="default" w:ascii="Times New Roman" w:hAnsi="Times New Roman" w:cs="Times New Roman"/>
                      <w:snapToGrid w:val="0"/>
                      <w:color w:val="auto"/>
                      <w:szCs w:val="21"/>
                      <w:vertAlign w:val="superscript"/>
                      <w:lang w:val="en-US" w:eastAsia="zh-CN"/>
                    </w:rPr>
                    <w:t>-10</w:t>
                  </w:r>
                  <w:r>
                    <w:rPr>
                      <w:rFonts w:hint="default" w:ascii="Times New Roman" w:hAnsi="Times New Roman" w:cs="Times New Roman"/>
                      <w:snapToGrid w:val="0"/>
                      <w:color w:val="auto"/>
                      <w:szCs w:val="21"/>
                      <w:lang w:val="en-US" w:eastAsia="zh-CN"/>
                    </w:rPr>
                    <w:t>cm/s），或其他防渗性能等效的材料</w:t>
                  </w:r>
                </w:p>
              </w:tc>
            </w:tr>
          </w:tbl>
          <w:p w14:paraId="76D3B9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sz w:val="24"/>
                <w:szCs w:val="24"/>
              </w:rPr>
            </w:pPr>
            <w:r>
              <w:rPr>
                <w:rFonts w:hint="eastAsia" w:cs="宋体"/>
                <w:sz w:val="24"/>
                <w:szCs w:val="24"/>
              </w:rPr>
              <w:t>除此之外，建议项目运营后还应采取以下污染防治措施：</w:t>
            </w:r>
          </w:p>
          <w:p w14:paraId="1DBA87D2">
            <w:pPr>
              <w:keepNext w:val="0"/>
              <w:keepLines w:val="0"/>
              <w:suppressLineNumbers w:val="0"/>
              <w:spacing w:before="0" w:beforeAutospacing="0" w:after="0" w:afterAutospacing="0" w:line="360" w:lineRule="auto"/>
              <w:ind w:left="0" w:right="0" w:firstLine="480" w:firstLineChars="200"/>
              <w:rPr>
                <w:rFonts w:hint="default"/>
                <w:sz w:val="24"/>
                <w:szCs w:val="24"/>
              </w:rPr>
            </w:pPr>
            <w:r>
              <w:rPr>
                <w:rFonts w:hint="default"/>
                <w:sz w:val="24"/>
                <w:szCs w:val="24"/>
              </w:rPr>
              <w:fldChar w:fldCharType="begin"/>
            </w:r>
            <w:r>
              <w:rPr>
                <w:rFonts w:hint="default"/>
                <w:sz w:val="24"/>
                <w:szCs w:val="24"/>
              </w:rPr>
              <w:instrText xml:space="preserve"> = 1 \* GB3 \* MERGEFORMAT </w:instrText>
            </w:r>
            <w:r>
              <w:rPr>
                <w:rFonts w:hint="default"/>
                <w:sz w:val="24"/>
                <w:szCs w:val="24"/>
              </w:rPr>
              <w:fldChar w:fldCharType="separate"/>
            </w:r>
            <w:r>
              <w:rPr>
                <w:rFonts w:hint="eastAsia" w:ascii="宋体" w:hAnsi="宋体" w:cs="宋体"/>
                <w:sz w:val="24"/>
                <w:szCs w:val="24"/>
              </w:rPr>
              <w:t>①</w:t>
            </w:r>
            <w:r>
              <w:rPr>
                <w:rFonts w:hint="default"/>
                <w:sz w:val="24"/>
                <w:szCs w:val="24"/>
              </w:rPr>
              <w:fldChar w:fldCharType="end"/>
            </w:r>
            <w:r>
              <w:rPr>
                <w:rFonts w:hint="eastAsia" w:cs="宋体"/>
                <w:sz w:val="24"/>
                <w:szCs w:val="24"/>
              </w:rPr>
              <w:t>定期对地下水和土壤进行监测，以便及时发现问题，采取有效措施控制和消除污染危害。</w:t>
            </w:r>
          </w:p>
          <w:p w14:paraId="71CDF4BF">
            <w:pPr>
              <w:keepNext w:val="0"/>
              <w:keepLines w:val="0"/>
              <w:suppressLineNumbers w:val="0"/>
              <w:spacing w:before="0" w:beforeAutospacing="0" w:after="0" w:afterAutospacing="0" w:line="360" w:lineRule="auto"/>
              <w:ind w:left="0" w:right="0" w:firstLine="480" w:firstLineChars="200"/>
              <w:rPr>
                <w:rFonts w:hint="default"/>
                <w:b/>
                <w:bCs/>
                <w:snapToGrid w:val="0"/>
                <w:sz w:val="24"/>
                <w:szCs w:val="24"/>
              </w:rPr>
            </w:pPr>
            <w:r>
              <w:rPr>
                <w:rFonts w:hint="default"/>
                <w:sz w:val="24"/>
                <w:szCs w:val="24"/>
              </w:rPr>
              <w:fldChar w:fldCharType="begin"/>
            </w:r>
            <w:r>
              <w:rPr>
                <w:rFonts w:hint="default"/>
                <w:sz w:val="24"/>
                <w:szCs w:val="24"/>
              </w:rPr>
              <w:instrText xml:space="preserve"> = 2 \* GB3 \* MERGEFORMAT </w:instrText>
            </w:r>
            <w:r>
              <w:rPr>
                <w:rFonts w:hint="default"/>
                <w:sz w:val="24"/>
                <w:szCs w:val="24"/>
              </w:rPr>
              <w:fldChar w:fldCharType="separate"/>
            </w:r>
            <w:r>
              <w:rPr>
                <w:rFonts w:hint="eastAsia" w:ascii="宋体" w:hAnsi="宋体" w:cs="宋体"/>
                <w:sz w:val="24"/>
                <w:szCs w:val="24"/>
              </w:rPr>
              <w:t>②</w:t>
            </w:r>
            <w:r>
              <w:rPr>
                <w:rFonts w:hint="default"/>
                <w:sz w:val="24"/>
                <w:szCs w:val="24"/>
              </w:rPr>
              <w:fldChar w:fldCharType="end"/>
            </w:r>
            <w:r>
              <w:rPr>
                <w:rFonts w:hint="eastAsia" w:cs="宋体"/>
                <w:sz w:val="24"/>
                <w:szCs w:val="24"/>
              </w:rPr>
              <w:t>加强现场巡查，特别是在卫生清理、下雨地面水量较大时，重点检查有无渗漏情况。若发现问题，及时分析原因，找到泄漏点制定整改措施，尽快修补，确保防腐防渗层的完整性。</w:t>
            </w:r>
          </w:p>
          <w:p w14:paraId="3FCF5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cs="Times New Roman"/>
                <w:b/>
                <w:bCs/>
                <w:sz w:val="24"/>
                <w:szCs w:val="24"/>
                <w:lang w:val="en-US" w:eastAsia="zh-CN"/>
              </w:rPr>
            </w:pPr>
            <w:r>
              <w:rPr>
                <w:rFonts w:hint="eastAsia" w:cs="Times New Roman"/>
                <w:b/>
                <w:bCs/>
                <w:sz w:val="24"/>
                <w:szCs w:val="32"/>
                <w:lang w:val="en-US" w:eastAsia="zh-CN"/>
              </w:rPr>
              <w:t>6</w:t>
            </w:r>
            <w:r>
              <w:rPr>
                <w:rFonts w:hint="eastAsia" w:cs="Times New Roman"/>
                <w:b/>
                <w:bCs/>
                <w:sz w:val="24"/>
                <w:szCs w:val="24"/>
                <w:lang w:val="en-US" w:eastAsia="zh-CN"/>
              </w:rPr>
              <w:t>、环境风险</w:t>
            </w:r>
          </w:p>
          <w:p w14:paraId="06689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default" w:cs="Times New Roman"/>
                <w:b/>
                <w:bCs/>
                <w:sz w:val="24"/>
                <w:szCs w:val="24"/>
                <w:lang w:val="en-US" w:eastAsia="zh-CN"/>
              </w:rPr>
            </w:pPr>
            <w:r>
              <w:rPr>
                <w:rFonts w:hint="eastAsia" w:cs="Times New Roman"/>
                <w:b/>
                <w:bCs/>
                <w:sz w:val="24"/>
                <w:szCs w:val="24"/>
                <w:lang w:val="en-US" w:eastAsia="zh-CN"/>
              </w:rPr>
              <w:t>6.1危险物质识别</w:t>
            </w:r>
          </w:p>
          <w:p w14:paraId="724CD6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根据《建设项目环境风险评价技术导则》（</w:t>
            </w:r>
            <w:r>
              <w:rPr>
                <w:rFonts w:hint="default" w:ascii="Times New Roman" w:hAnsi="Times New Roman" w:cs="Times New Roman"/>
                <w:sz w:val="24"/>
                <w:szCs w:val="24"/>
                <w:lang w:val="en-US" w:eastAsia="zh-CN"/>
              </w:rPr>
              <w:t>HJ 169-2018</w:t>
            </w:r>
            <w:r>
              <w:rPr>
                <w:rFonts w:hint="eastAsia" w:ascii="Times New Roman" w:hAnsi="Times New Roman" w:cs="Times New Roman"/>
                <w:sz w:val="24"/>
                <w:szCs w:val="24"/>
                <w:lang w:val="en-US" w:eastAsia="zh-CN"/>
              </w:rPr>
              <w:t>）中表</w:t>
            </w:r>
            <w:r>
              <w:rPr>
                <w:rFonts w:hint="default" w:ascii="Times New Roman" w:hAnsi="Times New Roman" w:cs="Times New Roman"/>
                <w:sz w:val="24"/>
                <w:szCs w:val="24"/>
                <w:lang w:val="en-US" w:eastAsia="zh-CN"/>
              </w:rPr>
              <w:t>B.1</w:t>
            </w:r>
            <w:r>
              <w:rPr>
                <w:rFonts w:hint="eastAsia" w:ascii="Times New Roman" w:hAnsi="Times New Roman" w:cs="Times New Roman"/>
                <w:sz w:val="24"/>
                <w:szCs w:val="24"/>
                <w:lang w:val="en-US" w:eastAsia="zh-CN"/>
              </w:rPr>
              <w:t>突发环境事件风险物质及临界量中所列举的化学品，本项目所用钝化膏中含有氢氟酸和硝酸，属于风险物质，具体本项目</w:t>
            </w:r>
            <w:r>
              <w:rPr>
                <w:rFonts w:hint="default" w:ascii="Times New Roman" w:hAnsi="Times New Roman" w:cs="Times New Roman"/>
                <w:sz w:val="24"/>
                <w:szCs w:val="24"/>
                <w:lang w:val="en-US" w:eastAsia="zh-CN"/>
              </w:rPr>
              <w:t>Q</w:t>
            </w:r>
            <w:r>
              <w:rPr>
                <w:rFonts w:hint="eastAsia" w:ascii="Times New Roman" w:hAnsi="Times New Roman" w:cs="Times New Roman"/>
                <w:sz w:val="24"/>
                <w:szCs w:val="24"/>
                <w:lang w:val="en-US" w:eastAsia="zh-CN"/>
              </w:rPr>
              <w:t xml:space="preserve">值计算如下： </w:t>
            </w:r>
          </w:p>
          <w:p w14:paraId="56FCF3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计算所涉及的每种危险物质在厂界内的最大存在总量与其在附录</w:t>
            </w:r>
            <w:r>
              <w:rPr>
                <w:rFonts w:hint="default" w:ascii="Times New Roman" w:hAnsi="Times New Roman" w:cs="Times New Roman"/>
                <w:sz w:val="24"/>
                <w:szCs w:val="24"/>
                <w:lang w:val="en-US" w:eastAsia="zh-CN"/>
              </w:rPr>
              <w:t>B</w:t>
            </w:r>
            <w:r>
              <w:rPr>
                <w:rFonts w:hint="eastAsia" w:ascii="Times New Roman" w:hAnsi="Times New Roman" w:cs="Times New Roman"/>
                <w:sz w:val="24"/>
                <w:szCs w:val="24"/>
                <w:lang w:val="en-US" w:eastAsia="zh-CN"/>
              </w:rPr>
              <w:t>中对应临界量的比值</w:t>
            </w:r>
            <w:r>
              <w:rPr>
                <w:rFonts w:hint="default" w:ascii="Times New Roman" w:hAnsi="Times New Roman" w:cs="Times New Roman"/>
                <w:sz w:val="24"/>
                <w:szCs w:val="24"/>
                <w:lang w:val="en-US" w:eastAsia="zh-CN"/>
              </w:rPr>
              <w:t>Q</w:t>
            </w:r>
            <w:r>
              <w:rPr>
                <w:rFonts w:hint="eastAsia" w:ascii="Times New Roman" w:hAnsi="Times New Roman" w:cs="Times New Roman"/>
                <w:sz w:val="24"/>
                <w:szCs w:val="24"/>
                <w:lang w:val="en-US" w:eastAsia="zh-CN"/>
              </w:rPr>
              <w:t>。在不同厂区的同一种物质，按其在厂界内的最大存在总量计算。当只涉及一种危险物质时，计算该物质的总量与其临界量比值，即为</w:t>
            </w:r>
            <w:r>
              <w:rPr>
                <w:rFonts w:hint="default" w:ascii="Times New Roman" w:hAnsi="Times New Roman" w:cs="Times New Roman"/>
                <w:sz w:val="24"/>
                <w:szCs w:val="24"/>
                <w:lang w:val="en-US" w:eastAsia="zh-CN"/>
              </w:rPr>
              <w:t>Q</w:t>
            </w:r>
            <w:r>
              <w:rPr>
                <w:rFonts w:hint="eastAsia" w:ascii="Times New Roman" w:hAnsi="Times New Roman" w:cs="Times New Roman"/>
                <w:sz w:val="24"/>
                <w:szCs w:val="24"/>
                <w:lang w:val="en-US" w:eastAsia="zh-CN"/>
              </w:rPr>
              <w:t>；当存在多种危险物质时，则按下式计算物质总量与其临界量比值（</w:t>
            </w:r>
            <w:r>
              <w:rPr>
                <w:rFonts w:hint="default" w:ascii="Times New Roman" w:hAnsi="Times New Roman" w:cs="Times New Roman"/>
                <w:sz w:val="24"/>
                <w:szCs w:val="24"/>
                <w:lang w:val="en-US" w:eastAsia="zh-CN"/>
              </w:rPr>
              <w:t>Q</w:t>
            </w:r>
            <w:r>
              <w:rPr>
                <w:rFonts w:hint="eastAsia" w:ascii="Times New Roman" w:hAnsi="Times New Roman" w:cs="Times New Roman"/>
                <w:sz w:val="24"/>
                <w:szCs w:val="24"/>
                <w:lang w:val="en-US" w:eastAsia="zh-CN"/>
              </w:rPr>
              <w:t xml:space="preserve">）： </w:t>
            </w:r>
          </w:p>
          <w:p w14:paraId="3D2BFB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center"/>
              <w:textAlignment w:val="auto"/>
              <w:outlineLvl w:val="9"/>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drawing>
                <wp:inline distT="0" distB="0" distL="114300" distR="114300">
                  <wp:extent cx="1645285" cy="535305"/>
                  <wp:effectExtent l="0" t="0" r="12065" b="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23"/>
                          <a:srcRect b="-14546"/>
                          <a:stretch>
                            <a:fillRect/>
                          </a:stretch>
                        </pic:blipFill>
                        <pic:spPr>
                          <a:xfrm>
                            <a:off x="0" y="0"/>
                            <a:ext cx="1645285" cy="535305"/>
                          </a:xfrm>
                          <a:prstGeom prst="rect">
                            <a:avLst/>
                          </a:prstGeom>
                          <a:noFill/>
                          <a:ln>
                            <a:noFill/>
                          </a:ln>
                        </pic:spPr>
                      </pic:pic>
                    </a:graphicData>
                  </a:graphic>
                </wp:inline>
              </w:drawing>
            </w:r>
          </w:p>
          <w:p w14:paraId="75B85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式中：q1，q2，……qn—每种危险物质的最大存在总量，t；</w:t>
            </w:r>
          </w:p>
          <w:p w14:paraId="1B45B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Q1，Q2，……Qn—每种危险物质的临界t。当 Q＜1 时，该项目环境风险潜势为Ⅰ。</w:t>
            </w:r>
          </w:p>
          <w:p w14:paraId="5EB93B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当 Q≥1，将Q值划分为：①1≤Q≤10；②10≤Q≤100；③Q≥100。</w:t>
            </w:r>
          </w:p>
          <w:p w14:paraId="0C198A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表4-</w:t>
            </w:r>
            <w:r>
              <w:rPr>
                <w:rFonts w:hint="eastAsia" w:cs="Times New Roman"/>
                <w:b/>
                <w:bCs/>
                <w:color w:val="auto"/>
                <w:sz w:val="24"/>
                <w:szCs w:val="24"/>
                <w:lang w:val="en-US" w:eastAsia="zh-CN"/>
              </w:rPr>
              <w:t xml:space="preserve">31 </w:t>
            </w:r>
            <w:r>
              <w:rPr>
                <w:rFonts w:hint="eastAsia" w:ascii="Times New Roman" w:hAnsi="Times New Roman" w:eastAsia="宋体" w:cs="Times New Roman"/>
                <w:b/>
                <w:bCs/>
                <w:color w:val="auto"/>
                <w:sz w:val="24"/>
                <w:szCs w:val="24"/>
                <w:lang w:val="en-US" w:eastAsia="zh-CN"/>
              </w:rPr>
              <w:t xml:space="preserve"> 建设项目环境风险识别表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915"/>
              <w:gridCol w:w="672"/>
              <w:gridCol w:w="901"/>
              <w:gridCol w:w="977"/>
              <w:gridCol w:w="2717"/>
              <w:gridCol w:w="1610"/>
            </w:tblGrid>
            <w:tr w14:paraId="4DDC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 w:type="dxa"/>
                  <w:vAlign w:val="center"/>
                </w:tcPr>
                <w:p w14:paraId="4BF56210">
                  <w:pPr>
                    <w:keepNext w:val="0"/>
                    <w:keepLines w:val="0"/>
                    <w:suppressLineNumbers w:val="0"/>
                    <w:tabs>
                      <w:tab w:val="left" w:pos="2295"/>
                    </w:tabs>
                    <w:spacing w:before="0" w:beforeAutospacing="0" w:after="0" w:afterAutospacing="0"/>
                    <w:ind w:left="0" w:right="0"/>
                    <w:jc w:val="center"/>
                    <w:rPr>
                      <w:rFonts w:hint="eastAsia"/>
                      <w:b/>
                      <w:bCs/>
                      <w:color w:val="auto"/>
                    </w:rPr>
                  </w:pPr>
                  <w:r>
                    <w:rPr>
                      <w:rFonts w:hint="eastAsia"/>
                      <w:b/>
                      <w:bCs/>
                      <w:color w:val="auto"/>
                    </w:rPr>
                    <w:t>序号</w:t>
                  </w:r>
                </w:p>
              </w:tc>
              <w:tc>
                <w:tcPr>
                  <w:tcW w:w="899" w:type="dxa"/>
                  <w:vAlign w:val="center"/>
                </w:tcPr>
                <w:p w14:paraId="264D0D72">
                  <w:pPr>
                    <w:keepNext w:val="0"/>
                    <w:keepLines w:val="0"/>
                    <w:suppressLineNumbers w:val="0"/>
                    <w:tabs>
                      <w:tab w:val="left" w:pos="2295"/>
                    </w:tabs>
                    <w:spacing w:before="0" w:beforeAutospacing="0" w:after="0" w:afterAutospacing="0"/>
                    <w:ind w:left="0" w:right="0"/>
                    <w:jc w:val="center"/>
                    <w:rPr>
                      <w:rFonts w:hint="eastAsia"/>
                      <w:b/>
                      <w:bCs/>
                      <w:color w:val="auto"/>
                    </w:rPr>
                  </w:pPr>
                  <w:r>
                    <w:rPr>
                      <w:rFonts w:hint="eastAsia"/>
                      <w:b/>
                      <w:bCs/>
                      <w:color w:val="auto"/>
                    </w:rPr>
                    <w:t>危险单元</w:t>
                  </w:r>
                </w:p>
              </w:tc>
              <w:tc>
                <w:tcPr>
                  <w:tcW w:w="660" w:type="dxa"/>
                  <w:vAlign w:val="center"/>
                </w:tcPr>
                <w:p w14:paraId="146B0D49">
                  <w:pPr>
                    <w:keepNext w:val="0"/>
                    <w:keepLines w:val="0"/>
                    <w:suppressLineNumbers w:val="0"/>
                    <w:tabs>
                      <w:tab w:val="left" w:pos="2295"/>
                    </w:tabs>
                    <w:spacing w:before="0" w:beforeAutospacing="0" w:after="0" w:afterAutospacing="0"/>
                    <w:ind w:left="0" w:right="0"/>
                    <w:jc w:val="center"/>
                    <w:rPr>
                      <w:rFonts w:hint="eastAsia"/>
                      <w:b/>
                      <w:bCs/>
                      <w:color w:val="auto"/>
                    </w:rPr>
                  </w:pPr>
                  <w:r>
                    <w:rPr>
                      <w:rFonts w:hint="eastAsia"/>
                      <w:b/>
                      <w:bCs/>
                      <w:color w:val="auto"/>
                    </w:rPr>
                    <w:t>风险源</w:t>
                  </w:r>
                </w:p>
              </w:tc>
              <w:tc>
                <w:tcPr>
                  <w:tcW w:w="885" w:type="dxa"/>
                  <w:vAlign w:val="center"/>
                </w:tcPr>
                <w:p w14:paraId="0AC55EA9">
                  <w:pPr>
                    <w:keepNext w:val="0"/>
                    <w:keepLines w:val="0"/>
                    <w:suppressLineNumbers w:val="0"/>
                    <w:tabs>
                      <w:tab w:val="left" w:pos="2295"/>
                    </w:tabs>
                    <w:spacing w:before="0" w:beforeAutospacing="0" w:after="0" w:afterAutospacing="0"/>
                    <w:ind w:left="0" w:right="0"/>
                    <w:jc w:val="center"/>
                    <w:rPr>
                      <w:rFonts w:hint="eastAsia"/>
                      <w:b/>
                      <w:bCs/>
                      <w:color w:val="auto"/>
                    </w:rPr>
                  </w:pPr>
                  <w:r>
                    <w:rPr>
                      <w:rFonts w:hint="eastAsia"/>
                      <w:b/>
                      <w:bCs/>
                      <w:color w:val="auto"/>
                    </w:rPr>
                    <w:t>主要风险物质</w:t>
                  </w:r>
                </w:p>
              </w:tc>
              <w:tc>
                <w:tcPr>
                  <w:tcW w:w="960" w:type="dxa"/>
                  <w:vAlign w:val="center"/>
                </w:tcPr>
                <w:p w14:paraId="7C51B0AF">
                  <w:pPr>
                    <w:keepNext w:val="0"/>
                    <w:keepLines w:val="0"/>
                    <w:suppressLineNumbers w:val="0"/>
                    <w:tabs>
                      <w:tab w:val="left" w:pos="2295"/>
                    </w:tabs>
                    <w:spacing w:before="0" w:beforeAutospacing="0" w:after="0" w:afterAutospacing="0"/>
                    <w:ind w:left="0" w:right="0"/>
                    <w:jc w:val="center"/>
                    <w:rPr>
                      <w:rFonts w:hint="eastAsia"/>
                      <w:b/>
                      <w:bCs/>
                      <w:color w:val="auto"/>
                    </w:rPr>
                  </w:pPr>
                  <w:r>
                    <w:rPr>
                      <w:rFonts w:hint="eastAsia"/>
                      <w:b/>
                      <w:bCs/>
                      <w:color w:val="auto"/>
                    </w:rPr>
                    <w:t>环境风险类型</w:t>
                  </w:r>
                </w:p>
              </w:tc>
              <w:tc>
                <w:tcPr>
                  <w:tcW w:w="2670" w:type="dxa"/>
                  <w:vAlign w:val="center"/>
                </w:tcPr>
                <w:p w14:paraId="7111773F">
                  <w:pPr>
                    <w:keepNext w:val="0"/>
                    <w:keepLines w:val="0"/>
                    <w:suppressLineNumbers w:val="0"/>
                    <w:tabs>
                      <w:tab w:val="left" w:pos="2295"/>
                    </w:tabs>
                    <w:spacing w:before="0" w:beforeAutospacing="0" w:after="0" w:afterAutospacing="0"/>
                    <w:ind w:left="0" w:right="0"/>
                    <w:jc w:val="center"/>
                    <w:rPr>
                      <w:rFonts w:hint="eastAsia"/>
                      <w:b/>
                      <w:bCs/>
                      <w:color w:val="auto"/>
                    </w:rPr>
                  </w:pPr>
                  <w:r>
                    <w:rPr>
                      <w:rFonts w:hint="eastAsia"/>
                      <w:b/>
                      <w:bCs/>
                      <w:color w:val="auto"/>
                    </w:rPr>
                    <w:t>环境影响识别途径</w:t>
                  </w:r>
                </w:p>
              </w:tc>
              <w:tc>
                <w:tcPr>
                  <w:tcW w:w="1582" w:type="dxa"/>
                  <w:vAlign w:val="center"/>
                </w:tcPr>
                <w:p w14:paraId="4D1AA087">
                  <w:pPr>
                    <w:keepNext w:val="0"/>
                    <w:keepLines w:val="0"/>
                    <w:suppressLineNumbers w:val="0"/>
                    <w:tabs>
                      <w:tab w:val="left" w:pos="2295"/>
                    </w:tabs>
                    <w:spacing w:before="0" w:beforeAutospacing="0" w:after="0" w:afterAutospacing="0"/>
                    <w:ind w:left="0" w:right="0"/>
                    <w:jc w:val="center"/>
                    <w:rPr>
                      <w:rFonts w:hint="eastAsia"/>
                      <w:b/>
                      <w:bCs/>
                      <w:color w:val="auto"/>
                    </w:rPr>
                  </w:pPr>
                  <w:r>
                    <w:rPr>
                      <w:rFonts w:hint="eastAsia"/>
                      <w:b/>
                      <w:bCs/>
                      <w:color w:val="auto"/>
                    </w:rPr>
                    <w:t>可能受影响的环境敏感目标</w:t>
                  </w:r>
                </w:p>
              </w:tc>
            </w:tr>
            <w:tr w14:paraId="1B92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 w:type="dxa"/>
                  <w:vAlign w:val="center"/>
                </w:tcPr>
                <w:p w14:paraId="2296E2BD">
                  <w:pPr>
                    <w:keepNext w:val="0"/>
                    <w:keepLines w:val="0"/>
                    <w:suppressLineNumbers w:val="0"/>
                    <w:tabs>
                      <w:tab w:val="left" w:pos="2295"/>
                    </w:tabs>
                    <w:spacing w:before="0" w:beforeAutospacing="0" w:after="0" w:afterAutospacing="0"/>
                    <w:ind w:left="0" w:right="0"/>
                    <w:jc w:val="center"/>
                    <w:rPr>
                      <w:rFonts w:hint="eastAsia"/>
                      <w:color w:val="auto"/>
                    </w:rPr>
                  </w:pPr>
                  <w:r>
                    <w:rPr>
                      <w:rFonts w:hint="eastAsia"/>
                      <w:color w:val="auto"/>
                    </w:rPr>
                    <w:t>1</w:t>
                  </w:r>
                </w:p>
              </w:tc>
              <w:tc>
                <w:tcPr>
                  <w:tcW w:w="899" w:type="dxa"/>
                  <w:vAlign w:val="center"/>
                </w:tcPr>
                <w:p w14:paraId="7403944F">
                  <w:pPr>
                    <w:keepNext w:val="0"/>
                    <w:keepLines w:val="0"/>
                    <w:suppressLineNumbers w:val="0"/>
                    <w:tabs>
                      <w:tab w:val="left" w:pos="2295"/>
                    </w:tabs>
                    <w:spacing w:before="0" w:beforeAutospacing="0" w:after="0" w:afterAutospacing="0"/>
                    <w:ind w:left="0" w:right="0"/>
                    <w:jc w:val="center"/>
                    <w:rPr>
                      <w:rFonts w:hint="eastAsia" w:eastAsia="宋体"/>
                      <w:color w:val="auto"/>
                      <w:lang w:val="en-US" w:eastAsia="zh-CN"/>
                    </w:rPr>
                  </w:pPr>
                  <w:r>
                    <w:rPr>
                      <w:rFonts w:hint="eastAsia"/>
                      <w:color w:val="auto"/>
                      <w:lang w:val="en-US" w:eastAsia="zh-CN"/>
                    </w:rPr>
                    <w:t>危险废物贮存点</w:t>
                  </w:r>
                </w:p>
              </w:tc>
              <w:tc>
                <w:tcPr>
                  <w:tcW w:w="660" w:type="dxa"/>
                  <w:vAlign w:val="center"/>
                </w:tcPr>
                <w:p w14:paraId="46F7CC3F">
                  <w:pPr>
                    <w:keepNext w:val="0"/>
                    <w:keepLines w:val="0"/>
                    <w:suppressLineNumbers w:val="0"/>
                    <w:tabs>
                      <w:tab w:val="left" w:pos="2295"/>
                    </w:tabs>
                    <w:spacing w:before="0" w:beforeAutospacing="0" w:after="0" w:afterAutospacing="0"/>
                    <w:ind w:left="0" w:right="0"/>
                    <w:jc w:val="center"/>
                    <w:rPr>
                      <w:rFonts w:hint="eastAsia"/>
                      <w:color w:val="auto"/>
                    </w:rPr>
                  </w:pPr>
                  <w:r>
                    <w:rPr>
                      <w:rFonts w:hint="eastAsia"/>
                      <w:color w:val="auto"/>
                    </w:rPr>
                    <w:t>危险废物</w:t>
                  </w:r>
                </w:p>
              </w:tc>
              <w:tc>
                <w:tcPr>
                  <w:tcW w:w="885" w:type="dxa"/>
                  <w:vAlign w:val="center"/>
                </w:tcPr>
                <w:p w14:paraId="5CD0E862">
                  <w:pPr>
                    <w:keepNext w:val="0"/>
                    <w:keepLines w:val="0"/>
                    <w:suppressLineNumbers w:val="0"/>
                    <w:tabs>
                      <w:tab w:val="left" w:pos="2295"/>
                    </w:tabs>
                    <w:spacing w:before="0" w:beforeAutospacing="0" w:after="0" w:afterAutospacing="0"/>
                    <w:ind w:left="0" w:right="0"/>
                    <w:jc w:val="center"/>
                    <w:rPr>
                      <w:rFonts w:hint="default" w:eastAsia="宋体"/>
                      <w:color w:val="auto"/>
                      <w:lang w:val="en-US" w:eastAsia="zh-CN"/>
                    </w:rPr>
                  </w:pPr>
                  <w:r>
                    <w:rPr>
                      <w:rFonts w:hint="default" w:eastAsia="宋体"/>
                      <w:color w:val="auto"/>
                      <w:lang w:val="en-US" w:eastAsia="zh-CN"/>
                    </w:rPr>
                    <w:t>矿物油</w:t>
                  </w:r>
                </w:p>
              </w:tc>
              <w:tc>
                <w:tcPr>
                  <w:tcW w:w="960" w:type="dxa"/>
                  <w:vAlign w:val="center"/>
                </w:tcPr>
                <w:p w14:paraId="57724069">
                  <w:pPr>
                    <w:keepNext w:val="0"/>
                    <w:keepLines w:val="0"/>
                    <w:suppressLineNumbers w:val="0"/>
                    <w:spacing w:before="0" w:beforeAutospacing="0" w:after="0" w:afterAutospacing="0"/>
                    <w:ind w:left="0" w:right="0"/>
                    <w:jc w:val="center"/>
                    <w:rPr>
                      <w:rFonts w:hint="default"/>
                      <w:color w:val="auto"/>
                    </w:rPr>
                  </w:pPr>
                  <w:r>
                    <w:rPr>
                      <w:rFonts w:hint="eastAsia"/>
                      <w:color w:val="auto"/>
                    </w:rPr>
                    <w:t>泄露</w:t>
                  </w:r>
                </w:p>
              </w:tc>
              <w:tc>
                <w:tcPr>
                  <w:tcW w:w="2670" w:type="dxa"/>
                  <w:vAlign w:val="center"/>
                </w:tcPr>
                <w:p w14:paraId="02FFAEEE">
                  <w:pPr>
                    <w:keepNext w:val="0"/>
                    <w:keepLines w:val="0"/>
                    <w:suppressLineNumbers w:val="0"/>
                    <w:autoSpaceDE w:val="0"/>
                    <w:autoSpaceDN w:val="0"/>
                    <w:adjustRightInd w:val="0"/>
                    <w:spacing w:before="0" w:beforeAutospacing="0" w:after="0" w:afterAutospacing="0"/>
                    <w:ind w:left="0" w:right="0"/>
                    <w:jc w:val="center"/>
                    <w:rPr>
                      <w:rFonts w:hint="eastAsia"/>
                      <w:color w:val="auto"/>
                    </w:rPr>
                  </w:pPr>
                  <w:r>
                    <w:rPr>
                      <w:rFonts w:hint="eastAsia"/>
                      <w:color w:val="auto"/>
                    </w:rPr>
                    <w:t>危险废物泄漏经地表径流、地下水、土壤下渗对周边环境产生不利影响</w:t>
                  </w:r>
                </w:p>
              </w:tc>
              <w:tc>
                <w:tcPr>
                  <w:tcW w:w="1582" w:type="dxa"/>
                  <w:vAlign w:val="center"/>
                </w:tcPr>
                <w:p w14:paraId="6114F1F3">
                  <w:pPr>
                    <w:keepNext w:val="0"/>
                    <w:keepLines w:val="0"/>
                    <w:suppressLineNumbers w:val="0"/>
                    <w:tabs>
                      <w:tab w:val="left" w:pos="2295"/>
                    </w:tabs>
                    <w:spacing w:before="0" w:beforeAutospacing="0" w:after="0" w:afterAutospacing="0"/>
                    <w:ind w:left="0" w:right="0"/>
                    <w:jc w:val="center"/>
                    <w:rPr>
                      <w:rFonts w:hint="eastAsia"/>
                      <w:color w:val="auto"/>
                    </w:rPr>
                  </w:pPr>
                  <w:r>
                    <w:rPr>
                      <w:rFonts w:hint="eastAsia"/>
                      <w:color w:val="auto"/>
                    </w:rPr>
                    <w:t>周边土壤、地表水、地下水环境</w:t>
                  </w:r>
                </w:p>
              </w:tc>
            </w:tr>
          </w:tbl>
          <w:p w14:paraId="6F90C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color w:val="auto"/>
                <w:sz w:val="24"/>
                <w:szCs w:val="24"/>
                <w:lang w:val="en-US" w:eastAsia="zh-CN"/>
              </w:rPr>
            </w:pPr>
            <w:r>
              <w:rPr>
                <w:rFonts w:hint="eastAsia" w:eastAsia="宋体"/>
                <w:b/>
                <w:bCs/>
                <w:color w:val="auto"/>
                <w:sz w:val="24"/>
                <w:szCs w:val="24"/>
                <w:lang w:val="en-US" w:eastAsia="zh-CN"/>
              </w:rPr>
              <w:t>表</w:t>
            </w:r>
            <w:r>
              <w:rPr>
                <w:rFonts w:hint="default" w:eastAsia="宋体"/>
                <w:b/>
                <w:bCs/>
                <w:color w:val="auto"/>
                <w:sz w:val="24"/>
                <w:szCs w:val="24"/>
                <w:lang w:val="en-US" w:eastAsia="zh-CN"/>
              </w:rPr>
              <w:t>4-</w:t>
            </w:r>
            <w:r>
              <w:rPr>
                <w:rFonts w:hint="eastAsia"/>
                <w:b/>
                <w:bCs/>
                <w:color w:val="auto"/>
                <w:sz w:val="24"/>
                <w:szCs w:val="24"/>
                <w:lang w:val="en-US" w:eastAsia="zh-CN"/>
              </w:rPr>
              <w:t>32</w:t>
            </w:r>
            <w:r>
              <w:rPr>
                <w:rFonts w:hint="eastAsia" w:eastAsia="宋体"/>
                <w:b/>
                <w:bCs/>
                <w:color w:val="auto"/>
                <w:sz w:val="24"/>
                <w:szCs w:val="24"/>
                <w:lang w:val="en-US" w:eastAsia="zh-CN"/>
              </w:rPr>
              <w:t xml:space="preserve">  项目危险物与质量临界值一览表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87"/>
              <w:gridCol w:w="2370"/>
              <w:gridCol w:w="1665"/>
              <w:gridCol w:w="1365"/>
            </w:tblGrid>
            <w:tr w14:paraId="1497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vAlign w:val="center"/>
                </w:tcPr>
                <w:p w14:paraId="43DED718">
                  <w:pPr>
                    <w:keepNext w:val="0"/>
                    <w:keepLines w:val="0"/>
                    <w:suppressLineNumbers w:val="0"/>
                    <w:spacing w:before="0" w:beforeAutospacing="0" w:after="0" w:afterAutospacing="0"/>
                    <w:ind w:left="0" w:right="0"/>
                    <w:jc w:val="center"/>
                    <w:rPr>
                      <w:rFonts w:hint="eastAsia" w:ascii="Times New Roman" w:hAnsi="Times New Roman" w:cs="宋体"/>
                      <w:b/>
                      <w:bCs/>
                      <w:color w:val="auto"/>
                    </w:rPr>
                  </w:pPr>
                  <w:r>
                    <w:rPr>
                      <w:rFonts w:hint="eastAsia" w:ascii="Times New Roman" w:hAnsi="Times New Roman" w:cs="宋体"/>
                      <w:b/>
                      <w:bCs/>
                      <w:color w:val="auto"/>
                    </w:rPr>
                    <w:t>序号</w:t>
                  </w:r>
                </w:p>
              </w:tc>
              <w:tc>
                <w:tcPr>
                  <w:tcW w:w="2087" w:type="dxa"/>
                  <w:vAlign w:val="center"/>
                </w:tcPr>
                <w:p w14:paraId="7E4FB3DA">
                  <w:pPr>
                    <w:keepNext w:val="0"/>
                    <w:keepLines w:val="0"/>
                    <w:suppressLineNumbers w:val="0"/>
                    <w:spacing w:before="0" w:beforeAutospacing="0" w:after="0" w:afterAutospacing="0"/>
                    <w:ind w:left="0" w:right="0"/>
                    <w:jc w:val="center"/>
                    <w:rPr>
                      <w:rFonts w:hint="eastAsia" w:ascii="Times New Roman" w:hAnsi="Times New Roman" w:cs="宋体"/>
                      <w:b/>
                      <w:bCs/>
                      <w:color w:val="auto"/>
                    </w:rPr>
                  </w:pPr>
                  <w:r>
                    <w:rPr>
                      <w:rFonts w:hint="eastAsia" w:ascii="Times New Roman" w:hAnsi="Times New Roman" w:cs="宋体"/>
                      <w:b/>
                      <w:bCs/>
                      <w:color w:val="auto"/>
                    </w:rPr>
                    <w:t>危险物</w:t>
                  </w:r>
                </w:p>
              </w:tc>
              <w:tc>
                <w:tcPr>
                  <w:tcW w:w="2370" w:type="dxa"/>
                  <w:vAlign w:val="center"/>
                </w:tcPr>
                <w:p w14:paraId="2C66DFC3">
                  <w:pPr>
                    <w:keepNext w:val="0"/>
                    <w:keepLines w:val="0"/>
                    <w:suppressLineNumbers w:val="0"/>
                    <w:spacing w:before="0" w:beforeAutospacing="0" w:after="0" w:afterAutospacing="0"/>
                    <w:ind w:left="0" w:right="0"/>
                    <w:jc w:val="center"/>
                    <w:rPr>
                      <w:rFonts w:hint="eastAsia" w:ascii="Times New Roman" w:hAnsi="Times New Roman" w:cs="宋体"/>
                      <w:b/>
                      <w:bCs/>
                      <w:color w:val="auto"/>
                    </w:rPr>
                  </w:pPr>
                  <w:r>
                    <w:rPr>
                      <w:rFonts w:hint="eastAsia" w:ascii="Times New Roman" w:hAnsi="Times New Roman" w:cs="宋体"/>
                      <w:b/>
                      <w:bCs/>
                      <w:color w:val="auto"/>
                      <w:lang w:val="en-US" w:eastAsia="zh-CN"/>
                    </w:rPr>
                    <w:t>最大</w:t>
                  </w:r>
                  <w:r>
                    <w:rPr>
                      <w:rFonts w:hint="eastAsia" w:cs="宋体"/>
                      <w:b/>
                      <w:bCs/>
                      <w:color w:val="auto"/>
                      <w:lang w:val="en-US" w:eastAsia="zh-CN"/>
                    </w:rPr>
                    <w:t>存在总</w:t>
                  </w:r>
                  <w:r>
                    <w:rPr>
                      <w:rFonts w:hint="eastAsia" w:ascii="Times New Roman" w:hAnsi="Times New Roman" w:cs="宋体"/>
                      <w:b/>
                      <w:bCs/>
                      <w:color w:val="auto"/>
                      <w:lang w:val="en-US" w:eastAsia="zh-CN"/>
                    </w:rPr>
                    <w:t xml:space="preserve">量 </w:t>
                  </w:r>
                  <w:r>
                    <w:rPr>
                      <w:rFonts w:hint="eastAsia" w:ascii="Times New Roman" w:hAnsi="Times New Roman" w:cs="宋体"/>
                      <w:b/>
                      <w:bCs/>
                      <w:color w:val="auto"/>
                    </w:rPr>
                    <w:t>（t）</w:t>
                  </w:r>
                </w:p>
              </w:tc>
              <w:tc>
                <w:tcPr>
                  <w:tcW w:w="1665" w:type="dxa"/>
                  <w:vAlign w:val="center"/>
                </w:tcPr>
                <w:p w14:paraId="2FC9B744">
                  <w:pPr>
                    <w:keepNext w:val="0"/>
                    <w:keepLines w:val="0"/>
                    <w:suppressLineNumbers w:val="0"/>
                    <w:spacing w:before="0" w:beforeAutospacing="0" w:after="0" w:afterAutospacing="0"/>
                    <w:ind w:left="0" w:right="0"/>
                    <w:jc w:val="center"/>
                    <w:rPr>
                      <w:rFonts w:hint="eastAsia" w:ascii="Times New Roman" w:hAnsi="Times New Roman" w:cs="宋体"/>
                      <w:b/>
                      <w:bCs/>
                      <w:color w:val="auto"/>
                    </w:rPr>
                  </w:pPr>
                  <w:r>
                    <w:rPr>
                      <w:rFonts w:hint="eastAsia" w:ascii="Times New Roman" w:hAnsi="Times New Roman" w:cs="宋体"/>
                      <w:b/>
                      <w:bCs/>
                      <w:color w:val="auto"/>
                    </w:rPr>
                    <w:t>临界量（t）</w:t>
                  </w:r>
                </w:p>
              </w:tc>
              <w:tc>
                <w:tcPr>
                  <w:tcW w:w="1365" w:type="dxa"/>
                  <w:vAlign w:val="center"/>
                </w:tcPr>
                <w:p w14:paraId="308518F3">
                  <w:pPr>
                    <w:keepNext w:val="0"/>
                    <w:keepLines w:val="0"/>
                    <w:suppressLineNumbers w:val="0"/>
                    <w:spacing w:before="0" w:beforeAutospacing="0" w:after="0" w:afterAutospacing="0"/>
                    <w:ind w:left="0" w:right="0"/>
                    <w:jc w:val="center"/>
                    <w:rPr>
                      <w:rFonts w:hint="eastAsia" w:ascii="Times New Roman" w:hAnsi="Times New Roman" w:cs="宋体"/>
                      <w:b/>
                      <w:bCs/>
                      <w:color w:val="auto"/>
                    </w:rPr>
                  </w:pPr>
                  <w:r>
                    <w:rPr>
                      <w:rFonts w:hint="eastAsia" w:ascii="Times New Roman" w:hAnsi="Times New Roman" w:cs="宋体"/>
                      <w:b/>
                      <w:bCs/>
                      <w:color w:val="auto"/>
                    </w:rPr>
                    <w:t>比值</w:t>
                  </w:r>
                </w:p>
              </w:tc>
            </w:tr>
            <w:tr w14:paraId="582A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vAlign w:val="center"/>
                </w:tcPr>
                <w:p w14:paraId="19ABDBAC">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lang w:val="en-US" w:eastAsia="zh-CN"/>
                    </w:rPr>
                  </w:pPr>
                  <w:r>
                    <w:rPr>
                      <w:rFonts w:hint="eastAsia" w:cs="宋体"/>
                      <w:color w:val="auto"/>
                      <w:lang w:val="en-US" w:eastAsia="zh-CN"/>
                    </w:rPr>
                    <w:t>1</w:t>
                  </w:r>
                </w:p>
              </w:tc>
              <w:tc>
                <w:tcPr>
                  <w:tcW w:w="2087" w:type="dxa"/>
                  <w:vAlign w:val="center"/>
                </w:tcPr>
                <w:p w14:paraId="0DCF39F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宋体"/>
                      <w:color w:val="auto"/>
                      <w:lang w:val="en-US" w:eastAsia="zh-CN"/>
                    </w:rPr>
                  </w:pPr>
                  <w:r>
                    <w:rPr>
                      <w:rFonts w:hint="default" w:ascii="Times New Roman" w:hAnsi="Times New Roman" w:cs="宋体"/>
                      <w:color w:val="auto"/>
                      <w:lang w:val="en-US" w:eastAsia="zh-CN"/>
                    </w:rPr>
                    <w:t>矿物油</w:t>
                  </w:r>
                </w:p>
              </w:tc>
              <w:tc>
                <w:tcPr>
                  <w:tcW w:w="2370" w:type="dxa"/>
                  <w:vAlign w:val="center"/>
                </w:tcPr>
                <w:p w14:paraId="03CB3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宋体"/>
                      <w:color w:val="auto"/>
                      <w:lang w:val="en-US" w:eastAsia="zh-CN"/>
                    </w:rPr>
                  </w:pPr>
                  <w:r>
                    <w:rPr>
                      <w:rFonts w:hint="eastAsia" w:cs="Times New Roman"/>
                      <w:color w:val="auto"/>
                      <w:kern w:val="0"/>
                      <w:sz w:val="21"/>
                      <w:szCs w:val="21"/>
                      <w:lang w:val="en-US" w:eastAsia="zh-CN"/>
                    </w:rPr>
                    <w:t>0.65</w:t>
                  </w:r>
                </w:p>
              </w:tc>
              <w:tc>
                <w:tcPr>
                  <w:tcW w:w="1665" w:type="dxa"/>
                  <w:vMerge w:val="restart"/>
                  <w:vAlign w:val="center"/>
                </w:tcPr>
                <w:p w14:paraId="40B9F2D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color w:val="auto"/>
                      <w:lang w:val="en-US" w:eastAsia="zh-CN"/>
                    </w:rPr>
                  </w:pPr>
                  <w:r>
                    <w:rPr>
                      <w:rFonts w:hint="eastAsia" w:cs="Times New Roman"/>
                      <w:color w:val="auto"/>
                      <w:kern w:val="0"/>
                      <w:sz w:val="21"/>
                      <w:szCs w:val="21"/>
                      <w:lang w:val="en-US" w:eastAsia="zh-CN"/>
                    </w:rPr>
                    <w:t>2500</w:t>
                  </w:r>
                </w:p>
              </w:tc>
              <w:tc>
                <w:tcPr>
                  <w:tcW w:w="1365" w:type="dxa"/>
                  <w:vMerge w:val="restart"/>
                  <w:vAlign w:val="center"/>
                </w:tcPr>
                <w:p w14:paraId="141BD395">
                  <w:pPr>
                    <w:keepNext w:val="0"/>
                    <w:keepLines w:val="0"/>
                    <w:widowControl/>
                    <w:suppressLineNumbers w:val="0"/>
                    <w:spacing w:before="0" w:beforeAutospacing="0" w:after="0" w:afterAutospacing="0"/>
                    <w:ind w:left="0" w:right="0"/>
                    <w:jc w:val="center"/>
                    <w:textAlignment w:val="center"/>
                    <w:rPr>
                      <w:rFonts w:hint="default" w:ascii="Times New Roman" w:hAnsi="Times New Roman" w:cs="宋体"/>
                      <w:color w:val="auto"/>
                      <w:lang w:val="en-US" w:eastAsia="zh-CN"/>
                    </w:rPr>
                  </w:pPr>
                  <w:r>
                    <w:rPr>
                      <w:rFonts w:hint="eastAsia" w:cs="Times New Roman"/>
                      <w:i w:val="0"/>
                      <w:iCs w:val="0"/>
                      <w:color w:val="auto"/>
                      <w:kern w:val="0"/>
                      <w:sz w:val="21"/>
                      <w:szCs w:val="21"/>
                      <w:u w:val="none"/>
                      <w:lang w:val="en-US" w:eastAsia="zh-CN" w:bidi="ar"/>
                    </w:rPr>
                    <w:t>0.0004</w:t>
                  </w:r>
                </w:p>
              </w:tc>
            </w:tr>
            <w:tr w14:paraId="751C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vAlign w:val="center"/>
                </w:tcPr>
                <w:p w14:paraId="468739BC">
                  <w:pPr>
                    <w:keepNext w:val="0"/>
                    <w:keepLines w:val="0"/>
                    <w:suppressLineNumbers w:val="0"/>
                    <w:spacing w:before="0" w:beforeAutospacing="0" w:after="0" w:afterAutospacing="0"/>
                    <w:ind w:left="0" w:right="0"/>
                    <w:jc w:val="center"/>
                    <w:rPr>
                      <w:rFonts w:hint="default" w:cs="宋体"/>
                      <w:color w:val="auto"/>
                      <w:lang w:val="en-US" w:eastAsia="zh-CN"/>
                    </w:rPr>
                  </w:pPr>
                  <w:r>
                    <w:rPr>
                      <w:rFonts w:hint="eastAsia" w:cs="宋体"/>
                      <w:color w:val="auto"/>
                      <w:lang w:val="en-US" w:eastAsia="zh-CN"/>
                    </w:rPr>
                    <w:t>2</w:t>
                  </w:r>
                </w:p>
              </w:tc>
              <w:tc>
                <w:tcPr>
                  <w:tcW w:w="2087" w:type="dxa"/>
                  <w:vAlign w:val="center"/>
                </w:tcPr>
                <w:p w14:paraId="36A1CB1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cs="宋体"/>
                      <w:color w:val="auto"/>
                      <w:lang w:val="en-US" w:eastAsia="zh-CN"/>
                    </w:rPr>
                  </w:pPr>
                  <w:r>
                    <w:rPr>
                      <w:rFonts w:hint="eastAsia" w:cs="宋体"/>
                      <w:color w:val="auto"/>
                      <w:lang w:val="en-US" w:eastAsia="zh-CN"/>
                    </w:rPr>
                    <w:t>废矿物油</w:t>
                  </w:r>
                </w:p>
              </w:tc>
              <w:tc>
                <w:tcPr>
                  <w:tcW w:w="2370" w:type="dxa"/>
                  <w:vAlign w:val="center"/>
                </w:tcPr>
                <w:p w14:paraId="1C657D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0.4</w:t>
                  </w:r>
                </w:p>
              </w:tc>
              <w:tc>
                <w:tcPr>
                  <w:tcW w:w="1665" w:type="dxa"/>
                  <w:vMerge w:val="continue"/>
                  <w:vAlign w:val="center"/>
                </w:tcPr>
                <w:p w14:paraId="0E54061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rPr>
                  </w:pPr>
                </w:p>
              </w:tc>
              <w:tc>
                <w:tcPr>
                  <w:tcW w:w="1365" w:type="dxa"/>
                  <w:vMerge w:val="continue"/>
                  <w:vAlign w:val="center"/>
                </w:tcPr>
                <w:p w14:paraId="54BB0546">
                  <w:pPr>
                    <w:keepNext w:val="0"/>
                    <w:keepLines w:val="0"/>
                    <w:widowControl/>
                    <w:suppressLineNumbers w:val="0"/>
                    <w:spacing w:before="0" w:beforeAutospacing="0" w:after="0" w:afterAutospacing="0"/>
                    <w:ind w:left="0" w:right="0"/>
                    <w:jc w:val="center"/>
                    <w:textAlignment w:val="center"/>
                    <w:rPr>
                      <w:rFonts w:hint="eastAsia" w:cs="Times New Roman"/>
                      <w:i w:val="0"/>
                      <w:iCs w:val="0"/>
                      <w:color w:val="auto"/>
                      <w:kern w:val="0"/>
                      <w:sz w:val="21"/>
                      <w:szCs w:val="21"/>
                      <w:u w:val="none"/>
                      <w:lang w:val="en-US" w:eastAsia="zh-CN" w:bidi="ar"/>
                    </w:rPr>
                  </w:pPr>
                </w:p>
              </w:tc>
            </w:tr>
            <w:tr w14:paraId="51B0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5" w:type="dxa"/>
                  <w:vAlign w:val="center"/>
                </w:tcPr>
                <w:p w14:paraId="55220C2D">
                  <w:pPr>
                    <w:keepNext w:val="0"/>
                    <w:keepLines w:val="0"/>
                    <w:suppressLineNumbers w:val="0"/>
                    <w:spacing w:before="0" w:beforeAutospacing="0" w:after="0" w:afterAutospacing="0"/>
                    <w:ind w:left="0" w:right="0"/>
                    <w:jc w:val="center"/>
                    <w:rPr>
                      <w:rFonts w:hint="default" w:cs="宋体"/>
                      <w:color w:val="auto"/>
                      <w:lang w:val="en-US" w:eastAsia="zh-CN"/>
                    </w:rPr>
                  </w:pPr>
                  <w:r>
                    <w:rPr>
                      <w:rFonts w:hint="eastAsia" w:cs="宋体"/>
                      <w:color w:val="auto"/>
                      <w:lang w:val="en-US" w:eastAsia="zh-CN"/>
                    </w:rPr>
                    <w:t>3</w:t>
                  </w:r>
                </w:p>
              </w:tc>
              <w:tc>
                <w:tcPr>
                  <w:tcW w:w="2087" w:type="dxa"/>
                  <w:vAlign w:val="center"/>
                </w:tcPr>
                <w:p w14:paraId="27431FE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宋体"/>
                      <w:color w:val="auto"/>
                      <w:lang w:val="en-US" w:eastAsia="zh-CN"/>
                    </w:rPr>
                  </w:pPr>
                  <w:r>
                    <w:rPr>
                      <w:rFonts w:hint="eastAsia" w:cs="宋体"/>
                      <w:color w:val="auto"/>
                      <w:lang w:val="en-US" w:eastAsia="zh-CN"/>
                    </w:rPr>
                    <w:t>天然气中的甲烷*</w:t>
                  </w:r>
                </w:p>
              </w:tc>
              <w:tc>
                <w:tcPr>
                  <w:tcW w:w="2370" w:type="dxa"/>
                  <w:vAlign w:val="center"/>
                </w:tcPr>
                <w:p w14:paraId="6B52D23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cs="Times New Roman"/>
                      <w:color w:val="auto"/>
                      <w:kern w:val="0"/>
                      <w:sz w:val="21"/>
                      <w:szCs w:val="21"/>
                      <w:lang w:val="en-US" w:eastAsia="zh-CN"/>
                    </w:rPr>
                  </w:pPr>
                  <w:r>
                    <w:rPr>
                      <w:rFonts w:hint="eastAsia" w:cs="Times New Roman"/>
                      <w:color w:val="auto"/>
                      <w:kern w:val="0"/>
                      <w:sz w:val="21"/>
                      <w:szCs w:val="21"/>
                      <w:lang w:val="en-US" w:eastAsia="zh-CN"/>
                    </w:rPr>
                    <w:t>0.236</w:t>
                  </w:r>
                </w:p>
              </w:tc>
              <w:tc>
                <w:tcPr>
                  <w:tcW w:w="1665" w:type="dxa"/>
                  <w:vAlign w:val="center"/>
                </w:tcPr>
                <w:p w14:paraId="0D06AA3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cs="Times New Roman"/>
                      <w:color w:val="auto"/>
                      <w:kern w:val="0"/>
                      <w:sz w:val="21"/>
                      <w:szCs w:val="21"/>
                      <w:lang w:val="en-US" w:eastAsia="zh-CN"/>
                    </w:rPr>
                  </w:pPr>
                  <w:r>
                    <w:rPr>
                      <w:rFonts w:hint="eastAsia" w:cs="Times New Roman"/>
                      <w:color w:val="auto"/>
                      <w:kern w:val="0"/>
                      <w:sz w:val="21"/>
                      <w:szCs w:val="21"/>
                      <w:lang w:val="en-US" w:eastAsia="zh-CN"/>
                    </w:rPr>
                    <w:t>10</w:t>
                  </w:r>
                </w:p>
              </w:tc>
              <w:tc>
                <w:tcPr>
                  <w:tcW w:w="1365" w:type="dxa"/>
                  <w:vAlign w:val="center"/>
                </w:tcPr>
                <w:p w14:paraId="6EF3A853">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0.024</w:t>
                  </w:r>
                </w:p>
              </w:tc>
            </w:tr>
            <w:tr w14:paraId="3C09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77" w:type="dxa"/>
                  <w:gridSpan w:val="4"/>
                  <w:vAlign w:val="center"/>
                </w:tcPr>
                <w:p w14:paraId="1D257F1A">
                  <w:pPr>
                    <w:keepNext w:val="0"/>
                    <w:keepLines w:val="0"/>
                    <w:suppressLineNumbers w:val="0"/>
                    <w:spacing w:before="0" w:beforeAutospacing="0" w:after="0" w:afterAutospacing="0"/>
                    <w:ind w:left="0" w:right="0"/>
                    <w:jc w:val="center"/>
                    <w:rPr>
                      <w:rFonts w:hint="default" w:ascii="Times New Roman" w:hAnsi="Times New Roman" w:cs="宋体"/>
                      <w:color w:val="auto"/>
                      <w:lang w:val="en-US" w:eastAsia="zh-CN"/>
                    </w:rPr>
                  </w:pPr>
                  <w:r>
                    <w:rPr>
                      <w:rFonts w:hint="eastAsia" w:ascii="Times New Roman" w:hAnsi="Times New Roman" w:cs="宋体"/>
                      <w:color w:val="auto"/>
                      <w:lang w:val="en-US" w:eastAsia="zh-CN"/>
                    </w:rPr>
                    <w:t>合计</w:t>
                  </w:r>
                </w:p>
              </w:tc>
              <w:tc>
                <w:tcPr>
                  <w:tcW w:w="1365" w:type="dxa"/>
                  <w:vAlign w:val="center"/>
                </w:tcPr>
                <w:p w14:paraId="50454D04">
                  <w:pPr>
                    <w:keepNext w:val="0"/>
                    <w:keepLines w:val="0"/>
                    <w:suppressLineNumbers w:val="0"/>
                    <w:spacing w:before="0" w:beforeAutospacing="0" w:after="0" w:afterAutospacing="0"/>
                    <w:ind w:left="0" w:right="0"/>
                    <w:jc w:val="center"/>
                    <w:rPr>
                      <w:rFonts w:hint="eastAsia" w:ascii="Times New Roman" w:hAnsi="Times New Roman" w:cs="宋体"/>
                      <w:color w:val="auto"/>
                    </w:rPr>
                  </w:pPr>
                  <w:r>
                    <w:rPr>
                      <w:rFonts w:hint="eastAsia" w:ascii="Times New Roman" w:hAnsi="Times New Roman" w:cs="宋体"/>
                      <w:color w:val="auto"/>
                    </w:rPr>
                    <w:t>&lt;1</w:t>
                  </w:r>
                </w:p>
              </w:tc>
            </w:tr>
          </w:tbl>
          <w:p w14:paraId="36B4E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auto"/>
                <w:sz w:val="24"/>
                <w:szCs w:val="24"/>
              </w:rPr>
            </w:pPr>
            <w:r>
              <w:rPr>
                <w:rFonts w:hint="eastAsia"/>
                <w:color w:val="auto"/>
                <w:sz w:val="24"/>
                <w:szCs w:val="24"/>
              </w:rPr>
              <w:t>本项目Q&lt;1，因此本项目无需进行风险专章。</w:t>
            </w:r>
          </w:p>
          <w:p w14:paraId="2300F4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eastAsia" w:cs="Times New Roman"/>
                <w:b/>
                <w:bCs/>
                <w:color w:val="auto"/>
                <w:sz w:val="24"/>
                <w:szCs w:val="32"/>
                <w:lang w:val="en-US" w:eastAsia="zh-CN"/>
              </w:rPr>
            </w:pPr>
            <w:r>
              <w:rPr>
                <w:rFonts w:hint="eastAsia" w:cs="Times New Roman"/>
                <w:b/>
                <w:bCs/>
                <w:color w:val="auto"/>
                <w:sz w:val="24"/>
                <w:szCs w:val="32"/>
                <w:lang w:val="en-US" w:eastAsia="zh-CN"/>
              </w:rPr>
              <w:t>6.2 环境风险识别</w:t>
            </w:r>
          </w:p>
          <w:p w14:paraId="300AB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（1）</w:t>
            </w:r>
            <w:r>
              <w:rPr>
                <w:rFonts w:hint="eastAsia" w:ascii="Times New Roman" w:hAnsi="Times New Roman" w:eastAsia="宋体" w:cs="Times New Roman"/>
                <w:color w:val="auto"/>
                <w:sz w:val="24"/>
                <w:szCs w:val="32"/>
                <w:lang w:val="en-US" w:eastAsia="zh-CN"/>
              </w:rPr>
              <w:t>油类物质</w:t>
            </w:r>
            <w:r>
              <w:rPr>
                <w:rFonts w:hint="eastAsia" w:ascii="Times New Roman" w:hAnsi="Times New Roman" w:cs="Times New Roman"/>
                <w:color w:val="auto"/>
                <w:sz w:val="24"/>
                <w:szCs w:val="32"/>
                <w:lang w:val="en-US" w:eastAsia="zh-CN"/>
              </w:rPr>
              <w:t>泄露</w:t>
            </w:r>
          </w:p>
          <w:p w14:paraId="0DDBAE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油类物质泄漏遇明火燃烧，产生伴生/次生污染物，对周围人群和环境空气造成危害；燃烧火灾产生的消防废水如没有得到有效控制，可能造成周围水体污染。</w:t>
            </w:r>
          </w:p>
          <w:p w14:paraId="2902DD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 xml:space="preserve">（2）危废流失 </w:t>
            </w:r>
          </w:p>
          <w:p w14:paraId="3CD91F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项目产生的危废随生活垃圾或一般固废流失出厂。</w:t>
            </w:r>
            <w:r>
              <w:rPr>
                <w:rFonts w:hint="eastAsia" w:cs="Times New Roman"/>
                <w:color w:val="auto"/>
                <w:sz w:val="24"/>
                <w:szCs w:val="32"/>
                <w:lang w:val="en-US" w:eastAsia="zh-CN"/>
              </w:rPr>
              <w:t>危险废物贮存点</w:t>
            </w:r>
            <w:r>
              <w:rPr>
                <w:rFonts w:hint="eastAsia" w:ascii="Times New Roman" w:hAnsi="Times New Roman" w:eastAsia="宋体" w:cs="Times New Roman"/>
                <w:color w:val="auto"/>
                <w:sz w:val="24"/>
                <w:szCs w:val="32"/>
                <w:lang w:val="en-US" w:eastAsia="zh-CN"/>
              </w:rPr>
              <w:t xml:space="preserve">中的废活性炭，在日常储存过程中若发生泄漏，进入雨水管网或溢流至场区外部，对大气及水环境均存在一定风险，同时可能对人体健康造成危害。 </w:t>
            </w:r>
          </w:p>
          <w:p w14:paraId="4E12F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w:t>
            </w:r>
            <w:r>
              <w:rPr>
                <w:rFonts w:hint="eastAsia" w:cs="Times New Roman"/>
                <w:color w:val="auto"/>
                <w:sz w:val="24"/>
                <w:szCs w:val="32"/>
                <w:lang w:val="en-US" w:eastAsia="zh-CN"/>
              </w:rPr>
              <w:t>3</w:t>
            </w:r>
            <w:r>
              <w:rPr>
                <w:rFonts w:hint="eastAsia" w:ascii="Times New Roman" w:hAnsi="Times New Roman" w:eastAsia="宋体" w:cs="Times New Roman"/>
                <w:color w:val="auto"/>
                <w:sz w:val="24"/>
                <w:szCs w:val="32"/>
                <w:lang w:val="en-US" w:eastAsia="zh-CN"/>
              </w:rPr>
              <w:t xml:space="preserve">）废气处理装置故障 </w:t>
            </w:r>
          </w:p>
          <w:p w14:paraId="0477B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b/>
                <w:bCs/>
                <w:color w:val="auto"/>
                <w:sz w:val="24"/>
                <w:szCs w:val="32"/>
                <w:lang w:val="en-US" w:eastAsia="zh-CN"/>
              </w:rPr>
            </w:pPr>
            <w:r>
              <w:rPr>
                <w:rFonts w:hint="eastAsia" w:ascii="Times New Roman" w:hAnsi="Times New Roman" w:eastAsia="宋体" w:cs="Times New Roman"/>
                <w:color w:val="auto"/>
                <w:sz w:val="24"/>
                <w:szCs w:val="32"/>
                <w:lang w:val="en-US" w:eastAsia="zh-CN"/>
              </w:rPr>
              <w:t>本项目废气处理设施失效，造成废气未经处理直接排放，将造成周围大气环境污染。</w:t>
            </w:r>
          </w:p>
          <w:p w14:paraId="737A0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jc w:val="both"/>
              <w:textAlignment w:val="auto"/>
              <w:outlineLvl w:val="9"/>
              <w:rPr>
                <w:rFonts w:hint="eastAsia" w:cs="Times New Roman"/>
                <w:b/>
                <w:bCs/>
                <w:color w:val="auto"/>
                <w:sz w:val="24"/>
                <w:szCs w:val="32"/>
                <w:lang w:val="en-US" w:eastAsia="zh-CN"/>
              </w:rPr>
            </w:pPr>
            <w:r>
              <w:rPr>
                <w:rFonts w:hint="eastAsia" w:cs="Times New Roman"/>
                <w:b/>
                <w:bCs/>
                <w:color w:val="auto"/>
                <w:sz w:val="24"/>
                <w:szCs w:val="32"/>
                <w:lang w:val="en-US" w:eastAsia="zh-CN"/>
              </w:rPr>
              <w:t>6.3环境风险防范措施</w:t>
            </w:r>
          </w:p>
          <w:p w14:paraId="3C44899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color w:val="auto"/>
                <w:sz w:val="24"/>
                <w:szCs w:val="32"/>
                <w:lang w:val="en-US" w:eastAsia="zh-CN"/>
              </w:rPr>
            </w:pPr>
            <w:r>
              <w:rPr>
                <w:rFonts w:hint="eastAsia" w:cs="Times New Roman"/>
                <w:color w:val="auto"/>
                <w:sz w:val="24"/>
                <w:szCs w:val="32"/>
                <w:lang w:val="en-US" w:eastAsia="zh-CN"/>
              </w:rPr>
              <w:t>（1）泄漏事故</w:t>
            </w:r>
          </w:p>
          <w:p w14:paraId="1E092BA4">
            <w:pPr>
              <w:pStyle w:val="9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eastAsia"/>
                <w:color w:val="000000"/>
                <w:szCs w:val="24"/>
                <w:highlight w:val="none"/>
                <w:lang w:val="en-US"/>
              </w:rPr>
            </w:pPr>
            <w:r>
              <w:rPr>
                <w:rFonts w:hint="default"/>
                <w:color w:val="000000"/>
                <w:szCs w:val="24"/>
                <w:highlight w:val="none"/>
                <w:lang w:val="en-US"/>
              </w:rPr>
              <w:t>建立、完善安全管理制度：制定和执行相应的消防管理、安全防火培训、用火用电安全管理、灭火器材维护使用、岗位消防安全等一系列安全制度，并严格遵守执行。</w:t>
            </w:r>
          </w:p>
          <w:p w14:paraId="7670A1DF">
            <w:pPr>
              <w:pStyle w:val="9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color w:val="000000"/>
                <w:szCs w:val="24"/>
                <w:highlight w:val="none"/>
                <w:lang w:val="en-US"/>
              </w:rPr>
            </w:pPr>
            <w:r>
              <w:rPr>
                <w:rFonts w:hint="default"/>
                <w:color w:val="000000"/>
                <w:szCs w:val="24"/>
                <w:highlight w:val="none"/>
                <w:lang w:val="en-US"/>
              </w:rPr>
              <w:t>安全防范措施：物料远离火种、热源，保证阴凉、通风。禁止使用易产生火花的机械设备和工具。库房内应备有泄漏应急处理设备和合适的收容材料。应设置醒目的</w:t>
            </w:r>
            <w:r>
              <w:rPr>
                <w:rFonts w:hint="eastAsia"/>
                <w:color w:val="000000"/>
                <w:szCs w:val="24"/>
                <w:highlight w:val="none"/>
                <w:lang w:val="en-US" w:eastAsia="zh-CN"/>
              </w:rPr>
              <w:t>“</w:t>
            </w:r>
            <w:r>
              <w:rPr>
                <w:rFonts w:hint="default"/>
                <w:color w:val="000000"/>
                <w:szCs w:val="24"/>
                <w:highlight w:val="none"/>
                <w:lang w:val="en-US"/>
              </w:rPr>
              <w:t>危险</w:t>
            </w:r>
            <w:r>
              <w:rPr>
                <w:rFonts w:hint="eastAsia"/>
                <w:color w:val="000000"/>
                <w:szCs w:val="24"/>
                <w:highlight w:val="none"/>
                <w:lang w:val="en-US" w:eastAsia="zh-CN"/>
              </w:rPr>
              <w:t>”“</w:t>
            </w:r>
            <w:r>
              <w:rPr>
                <w:rFonts w:hint="default"/>
                <w:color w:val="000000"/>
                <w:szCs w:val="24"/>
                <w:highlight w:val="none"/>
                <w:lang w:val="en-US"/>
              </w:rPr>
              <w:t>禁止烟火</w:t>
            </w:r>
            <w:r>
              <w:rPr>
                <w:rFonts w:hint="eastAsia"/>
                <w:color w:val="000000"/>
                <w:szCs w:val="24"/>
                <w:highlight w:val="none"/>
                <w:lang w:val="en-US" w:eastAsia="zh-CN"/>
              </w:rPr>
              <w:t>”</w:t>
            </w:r>
            <w:r>
              <w:rPr>
                <w:rFonts w:hint="default"/>
                <w:color w:val="000000"/>
                <w:szCs w:val="24"/>
                <w:highlight w:val="none"/>
                <w:lang w:val="en-US"/>
              </w:rPr>
              <w:t>等警示标志。</w:t>
            </w:r>
          </w:p>
          <w:p w14:paraId="071F7CEC">
            <w:pPr>
              <w:pStyle w:val="94"/>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textAlignment w:val="auto"/>
              <w:rPr>
                <w:rFonts w:hint="default"/>
                <w:color w:val="000000"/>
                <w:szCs w:val="24"/>
                <w:highlight w:val="none"/>
                <w:lang w:val="en-US"/>
              </w:rPr>
            </w:pPr>
            <w:r>
              <w:rPr>
                <w:rFonts w:hint="default"/>
                <w:color w:val="000000"/>
                <w:szCs w:val="24"/>
                <w:highlight w:val="none"/>
                <w:lang w:val="en-US"/>
              </w:rPr>
              <w:t>坚持岗位培训和持证上岗制度，严格执行安全规章制度和操作规程，对所有重要设备（危险源）需作出清晰的警戒标示，并加强操作工人个人防护，上岗穿戴工作服和防护用具（眼镜、手套、工作帽、面罩等）。</w:t>
            </w:r>
          </w:p>
          <w:p w14:paraId="27487A4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（2）电气设备故障引起的火灾</w:t>
            </w:r>
          </w:p>
          <w:p w14:paraId="6408546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企业员工在厂区吸烟或生产过程中不慎造成电气设备故障等，可能引起火灾，有时会发生火灾连片使大批设备烧毁。火灾是通过放出辐射热影响周围环境。如果辐射热的能量足够大，可引起其他可燃物燃烧。物质在燃烧过程中会产生大量浓烟和烟尘，其中含有大量的一氧化碳、二氧化碳及其他有毒气体，带来大气环境污染。</w:t>
            </w:r>
          </w:p>
          <w:p w14:paraId="2D4AF87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①厂区内尤其是生产车间和仓库严禁吸烟。</w:t>
            </w:r>
          </w:p>
          <w:p w14:paraId="4040F3D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 xml:space="preserve">②定期检查设备的运行状况，发现不良问题及时解决；同时注重加强安全教育，提高职工的安全意识和安全防范能力。 </w:t>
            </w:r>
          </w:p>
          <w:p w14:paraId="408C7C1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③按照相关规定设置逃生系统，设置足够并匹配的消防器材及备用应急电源。</w:t>
            </w:r>
          </w:p>
          <w:p w14:paraId="0E6AAFD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 xml:space="preserve">（3）消防及火灾报警系统 </w:t>
            </w:r>
          </w:p>
          <w:p w14:paraId="2D04FEFF">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根据《建筑设计防火规范》和《建筑灭火器配置设计规范》等要求，设置与生产、储存和办公场所相适应的消防设备。设置火灾自动报警系统。</w:t>
            </w:r>
          </w:p>
          <w:p w14:paraId="0369C59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 xml:space="preserve">（4）个体防护措施 </w:t>
            </w:r>
          </w:p>
          <w:p w14:paraId="0C72125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cs="Times New Roman"/>
                <w:sz w:val="24"/>
                <w:szCs w:val="32"/>
                <w:lang w:val="en-US" w:eastAsia="zh-CN"/>
              </w:rPr>
            </w:pPr>
            <w:r>
              <w:rPr>
                <w:rFonts w:hint="eastAsia" w:cs="Times New Roman"/>
                <w:sz w:val="24"/>
                <w:szCs w:val="32"/>
                <w:lang w:val="en-US" w:eastAsia="zh-CN"/>
              </w:rPr>
              <w:t xml:space="preserve">为巡查员工按要求配置安全帽、工作服、工作鞋等。企业安排专人保管防护用品，定期检查和更新，并定期对操作人员进行身体检查，防治职业病。本项目配备常用的医疗器械、药品，并配置洗眼器、呼吸器、氧气瓶、纱布、急救药箱等紧急状况使用的药品。 </w:t>
            </w:r>
          </w:p>
          <w:p w14:paraId="4BB5058E">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32"/>
                <w:lang w:val="en-US" w:eastAsia="zh-CN"/>
              </w:rPr>
            </w:pPr>
            <w:r>
              <w:rPr>
                <w:rFonts w:hint="eastAsia" w:cs="Times New Roman"/>
                <w:sz w:val="24"/>
                <w:szCs w:val="32"/>
                <w:lang w:val="en-US" w:eastAsia="zh-CN"/>
              </w:rPr>
              <w:t>在采取了本次环评的上述措施后，该项目对周边环境影响可以接受。故该</w:t>
            </w:r>
            <w:r>
              <w:rPr>
                <w:rFonts w:hint="eastAsia" w:ascii="Times New Roman" w:hAnsi="Times New Roman" w:eastAsia="宋体" w:cs="Times New Roman"/>
                <w:sz w:val="24"/>
                <w:szCs w:val="32"/>
                <w:lang w:val="en-US" w:eastAsia="zh-CN"/>
              </w:rPr>
              <w:t>项目对周围环境的环境风险影响较小，在可接受范围之内。</w:t>
            </w:r>
          </w:p>
          <w:p w14:paraId="3E00C3A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Times New Roman" w:hAnsi="Times New Roman" w:cs="Times New Roman"/>
                <w:color w:val="auto"/>
                <w:sz w:val="24"/>
                <w:szCs w:val="32"/>
                <w:lang w:val="en-US" w:eastAsia="zh-CN"/>
              </w:rPr>
            </w:pPr>
            <w:r>
              <w:rPr>
                <w:rFonts w:hint="eastAsia" w:ascii="Times New Roman" w:hAnsi="Times New Roman" w:eastAsia="宋体" w:cs="Times New Roman"/>
                <w:sz w:val="24"/>
                <w:szCs w:val="32"/>
                <w:lang w:val="en-US" w:eastAsia="zh-CN"/>
              </w:rPr>
              <w:t>（5）</w:t>
            </w:r>
            <w:r>
              <w:rPr>
                <w:rFonts w:hint="eastAsia" w:cs="Times New Roman"/>
                <w:color w:val="auto"/>
                <w:sz w:val="24"/>
                <w:szCs w:val="32"/>
                <w:lang w:val="en-US" w:eastAsia="zh-CN"/>
              </w:rPr>
              <w:t>事故池</w:t>
            </w:r>
          </w:p>
          <w:p w14:paraId="5DC3213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color w:val="auto"/>
                <w:sz w:val="24"/>
                <w:szCs w:val="24"/>
              </w:rPr>
              <w:t>由于事故情况下一旦物料及其消防水外泄，将很容易渗入地下，造成地下水体污染，进而也可能对地表水水质产生影响；因此应对厂区地面进行硬化，并对其设置导流系统等措施，以防止事故情况下排污、排水造成的泄漏，从而通过地表下渗至地下，对地下水造成污染。为此，</w:t>
            </w:r>
            <w:r>
              <w:rPr>
                <w:rFonts w:hint="eastAsia"/>
                <w:color w:val="auto"/>
                <w:sz w:val="24"/>
                <w:szCs w:val="24"/>
              </w:rPr>
              <w:t>本项目</w:t>
            </w:r>
            <w:r>
              <w:rPr>
                <w:rFonts w:hint="default"/>
                <w:color w:val="auto"/>
                <w:sz w:val="24"/>
                <w:szCs w:val="24"/>
              </w:rPr>
              <w:t>建设一定容量的事故池，以接纳事故情况下排放的污水，保证事故情况下不向外环境排放污水。根据《水体污染防控紧急措施设计导则》规定，仓储区环境突发事件污水处理系统应能容纳一次消防用水量存储，计算事故排水储存</w:t>
            </w:r>
            <w:r>
              <w:rPr>
                <w:rFonts w:hint="eastAsia"/>
                <w:color w:val="auto"/>
                <w:sz w:val="24"/>
                <w:szCs w:val="24"/>
              </w:rPr>
              <w:t>事故池</w:t>
            </w:r>
            <w:r>
              <w:rPr>
                <w:rFonts w:hint="default"/>
                <w:color w:val="auto"/>
                <w:sz w:val="24"/>
                <w:szCs w:val="24"/>
              </w:rPr>
              <w:t>容量：</w:t>
            </w:r>
          </w:p>
          <w:p w14:paraId="6AFEDD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center"/>
              <w:textAlignment w:val="auto"/>
              <w:rPr>
                <w:rFonts w:hint="default"/>
                <w:color w:val="auto"/>
                <w:sz w:val="24"/>
                <w:szCs w:val="24"/>
              </w:rPr>
            </w:pPr>
            <w:r>
              <w:rPr>
                <w:rFonts w:hint="default"/>
                <w:color w:val="auto"/>
                <w:sz w:val="24"/>
                <w:szCs w:val="24"/>
              </w:rPr>
              <w:t>V</w:t>
            </w:r>
            <w:r>
              <w:rPr>
                <w:rFonts w:hint="default"/>
                <w:color w:val="auto"/>
                <w:sz w:val="24"/>
                <w:szCs w:val="24"/>
                <w:vertAlign w:val="subscript"/>
              </w:rPr>
              <w:t>总</w:t>
            </w:r>
            <w:r>
              <w:rPr>
                <w:rFonts w:hint="default"/>
                <w:color w:val="auto"/>
                <w:sz w:val="24"/>
                <w:szCs w:val="24"/>
              </w:rPr>
              <w:t>=（V1+V2-V3）max+V4+V5</w:t>
            </w:r>
          </w:p>
          <w:p w14:paraId="2FADDA9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color w:val="auto"/>
                <w:sz w:val="24"/>
                <w:szCs w:val="24"/>
              </w:rPr>
              <w:t>式中，V</w:t>
            </w:r>
            <w:r>
              <w:rPr>
                <w:rFonts w:hint="default"/>
                <w:color w:val="auto"/>
                <w:sz w:val="24"/>
                <w:szCs w:val="24"/>
                <w:vertAlign w:val="subscript"/>
              </w:rPr>
              <w:t>总</w:t>
            </w:r>
            <w:r>
              <w:rPr>
                <w:rFonts w:hint="default"/>
                <w:color w:val="auto"/>
                <w:sz w:val="24"/>
                <w:szCs w:val="24"/>
              </w:rPr>
              <w:t>——为计算各装置最大量，单位m</w:t>
            </w:r>
            <w:r>
              <w:rPr>
                <w:rFonts w:hint="default"/>
                <w:color w:val="auto"/>
                <w:sz w:val="24"/>
                <w:szCs w:val="24"/>
                <w:vertAlign w:val="superscript"/>
              </w:rPr>
              <w:t>3</w:t>
            </w:r>
            <w:r>
              <w:rPr>
                <w:rFonts w:hint="default"/>
                <w:color w:val="auto"/>
                <w:sz w:val="24"/>
                <w:szCs w:val="24"/>
              </w:rPr>
              <w:t>。</w:t>
            </w:r>
          </w:p>
          <w:p w14:paraId="529E8E2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color w:val="auto"/>
                <w:sz w:val="24"/>
                <w:szCs w:val="24"/>
              </w:rPr>
              <w:t>V1——</w:t>
            </w:r>
            <w:r>
              <w:rPr>
                <w:rFonts w:hint="default" w:ascii="Times New Roman" w:hAnsi="Times New Roman" w:eastAsia="宋体" w:cs="Times New Roman"/>
                <w:b w:val="0"/>
                <w:color w:val="auto"/>
                <w:sz w:val="24"/>
                <w:szCs w:val="24"/>
                <w:highlight w:val="none"/>
              </w:rPr>
              <w:t>收集系统范围内发生事故的储罐或装置的物料量</w:t>
            </w:r>
            <w:r>
              <w:rPr>
                <w:rFonts w:hint="eastAsia" w:ascii="Times New Roman" w:hAnsi="Times New Roman" w:cs="Times New Roman"/>
                <w:b w:val="0"/>
                <w:bCs/>
                <w:color w:val="auto"/>
                <w:sz w:val="24"/>
                <w:szCs w:val="24"/>
                <w:highlight w:val="none"/>
                <w:lang w:eastAsia="zh-CN"/>
              </w:rPr>
              <w:t>（</w:t>
            </w:r>
            <w:r>
              <w:rPr>
                <w:rFonts w:hint="default" w:ascii="Times New Roman" w:hAnsi="Times New Roman" w:eastAsia="宋体" w:cs="Times New Roman"/>
                <w:b w:val="0"/>
                <w:bCs/>
                <w:color w:val="auto"/>
                <w:sz w:val="24"/>
                <w:szCs w:val="24"/>
                <w:highlight w:val="none"/>
              </w:rPr>
              <w:t>注：储存相同物料的罐组按一个最大储罐计，装置物料量按存留最大物料量的一台反应器或中间储罐计</w:t>
            </w:r>
            <w:r>
              <w:rPr>
                <w:rFonts w:hint="eastAsia" w:ascii="Times New Roman" w:hAnsi="Times New Roman" w:cs="Times New Roman"/>
                <w:b w:val="0"/>
                <w:bCs/>
                <w:color w:val="auto"/>
                <w:sz w:val="24"/>
                <w:szCs w:val="24"/>
                <w:highlight w:val="none"/>
                <w:lang w:eastAsia="zh-CN"/>
              </w:rPr>
              <w:t>）</w:t>
            </w:r>
            <w:r>
              <w:rPr>
                <w:rFonts w:hint="default" w:ascii="Times New Roman" w:hAnsi="Times New Roman" w:eastAsia="宋体" w:cs="Times New Roman"/>
                <w:b w:val="0"/>
                <w:color w:val="auto"/>
                <w:sz w:val="24"/>
                <w:szCs w:val="24"/>
                <w:highlight w:val="none"/>
              </w:rPr>
              <w:t>，</w:t>
            </w:r>
            <w:r>
              <w:rPr>
                <w:rFonts w:hint="default"/>
                <w:color w:val="auto"/>
                <w:sz w:val="24"/>
                <w:szCs w:val="24"/>
              </w:rPr>
              <w:t>为</w:t>
            </w:r>
            <w:r>
              <w:rPr>
                <w:rFonts w:hint="eastAsia"/>
                <w:color w:val="auto"/>
                <w:sz w:val="24"/>
                <w:szCs w:val="24"/>
                <w:lang w:val="en-US" w:eastAsia="zh-CN"/>
              </w:rPr>
              <w:t>0</w:t>
            </w:r>
            <w:r>
              <w:rPr>
                <w:rFonts w:hint="default"/>
                <w:color w:val="auto"/>
                <w:sz w:val="24"/>
                <w:szCs w:val="24"/>
              </w:rPr>
              <w:t>m</w:t>
            </w:r>
            <w:r>
              <w:rPr>
                <w:rFonts w:hint="default"/>
                <w:color w:val="auto"/>
                <w:sz w:val="24"/>
                <w:szCs w:val="24"/>
                <w:vertAlign w:val="superscript"/>
              </w:rPr>
              <w:t>3</w:t>
            </w:r>
            <w:r>
              <w:rPr>
                <w:rFonts w:hint="default"/>
                <w:color w:val="auto"/>
                <w:sz w:val="24"/>
                <w:szCs w:val="24"/>
              </w:rPr>
              <w:t>；</w:t>
            </w:r>
          </w:p>
          <w:p w14:paraId="31EFCA8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color w:val="auto"/>
                <w:sz w:val="24"/>
                <w:szCs w:val="24"/>
              </w:rPr>
              <w:t>V2——发生事故的储罐或装置消防水量；</w:t>
            </w:r>
            <w:r>
              <w:rPr>
                <w:rFonts w:hint="default" w:ascii="Times New Roman" w:hAnsi="Times New Roman" w:cs="Times New Roman"/>
                <w:sz w:val="24"/>
                <w:szCs w:val="24"/>
              </w:rPr>
              <w:t>参照《消防给水及消火栓系统技术规范》（GB50974-2014），表3.3.2建筑物室外消火栓设计流量计算，本项目</w:t>
            </w:r>
            <w:r>
              <w:rPr>
                <w:rFonts w:hint="eastAsia" w:cs="Times New Roman"/>
                <w:sz w:val="24"/>
                <w:szCs w:val="24"/>
                <w:lang w:val="en-US" w:eastAsia="zh-CN"/>
              </w:rPr>
              <w:t>室内、</w:t>
            </w:r>
            <w:r>
              <w:rPr>
                <w:rFonts w:hint="default" w:ascii="Times New Roman" w:hAnsi="Times New Roman" w:cs="Times New Roman"/>
                <w:sz w:val="24"/>
                <w:szCs w:val="24"/>
              </w:rPr>
              <w:t>室内消火栓用水量</w:t>
            </w:r>
            <w:r>
              <w:rPr>
                <w:rFonts w:hint="eastAsia" w:cs="Times New Roman"/>
                <w:sz w:val="24"/>
                <w:szCs w:val="24"/>
                <w:lang w:val="en-US" w:eastAsia="zh-CN"/>
              </w:rPr>
              <w:t>40</w:t>
            </w:r>
            <w:r>
              <w:rPr>
                <w:rFonts w:hint="default" w:ascii="Times New Roman" w:hAnsi="Times New Roman" w:cs="Times New Roman"/>
                <w:sz w:val="24"/>
                <w:szCs w:val="24"/>
              </w:rPr>
              <w:t>L/S，以消防历时</w:t>
            </w:r>
            <w:r>
              <w:rPr>
                <w:rFonts w:hint="eastAsia" w:cs="Times New Roman"/>
                <w:sz w:val="24"/>
                <w:szCs w:val="24"/>
                <w:lang w:val="en-US" w:eastAsia="zh-CN"/>
              </w:rPr>
              <w:t>1h</w:t>
            </w:r>
            <w:r>
              <w:rPr>
                <w:rFonts w:hint="default" w:ascii="Times New Roman" w:hAnsi="Times New Roman" w:cs="Times New Roman"/>
                <w:sz w:val="24"/>
                <w:szCs w:val="24"/>
              </w:rPr>
              <w:t>计，事故</w:t>
            </w:r>
            <w:r>
              <w:rPr>
                <w:rFonts w:hint="default" w:ascii="Times New Roman" w:hAnsi="Times New Roman" w:cs="Times New Roman"/>
                <w:sz w:val="24"/>
                <w:szCs w:val="24"/>
                <w:lang w:val="en-US" w:eastAsia="zh-CN"/>
              </w:rPr>
              <w:t>情况下</w:t>
            </w:r>
            <w:r>
              <w:rPr>
                <w:rFonts w:hint="default" w:ascii="Times New Roman" w:hAnsi="Times New Roman" w:cs="Times New Roman"/>
                <w:sz w:val="24"/>
                <w:szCs w:val="24"/>
              </w:rPr>
              <w:t>总用水量为</w:t>
            </w:r>
            <w:r>
              <w:rPr>
                <w:rFonts w:hint="eastAsia" w:cs="Times New Roman"/>
                <w:sz w:val="24"/>
                <w:szCs w:val="24"/>
                <w:lang w:val="en-US" w:eastAsia="zh-CN"/>
              </w:rPr>
              <w:t>144</w:t>
            </w:r>
            <w:r>
              <w:rPr>
                <w:rFonts w:hint="default" w:ascii="Times New Roman" w:hAnsi="Times New Roman" w:cs="Times New Roman"/>
                <w:sz w:val="24"/>
                <w:szCs w:val="24"/>
              </w:rPr>
              <w:t>m</w:t>
            </w:r>
            <w:r>
              <w:rPr>
                <w:rFonts w:hint="default" w:ascii="Times New Roman" w:hAnsi="Times New Roman" w:cs="Times New Roman"/>
                <w:sz w:val="24"/>
                <w:szCs w:val="24"/>
                <w:vertAlign w:val="superscript"/>
              </w:rPr>
              <w:t>3</w:t>
            </w:r>
            <w:r>
              <w:rPr>
                <w:rFonts w:hint="eastAsia" w:cs="Times New Roman"/>
                <w:sz w:val="24"/>
                <w:szCs w:val="24"/>
                <w:lang w:eastAsia="zh-CN"/>
              </w:rPr>
              <w:t>，</w:t>
            </w:r>
            <w:r>
              <w:rPr>
                <w:rFonts w:hint="eastAsia" w:cs="宋体"/>
                <w:sz w:val="24"/>
                <w:szCs w:val="24"/>
              </w:rPr>
              <w:t>事故废水排放量取</w:t>
            </w:r>
            <w:r>
              <w:rPr>
                <w:rFonts w:hint="default"/>
                <w:sz w:val="24"/>
                <w:szCs w:val="24"/>
              </w:rPr>
              <w:t>80%</w:t>
            </w:r>
            <w:r>
              <w:rPr>
                <w:rFonts w:hint="eastAsia" w:cs="宋体"/>
                <w:sz w:val="24"/>
                <w:szCs w:val="24"/>
              </w:rPr>
              <w:t>，则事故废水排放量</w:t>
            </w:r>
            <w:r>
              <w:rPr>
                <w:rFonts w:hint="eastAsia"/>
                <w:sz w:val="24"/>
                <w:szCs w:val="24"/>
                <w:lang w:val="en-US" w:eastAsia="zh-CN"/>
              </w:rPr>
              <w:t>115.2</w:t>
            </w:r>
            <w:r>
              <w:rPr>
                <w:rFonts w:hint="default"/>
                <w:sz w:val="24"/>
                <w:szCs w:val="24"/>
              </w:rPr>
              <w:t>m</w:t>
            </w:r>
            <w:r>
              <w:rPr>
                <w:rFonts w:hint="default"/>
                <w:sz w:val="24"/>
                <w:szCs w:val="24"/>
                <w:vertAlign w:val="superscript"/>
              </w:rPr>
              <w:t>3</w:t>
            </w:r>
            <w:r>
              <w:rPr>
                <w:rFonts w:hint="eastAsia" w:cs="宋体"/>
                <w:sz w:val="24"/>
                <w:szCs w:val="24"/>
                <w:lang w:eastAsia="zh-CN"/>
              </w:rPr>
              <w:t>；</w:t>
            </w:r>
            <w:r>
              <w:rPr>
                <w:rFonts w:hint="eastAsia" w:cs="宋体"/>
                <w:sz w:val="24"/>
                <w:szCs w:val="24"/>
                <w:lang w:val="en-US" w:eastAsia="zh-CN"/>
              </w:rPr>
              <w:t>V2为115.2</w:t>
            </w:r>
            <w:r>
              <w:rPr>
                <w:rFonts w:hint="default"/>
                <w:sz w:val="24"/>
                <w:szCs w:val="24"/>
              </w:rPr>
              <w:t>m</w:t>
            </w:r>
            <w:r>
              <w:rPr>
                <w:rFonts w:hint="default"/>
                <w:sz w:val="24"/>
                <w:szCs w:val="24"/>
                <w:vertAlign w:val="superscript"/>
              </w:rPr>
              <w:t>3</w:t>
            </w:r>
            <w:r>
              <w:rPr>
                <w:rFonts w:hint="eastAsia" w:cs="宋体"/>
                <w:sz w:val="24"/>
                <w:szCs w:val="24"/>
              </w:rPr>
              <w:t>。</w:t>
            </w:r>
          </w:p>
          <w:p w14:paraId="50AA2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color w:val="auto"/>
                <w:sz w:val="24"/>
                <w:szCs w:val="24"/>
              </w:rPr>
              <w:t>V3——发生事故时物料转移至其他容器及单元量，各罐区各自配套一个备用储罐，备用液体储罐为0m</w:t>
            </w:r>
            <w:r>
              <w:rPr>
                <w:rFonts w:hint="default"/>
                <w:color w:val="auto"/>
                <w:sz w:val="24"/>
                <w:szCs w:val="24"/>
                <w:vertAlign w:val="superscript"/>
              </w:rPr>
              <w:t>3</w:t>
            </w:r>
            <w:r>
              <w:rPr>
                <w:rFonts w:hint="default"/>
                <w:color w:val="auto"/>
                <w:sz w:val="24"/>
                <w:szCs w:val="24"/>
              </w:rPr>
              <w:t>。</w:t>
            </w:r>
          </w:p>
          <w:p w14:paraId="1D669B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rPr>
            </w:pPr>
            <w:r>
              <w:rPr>
                <w:rFonts w:hint="default"/>
                <w:color w:val="auto"/>
                <w:sz w:val="24"/>
                <w:szCs w:val="24"/>
              </w:rPr>
              <w:t>V4——发生事故时必须进入该系统的生产废水量根据项目情况，0m</w:t>
            </w:r>
            <w:r>
              <w:rPr>
                <w:rFonts w:hint="default"/>
                <w:color w:val="auto"/>
                <w:sz w:val="24"/>
                <w:szCs w:val="24"/>
                <w:vertAlign w:val="superscript"/>
              </w:rPr>
              <w:t>3</w:t>
            </w:r>
            <w:r>
              <w:rPr>
                <w:rFonts w:hint="default"/>
                <w:color w:val="auto"/>
                <w:sz w:val="24"/>
                <w:szCs w:val="24"/>
              </w:rPr>
              <w:t>；</w:t>
            </w:r>
          </w:p>
          <w:p w14:paraId="19B0AAF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V5——发生事故时可能进入该收集系统的降雨量</w:t>
            </w:r>
            <w:r>
              <w:rPr>
                <w:rFonts w:hint="eastAsia" w:cs="Times New Roman"/>
                <w:color w:val="auto"/>
                <w:sz w:val="24"/>
                <w:szCs w:val="24"/>
                <w:lang w:eastAsia="zh-CN"/>
              </w:rPr>
              <w:t>；</w:t>
            </w:r>
          </w:p>
          <w:p w14:paraId="225D5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V</w:t>
            </w:r>
            <w:r>
              <w:rPr>
                <w:rFonts w:hint="default" w:ascii="Times New Roman" w:hAnsi="Times New Roman" w:cs="Times New Roman"/>
                <w:color w:val="auto"/>
                <w:sz w:val="24"/>
                <w:szCs w:val="24"/>
                <w:highlight w:val="none"/>
                <w:vertAlign w:val="subscript"/>
              </w:rPr>
              <w:t>5</w:t>
            </w:r>
            <w:r>
              <w:rPr>
                <w:rFonts w:hint="default" w:ascii="Times New Roman" w:hAnsi="Times New Roman" w:cs="Times New Roman"/>
                <w:color w:val="auto"/>
                <w:sz w:val="24"/>
                <w:szCs w:val="24"/>
                <w:highlight w:val="none"/>
              </w:rPr>
              <w:t>=10qF</w:t>
            </w:r>
            <w:r>
              <w:rPr>
                <w:rFonts w:hint="eastAsia" w:cs="Times New Roman"/>
                <w:color w:val="auto"/>
                <w:sz w:val="24"/>
                <w:szCs w:val="24"/>
                <w:highlight w:val="none"/>
                <w:lang w:val="en-US" w:eastAsia="zh-CN"/>
              </w:rPr>
              <w:t xml:space="preserve">              </w:t>
            </w:r>
          </w:p>
          <w:p w14:paraId="5E016D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q——降雨强度，mm；按平均日降雨量；q=qa/n</w:t>
            </w:r>
          </w:p>
          <w:p w14:paraId="20FE6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qa——年平均降雨量，</w:t>
            </w:r>
            <w:r>
              <w:rPr>
                <w:rFonts w:hint="eastAsia" w:ascii="Times New Roman" w:hAnsi="Times New Roman" w:cs="Times New Roman"/>
                <w:color w:val="auto"/>
                <w:sz w:val="24"/>
                <w:szCs w:val="24"/>
                <w:highlight w:val="none"/>
                <w:lang w:val="en-US" w:eastAsia="zh-CN"/>
              </w:rPr>
              <w:t>根据淮北市人民政府网站公布的数据，淮北市年平均降雨量为849.6mm</w:t>
            </w:r>
            <w:r>
              <w:rPr>
                <w:rFonts w:hint="default" w:ascii="Times New Roman" w:hAnsi="Times New Roman" w:cs="Times New Roman"/>
                <w:color w:val="auto"/>
                <w:sz w:val="24"/>
                <w:szCs w:val="24"/>
                <w:highlight w:val="none"/>
              </w:rPr>
              <w:t>；</w:t>
            </w:r>
          </w:p>
          <w:p w14:paraId="19B30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n——年平均降雨日数，</w:t>
            </w:r>
            <w:r>
              <w:rPr>
                <w:rFonts w:hint="eastAsia" w:ascii="Times New Roman" w:hAnsi="Times New Roman" w:cs="Times New Roman"/>
                <w:color w:val="auto"/>
                <w:sz w:val="24"/>
                <w:szCs w:val="24"/>
                <w:highlight w:val="none"/>
                <w:lang w:val="en-US" w:eastAsia="zh-CN"/>
              </w:rPr>
              <w:t>根据淮北市人民政府网站公布的数据，淮北市年平均降雨日数</w:t>
            </w:r>
            <w:r>
              <w:rPr>
                <w:rFonts w:hint="default" w:ascii="Times New Roman" w:hAnsi="Times New Roman" w:cs="Times New Roman"/>
                <w:color w:val="auto"/>
                <w:sz w:val="24"/>
                <w:szCs w:val="24"/>
                <w:highlight w:val="none"/>
              </w:rPr>
              <w:t>84天；</w:t>
            </w:r>
          </w:p>
          <w:p w14:paraId="657D7F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则</w:t>
            </w:r>
            <w:r>
              <w:rPr>
                <w:rFonts w:hint="eastAsia" w:ascii="Times New Roman" w:hAnsi="Times New Roman" w:cs="Times New Roman"/>
                <w:color w:val="auto"/>
                <w:sz w:val="24"/>
                <w:szCs w:val="24"/>
                <w:highlight w:val="none"/>
                <w:lang w:val="en-US" w:eastAsia="zh-CN"/>
              </w:rPr>
              <w:t>q</w:t>
            </w:r>
            <w:r>
              <w:rPr>
                <w:rFonts w:hint="eastAsia" w:cs="Times New Roman"/>
                <w:color w:val="auto"/>
                <w:sz w:val="24"/>
                <w:szCs w:val="24"/>
                <w:highlight w:val="none"/>
                <w:lang w:val="en-US" w:eastAsia="zh-CN"/>
              </w:rPr>
              <w:t>=849.6/84=</w:t>
            </w:r>
            <w:r>
              <w:rPr>
                <w:rFonts w:hint="eastAsia" w:ascii="Times New Roman" w:hAnsi="Times New Roman" w:cs="Times New Roman"/>
                <w:color w:val="auto"/>
                <w:sz w:val="24"/>
                <w:szCs w:val="24"/>
                <w:highlight w:val="none"/>
                <w:lang w:val="en-US" w:eastAsia="zh-CN"/>
              </w:rPr>
              <w:t>10.114mm；</w:t>
            </w:r>
          </w:p>
          <w:p w14:paraId="17F197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F——必须进入事故废水收集系统的雨水汇水面积，</w:t>
            </w:r>
            <w:r>
              <w:rPr>
                <w:rFonts w:hint="eastAsia" w:cs="Times New Roman"/>
                <w:color w:val="auto"/>
                <w:sz w:val="24"/>
                <w:szCs w:val="24"/>
                <w:highlight w:val="none"/>
                <w:lang w:val="en-US" w:eastAsia="zh-CN"/>
              </w:rPr>
              <w:t>1.13</w:t>
            </w:r>
            <w:r>
              <w:rPr>
                <w:rFonts w:hint="eastAsia" w:ascii="Times New Roman" w:hAnsi="Times New Roman" w:cs="Times New Roman"/>
                <w:color w:val="auto"/>
                <w:sz w:val="24"/>
                <w:szCs w:val="24"/>
                <w:highlight w:val="none"/>
                <w:lang w:val="en-US" w:eastAsia="zh-CN"/>
              </w:rPr>
              <w:t>hm</w:t>
            </w:r>
            <w:r>
              <w:rPr>
                <w:rFonts w:hint="eastAsia" w:ascii="Times New Roman" w:hAnsi="Times New Roman" w:cs="Times New Roman"/>
                <w:color w:val="auto"/>
                <w:sz w:val="24"/>
                <w:szCs w:val="24"/>
                <w:highlight w:val="none"/>
                <w:vertAlign w:val="superscript"/>
                <w:lang w:val="en-US" w:eastAsia="zh-CN"/>
              </w:rPr>
              <w:t>2</w:t>
            </w:r>
            <w:r>
              <w:rPr>
                <w:rFonts w:hint="eastAsia" w:ascii="Times New Roman" w:hAnsi="Times New Roman" w:cs="Times New Roman"/>
                <w:color w:val="auto"/>
                <w:sz w:val="24"/>
                <w:szCs w:val="24"/>
                <w:highlight w:val="none"/>
                <w:lang w:val="en-US" w:eastAsia="zh-CN"/>
              </w:rPr>
              <w:t>。</w:t>
            </w:r>
          </w:p>
          <w:p w14:paraId="3E28AD34">
            <w:pPr>
              <w:keepNext w:val="0"/>
              <w:keepLines w:val="0"/>
              <w:pageBreakBefore w:val="0"/>
              <w:widowControl w:val="0"/>
              <w:suppressLineNumbers w:val="0"/>
              <w:kinsoku/>
              <w:overflowPunct/>
              <w:autoSpaceDE/>
              <w:autoSpaceDN/>
              <w:bidi w:val="0"/>
              <w:adjustRightInd/>
              <w:snapToGrid/>
              <w:spacing w:before="0" w:beforeAutospacing="0" w:after="0" w:afterAutospacing="0" w:line="360" w:lineRule="auto"/>
              <w:ind w:left="0" w:right="0" w:firstLine="480" w:firstLineChars="200"/>
              <w:textAlignment w:val="auto"/>
              <w:rPr>
                <w:rFonts w:hint="default" w:eastAsia="宋体"/>
                <w:color w:val="auto"/>
                <w:sz w:val="24"/>
                <w:szCs w:val="24"/>
                <w:vertAlign w:val="baseline"/>
                <w:lang w:val="en-US" w:eastAsia="zh-CN"/>
              </w:rPr>
            </w:pPr>
            <w:r>
              <w:rPr>
                <w:rFonts w:hint="eastAsia"/>
                <w:color w:val="auto"/>
                <w:sz w:val="24"/>
                <w:szCs w:val="24"/>
                <w:lang w:val="en-US" w:eastAsia="zh-CN"/>
              </w:rPr>
              <w:t>则V</w:t>
            </w:r>
            <w:r>
              <w:rPr>
                <w:rFonts w:hint="eastAsia"/>
                <w:color w:val="auto"/>
                <w:sz w:val="24"/>
                <w:szCs w:val="24"/>
                <w:vertAlign w:val="subscript"/>
                <w:lang w:val="en-US" w:eastAsia="zh-CN"/>
              </w:rPr>
              <w:t>5</w:t>
            </w:r>
            <w:r>
              <w:rPr>
                <w:rFonts w:hint="eastAsia"/>
                <w:color w:val="auto"/>
                <w:sz w:val="24"/>
                <w:szCs w:val="24"/>
                <w:lang w:val="en-US" w:eastAsia="zh-CN"/>
              </w:rPr>
              <w:t>=10</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10.114</w:t>
            </w:r>
            <w:r>
              <w:rPr>
                <w:rFonts w:hint="default" w:ascii="Times New Roman" w:hAnsi="Times New Roman" w:cs="Times New Roman"/>
                <w:color w:val="auto"/>
                <w:sz w:val="24"/>
                <w:szCs w:val="24"/>
                <w:lang w:val="en-US" w:eastAsia="zh-CN"/>
              </w:rPr>
              <w:t>×</w:t>
            </w:r>
            <w:r>
              <w:rPr>
                <w:rFonts w:hint="eastAsia" w:cs="Times New Roman"/>
                <w:color w:val="auto"/>
                <w:sz w:val="24"/>
                <w:szCs w:val="24"/>
                <w:highlight w:val="none"/>
                <w:lang w:val="en-US" w:eastAsia="zh-CN"/>
              </w:rPr>
              <w:t>1.13</w:t>
            </w:r>
            <w:r>
              <w:rPr>
                <w:rFonts w:hint="eastAsia" w:cs="Times New Roman"/>
                <w:color w:val="auto"/>
                <w:sz w:val="24"/>
                <w:szCs w:val="24"/>
                <w:lang w:val="en-US" w:eastAsia="zh-CN"/>
              </w:rPr>
              <w:t>=</w:t>
            </w:r>
            <w:r>
              <w:rPr>
                <w:rFonts w:hint="eastAsia"/>
                <w:color w:val="auto"/>
                <w:sz w:val="24"/>
                <w:szCs w:val="24"/>
                <w:lang w:val="en-US" w:eastAsia="zh-CN"/>
              </w:rPr>
              <w:t>114.288</w:t>
            </w:r>
            <w:r>
              <w:rPr>
                <w:rFonts w:hint="eastAsia" w:ascii="Times New Roman" w:hAnsi="Times New Roman" w:cs="Times New Roman"/>
                <w:color w:val="auto"/>
                <w:sz w:val="24"/>
                <w:szCs w:val="24"/>
                <w:highlight w:val="none"/>
                <w:lang w:val="en-US" w:eastAsia="zh-CN"/>
              </w:rPr>
              <w:t>m</w:t>
            </w:r>
            <w:r>
              <w:rPr>
                <w:rFonts w:hint="eastAsia" w:ascii="Times New Roman" w:hAnsi="Times New Roman" w:cs="Times New Roman"/>
                <w:color w:val="auto"/>
                <w:sz w:val="24"/>
                <w:szCs w:val="24"/>
                <w:highlight w:val="none"/>
                <w:vertAlign w:val="superscript"/>
                <w:lang w:val="en-US" w:eastAsia="zh-CN"/>
              </w:rPr>
              <w:t>3</w:t>
            </w:r>
            <w:r>
              <w:rPr>
                <w:rFonts w:hint="eastAsia" w:ascii="Times New Roman" w:hAnsi="Times New Roman" w:cs="Times New Roman"/>
                <w:color w:val="auto"/>
                <w:sz w:val="24"/>
                <w:szCs w:val="24"/>
                <w:highlight w:val="none"/>
                <w:vertAlign w:val="baseline"/>
                <w:lang w:val="en-US" w:eastAsia="zh-CN"/>
              </w:rPr>
              <w:t>。</w:t>
            </w:r>
          </w:p>
          <w:p w14:paraId="53C43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rPr>
            </w:pPr>
            <w:r>
              <w:rPr>
                <w:rFonts w:hint="default"/>
                <w:color w:val="auto"/>
                <w:sz w:val="24"/>
                <w:szCs w:val="24"/>
              </w:rPr>
              <w:t>综上，V总=</w:t>
            </w:r>
            <w:r>
              <w:rPr>
                <w:rFonts w:hint="eastAsia"/>
                <w:color w:val="auto"/>
                <w:sz w:val="24"/>
                <w:szCs w:val="24"/>
                <w:lang w:val="en-US" w:eastAsia="zh-CN"/>
              </w:rPr>
              <w:t>229.488</w:t>
            </w:r>
            <w:r>
              <w:rPr>
                <w:rFonts w:hint="default"/>
                <w:color w:val="auto"/>
                <w:sz w:val="24"/>
                <w:szCs w:val="24"/>
              </w:rPr>
              <w:t>m</w:t>
            </w:r>
            <w:r>
              <w:rPr>
                <w:rFonts w:hint="default"/>
                <w:color w:val="auto"/>
                <w:sz w:val="24"/>
                <w:szCs w:val="24"/>
                <w:vertAlign w:val="superscript"/>
              </w:rPr>
              <w:t>3</w:t>
            </w:r>
            <w:r>
              <w:rPr>
                <w:rFonts w:hint="default"/>
                <w:color w:val="auto"/>
                <w:sz w:val="24"/>
                <w:szCs w:val="24"/>
              </w:rPr>
              <w:t>。</w:t>
            </w:r>
            <w:r>
              <w:rPr>
                <w:rFonts w:hint="eastAsia"/>
                <w:color w:val="auto"/>
                <w:sz w:val="24"/>
                <w:szCs w:val="24"/>
              </w:rPr>
              <w:t>本项目</w:t>
            </w:r>
            <w:r>
              <w:rPr>
                <w:rFonts w:hint="eastAsia"/>
                <w:color w:val="auto"/>
                <w:sz w:val="24"/>
                <w:szCs w:val="24"/>
                <w:lang w:val="en-US" w:eastAsia="zh-CN"/>
              </w:rPr>
              <w:t>综合楼西侧设置</w:t>
            </w:r>
            <w:r>
              <w:rPr>
                <w:rFonts w:hint="default"/>
                <w:color w:val="auto"/>
                <w:sz w:val="24"/>
                <w:szCs w:val="24"/>
              </w:rPr>
              <w:t>一座</w:t>
            </w:r>
            <w:r>
              <w:rPr>
                <w:rFonts w:hint="eastAsia"/>
                <w:color w:val="auto"/>
                <w:sz w:val="24"/>
                <w:szCs w:val="24"/>
                <w:lang w:val="en-US" w:eastAsia="zh-CN"/>
              </w:rPr>
              <w:t>300</w:t>
            </w:r>
            <w:r>
              <w:rPr>
                <w:rFonts w:hint="default"/>
                <w:color w:val="auto"/>
                <w:sz w:val="24"/>
                <w:szCs w:val="24"/>
              </w:rPr>
              <w:t>m</w:t>
            </w:r>
            <w:r>
              <w:rPr>
                <w:rFonts w:hint="default"/>
                <w:color w:val="auto"/>
                <w:sz w:val="24"/>
                <w:szCs w:val="24"/>
                <w:vertAlign w:val="superscript"/>
              </w:rPr>
              <w:t>3</w:t>
            </w:r>
            <w:r>
              <w:rPr>
                <w:rFonts w:hint="eastAsia"/>
                <w:color w:val="auto"/>
                <w:sz w:val="24"/>
                <w:szCs w:val="24"/>
              </w:rPr>
              <w:t>事故</w:t>
            </w:r>
            <w:r>
              <w:rPr>
                <w:rFonts w:hint="default"/>
                <w:color w:val="auto"/>
                <w:sz w:val="24"/>
                <w:szCs w:val="24"/>
              </w:rPr>
              <w:t>池，能够满足项目消防用水需求以及事故污水收集需要。</w:t>
            </w:r>
          </w:p>
          <w:p w14:paraId="666BE34A">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根据现场勘查并听取建设单位相关要求和建议，环评单位对应急池提出以下要求：</w:t>
            </w:r>
          </w:p>
          <w:p w14:paraId="34235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①污水应急池与产污源地之间需建设相应管道，一旦产生消防废水时，污水可以</w:t>
            </w:r>
            <w:r>
              <w:rPr>
                <w:rFonts w:hint="eastAsia" w:cs="Times New Roman"/>
                <w:color w:val="auto"/>
                <w:sz w:val="24"/>
                <w:szCs w:val="24"/>
                <w:lang w:val="en-US" w:eastAsia="zh-CN"/>
              </w:rPr>
              <w:t>自流</w:t>
            </w:r>
            <w:r>
              <w:rPr>
                <w:rFonts w:hint="default" w:ascii="Times New Roman" w:hAnsi="Times New Roman" w:eastAsia="宋体" w:cs="Times New Roman"/>
                <w:color w:val="auto"/>
                <w:sz w:val="24"/>
                <w:szCs w:val="24"/>
              </w:rPr>
              <w:t>进入应急池进行暂存；</w:t>
            </w:r>
          </w:p>
          <w:p w14:paraId="69AA1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②对污水应急池进行内壁硬化和防腐处理，以免发生污水渗漏而造成地下水污染事故；</w:t>
            </w:r>
          </w:p>
          <w:p w14:paraId="5FC8B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textAlignment w:val="auto"/>
              <w:rPr>
                <w:rFonts w:hint="default"/>
                <w:sz w:val="24"/>
                <w:szCs w:val="24"/>
              </w:rPr>
            </w:pPr>
            <w:r>
              <w:rPr>
                <w:rFonts w:hint="default" w:ascii="Times New Roman" w:hAnsi="Times New Roman" w:eastAsia="宋体" w:cs="Times New Roman"/>
                <w:sz w:val="24"/>
                <w:szCs w:val="24"/>
              </w:rPr>
              <w:t>③平时污水应急池须保持空的状态，不得另作他用。</w:t>
            </w:r>
          </w:p>
          <w:p w14:paraId="3EAC4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cs="宋体"/>
                <w:snapToGrid w:val="0"/>
                <w:sz w:val="24"/>
                <w:szCs w:val="24"/>
              </w:rPr>
            </w:pPr>
            <w:r>
              <w:rPr>
                <w:rFonts w:hint="eastAsia" w:cs="宋体"/>
                <w:snapToGrid w:val="0"/>
                <w:sz w:val="24"/>
                <w:szCs w:val="24"/>
              </w:rPr>
              <w:t>另外，要保证消防用水的收集，严禁排入外环境。为防止消防废水排入外环境，要求在易发生火灾事故，且易造成物料流失的区域设置地沟、围堰等设施，同时将消防废水引入事故储池，根据消防废水的实际情况，在咨询相关环保及消防专家意见的前提下，制定可靠的消防废水处理方案，对废水进行合理处理。</w:t>
            </w:r>
          </w:p>
          <w:p w14:paraId="54E2F6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default" w:ascii="Times New Roman" w:hAnsi="Times New Roman" w:cs="Times New Roman"/>
                <w:snapToGrid w:val="0"/>
                <w:sz w:val="24"/>
                <w:szCs w:val="24"/>
                <w:lang w:val="en-US" w:eastAsia="zh-CN"/>
              </w:rPr>
            </w:pPr>
            <w:r>
              <w:rPr>
                <w:rFonts w:hint="default" w:ascii="Times New Roman" w:hAnsi="Times New Roman" w:cs="Times New Roman"/>
                <w:snapToGrid w:val="0"/>
                <w:sz w:val="24"/>
                <w:szCs w:val="24"/>
                <w:lang w:val="en-US" w:eastAsia="zh-CN"/>
              </w:rPr>
              <w:t>综上，企业采取分区防渗措施，对重点防渗区，地面采用水泥砂浆抹面、找平，并且涂上环氧树脂防腐防渗</w:t>
            </w:r>
            <w:r>
              <w:rPr>
                <w:rFonts w:hint="eastAsia" w:cs="Times New Roman"/>
                <w:snapToGrid w:val="0"/>
                <w:sz w:val="24"/>
                <w:szCs w:val="24"/>
                <w:lang w:val="en-US" w:eastAsia="zh-CN"/>
              </w:rPr>
              <w:t>。</w:t>
            </w:r>
          </w:p>
          <w:p w14:paraId="460B6A01">
            <w:pPr>
              <w:keepNext w:val="0"/>
              <w:keepLines w:val="0"/>
              <w:suppressLineNumbers w:val="0"/>
              <w:spacing w:before="0" w:beforeAutospacing="0" w:after="0" w:afterAutospacing="0" w:line="360" w:lineRule="auto"/>
              <w:ind w:left="0" w:leftChars="0" w:right="0" w:firstLine="0" w:firstLineChars="0"/>
              <w:rPr>
                <w:rStyle w:val="37"/>
                <w:rFonts w:hint="default"/>
                <w:color w:val="000000" w:themeColor="text1"/>
                <w:kern w:val="0"/>
                <w:szCs w:val="20"/>
                <w14:textFill>
                  <w14:solidFill>
                    <w14:schemeClr w14:val="tx1"/>
                  </w14:solidFill>
                </w14:textFill>
              </w:rPr>
            </w:pPr>
            <w:r>
              <w:rPr>
                <w:rFonts w:hint="eastAsia" w:ascii="Times New Roman" w:hAnsi="Times New Roman" w:cs="Times New Roman"/>
                <w:b/>
                <w:bCs/>
                <w:color w:val="000000"/>
                <w:sz w:val="24"/>
                <w:lang w:val="en-US" w:eastAsia="zh-CN"/>
              </w:rPr>
              <w:t>6.4应急</w:t>
            </w:r>
            <w:r>
              <w:rPr>
                <w:rFonts w:hint="eastAsia" w:ascii="Times New Roman" w:hAnsi="Times New Roman" w:eastAsia="宋体" w:cs="Times New Roman"/>
                <w:b/>
                <w:bCs/>
                <w:color w:val="000000"/>
                <w:sz w:val="24"/>
                <w:lang w:val="en-US" w:eastAsia="zh-CN"/>
              </w:rPr>
              <w:t>措施</w:t>
            </w:r>
          </w:p>
          <w:p w14:paraId="48AB41F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本预案适用于在本项目区域内人为或不可抗力造成</w:t>
            </w:r>
            <w:r>
              <w:rPr>
                <w:rFonts w:hint="eastAsia" w:ascii="Times New Roman" w:hAnsi="Times New Roman" w:cs="Times New Roman"/>
                <w:color w:val="000000" w:themeColor="text1"/>
                <w:sz w:val="24"/>
                <w:lang w:val="en-US" w:eastAsia="zh-CN"/>
                <w14:textFill>
                  <w14:solidFill>
                    <w14:schemeClr w14:val="tx1"/>
                  </w14:solidFill>
                </w14:textFill>
              </w:rPr>
              <w:t>危险废物流失</w:t>
            </w:r>
            <w:r>
              <w:rPr>
                <w:rFonts w:hint="default" w:ascii="Times New Roman" w:hAnsi="Times New Roman" w:cs="Times New Roman"/>
                <w:color w:val="000000" w:themeColor="text1"/>
                <w:sz w:val="24"/>
                <w:lang w:val="en-US" w:eastAsia="zh-CN"/>
                <w14:textFill>
                  <w14:solidFill>
                    <w14:schemeClr w14:val="tx1"/>
                  </w14:solidFill>
                </w14:textFill>
              </w:rPr>
              <w:t>。</w:t>
            </w:r>
          </w:p>
          <w:p w14:paraId="7C29710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对可能发生的事故，应制订应急计划，使各部门在事故发生后能有步骤、有秩序地采取各项应急措施。</w:t>
            </w:r>
          </w:p>
          <w:p w14:paraId="4E321FB8">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①</w:t>
            </w:r>
            <w:r>
              <w:rPr>
                <w:rFonts w:hint="default" w:ascii="Times New Roman" w:hAnsi="Times New Roman" w:cs="Times New Roman"/>
                <w:color w:val="000000" w:themeColor="text1"/>
                <w:sz w:val="24"/>
                <w14:textFill>
                  <w14:solidFill>
                    <w14:schemeClr w14:val="tx1"/>
                  </w14:solidFill>
                </w14:textFill>
              </w:rPr>
              <w:t>事故发生后，应根据具体情况采取应急措施，立即进行相应处理，包括洒漏危险废物的再收集</w:t>
            </w:r>
            <w:r>
              <w:rPr>
                <w:rFonts w:hint="eastAsia" w:ascii="Times New Roman" w:hAnsi="Times New Roman" w:cs="Times New Roman"/>
                <w:color w:val="000000" w:themeColor="text1"/>
                <w:sz w:val="24"/>
                <w:lang w:val="en-US" w:eastAsia="zh-CN"/>
                <w14:textFill>
                  <w14:solidFill>
                    <w14:schemeClr w14:val="tx1"/>
                  </w14:solidFill>
                </w14:textFill>
              </w:rPr>
              <w:t>等</w:t>
            </w:r>
            <w:r>
              <w:rPr>
                <w:rFonts w:hint="default" w:ascii="Times New Roman" w:hAnsi="Times New Roman" w:cs="Times New Roman"/>
                <w:color w:val="000000" w:themeColor="text1"/>
                <w:sz w:val="24"/>
                <w14:textFill>
                  <w14:solidFill>
                    <w14:schemeClr w14:val="tx1"/>
                  </w14:solidFill>
                </w14:textFill>
              </w:rPr>
              <w:t>，同时根据事故类型、大小启动相应的应急预案；</w:t>
            </w:r>
          </w:p>
          <w:p w14:paraId="7135A83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②</w:t>
            </w:r>
            <w:r>
              <w:rPr>
                <w:rFonts w:hint="default" w:ascii="Times New Roman" w:hAnsi="Times New Roman" w:cs="Times New Roman"/>
                <w:color w:val="000000" w:themeColor="text1"/>
                <w:sz w:val="24"/>
                <w14:textFill>
                  <w14:solidFill>
                    <w14:schemeClr w14:val="tx1"/>
                  </w14:solidFill>
                </w14:textFill>
              </w:rPr>
              <w:t>发生重大事故，应立即上报相关部门，启动社会救援系统，就近地区调拨专业救援队伍协助处理；</w:t>
            </w:r>
          </w:p>
          <w:p w14:paraId="5364945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③</w:t>
            </w:r>
            <w:r>
              <w:rPr>
                <w:rFonts w:hint="default" w:ascii="Times New Roman" w:hAnsi="Times New Roman" w:cs="Times New Roman"/>
                <w:color w:val="000000" w:themeColor="text1"/>
                <w:sz w:val="24"/>
                <w14:textFill>
                  <w14:solidFill>
                    <w14:schemeClr w14:val="tx1"/>
                  </w14:solidFill>
                </w14:textFill>
              </w:rPr>
              <w:t>事故发生后，应立即通知当地突发事故领导小组、环保、消防、供电、自来水公司等部门，进行必要的救援与监控。</w:t>
            </w:r>
          </w:p>
          <w:p w14:paraId="4EA599A4">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根据本环境风险分析的结果，对于本项目可能造成环境风险的突发性事故制定应急预案纲要（</w:t>
            </w:r>
            <w:r>
              <w:rPr>
                <w:rFonts w:hint="default" w:ascii="Times New Roman" w:hAnsi="Times New Roman" w:cs="Times New Roman"/>
                <w:b/>
                <w:bCs/>
                <w:color w:val="000000" w:themeColor="text1"/>
                <w:sz w:val="24"/>
                <w14:textFill>
                  <w14:solidFill>
                    <w14:schemeClr w14:val="tx1"/>
                  </w14:solidFill>
                </w14:textFill>
              </w:rPr>
              <w:t>本表为应急预案纲要，项目建成运营后应制定专业的风险应急预案</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供项目决策人参考。</w:t>
            </w:r>
          </w:p>
          <w:p w14:paraId="48D48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表</w:t>
            </w:r>
            <w:r>
              <w:rPr>
                <w:rFonts w:hint="eastAsia" w:ascii="Times New Roman" w:hAnsi="Times New Roman" w:cs="Times New Roman"/>
                <w:b/>
                <w:bCs/>
                <w:color w:val="000000" w:themeColor="text1"/>
                <w:sz w:val="24"/>
                <w:lang w:val="en-US" w:eastAsia="zh-CN"/>
                <w14:textFill>
                  <w14:solidFill>
                    <w14:schemeClr w14:val="tx1"/>
                  </w14:solidFill>
                </w14:textFill>
              </w:rPr>
              <w:t>4-</w:t>
            </w:r>
            <w:r>
              <w:rPr>
                <w:rFonts w:hint="eastAsia" w:cs="Times New Roman"/>
                <w:b/>
                <w:bCs/>
                <w:color w:val="000000" w:themeColor="text1"/>
                <w:sz w:val="24"/>
                <w:lang w:val="en-US" w:eastAsia="zh-CN"/>
                <w14:textFill>
                  <w14:solidFill>
                    <w14:schemeClr w14:val="tx1"/>
                  </w14:solidFill>
                </w14:textFill>
              </w:rPr>
              <w:t>33</w:t>
            </w:r>
            <w:r>
              <w:rPr>
                <w:rFonts w:hint="default" w:ascii="Times New Roman" w:hAnsi="Times New Roman" w:cs="Times New Roman"/>
                <w:b/>
                <w:bCs/>
                <w:color w:val="000000" w:themeColor="text1"/>
                <w:sz w:val="24"/>
                <w14:textFill>
                  <w14:solidFill>
                    <w14:schemeClr w14:val="tx1"/>
                  </w14:solidFill>
                </w14:textFill>
              </w:rPr>
              <w:t xml:space="preserve">  环境风险突发事故应急预案纲要</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446"/>
              <w:gridCol w:w="6167"/>
            </w:tblGrid>
            <w:tr w14:paraId="5245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299A2714">
                  <w:pPr>
                    <w:pStyle w:val="40"/>
                    <w:keepNext w:val="0"/>
                    <w:keepLines w:val="0"/>
                    <w:suppressLineNumbers w:val="0"/>
                    <w:bidi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序号</w:t>
                  </w:r>
                </w:p>
              </w:tc>
              <w:tc>
                <w:tcPr>
                  <w:tcW w:w="1500" w:type="dxa"/>
                  <w:tcBorders>
                    <w:tl2br w:val="nil"/>
                    <w:tr2bl w:val="nil"/>
                  </w:tcBorders>
                  <w:noWrap w:val="0"/>
                  <w:vAlign w:val="center"/>
                </w:tcPr>
                <w:p w14:paraId="65F9A558">
                  <w:pPr>
                    <w:pStyle w:val="40"/>
                    <w:keepNext w:val="0"/>
                    <w:keepLines w:val="0"/>
                    <w:suppressLineNumbers w:val="0"/>
                    <w:bidi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项目</w:t>
                  </w:r>
                </w:p>
              </w:tc>
              <w:tc>
                <w:tcPr>
                  <w:tcW w:w="6397" w:type="dxa"/>
                  <w:tcBorders>
                    <w:tl2br w:val="nil"/>
                    <w:tr2bl w:val="nil"/>
                  </w:tcBorders>
                  <w:noWrap w:val="0"/>
                  <w:vAlign w:val="center"/>
                </w:tcPr>
                <w:p w14:paraId="3232F027">
                  <w:pPr>
                    <w:pStyle w:val="40"/>
                    <w:keepNext w:val="0"/>
                    <w:keepLines w:val="0"/>
                    <w:suppressLineNumbers w:val="0"/>
                    <w:bidi w:val="0"/>
                    <w:spacing w:before="0" w:beforeAutospacing="0" w:after="0" w:afterAutospacing="0"/>
                    <w:ind w:left="0" w:right="0"/>
                    <w:rPr>
                      <w:rFonts w:hint="default"/>
                      <w:b/>
                      <w:bCs/>
                      <w:color w:val="000000" w:themeColor="text1"/>
                      <w14:textFill>
                        <w14:solidFill>
                          <w14:schemeClr w14:val="tx1"/>
                        </w14:solidFill>
                      </w14:textFill>
                    </w:rPr>
                  </w:pPr>
                  <w:r>
                    <w:rPr>
                      <w:rFonts w:hint="default"/>
                      <w:b/>
                      <w:bCs/>
                      <w:color w:val="000000" w:themeColor="text1"/>
                      <w14:textFill>
                        <w14:solidFill>
                          <w14:schemeClr w14:val="tx1"/>
                        </w14:solidFill>
                      </w14:textFill>
                    </w:rPr>
                    <w:t>内容及要求</w:t>
                  </w:r>
                </w:p>
              </w:tc>
            </w:tr>
            <w:tr w14:paraId="082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437C837E">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p>
              </w:tc>
              <w:tc>
                <w:tcPr>
                  <w:tcW w:w="1500" w:type="dxa"/>
                  <w:tcBorders>
                    <w:tl2br w:val="nil"/>
                    <w:tr2bl w:val="nil"/>
                  </w:tcBorders>
                  <w:noWrap w:val="0"/>
                  <w:vAlign w:val="center"/>
                </w:tcPr>
                <w:p w14:paraId="01A0FEB2">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危险源情况</w:t>
                  </w:r>
                </w:p>
              </w:tc>
              <w:tc>
                <w:tcPr>
                  <w:tcW w:w="6397" w:type="dxa"/>
                  <w:tcBorders>
                    <w:tl2br w:val="nil"/>
                    <w:tr2bl w:val="nil"/>
                  </w:tcBorders>
                  <w:noWrap w:val="0"/>
                  <w:vAlign w:val="center"/>
                </w:tcPr>
                <w:p w14:paraId="7E4CF300">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详细说明危险源类型、数量、分布及其对环境的风险</w:t>
                  </w:r>
                </w:p>
              </w:tc>
            </w:tr>
            <w:tr w14:paraId="542D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7BD739BF">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p>
              </w:tc>
              <w:tc>
                <w:tcPr>
                  <w:tcW w:w="1500" w:type="dxa"/>
                  <w:tcBorders>
                    <w:tl2br w:val="nil"/>
                    <w:tr2bl w:val="nil"/>
                  </w:tcBorders>
                  <w:noWrap w:val="0"/>
                  <w:vAlign w:val="center"/>
                </w:tcPr>
                <w:p w14:paraId="6034B08E">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应急计划区</w:t>
                  </w:r>
                </w:p>
              </w:tc>
              <w:tc>
                <w:tcPr>
                  <w:tcW w:w="6397" w:type="dxa"/>
                  <w:tcBorders>
                    <w:tl2br w:val="nil"/>
                    <w:tr2bl w:val="nil"/>
                  </w:tcBorders>
                  <w:noWrap w:val="0"/>
                  <w:vAlign w:val="center"/>
                </w:tcPr>
                <w:p w14:paraId="376A1F79">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危险废物贮存点</w:t>
                  </w:r>
                  <w:r>
                    <w:rPr>
                      <w:rFonts w:hint="default"/>
                      <w:color w:val="000000" w:themeColor="text1"/>
                      <w14:textFill>
                        <w14:solidFill>
                          <w14:schemeClr w14:val="tx1"/>
                        </w14:solidFill>
                      </w14:textFill>
                    </w:rPr>
                    <w:t>、临近地区</w:t>
                  </w:r>
                </w:p>
              </w:tc>
            </w:tr>
            <w:tr w14:paraId="2305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5C9986F4">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w:t>
                  </w:r>
                </w:p>
              </w:tc>
              <w:tc>
                <w:tcPr>
                  <w:tcW w:w="1500" w:type="dxa"/>
                  <w:tcBorders>
                    <w:tl2br w:val="nil"/>
                    <w:tr2bl w:val="nil"/>
                  </w:tcBorders>
                  <w:noWrap w:val="0"/>
                  <w:vAlign w:val="center"/>
                </w:tcPr>
                <w:p w14:paraId="6AAA0DEC">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应急组织</w:t>
                  </w:r>
                </w:p>
              </w:tc>
              <w:tc>
                <w:tcPr>
                  <w:tcW w:w="6397" w:type="dxa"/>
                  <w:tcBorders>
                    <w:tl2br w:val="nil"/>
                    <w:tr2bl w:val="nil"/>
                  </w:tcBorders>
                  <w:noWrap w:val="0"/>
                  <w:vAlign w:val="center"/>
                </w:tcPr>
                <w:p w14:paraId="465328C8">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成立应急指挥小组，由最高领导层担任小组长，负责现场全面指挥，专业救援队伍负责事故控制、救援和善后处理。临近地区：地区指挥部—负责医院附近地区全面指挥，救援，管制和疏散</w:t>
                  </w:r>
                </w:p>
              </w:tc>
            </w:tr>
            <w:tr w14:paraId="7476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39ED6C30">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4</w:t>
                  </w:r>
                </w:p>
              </w:tc>
              <w:tc>
                <w:tcPr>
                  <w:tcW w:w="1500" w:type="dxa"/>
                  <w:tcBorders>
                    <w:tl2br w:val="nil"/>
                    <w:tr2bl w:val="nil"/>
                  </w:tcBorders>
                  <w:noWrap w:val="0"/>
                  <w:vAlign w:val="center"/>
                </w:tcPr>
                <w:p w14:paraId="1C6D99A1">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应急状态分类应急响应程序</w:t>
                  </w:r>
                </w:p>
              </w:tc>
              <w:tc>
                <w:tcPr>
                  <w:tcW w:w="6397" w:type="dxa"/>
                  <w:tcBorders>
                    <w:tl2br w:val="nil"/>
                    <w:tr2bl w:val="nil"/>
                  </w:tcBorders>
                  <w:noWrap w:val="0"/>
                  <w:vAlign w:val="center"/>
                </w:tcPr>
                <w:p w14:paraId="17F31F62">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规定环境风险事故的级别及相应的应急状态分类，以此制定相应的应急响应程序。</w:t>
                  </w:r>
                </w:p>
              </w:tc>
            </w:tr>
            <w:tr w14:paraId="1BC6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7E7F999E">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5</w:t>
                  </w:r>
                </w:p>
              </w:tc>
              <w:tc>
                <w:tcPr>
                  <w:tcW w:w="1500" w:type="dxa"/>
                  <w:tcBorders>
                    <w:tl2br w:val="nil"/>
                    <w:tr2bl w:val="nil"/>
                  </w:tcBorders>
                  <w:noWrap w:val="0"/>
                  <w:vAlign w:val="center"/>
                </w:tcPr>
                <w:p w14:paraId="07DF9C40">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应急设施设备与材料</w:t>
                  </w:r>
                </w:p>
              </w:tc>
              <w:tc>
                <w:tcPr>
                  <w:tcW w:w="6397" w:type="dxa"/>
                  <w:tcBorders>
                    <w:tl2br w:val="nil"/>
                    <w:tr2bl w:val="nil"/>
                  </w:tcBorders>
                  <w:noWrap w:val="0"/>
                  <w:vAlign w:val="center"/>
                </w:tcPr>
                <w:p w14:paraId="15BF1DC4">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厂区</w:t>
                  </w:r>
                  <w:r>
                    <w:rPr>
                      <w:rFonts w:hint="default"/>
                      <w:color w:val="000000" w:themeColor="text1"/>
                      <w14:textFill>
                        <w14:solidFill>
                          <w14:schemeClr w14:val="tx1"/>
                        </w14:solidFill>
                      </w14:textFill>
                    </w:rPr>
                    <w:t>：防火灾、爆炸事故的应急设施、设备与材料，主要为消防器材、消防服等；防有毒有害物质外溢、扩散；中毒人员急救所用的一些药品、器材；以防液体化工原料的进一步扩散；配备必要的防毒面具。临界地区：烧伤、中毒人员急救所用的一些药品、器材。</w:t>
                  </w:r>
                </w:p>
              </w:tc>
            </w:tr>
            <w:tr w14:paraId="65B6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5445B865">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6</w:t>
                  </w:r>
                </w:p>
              </w:tc>
              <w:tc>
                <w:tcPr>
                  <w:tcW w:w="1500" w:type="dxa"/>
                  <w:tcBorders>
                    <w:tl2br w:val="nil"/>
                    <w:tr2bl w:val="nil"/>
                  </w:tcBorders>
                  <w:noWrap w:val="0"/>
                  <w:vAlign w:val="center"/>
                </w:tcPr>
                <w:p w14:paraId="3C0965C2">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应急通讯通告与交通</w:t>
                  </w:r>
                </w:p>
              </w:tc>
              <w:tc>
                <w:tcPr>
                  <w:tcW w:w="6397" w:type="dxa"/>
                  <w:tcBorders>
                    <w:tl2br w:val="nil"/>
                    <w:tr2bl w:val="nil"/>
                  </w:tcBorders>
                  <w:noWrap w:val="0"/>
                  <w:vAlign w:val="center"/>
                </w:tcPr>
                <w:p w14:paraId="66E9D545">
                  <w:pPr>
                    <w:pStyle w:val="40"/>
                    <w:keepNext w:val="0"/>
                    <w:keepLines w:val="0"/>
                    <w:suppressLineNumbers w:val="0"/>
                    <w:bidi w:val="0"/>
                    <w:spacing w:before="0" w:beforeAutospacing="0" w:after="0" w:afterAutospacing="0"/>
                    <w:ind w:left="0" w:right="0"/>
                    <w:jc w:val="left"/>
                    <w:rPr>
                      <w:rFonts w:hint="eastAsia" w:eastAsia="宋体"/>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规定应急状态下的通讯、通告方式和交通保障、管理等事项。可充分利用现代化的通信设施，如手机、固定电话、广播、电视等</w:t>
                  </w:r>
                  <w:r>
                    <w:rPr>
                      <w:rFonts w:hint="eastAsia"/>
                      <w:color w:val="000000" w:themeColor="text1"/>
                      <w:lang w:eastAsia="zh-CN"/>
                      <w14:textFill>
                        <w14:solidFill>
                          <w14:schemeClr w14:val="tx1"/>
                        </w14:solidFill>
                      </w14:textFill>
                    </w:rPr>
                    <w:t>。</w:t>
                  </w:r>
                </w:p>
              </w:tc>
            </w:tr>
            <w:tr w14:paraId="522E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4D9A1693">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7</w:t>
                  </w:r>
                </w:p>
              </w:tc>
              <w:tc>
                <w:tcPr>
                  <w:tcW w:w="1500" w:type="dxa"/>
                  <w:tcBorders>
                    <w:tl2br w:val="nil"/>
                    <w:tr2bl w:val="nil"/>
                  </w:tcBorders>
                  <w:noWrap w:val="0"/>
                  <w:vAlign w:val="center"/>
                </w:tcPr>
                <w:p w14:paraId="22D2030E">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应急环境监测及事故后评价</w:t>
                  </w:r>
                </w:p>
              </w:tc>
              <w:tc>
                <w:tcPr>
                  <w:tcW w:w="6397" w:type="dxa"/>
                  <w:tcBorders>
                    <w:tl2br w:val="nil"/>
                    <w:tr2bl w:val="nil"/>
                  </w:tcBorders>
                  <w:noWrap w:val="0"/>
                  <w:vAlign w:val="center"/>
                </w:tcPr>
                <w:p w14:paraId="0951A75E">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由专业人员对环境分析事故现场进行应急监测，对事故性质、严重程度均所造成的环境危害后果进行评估，吸取经验教训避免再次发生事故，为指挥部门提供决策依据。</w:t>
                  </w:r>
                </w:p>
              </w:tc>
            </w:tr>
            <w:tr w14:paraId="21BA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5619E13A">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8</w:t>
                  </w:r>
                </w:p>
              </w:tc>
              <w:tc>
                <w:tcPr>
                  <w:tcW w:w="1500" w:type="dxa"/>
                  <w:tcBorders>
                    <w:tl2br w:val="nil"/>
                    <w:tr2bl w:val="nil"/>
                  </w:tcBorders>
                  <w:noWrap w:val="0"/>
                  <w:vAlign w:val="center"/>
                </w:tcPr>
                <w:p w14:paraId="23999F06">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应急防护措施消除泄漏措施及需使用器材</w:t>
                  </w:r>
                </w:p>
              </w:tc>
              <w:tc>
                <w:tcPr>
                  <w:tcW w:w="6397" w:type="dxa"/>
                  <w:tcBorders>
                    <w:tl2br w:val="nil"/>
                    <w:tr2bl w:val="nil"/>
                  </w:tcBorders>
                  <w:noWrap w:val="0"/>
                  <w:vAlign w:val="center"/>
                </w:tcPr>
                <w:p w14:paraId="37B10924">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事故现场：控制事故发展，防止扩大、蔓延及连锁反应；清除现场泄泥物，降低危害；相应的设施器材配备；临近地区：控制防火区域，控制和消除环境污染的措施及相应的设备配备。</w:t>
                  </w:r>
                </w:p>
              </w:tc>
            </w:tr>
            <w:tr w14:paraId="5B93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503766F9">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9</w:t>
                  </w:r>
                </w:p>
              </w:tc>
              <w:tc>
                <w:tcPr>
                  <w:tcW w:w="1500" w:type="dxa"/>
                  <w:tcBorders>
                    <w:tl2br w:val="nil"/>
                    <w:tr2bl w:val="nil"/>
                  </w:tcBorders>
                  <w:noWrap w:val="0"/>
                  <w:vAlign w:val="center"/>
                </w:tcPr>
                <w:p w14:paraId="3B00CE0E">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应急控制撤离组织计划医疗救护与保护公众健康</w:t>
                  </w:r>
                </w:p>
              </w:tc>
              <w:tc>
                <w:tcPr>
                  <w:tcW w:w="6397" w:type="dxa"/>
                  <w:tcBorders>
                    <w:tl2br w:val="nil"/>
                    <w:tr2bl w:val="nil"/>
                  </w:tcBorders>
                  <w:noWrap w:val="0"/>
                  <w:vAlign w:val="center"/>
                </w:tcPr>
                <w:p w14:paraId="531E99AA">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事故现场：事故处理人员制定毒物的应急剂量、现场及临近装置人员的撤离组织计划和紧急救护方案；临近地区：制定受事故影响的临近地区内人员对毒物的应急剂量、公众的疏散组织计划和紧急救护方案。</w:t>
                  </w:r>
                </w:p>
              </w:tc>
            </w:tr>
            <w:tr w14:paraId="1DEC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444899B9">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10</w:t>
                  </w:r>
                </w:p>
              </w:tc>
              <w:tc>
                <w:tcPr>
                  <w:tcW w:w="1500" w:type="dxa"/>
                  <w:tcBorders>
                    <w:tl2br w:val="nil"/>
                    <w:tr2bl w:val="nil"/>
                  </w:tcBorders>
                  <w:noWrap w:val="0"/>
                  <w:vAlign w:val="center"/>
                </w:tcPr>
                <w:p w14:paraId="74A8BFB7">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应急状态中止恢复措施</w:t>
                  </w:r>
                </w:p>
              </w:tc>
              <w:tc>
                <w:tcPr>
                  <w:tcW w:w="6397" w:type="dxa"/>
                  <w:tcBorders>
                    <w:tl2br w:val="nil"/>
                    <w:tr2bl w:val="nil"/>
                  </w:tcBorders>
                  <w:noWrap w:val="0"/>
                  <w:vAlign w:val="center"/>
                </w:tcPr>
                <w:p w14:paraId="1DB0B9C4">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事故现场：规定应急状态终止秩序；事故现场善后处理，回复生产措施；临近地区：解除事故警戒，公众返回和善后回复措施。</w:t>
                  </w:r>
                </w:p>
              </w:tc>
            </w:tr>
            <w:tr w14:paraId="772E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7A93AD6F">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11</w:t>
                  </w:r>
                </w:p>
              </w:tc>
              <w:tc>
                <w:tcPr>
                  <w:tcW w:w="1500" w:type="dxa"/>
                  <w:tcBorders>
                    <w:tl2br w:val="nil"/>
                    <w:tr2bl w:val="nil"/>
                  </w:tcBorders>
                  <w:noWrap w:val="0"/>
                  <w:vAlign w:val="center"/>
                </w:tcPr>
                <w:p w14:paraId="695CEF6F">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人员培训与演习</w:t>
                  </w:r>
                </w:p>
              </w:tc>
              <w:tc>
                <w:tcPr>
                  <w:tcW w:w="6397" w:type="dxa"/>
                  <w:tcBorders>
                    <w:tl2br w:val="nil"/>
                    <w:tr2bl w:val="nil"/>
                  </w:tcBorders>
                  <w:noWrap w:val="0"/>
                  <w:vAlign w:val="center"/>
                </w:tcPr>
                <w:p w14:paraId="74F9F643">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应急计划制定后，平时安排事故出路人员进行相关知识培训并进行事故应急处理演习；对工厂工人进行安全卫生教育。</w:t>
                  </w:r>
                </w:p>
              </w:tc>
            </w:tr>
            <w:tr w14:paraId="726D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44FAA210">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12</w:t>
                  </w:r>
                </w:p>
              </w:tc>
              <w:tc>
                <w:tcPr>
                  <w:tcW w:w="1500" w:type="dxa"/>
                  <w:tcBorders>
                    <w:tl2br w:val="nil"/>
                    <w:tr2bl w:val="nil"/>
                  </w:tcBorders>
                  <w:noWrap w:val="0"/>
                  <w:vAlign w:val="center"/>
                </w:tcPr>
                <w:p w14:paraId="55D4011D">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公众教育信息发布</w:t>
                  </w:r>
                </w:p>
              </w:tc>
              <w:tc>
                <w:tcPr>
                  <w:tcW w:w="6397" w:type="dxa"/>
                  <w:tcBorders>
                    <w:tl2br w:val="nil"/>
                    <w:tr2bl w:val="nil"/>
                  </w:tcBorders>
                  <w:noWrap w:val="0"/>
                  <w:vAlign w:val="center"/>
                </w:tcPr>
                <w:p w14:paraId="7E70C8E2">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对临近地区公众开展环境风险事故预防教育、应急知识培训并定期发布相关信息。</w:t>
                  </w:r>
                </w:p>
              </w:tc>
            </w:tr>
            <w:tr w14:paraId="209A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59456AFD">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13</w:t>
                  </w:r>
                </w:p>
              </w:tc>
              <w:tc>
                <w:tcPr>
                  <w:tcW w:w="1500" w:type="dxa"/>
                  <w:tcBorders>
                    <w:tl2br w:val="nil"/>
                    <w:tr2bl w:val="nil"/>
                  </w:tcBorders>
                  <w:noWrap w:val="0"/>
                  <w:vAlign w:val="center"/>
                </w:tcPr>
                <w:p w14:paraId="331C8C4A">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记录和报告</w:t>
                  </w:r>
                </w:p>
              </w:tc>
              <w:tc>
                <w:tcPr>
                  <w:tcW w:w="6397" w:type="dxa"/>
                  <w:tcBorders>
                    <w:tl2br w:val="nil"/>
                    <w:tr2bl w:val="nil"/>
                  </w:tcBorders>
                  <w:noWrap w:val="0"/>
                  <w:vAlign w:val="center"/>
                </w:tcPr>
                <w:p w14:paraId="3605ED44">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设应急事故专门记录，建立档案和报告制度，设专门部门负责管理。</w:t>
                  </w:r>
                </w:p>
              </w:tc>
            </w:tr>
            <w:tr w14:paraId="1C7A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1" w:type="dxa"/>
                  <w:tcBorders>
                    <w:tl2br w:val="nil"/>
                    <w:tr2bl w:val="nil"/>
                  </w:tcBorders>
                  <w:noWrap w:val="0"/>
                  <w:vAlign w:val="center"/>
                </w:tcPr>
                <w:p w14:paraId="2E051E42">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14</w:t>
                  </w:r>
                </w:p>
              </w:tc>
              <w:tc>
                <w:tcPr>
                  <w:tcW w:w="1500" w:type="dxa"/>
                  <w:tcBorders>
                    <w:tl2br w:val="nil"/>
                    <w:tr2bl w:val="nil"/>
                  </w:tcBorders>
                  <w:noWrap w:val="0"/>
                  <w:vAlign w:val="center"/>
                </w:tcPr>
                <w:p w14:paraId="6B43E5D7">
                  <w:pPr>
                    <w:pStyle w:val="40"/>
                    <w:keepNext w:val="0"/>
                    <w:keepLines w:val="0"/>
                    <w:suppressLineNumbers w:val="0"/>
                    <w:bidi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附件</w:t>
                  </w:r>
                </w:p>
              </w:tc>
              <w:tc>
                <w:tcPr>
                  <w:tcW w:w="6397" w:type="dxa"/>
                  <w:tcBorders>
                    <w:tl2br w:val="nil"/>
                    <w:tr2bl w:val="nil"/>
                  </w:tcBorders>
                  <w:noWrap w:val="0"/>
                  <w:vAlign w:val="center"/>
                </w:tcPr>
                <w:p w14:paraId="55E1A8F0">
                  <w:pPr>
                    <w:pStyle w:val="40"/>
                    <w:keepNext w:val="0"/>
                    <w:keepLines w:val="0"/>
                    <w:suppressLineNumbers w:val="0"/>
                    <w:bidi w:val="0"/>
                    <w:spacing w:before="0" w:beforeAutospacing="0" w:after="0" w:afterAutospacing="0"/>
                    <w:ind w:left="0" w:right="0"/>
                    <w:jc w:val="left"/>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准备并形成环境风险事故应急处理有关的附件材料。</w:t>
                  </w:r>
                </w:p>
              </w:tc>
            </w:tr>
          </w:tbl>
          <w:p w14:paraId="7F083EEF">
            <w:pPr>
              <w:keepNext w:val="0"/>
              <w:keepLines w:val="0"/>
              <w:suppressLineNumbers w:val="0"/>
              <w:spacing w:before="0" w:beforeAutospacing="0" w:after="0" w:afterAutospacing="0" w:line="360" w:lineRule="auto"/>
              <w:ind w:left="0" w:leftChars="0" w:right="0" w:firstLine="0" w:firstLineChars="0"/>
              <w:rPr>
                <w:rFonts w:hint="eastAsia" w:ascii="Times New Roman" w:hAnsi="Times New Roman" w:eastAsia="宋体" w:cs="Times New Roman"/>
                <w:b/>
                <w:bCs/>
                <w:color w:val="000000"/>
                <w:sz w:val="24"/>
                <w:lang w:val="en-US" w:eastAsia="zh-CN"/>
              </w:rPr>
            </w:pPr>
            <w:r>
              <w:rPr>
                <w:rFonts w:hint="eastAsia" w:ascii="Times New Roman" w:hAnsi="Times New Roman" w:eastAsia="宋体" w:cs="Times New Roman"/>
                <w:b/>
                <w:bCs/>
                <w:color w:val="000000"/>
                <w:sz w:val="24"/>
                <w:lang w:val="en-US" w:eastAsia="zh-CN"/>
              </w:rPr>
              <w:t>6.5结论</w:t>
            </w:r>
          </w:p>
          <w:p w14:paraId="03569C1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综上，采取上述风险防护措施后，项目的风险在可接受范围内，为避免风险事故，尤其是避免风险事故发生后对环境造成严重的污染，建设单位应树立并强化环境风险意识，增加对环境风险的防范措施，并使这些措施在实际工作中得到落实。</w:t>
            </w:r>
          </w:p>
          <w:p w14:paraId="5B40095B">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00" w:firstLineChars="200"/>
              <w:jc w:val="both"/>
              <w:textAlignment w:val="auto"/>
              <w:outlineLvl w:val="9"/>
              <w:rPr>
                <w:rFonts w:hint="eastAsia" w:ascii="黑体" w:hAnsi="黑体" w:cs="黑体"/>
                <w:snapToGrid w:val="0"/>
                <w:sz w:val="30"/>
                <w:szCs w:val="30"/>
                <w:vertAlign w:val="baseline"/>
                <w:lang w:val="en-US" w:eastAsia="zh-CN"/>
              </w:rPr>
            </w:pPr>
          </w:p>
          <w:p w14:paraId="75A2F9DE">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黑体" w:hAnsi="黑体" w:eastAsia="宋体" w:cs="黑体"/>
                <w:snapToGrid w:val="0"/>
                <w:sz w:val="30"/>
                <w:szCs w:val="30"/>
                <w:vertAlign w:val="baseline"/>
                <w:lang w:val="en-US" w:eastAsia="zh-CN"/>
              </w:rPr>
            </w:pPr>
          </w:p>
        </w:tc>
      </w:tr>
    </w:tbl>
    <w:p w14:paraId="08DBA507">
      <w:pPr>
        <w:pStyle w:val="28"/>
        <w:spacing w:before="0" w:beforeAutospacing="0" w:after="0" w:afterAutospacing="0" w:line="360" w:lineRule="auto"/>
        <w:jc w:val="center"/>
        <w:outlineLvl w:val="0"/>
        <w:rPr>
          <w:rFonts w:hint="eastAsia" w:ascii="黑体" w:hAnsi="黑体" w:eastAsia="黑体" w:cs="黑体"/>
          <w:snapToGrid w:val="0"/>
          <w:sz w:val="30"/>
          <w:szCs w:val="30"/>
        </w:rPr>
        <w:sectPr>
          <w:pgSz w:w="11906" w:h="16838"/>
          <w:pgMar w:top="1440" w:right="1800" w:bottom="1440" w:left="1417" w:header="851" w:footer="992" w:gutter="0"/>
          <w:pgNumType w:fmt="decimal"/>
          <w:cols w:space="425" w:num="1"/>
          <w:docGrid w:type="lines" w:linePitch="312" w:charSpace="0"/>
        </w:sectPr>
      </w:pPr>
    </w:p>
    <w:bookmarkEnd w:id="10"/>
    <w:p w14:paraId="509F9069">
      <w:pPr>
        <w:pStyle w:val="28"/>
        <w:spacing w:before="0" w:beforeAutospacing="0" w:after="0" w:afterAutospacing="0" w:line="360" w:lineRule="auto"/>
        <w:jc w:val="center"/>
        <w:outlineLvl w:val="0"/>
        <w:rPr>
          <w:rFonts w:ascii="黑体" w:hAnsi="黑体" w:eastAsia="黑体" w:cs="Times New Roman"/>
          <w:snapToGrid w:val="0"/>
          <w:sz w:val="30"/>
          <w:szCs w:val="30"/>
        </w:rPr>
      </w:pPr>
      <w:bookmarkStart w:id="11" w:name="_Toc10080"/>
      <w:r>
        <w:rPr>
          <w:rFonts w:hint="eastAsia" w:ascii="黑体" w:hAnsi="黑体" w:eastAsia="黑体" w:cs="黑体"/>
          <w:snapToGrid w:val="0"/>
          <w:sz w:val="30"/>
          <w:szCs w:val="30"/>
        </w:rPr>
        <w:t>五、</w:t>
      </w:r>
      <w:bookmarkStart w:id="12" w:name="_Hlk54167917"/>
      <w:r>
        <w:rPr>
          <w:rFonts w:hint="eastAsia" w:ascii="黑体" w:hAnsi="黑体" w:eastAsia="黑体" w:cs="黑体"/>
          <w:snapToGrid w:val="0"/>
          <w:sz w:val="30"/>
          <w:szCs w:val="30"/>
        </w:rPr>
        <w:t>环境保护措施监督检查清单</w:t>
      </w:r>
      <w:bookmarkEnd w:id="12"/>
    </w:p>
    <w:tbl>
      <w:tblPr>
        <w:tblStyle w:val="30"/>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
        <w:gridCol w:w="674"/>
        <w:gridCol w:w="1005"/>
        <w:gridCol w:w="1006"/>
        <w:gridCol w:w="3779"/>
        <w:gridCol w:w="1408"/>
      </w:tblGrid>
      <w:tr w14:paraId="2FC8F2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tcBorders>
              <w:top w:val="single" w:color="auto" w:sz="8" w:space="0"/>
              <w:tl2br w:val="single" w:color="auto" w:sz="4" w:space="0"/>
            </w:tcBorders>
          </w:tcPr>
          <w:p w14:paraId="2760743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rPr>
                <w:rFonts w:hint="default"/>
                <w:sz w:val="24"/>
                <w:szCs w:val="24"/>
              </w:rPr>
            </w:pPr>
            <w:r>
              <w:rPr>
                <w:rFonts w:hint="default"/>
                <w:sz w:val="24"/>
                <w:szCs w:val="24"/>
              </w:rPr>
              <w:t xml:space="preserve">   </w:t>
            </w:r>
            <w:r>
              <w:rPr>
                <w:rFonts w:hint="eastAsia" w:cs="宋体"/>
                <w:sz w:val="24"/>
                <w:szCs w:val="24"/>
              </w:rPr>
              <w:t>内容</w:t>
            </w:r>
          </w:p>
          <w:p w14:paraId="2180C30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rPr>
                <w:rFonts w:hint="default"/>
                <w:sz w:val="24"/>
                <w:szCs w:val="24"/>
              </w:rPr>
            </w:pPr>
            <w:r>
              <w:rPr>
                <w:rFonts w:hint="eastAsia" w:cs="宋体"/>
                <w:sz w:val="24"/>
                <w:szCs w:val="24"/>
              </w:rPr>
              <w:t>要素</w:t>
            </w:r>
          </w:p>
        </w:tc>
        <w:tc>
          <w:tcPr>
            <w:tcW w:w="1679" w:type="dxa"/>
            <w:gridSpan w:val="2"/>
            <w:tcBorders>
              <w:top w:val="single" w:color="auto" w:sz="8" w:space="0"/>
            </w:tcBorders>
            <w:vAlign w:val="center"/>
          </w:tcPr>
          <w:p w14:paraId="448C29D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排放口</w:t>
            </w:r>
            <w:r>
              <w:rPr>
                <w:rFonts w:hint="default"/>
                <w:sz w:val="24"/>
                <w:szCs w:val="24"/>
              </w:rPr>
              <w:t>/</w:t>
            </w:r>
            <w:r>
              <w:rPr>
                <w:rFonts w:hint="eastAsia" w:cs="宋体"/>
                <w:sz w:val="24"/>
                <w:szCs w:val="24"/>
              </w:rPr>
              <w:t>污染源</w:t>
            </w:r>
          </w:p>
        </w:tc>
        <w:tc>
          <w:tcPr>
            <w:tcW w:w="1006" w:type="dxa"/>
            <w:tcBorders>
              <w:top w:val="single" w:color="auto" w:sz="8" w:space="0"/>
            </w:tcBorders>
            <w:vAlign w:val="center"/>
          </w:tcPr>
          <w:p w14:paraId="3BDC991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污染物项目</w:t>
            </w:r>
          </w:p>
        </w:tc>
        <w:tc>
          <w:tcPr>
            <w:tcW w:w="3779" w:type="dxa"/>
            <w:tcBorders>
              <w:top w:val="single" w:color="auto" w:sz="8" w:space="0"/>
            </w:tcBorders>
            <w:vAlign w:val="center"/>
          </w:tcPr>
          <w:p w14:paraId="33C6E79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环境保护措施</w:t>
            </w:r>
          </w:p>
        </w:tc>
        <w:tc>
          <w:tcPr>
            <w:tcW w:w="1408" w:type="dxa"/>
            <w:tcBorders>
              <w:top w:val="single" w:color="auto" w:sz="8" w:space="0"/>
            </w:tcBorders>
            <w:vAlign w:val="center"/>
          </w:tcPr>
          <w:p w14:paraId="5DA0B9F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执行标准</w:t>
            </w:r>
          </w:p>
        </w:tc>
      </w:tr>
      <w:tr w14:paraId="7BCD2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restart"/>
            <w:vAlign w:val="center"/>
          </w:tcPr>
          <w:p w14:paraId="7944991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sz w:val="24"/>
                <w:szCs w:val="24"/>
                <w:lang w:val="en-US" w:eastAsia="zh-CN"/>
              </w:rPr>
            </w:pPr>
            <w:r>
              <w:rPr>
                <w:rFonts w:hint="eastAsia"/>
                <w:sz w:val="24"/>
                <w:szCs w:val="24"/>
                <w:lang w:val="en-US" w:eastAsia="zh-CN"/>
              </w:rPr>
              <w:t>大气环境</w:t>
            </w:r>
          </w:p>
        </w:tc>
        <w:tc>
          <w:tcPr>
            <w:tcW w:w="674" w:type="dxa"/>
            <w:vAlign w:val="center"/>
          </w:tcPr>
          <w:p w14:paraId="296573C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eastAsia="宋体"/>
                <w:sz w:val="24"/>
                <w:szCs w:val="24"/>
                <w:lang w:val="en-US" w:eastAsia="zh-CN"/>
              </w:rPr>
            </w:pPr>
            <w:r>
              <w:rPr>
                <w:rFonts w:hint="eastAsia" w:cs="Times New Roman"/>
                <w:b w:val="0"/>
                <w:bCs w:val="0"/>
                <w:color w:val="auto"/>
                <w:sz w:val="24"/>
                <w:szCs w:val="24"/>
                <w:highlight w:val="none"/>
                <w:lang w:val="en-US" w:eastAsia="zh-CN"/>
              </w:rPr>
              <w:t>DA001</w:t>
            </w:r>
          </w:p>
        </w:tc>
        <w:tc>
          <w:tcPr>
            <w:tcW w:w="1005" w:type="dxa"/>
            <w:vAlign w:val="center"/>
          </w:tcPr>
          <w:p w14:paraId="49031DB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配料粉尘、混料粉尘</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熔化废气</w:t>
            </w:r>
          </w:p>
        </w:tc>
        <w:tc>
          <w:tcPr>
            <w:tcW w:w="1006" w:type="dxa"/>
            <w:vAlign w:val="center"/>
          </w:tcPr>
          <w:p w14:paraId="15DC34A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eastAsia="宋体"/>
                <w:sz w:val="24"/>
                <w:szCs w:val="24"/>
                <w:lang w:val="en-US" w:eastAsia="zh-CN"/>
              </w:rPr>
            </w:pPr>
            <w:r>
              <w:rPr>
                <w:rFonts w:hint="eastAsia"/>
                <w:sz w:val="24"/>
                <w:szCs w:val="24"/>
                <w:lang w:val="en-US" w:eastAsia="zh-CN"/>
              </w:rPr>
              <w:t>颗粒物</w:t>
            </w:r>
          </w:p>
        </w:tc>
        <w:tc>
          <w:tcPr>
            <w:tcW w:w="3779" w:type="dxa"/>
            <w:vAlign w:val="center"/>
          </w:tcPr>
          <w:p w14:paraId="4380D13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宋体"/>
                <w:color w:val="auto"/>
                <w:kern w:val="0"/>
                <w:sz w:val="24"/>
                <w:szCs w:val="24"/>
                <w:lang w:val="en-US" w:eastAsia="zh-CN"/>
              </w:rPr>
              <w:t>车间封闭，1#生产线</w:t>
            </w:r>
            <w:r>
              <w:rPr>
                <w:rFonts w:hint="eastAsia" w:cs="宋体"/>
                <w:color w:val="auto"/>
                <w:kern w:val="0"/>
                <w:sz w:val="24"/>
                <w:szCs w:val="24"/>
                <w:lang w:val="en-US" w:eastAsia="zh-CN"/>
              </w:rPr>
              <w:t>布料</w:t>
            </w:r>
            <w:r>
              <w:rPr>
                <w:rFonts w:hint="eastAsia" w:ascii="Times New Roman" w:hAnsi="Times New Roman" w:eastAsia="宋体" w:cs="宋体"/>
                <w:color w:val="auto"/>
                <w:kern w:val="0"/>
                <w:sz w:val="24"/>
                <w:szCs w:val="24"/>
                <w:lang w:val="en-US" w:eastAsia="zh-CN"/>
              </w:rPr>
              <w:t>粉尘经集气罩收集（收集效率95%），收集后的粉尘与经管道收集（收集效率95%）的熔化废气一起由“1#布袋除尘器”处理（处理效率9</w:t>
            </w:r>
            <w:r>
              <w:rPr>
                <w:rFonts w:hint="eastAsia" w:cs="宋体"/>
                <w:color w:val="auto"/>
                <w:kern w:val="0"/>
                <w:sz w:val="24"/>
                <w:szCs w:val="24"/>
                <w:lang w:val="en-US" w:eastAsia="zh-CN"/>
              </w:rPr>
              <w:t>9</w:t>
            </w:r>
            <w:r>
              <w:rPr>
                <w:rFonts w:hint="eastAsia" w:ascii="Times New Roman" w:hAnsi="Times New Roman" w:eastAsia="宋体" w:cs="宋体"/>
                <w:color w:val="auto"/>
                <w:kern w:val="0"/>
                <w:sz w:val="24"/>
                <w:szCs w:val="24"/>
                <w:lang w:val="en-US" w:eastAsia="zh-CN"/>
              </w:rPr>
              <w:t>%）达标后，通过DA001排气筒排放（排放高度15m）</w:t>
            </w:r>
          </w:p>
        </w:tc>
        <w:tc>
          <w:tcPr>
            <w:tcW w:w="1408" w:type="dxa"/>
            <w:vMerge w:val="restart"/>
            <w:vAlign w:val="center"/>
          </w:tcPr>
          <w:p w14:paraId="30A3731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lang w:val="en-US" w:eastAsia="zh-CN"/>
              </w:rPr>
              <w:t>安徽省地方标准</w:t>
            </w:r>
            <w:r>
              <w:rPr>
                <w:rFonts w:hint="default"/>
                <w:sz w:val="24"/>
                <w:szCs w:val="24"/>
              </w:rPr>
              <w:t>《玻璃工业大气污染物排放标准》（</w:t>
            </w:r>
            <w:r>
              <w:rPr>
                <w:rFonts w:hint="default"/>
                <w:sz w:val="24"/>
                <w:szCs w:val="24"/>
                <w:lang w:val="en-US" w:eastAsia="zh-CN"/>
              </w:rPr>
              <w:t>D</w:t>
            </w:r>
            <w:r>
              <w:rPr>
                <w:rFonts w:hint="default"/>
                <w:sz w:val="24"/>
                <w:szCs w:val="24"/>
              </w:rPr>
              <w:t>B</w:t>
            </w:r>
            <w:r>
              <w:rPr>
                <w:rFonts w:hint="default"/>
                <w:sz w:val="24"/>
                <w:szCs w:val="24"/>
                <w:lang w:val="en-US" w:eastAsia="zh-CN"/>
              </w:rPr>
              <w:t>34 4295-2022</w:t>
            </w:r>
            <w:r>
              <w:rPr>
                <w:rFonts w:hint="default"/>
                <w:sz w:val="24"/>
                <w:szCs w:val="24"/>
              </w:rPr>
              <w:t>）</w:t>
            </w:r>
          </w:p>
        </w:tc>
      </w:tr>
      <w:tr w14:paraId="0DC9D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77E2F2B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vAlign w:val="center"/>
          </w:tcPr>
          <w:p w14:paraId="6D30555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DA002</w:t>
            </w:r>
          </w:p>
        </w:tc>
        <w:tc>
          <w:tcPr>
            <w:tcW w:w="1005" w:type="dxa"/>
            <w:vAlign w:val="center"/>
          </w:tcPr>
          <w:p w14:paraId="6816469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混料粉尘</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熔化废气</w:t>
            </w:r>
          </w:p>
        </w:tc>
        <w:tc>
          <w:tcPr>
            <w:tcW w:w="1006" w:type="dxa"/>
            <w:vAlign w:val="center"/>
          </w:tcPr>
          <w:p w14:paraId="6A35292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cs="Times New Roman"/>
                <w:i w:val="0"/>
                <w:color w:val="000000"/>
                <w:kern w:val="0"/>
                <w:sz w:val="24"/>
                <w:szCs w:val="24"/>
                <w:u w:val="none"/>
                <w:lang w:val="en-US" w:eastAsia="zh-CN" w:bidi="ar"/>
              </w:rPr>
            </w:pPr>
            <w:r>
              <w:rPr>
                <w:rFonts w:hint="eastAsia"/>
                <w:sz w:val="24"/>
                <w:szCs w:val="24"/>
                <w:lang w:val="en-US" w:eastAsia="zh-CN"/>
              </w:rPr>
              <w:t>颗粒物</w:t>
            </w:r>
          </w:p>
        </w:tc>
        <w:tc>
          <w:tcPr>
            <w:tcW w:w="3779" w:type="dxa"/>
            <w:vAlign w:val="center"/>
          </w:tcPr>
          <w:p w14:paraId="15C10DA8">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宋体"/>
                <w:color w:val="auto"/>
                <w:kern w:val="0"/>
                <w:sz w:val="24"/>
                <w:szCs w:val="24"/>
                <w:lang w:val="en-US" w:eastAsia="zh-CN"/>
              </w:rPr>
              <w:t>车间封闭，2#生产线</w:t>
            </w:r>
            <w:r>
              <w:rPr>
                <w:rFonts w:hint="eastAsia" w:cs="宋体"/>
                <w:color w:val="auto"/>
                <w:kern w:val="0"/>
                <w:sz w:val="24"/>
                <w:szCs w:val="24"/>
                <w:lang w:val="en-US" w:eastAsia="zh-CN"/>
              </w:rPr>
              <w:t>布料</w:t>
            </w:r>
            <w:r>
              <w:rPr>
                <w:rFonts w:hint="eastAsia" w:ascii="Times New Roman" w:hAnsi="Times New Roman" w:eastAsia="宋体" w:cs="宋体"/>
                <w:color w:val="auto"/>
                <w:kern w:val="0"/>
                <w:sz w:val="24"/>
                <w:szCs w:val="24"/>
                <w:lang w:val="en-US" w:eastAsia="zh-CN"/>
              </w:rPr>
              <w:t>粉尘经集气罩收集（收集效率95%）后，与经管道收集（收集效率95%）的熔化废气一起由“2#布袋除尘器”处理（处理效率9</w:t>
            </w:r>
            <w:r>
              <w:rPr>
                <w:rFonts w:hint="eastAsia" w:cs="宋体"/>
                <w:color w:val="auto"/>
                <w:kern w:val="0"/>
                <w:sz w:val="24"/>
                <w:szCs w:val="24"/>
                <w:lang w:val="en-US" w:eastAsia="zh-CN"/>
              </w:rPr>
              <w:t>9</w:t>
            </w:r>
            <w:r>
              <w:rPr>
                <w:rFonts w:hint="eastAsia" w:ascii="Times New Roman" w:hAnsi="Times New Roman" w:eastAsia="宋体" w:cs="宋体"/>
                <w:color w:val="auto"/>
                <w:kern w:val="0"/>
                <w:sz w:val="24"/>
                <w:szCs w:val="24"/>
                <w:lang w:val="en-US" w:eastAsia="zh-CN"/>
              </w:rPr>
              <w:t>%）达标后，通过DA002排气筒排放（排放高度15m）</w:t>
            </w:r>
          </w:p>
        </w:tc>
        <w:tc>
          <w:tcPr>
            <w:tcW w:w="1408" w:type="dxa"/>
            <w:vMerge w:val="continue"/>
            <w:vAlign w:val="center"/>
          </w:tcPr>
          <w:p w14:paraId="48693B0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r>
      <w:tr w14:paraId="363F3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046CCB1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vAlign w:val="center"/>
          </w:tcPr>
          <w:p w14:paraId="43EC3B1C">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DA006</w:t>
            </w:r>
          </w:p>
        </w:tc>
        <w:tc>
          <w:tcPr>
            <w:tcW w:w="1005" w:type="dxa"/>
            <w:vAlign w:val="center"/>
          </w:tcPr>
          <w:p w14:paraId="05B0172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天然气燃烧废气</w:t>
            </w:r>
          </w:p>
        </w:tc>
        <w:tc>
          <w:tcPr>
            <w:tcW w:w="1006" w:type="dxa"/>
            <w:vAlign w:val="center"/>
          </w:tcPr>
          <w:p w14:paraId="275EAED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default" w:cs="Times New Roman"/>
                <w:i w:val="0"/>
                <w:color w:val="000000"/>
                <w:kern w:val="0"/>
                <w:sz w:val="24"/>
                <w:szCs w:val="24"/>
                <w:u w:val="none"/>
                <w:lang w:val="en-US" w:eastAsia="zh-CN" w:bidi="ar"/>
              </w:rPr>
            </w:pPr>
            <w:r>
              <w:rPr>
                <w:rFonts w:hint="eastAsia"/>
                <w:sz w:val="24"/>
                <w:szCs w:val="24"/>
                <w:lang w:val="en-US" w:eastAsia="zh-CN"/>
              </w:rPr>
              <w:t>颗粒物、SO</w:t>
            </w:r>
            <w:r>
              <w:rPr>
                <w:rFonts w:hint="eastAsia"/>
                <w:sz w:val="24"/>
                <w:szCs w:val="24"/>
                <w:vertAlign w:val="subscript"/>
                <w:lang w:val="en-US" w:eastAsia="zh-CN"/>
              </w:rPr>
              <w:t>2</w:t>
            </w:r>
            <w:r>
              <w:rPr>
                <w:rFonts w:hint="eastAsia"/>
                <w:sz w:val="24"/>
                <w:szCs w:val="24"/>
                <w:lang w:val="en-US" w:eastAsia="zh-CN"/>
              </w:rPr>
              <w:t>、NO</w:t>
            </w:r>
            <w:r>
              <w:rPr>
                <w:rFonts w:hint="eastAsia"/>
                <w:sz w:val="24"/>
                <w:szCs w:val="24"/>
                <w:vertAlign w:val="subscript"/>
                <w:lang w:val="en-US" w:eastAsia="zh-CN"/>
              </w:rPr>
              <w:t>X</w:t>
            </w:r>
          </w:p>
        </w:tc>
        <w:tc>
          <w:tcPr>
            <w:tcW w:w="3779" w:type="dxa"/>
            <w:vAlign w:val="center"/>
          </w:tcPr>
          <w:p w14:paraId="43B26B10">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cs="宋体"/>
                <w:color w:val="auto"/>
                <w:kern w:val="0"/>
                <w:sz w:val="24"/>
                <w:szCs w:val="24"/>
                <w:lang w:val="en-US" w:eastAsia="zh-CN"/>
              </w:rPr>
              <w:t>1#、2#生产线火焰抛光工序天然气燃烧废气一同经过DA006排气筒排放</w:t>
            </w:r>
            <w:r>
              <w:rPr>
                <w:rFonts w:hint="eastAsia" w:ascii="Times New Roman" w:hAnsi="Times New Roman" w:eastAsia="宋体" w:cs="宋体"/>
                <w:color w:val="auto"/>
                <w:kern w:val="0"/>
                <w:sz w:val="24"/>
                <w:szCs w:val="24"/>
                <w:lang w:val="en-US" w:eastAsia="zh-CN"/>
              </w:rPr>
              <w:t>（排放高度15m）</w:t>
            </w:r>
          </w:p>
        </w:tc>
        <w:tc>
          <w:tcPr>
            <w:tcW w:w="1408" w:type="dxa"/>
            <w:vMerge w:val="continue"/>
            <w:vAlign w:val="center"/>
          </w:tcPr>
          <w:p w14:paraId="4A556E0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r>
      <w:tr w14:paraId="551A9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6FE7A50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shd w:val="clear" w:color="auto" w:fill="auto"/>
            <w:vAlign w:val="center"/>
          </w:tcPr>
          <w:p w14:paraId="265D46A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cs="Times New Roman"/>
                <w:b w:val="0"/>
                <w:bCs w:val="0"/>
                <w:color w:val="auto"/>
                <w:sz w:val="24"/>
                <w:szCs w:val="24"/>
                <w:highlight w:val="none"/>
                <w:lang w:val="en-US" w:eastAsia="zh-CN"/>
              </w:rPr>
              <w:t>DA003</w:t>
            </w:r>
          </w:p>
        </w:tc>
        <w:tc>
          <w:tcPr>
            <w:tcW w:w="1005" w:type="dxa"/>
            <w:shd w:val="clear" w:color="auto" w:fill="auto"/>
            <w:vAlign w:val="center"/>
          </w:tcPr>
          <w:p w14:paraId="3F415C0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配料粉尘、混料粉尘</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熔化废气</w:t>
            </w:r>
          </w:p>
        </w:tc>
        <w:tc>
          <w:tcPr>
            <w:tcW w:w="1006" w:type="dxa"/>
            <w:shd w:val="clear" w:color="auto" w:fill="auto"/>
            <w:vAlign w:val="center"/>
          </w:tcPr>
          <w:p w14:paraId="4760977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颗粒物</w:t>
            </w:r>
          </w:p>
        </w:tc>
        <w:tc>
          <w:tcPr>
            <w:tcW w:w="3779" w:type="dxa"/>
            <w:vAlign w:val="center"/>
          </w:tcPr>
          <w:p w14:paraId="6B6A2E5B">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宋体"/>
                <w:color w:val="auto"/>
                <w:kern w:val="0"/>
                <w:sz w:val="24"/>
                <w:szCs w:val="24"/>
                <w:lang w:val="en-US" w:eastAsia="zh-CN"/>
              </w:rPr>
              <w:t>车间封闭，</w:t>
            </w:r>
            <w:r>
              <w:rPr>
                <w:rFonts w:hint="eastAsia"/>
                <w:color w:val="auto"/>
                <w:sz w:val="24"/>
                <w:szCs w:val="24"/>
                <w:lang w:val="en-US" w:eastAsia="zh-CN"/>
              </w:rPr>
              <w:t>3#生产线布料粉尘经集气罩收集（收集效率95%），收集后的粉尘与经管道收集（收集效率95%）的熔化废气一起由“3#布袋除尘器”处理（处理效率99%）达标后，通过DA003排气筒排放</w:t>
            </w:r>
            <w:r>
              <w:rPr>
                <w:rFonts w:hint="eastAsia" w:ascii="Times New Roman" w:hAnsi="Times New Roman" w:eastAsia="宋体" w:cs="宋体"/>
                <w:color w:val="auto"/>
                <w:kern w:val="0"/>
                <w:sz w:val="24"/>
                <w:szCs w:val="24"/>
                <w:lang w:val="en-US" w:eastAsia="zh-CN"/>
              </w:rPr>
              <w:t>（排放高度15m）</w:t>
            </w:r>
          </w:p>
        </w:tc>
        <w:tc>
          <w:tcPr>
            <w:tcW w:w="1408" w:type="dxa"/>
            <w:vMerge w:val="continue"/>
            <w:vAlign w:val="center"/>
          </w:tcPr>
          <w:p w14:paraId="214FC3E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r>
      <w:tr w14:paraId="31454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77E91AE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shd w:val="clear" w:color="auto" w:fill="auto"/>
            <w:vAlign w:val="center"/>
          </w:tcPr>
          <w:p w14:paraId="74C9294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sz w:val="24"/>
                <w:szCs w:val="24"/>
                <w:highlight w:val="none"/>
                <w:lang w:val="en-US" w:eastAsia="zh-CN"/>
              </w:rPr>
              <w:t>DA004</w:t>
            </w:r>
          </w:p>
        </w:tc>
        <w:tc>
          <w:tcPr>
            <w:tcW w:w="1005" w:type="dxa"/>
            <w:shd w:val="clear" w:color="auto" w:fill="auto"/>
            <w:vAlign w:val="center"/>
          </w:tcPr>
          <w:p w14:paraId="0122F68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混料粉尘</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熔化废气</w:t>
            </w:r>
          </w:p>
        </w:tc>
        <w:tc>
          <w:tcPr>
            <w:tcW w:w="1006" w:type="dxa"/>
            <w:shd w:val="clear" w:color="auto" w:fill="auto"/>
            <w:vAlign w:val="center"/>
          </w:tcPr>
          <w:p w14:paraId="3CFD566B">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sz w:val="24"/>
                <w:szCs w:val="24"/>
                <w:lang w:val="en-US" w:eastAsia="zh-CN"/>
              </w:rPr>
              <w:t>颗粒物</w:t>
            </w:r>
          </w:p>
        </w:tc>
        <w:tc>
          <w:tcPr>
            <w:tcW w:w="3779" w:type="dxa"/>
            <w:vAlign w:val="center"/>
          </w:tcPr>
          <w:p w14:paraId="4E189877">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宋体"/>
                <w:color w:val="auto"/>
                <w:kern w:val="0"/>
                <w:sz w:val="24"/>
                <w:szCs w:val="24"/>
                <w:lang w:val="en-US" w:eastAsia="zh-CN"/>
              </w:rPr>
              <w:t>车间封闭，4#生产线</w:t>
            </w:r>
            <w:r>
              <w:rPr>
                <w:rFonts w:hint="eastAsia" w:cs="宋体"/>
                <w:color w:val="auto"/>
                <w:kern w:val="0"/>
                <w:sz w:val="24"/>
                <w:szCs w:val="24"/>
                <w:lang w:val="en-US" w:eastAsia="zh-CN"/>
              </w:rPr>
              <w:t>布料</w:t>
            </w:r>
            <w:r>
              <w:rPr>
                <w:rFonts w:hint="eastAsia" w:ascii="Times New Roman" w:hAnsi="Times New Roman" w:eastAsia="宋体" w:cs="宋体"/>
                <w:color w:val="auto"/>
                <w:kern w:val="0"/>
                <w:sz w:val="24"/>
                <w:szCs w:val="24"/>
                <w:lang w:val="en-US" w:eastAsia="zh-CN"/>
              </w:rPr>
              <w:t>粉尘经集气罩收集（收集效率95%）后，与经管道收集（收集效率95%）的熔化废气一起由“4#布袋除尘器”处理（处理效率9</w:t>
            </w:r>
            <w:r>
              <w:rPr>
                <w:rFonts w:hint="eastAsia" w:cs="宋体"/>
                <w:color w:val="auto"/>
                <w:kern w:val="0"/>
                <w:sz w:val="24"/>
                <w:szCs w:val="24"/>
                <w:lang w:val="en-US" w:eastAsia="zh-CN"/>
              </w:rPr>
              <w:t>9</w:t>
            </w:r>
            <w:r>
              <w:rPr>
                <w:rFonts w:hint="eastAsia" w:ascii="Times New Roman" w:hAnsi="Times New Roman" w:eastAsia="宋体" w:cs="宋体"/>
                <w:color w:val="auto"/>
                <w:kern w:val="0"/>
                <w:sz w:val="24"/>
                <w:szCs w:val="24"/>
                <w:lang w:val="en-US" w:eastAsia="zh-CN"/>
              </w:rPr>
              <w:t>%）达标后，通过DA004排气筒排放（排放高度15m）</w:t>
            </w:r>
          </w:p>
        </w:tc>
        <w:tc>
          <w:tcPr>
            <w:tcW w:w="1408" w:type="dxa"/>
            <w:vMerge w:val="continue"/>
            <w:vAlign w:val="center"/>
          </w:tcPr>
          <w:p w14:paraId="3855C78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r>
      <w:tr w14:paraId="5FDED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72FE28C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shd w:val="clear" w:color="auto" w:fill="auto"/>
            <w:vAlign w:val="center"/>
          </w:tcPr>
          <w:p w14:paraId="753BD33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sz w:val="24"/>
                <w:szCs w:val="24"/>
                <w:highlight w:val="none"/>
                <w:lang w:val="en-US" w:eastAsia="zh-CN"/>
              </w:rPr>
              <w:t>DA007</w:t>
            </w:r>
          </w:p>
        </w:tc>
        <w:tc>
          <w:tcPr>
            <w:tcW w:w="1005" w:type="dxa"/>
            <w:shd w:val="clear" w:color="auto" w:fill="auto"/>
            <w:vAlign w:val="center"/>
          </w:tcPr>
          <w:p w14:paraId="67AADBE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4"/>
                <w:szCs w:val="24"/>
                <w:lang w:val="en-US" w:eastAsia="zh-CN"/>
              </w:rPr>
              <w:t>天然气燃烧废气</w:t>
            </w:r>
          </w:p>
        </w:tc>
        <w:tc>
          <w:tcPr>
            <w:tcW w:w="1006" w:type="dxa"/>
            <w:shd w:val="clear" w:color="auto" w:fill="auto"/>
            <w:vAlign w:val="center"/>
          </w:tcPr>
          <w:p w14:paraId="61671D54">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sz w:val="24"/>
                <w:szCs w:val="24"/>
                <w:lang w:val="en-US" w:eastAsia="zh-CN"/>
              </w:rPr>
              <w:t>颗粒物、SO</w:t>
            </w:r>
            <w:r>
              <w:rPr>
                <w:rFonts w:hint="eastAsia"/>
                <w:sz w:val="24"/>
                <w:szCs w:val="24"/>
                <w:vertAlign w:val="subscript"/>
                <w:lang w:val="en-US" w:eastAsia="zh-CN"/>
              </w:rPr>
              <w:t>2</w:t>
            </w:r>
            <w:r>
              <w:rPr>
                <w:rFonts w:hint="eastAsia"/>
                <w:sz w:val="24"/>
                <w:szCs w:val="24"/>
                <w:lang w:val="en-US" w:eastAsia="zh-CN"/>
              </w:rPr>
              <w:t>、NO</w:t>
            </w:r>
            <w:r>
              <w:rPr>
                <w:rFonts w:hint="eastAsia"/>
                <w:sz w:val="24"/>
                <w:szCs w:val="24"/>
                <w:vertAlign w:val="subscript"/>
                <w:lang w:val="en-US" w:eastAsia="zh-CN"/>
              </w:rPr>
              <w:t>X</w:t>
            </w:r>
          </w:p>
        </w:tc>
        <w:tc>
          <w:tcPr>
            <w:tcW w:w="3779" w:type="dxa"/>
            <w:vAlign w:val="center"/>
          </w:tcPr>
          <w:p w14:paraId="4EF515B4">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cs="宋体"/>
                <w:color w:val="auto"/>
                <w:kern w:val="0"/>
                <w:sz w:val="24"/>
                <w:szCs w:val="24"/>
                <w:lang w:val="en-US" w:eastAsia="zh-CN"/>
              </w:rPr>
              <w:t>3#、4#生产</w:t>
            </w:r>
            <w:r>
              <w:rPr>
                <w:rFonts w:hint="eastAsia" w:ascii="Times New Roman" w:hAnsi="Times New Roman" w:eastAsia="宋体" w:cs="宋体"/>
                <w:color w:val="auto"/>
                <w:kern w:val="0"/>
                <w:sz w:val="24"/>
                <w:szCs w:val="24"/>
                <w:lang w:val="en-US" w:eastAsia="zh-CN"/>
              </w:rPr>
              <w:t>线</w:t>
            </w:r>
            <w:r>
              <w:rPr>
                <w:rFonts w:hint="eastAsia" w:cs="宋体"/>
                <w:color w:val="auto"/>
                <w:kern w:val="0"/>
                <w:sz w:val="24"/>
                <w:szCs w:val="24"/>
                <w:lang w:val="en-US" w:eastAsia="zh-CN"/>
              </w:rPr>
              <w:t>火焰抛光工序天然气燃烧废气一同经过DA007排气筒排放</w:t>
            </w:r>
            <w:r>
              <w:rPr>
                <w:rFonts w:hint="eastAsia" w:ascii="Times New Roman" w:hAnsi="Times New Roman" w:eastAsia="宋体" w:cs="宋体"/>
                <w:color w:val="auto"/>
                <w:kern w:val="0"/>
                <w:sz w:val="24"/>
                <w:szCs w:val="24"/>
                <w:lang w:val="en-US" w:eastAsia="zh-CN"/>
              </w:rPr>
              <w:t>（排放高度15m）</w:t>
            </w:r>
          </w:p>
        </w:tc>
        <w:tc>
          <w:tcPr>
            <w:tcW w:w="1408" w:type="dxa"/>
            <w:vMerge w:val="continue"/>
            <w:vAlign w:val="center"/>
          </w:tcPr>
          <w:p w14:paraId="0157FE6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r>
      <w:tr w14:paraId="159C4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19C64B4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vAlign w:val="center"/>
          </w:tcPr>
          <w:p w14:paraId="229BE8D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DA005</w:t>
            </w:r>
          </w:p>
        </w:tc>
        <w:tc>
          <w:tcPr>
            <w:tcW w:w="1005" w:type="dxa"/>
            <w:vAlign w:val="center"/>
          </w:tcPr>
          <w:p w14:paraId="0F3DFC9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配料粉尘、混料粉尘</w:t>
            </w:r>
            <w:r>
              <w:rPr>
                <w:rFonts w:hint="eastAsia" w:cs="Times New Roman"/>
                <w:sz w:val="24"/>
                <w:szCs w:val="24"/>
                <w:lang w:val="en-US" w:eastAsia="zh-CN"/>
              </w:rPr>
              <w:t>、</w:t>
            </w:r>
            <w:r>
              <w:rPr>
                <w:rFonts w:hint="eastAsia" w:ascii="Times New Roman" w:hAnsi="Times New Roman" w:eastAsia="宋体" w:cs="Times New Roman"/>
                <w:sz w:val="24"/>
                <w:szCs w:val="24"/>
                <w:lang w:val="en-US" w:eastAsia="zh-CN"/>
              </w:rPr>
              <w:t>熔化废气</w:t>
            </w:r>
          </w:p>
        </w:tc>
        <w:tc>
          <w:tcPr>
            <w:tcW w:w="1006" w:type="dxa"/>
            <w:vAlign w:val="center"/>
          </w:tcPr>
          <w:p w14:paraId="5D76473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sz w:val="24"/>
                <w:szCs w:val="24"/>
                <w:lang w:val="en-US" w:eastAsia="zh-CN"/>
              </w:rPr>
            </w:pPr>
            <w:r>
              <w:rPr>
                <w:rFonts w:hint="eastAsia"/>
                <w:sz w:val="24"/>
                <w:szCs w:val="24"/>
                <w:lang w:val="en-US" w:eastAsia="zh-CN"/>
              </w:rPr>
              <w:t>颗粒物</w:t>
            </w:r>
          </w:p>
        </w:tc>
        <w:tc>
          <w:tcPr>
            <w:tcW w:w="3779" w:type="dxa"/>
            <w:vAlign w:val="center"/>
          </w:tcPr>
          <w:p w14:paraId="4F055E1C">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宋体"/>
                <w:color w:val="auto"/>
                <w:kern w:val="0"/>
                <w:sz w:val="24"/>
                <w:szCs w:val="24"/>
                <w:lang w:val="en-US" w:eastAsia="zh-CN"/>
              </w:rPr>
              <w:t>车间封闭，</w:t>
            </w:r>
            <w:r>
              <w:rPr>
                <w:rFonts w:hint="eastAsia"/>
                <w:color w:val="auto"/>
                <w:sz w:val="24"/>
                <w:szCs w:val="24"/>
                <w:lang w:val="en-US" w:eastAsia="zh-CN"/>
              </w:rPr>
              <w:t>5#生产线布料粉尘经集气罩收集（收集效率95%），收集后的粉尘与经管道收集（收集效率95%）的熔化废气一起由“5#布袋除尘器”处理（处理效率99%）达标后，通过DA005排气筒排放</w:t>
            </w:r>
            <w:r>
              <w:rPr>
                <w:rFonts w:hint="eastAsia" w:ascii="Times New Roman" w:hAnsi="Times New Roman" w:eastAsia="宋体" w:cs="宋体"/>
                <w:color w:val="auto"/>
                <w:kern w:val="0"/>
                <w:sz w:val="24"/>
                <w:szCs w:val="24"/>
                <w:lang w:val="en-US" w:eastAsia="zh-CN"/>
              </w:rPr>
              <w:t>（排放高度15m）</w:t>
            </w:r>
          </w:p>
        </w:tc>
        <w:tc>
          <w:tcPr>
            <w:tcW w:w="1408" w:type="dxa"/>
            <w:vMerge w:val="continue"/>
            <w:vAlign w:val="center"/>
          </w:tcPr>
          <w:p w14:paraId="6A230DB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r>
      <w:tr w14:paraId="1A7708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1" w:hRule="atLeast"/>
          <w:jc w:val="center"/>
        </w:trPr>
        <w:tc>
          <w:tcPr>
            <w:tcW w:w="928" w:type="dxa"/>
            <w:vMerge w:val="continue"/>
            <w:vAlign w:val="center"/>
          </w:tcPr>
          <w:p w14:paraId="6EB9B87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vAlign w:val="center"/>
          </w:tcPr>
          <w:p w14:paraId="191F74F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DA008</w:t>
            </w:r>
          </w:p>
        </w:tc>
        <w:tc>
          <w:tcPr>
            <w:tcW w:w="1005" w:type="dxa"/>
            <w:vAlign w:val="center"/>
          </w:tcPr>
          <w:p w14:paraId="232359A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天然气燃烧废气</w:t>
            </w:r>
          </w:p>
        </w:tc>
        <w:tc>
          <w:tcPr>
            <w:tcW w:w="1006" w:type="dxa"/>
            <w:vAlign w:val="center"/>
          </w:tcPr>
          <w:p w14:paraId="3083717E">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sz w:val="24"/>
                <w:szCs w:val="24"/>
                <w:lang w:val="en-US" w:eastAsia="zh-CN"/>
              </w:rPr>
            </w:pPr>
            <w:r>
              <w:rPr>
                <w:rFonts w:hint="eastAsia"/>
                <w:sz w:val="24"/>
                <w:szCs w:val="24"/>
                <w:lang w:val="en-US" w:eastAsia="zh-CN"/>
              </w:rPr>
              <w:t>颗粒物</w:t>
            </w:r>
          </w:p>
          <w:p w14:paraId="4899CEE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r>
              <w:rPr>
                <w:rFonts w:hint="eastAsia"/>
                <w:sz w:val="24"/>
                <w:szCs w:val="24"/>
                <w:lang w:val="en-US" w:eastAsia="zh-CN"/>
              </w:rPr>
              <w:t>SO</w:t>
            </w:r>
            <w:r>
              <w:rPr>
                <w:rFonts w:hint="eastAsia"/>
                <w:sz w:val="24"/>
                <w:szCs w:val="24"/>
                <w:vertAlign w:val="subscript"/>
                <w:lang w:val="en-US" w:eastAsia="zh-CN"/>
              </w:rPr>
              <w:t>2</w:t>
            </w:r>
          </w:p>
          <w:p w14:paraId="774BD73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r>
              <w:rPr>
                <w:rFonts w:hint="eastAsia"/>
                <w:sz w:val="24"/>
                <w:szCs w:val="24"/>
                <w:lang w:val="en-US" w:eastAsia="zh-CN"/>
              </w:rPr>
              <w:t>NO</w:t>
            </w:r>
            <w:r>
              <w:rPr>
                <w:rFonts w:hint="eastAsia"/>
                <w:sz w:val="24"/>
                <w:szCs w:val="24"/>
                <w:vertAlign w:val="subscript"/>
                <w:lang w:val="en-US" w:eastAsia="zh-CN"/>
              </w:rPr>
              <w:t>X</w:t>
            </w:r>
          </w:p>
        </w:tc>
        <w:tc>
          <w:tcPr>
            <w:tcW w:w="3779" w:type="dxa"/>
            <w:vAlign w:val="center"/>
          </w:tcPr>
          <w:p w14:paraId="7E18995A">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cs="宋体"/>
                <w:color w:val="auto"/>
                <w:kern w:val="0"/>
                <w:sz w:val="24"/>
                <w:szCs w:val="24"/>
                <w:lang w:val="en-US" w:eastAsia="zh-CN"/>
              </w:rPr>
              <w:t>5#生产</w:t>
            </w:r>
            <w:r>
              <w:rPr>
                <w:rFonts w:hint="eastAsia" w:ascii="Times New Roman" w:hAnsi="Times New Roman" w:eastAsia="宋体" w:cs="宋体"/>
                <w:color w:val="auto"/>
                <w:kern w:val="0"/>
                <w:sz w:val="24"/>
                <w:szCs w:val="24"/>
                <w:lang w:val="en-US" w:eastAsia="zh-CN"/>
              </w:rPr>
              <w:t>线</w:t>
            </w:r>
            <w:r>
              <w:rPr>
                <w:rFonts w:hint="eastAsia" w:cs="宋体"/>
                <w:color w:val="auto"/>
                <w:kern w:val="0"/>
                <w:sz w:val="24"/>
                <w:szCs w:val="24"/>
                <w:lang w:val="en-US" w:eastAsia="zh-CN"/>
              </w:rPr>
              <w:t>火焰抛光工序天然气燃烧废气经过DA008排气筒排放</w:t>
            </w:r>
            <w:r>
              <w:rPr>
                <w:rFonts w:hint="eastAsia" w:ascii="Times New Roman" w:hAnsi="Times New Roman" w:eastAsia="宋体" w:cs="宋体"/>
                <w:color w:val="auto"/>
                <w:kern w:val="0"/>
                <w:sz w:val="24"/>
                <w:szCs w:val="24"/>
                <w:lang w:val="en-US" w:eastAsia="zh-CN"/>
              </w:rPr>
              <w:t>（排放高度15m）</w:t>
            </w:r>
          </w:p>
        </w:tc>
        <w:tc>
          <w:tcPr>
            <w:tcW w:w="1408" w:type="dxa"/>
            <w:vMerge w:val="continue"/>
            <w:vAlign w:val="center"/>
          </w:tcPr>
          <w:p w14:paraId="2923511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r>
      <w:tr w14:paraId="72D3D8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8" w:type="dxa"/>
            <w:vMerge w:val="continue"/>
            <w:vAlign w:val="center"/>
          </w:tcPr>
          <w:p w14:paraId="3E92BB2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vMerge w:val="restart"/>
            <w:vAlign w:val="center"/>
          </w:tcPr>
          <w:p w14:paraId="1719BC2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无组织废气</w:t>
            </w:r>
          </w:p>
        </w:tc>
        <w:tc>
          <w:tcPr>
            <w:tcW w:w="1005" w:type="dxa"/>
            <w:vMerge w:val="restart"/>
            <w:vAlign w:val="center"/>
          </w:tcPr>
          <w:p w14:paraId="40EEA46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ascii="Times New Roman" w:hAnsi="Times New Roman" w:eastAsia="宋体" w:cs="Times New Roman"/>
                <w:sz w:val="24"/>
                <w:szCs w:val="24"/>
                <w:lang w:val="en-US" w:eastAsia="zh-CN"/>
              </w:rPr>
            </w:pPr>
            <w:r>
              <w:rPr>
                <w:rFonts w:hint="eastAsia" w:cs="宋体"/>
                <w:color w:val="auto"/>
                <w:kern w:val="0"/>
                <w:sz w:val="24"/>
                <w:szCs w:val="24"/>
                <w:lang w:val="en-US" w:eastAsia="zh-CN"/>
              </w:rPr>
              <w:t>圆口废气</w:t>
            </w:r>
          </w:p>
        </w:tc>
        <w:tc>
          <w:tcPr>
            <w:tcW w:w="1006" w:type="dxa"/>
            <w:vAlign w:val="center"/>
          </w:tcPr>
          <w:p w14:paraId="714D184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sz w:val="24"/>
                <w:szCs w:val="24"/>
                <w:lang w:val="en-US" w:eastAsia="zh-CN"/>
              </w:rPr>
            </w:pPr>
            <w:r>
              <w:rPr>
                <w:rFonts w:hint="eastAsia"/>
                <w:sz w:val="24"/>
                <w:szCs w:val="24"/>
                <w:lang w:val="en-US" w:eastAsia="zh-CN"/>
              </w:rPr>
              <w:t>颗粒物</w:t>
            </w:r>
          </w:p>
        </w:tc>
        <w:tc>
          <w:tcPr>
            <w:tcW w:w="3779" w:type="dxa"/>
            <w:vMerge w:val="restart"/>
            <w:vAlign w:val="center"/>
          </w:tcPr>
          <w:p w14:paraId="44CA0569">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cs="宋体"/>
                <w:color w:val="auto"/>
                <w:kern w:val="0"/>
                <w:sz w:val="24"/>
                <w:szCs w:val="24"/>
                <w:lang w:val="en-US" w:eastAsia="zh-CN"/>
              </w:rPr>
              <w:t>圆口废气产生量较小，厂房封闭、加强通风、无组织排放</w:t>
            </w:r>
          </w:p>
        </w:tc>
        <w:tc>
          <w:tcPr>
            <w:tcW w:w="1408" w:type="dxa"/>
            <w:vAlign w:val="center"/>
          </w:tcPr>
          <w:p w14:paraId="45FC8BC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lang w:val="en-US" w:eastAsia="zh-CN"/>
              </w:rPr>
              <w:t>安徽省地方标准</w:t>
            </w:r>
            <w:r>
              <w:rPr>
                <w:rFonts w:hint="default"/>
                <w:sz w:val="24"/>
                <w:szCs w:val="24"/>
              </w:rPr>
              <w:t>《玻璃工业大气污染物排放标准》（</w:t>
            </w:r>
            <w:r>
              <w:rPr>
                <w:rFonts w:hint="default"/>
                <w:sz w:val="24"/>
                <w:szCs w:val="24"/>
                <w:lang w:val="en-US" w:eastAsia="zh-CN"/>
              </w:rPr>
              <w:t>D</w:t>
            </w:r>
            <w:r>
              <w:rPr>
                <w:rFonts w:hint="default"/>
                <w:sz w:val="24"/>
                <w:szCs w:val="24"/>
              </w:rPr>
              <w:t>B</w:t>
            </w:r>
            <w:r>
              <w:rPr>
                <w:rFonts w:hint="default"/>
                <w:sz w:val="24"/>
                <w:szCs w:val="24"/>
                <w:lang w:val="en-US" w:eastAsia="zh-CN"/>
              </w:rPr>
              <w:t>34 4295-2022</w:t>
            </w:r>
            <w:r>
              <w:rPr>
                <w:rFonts w:hint="default"/>
                <w:sz w:val="24"/>
                <w:szCs w:val="24"/>
              </w:rPr>
              <w:t>）</w:t>
            </w:r>
          </w:p>
        </w:tc>
      </w:tr>
      <w:tr w14:paraId="05AE9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28" w:type="dxa"/>
            <w:vMerge w:val="continue"/>
            <w:vAlign w:val="center"/>
          </w:tcPr>
          <w:p w14:paraId="49496A0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p>
        </w:tc>
        <w:tc>
          <w:tcPr>
            <w:tcW w:w="674" w:type="dxa"/>
            <w:vMerge w:val="continue"/>
            <w:vAlign w:val="center"/>
          </w:tcPr>
          <w:p w14:paraId="01AF533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p>
        </w:tc>
        <w:tc>
          <w:tcPr>
            <w:tcW w:w="1005" w:type="dxa"/>
            <w:vMerge w:val="continue"/>
            <w:vAlign w:val="center"/>
          </w:tcPr>
          <w:p w14:paraId="3B15CBF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p>
        </w:tc>
        <w:tc>
          <w:tcPr>
            <w:tcW w:w="1006" w:type="dxa"/>
            <w:vAlign w:val="center"/>
          </w:tcPr>
          <w:p w14:paraId="04824CA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r>
              <w:rPr>
                <w:rFonts w:hint="eastAsia"/>
                <w:sz w:val="24"/>
                <w:szCs w:val="24"/>
                <w:lang w:val="en-US" w:eastAsia="zh-CN"/>
              </w:rPr>
              <w:t>SO</w:t>
            </w:r>
            <w:r>
              <w:rPr>
                <w:rFonts w:hint="eastAsia"/>
                <w:sz w:val="24"/>
                <w:szCs w:val="24"/>
                <w:vertAlign w:val="subscript"/>
                <w:lang w:val="en-US" w:eastAsia="zh-CN"/>
              </w:rPr>
              <w:t>2</w:t>
            </w:r>
          </w:p>
        </w:tc>
        <w:tc>
          <w:tcPr>
            <w:tcW w:w="3779" w:type="dxa"/>
            <w:vMerge w:val="continue"/>
            <w:vAlign w:val="center"/>
          </w:tcPr>
          <w:p w14:paraId="5AD00F5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p>
        </w:tc>
        <w:tc>
          <w:tcPr>
            <w:tcW w:w="1408" w:type="dxa"/>
            <w:vMerge w:val="restart"/>
            <w:vAlign w:val="center"/>
          </w:tcPr>
          <w:p w14:paraId="029695F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lang w:val="en-US" w:eastAsia="zh-CN"/>
              </w:rPr>
              <w:t>《大气污染物综合排放标准》（GB16297-1996）</w:t>
            </w:r>
          </w:p>
        </w:tc>
      </w:tr>
      <w:tr w14:paraId="2879F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928" w:type="dxa"/>
            <w:vMerge w:val="continue"/>
            <w:vAlign w:val="center"/>
          </w:tcPr>
          <w:p w14:paraId="00A30CBB">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p>
        </w:tc>
        <w:tc>
          <w:tcPr>
            <w:tcW w:w="674" w:type="dxa"/>
            <w:vMerge w:val="continue"/>
            <w:vAlign w:val="center"/>
          </w:tcPr>
          <w:p w14:paraId="16EAA22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p>
        </w:tc>
        <w:tc>
          <w:tcPr>
            <w:tcW w:w="1005" w:type="dxa"/>
            <w:vMerge w:val="continue"/>
            <w:vAlign w:val="center"/>
          </w:tcPr>
          <w:p w14:paraId="64E42F2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rPr>
            </w:pPr>
          </w:p>
        </w:tc>
        <w:tc>
          <w:tcPr>
            <w:tcW w:w="1006" w:type="dxa"/>
            <w:vAlign w:val="center"/>
          </w:tcPr>
          <w:p w14:paraId="7D478F4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sz w:val="24"/>
                <w:szCs w:val="24"/>
                <w:lang w:val="en-US" w:eastAsia="zh-CN"/>
              </w:rPr>
            </w:pPr>
            <w:r>
              <w:rPr>
                <w:rFonts w:hint="eastAsia"/>
                <w:sz w:val="24"/>
                <w:szCs w:val="24"/>
                <w:lang w:val="en-US" w:eastAsia="zh-CN"/>
              </w:rPr>
              <w:t>NO</w:t>
            </w:r>
            <w:r>
              <w:rPr>
                <w:rFonts w:hint="eastAsia"/>
                <w:sz w:val="24"/>
                <w:szCs w:val="24"/>
                <w:vertAlign w:val="subscript"/>
                <w:lang w:val="en-US" w:eastAsia="zh-CN"/>
              </w:rPr>
              <w:t>X</w:t>
            </w:r>
          </w:p>
        </w:tc>
        <w:tc>
          <w:tcPr>
            <w:tcW w:w="3779" w:type="dxa"/>
            <w:vMerge w:val="continue"/>
            <w:vAlign w:val="center"/>
          </w:tcPr>
          <w:p w14:paraId="67104C6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sz w:val="24"/>
                <w:szCs w:val="24"/>
                <w:lang w:val="en-US" w:eastAsia="zh-CN"/>
              </w:rPr>
            </w:pPr>
          </w:p>
        </w:tc>
        <w:tc>
          <w:tcPr>
            <w:tcW w:w="1408" w:type="dxa"/>
            <w:vMerge w:val="continue"/>
            <w:vAlign w:val="center"/>
          </w:tcPr>
          <w:p w14:paraId="071564C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sz w:val="24"/>
                <w:szCs w:val="24"/>
                <w:lang w:val="en-US" w:eastAsia="zh-CN"/>
              </w:rPr>
            </w:pPr>
          </w:p>
        </w:tc>
      </w:tr>
      <w:tr w14:paraId="6C8367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1D8FE3C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p>
        </w:tc>
        <w:tc>
          <w:tcPr>
            <w:tcW w:w="674" w:type="dxa"/>
            <w:vMerge w:val="continue"/>
            <w:vAlign w:val="center"/>
          </w:tcPr>
          <w:p w14:paraId="413C7912">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eastAsia" w:ascii="Times New Roman" w:hAnsi="Times New Roman" w:eastAsia="宋体" w:cs="Times New Roman"/>
                <w:sz w:val="24"/>
                <w:szCs w:val="24"/>
                <w:lang w:val="en-US" w:eastAsia="zh-CN"/>
              </w:rPr>
            </w:pPr>
          </w:p>
        </w:tc>
        <w:tc>
          <w:tcPr>
            <w:tcW w:w="1005" w:type="dxa"/>
            <w:vAlign w:val="center"/>
          </w:tcPr>
          <w:p w14:paraId="0121DE6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配料、混料粉尘</w:t>
            </w:r>
          </w:p>
        </w:tc>
        <w:tc>
          <w:tcPr>
            <w:tcW w:w="1006" w:type="dxa"/>
            <w:vAlign w:val="center"/>
          </w:tcPr>
          <w:p w14:paraId="2FA49116">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sz w:val="24"/>
                <w:szCs w:val="24"/>
                <w:lang w:val="en-US" w:eastAsia="zh-CN"/>
              </w:rPr>
            </w:pPr>
            <w:r>
              <w:rPr>
                <w:rFonts w:hint="eastAsia"/>
                <w:sz w:val="24"/>
                <w:szCs w:val="24"/>
                <w:lang w:val="en-US" w:eastAsia="zh-CN"/>
              </w:rPr>
              <w:t>颗粒物</w:t>
            </w:r>
          </w:p>
        </w:tc>
        <w:tc>
          <w:tcPr>
            <w:tcW w:w="3779" w:type="dxa"/>
            <w:vAlign w:val="center"/>
          </w:tcPr>
          <w:p w14:paraId="0F278FD5">
            <w:pPr>
              <w:pStyle w:val="2"/>
              <w:keepNext/>
              <w:keepLines/>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cs="宋体"/>
                <w:color w:val="auto"/>
                <w:kern w:val="0"/>
                <w:sz w:val="24"/>
                <w:szCs w:val="24"/>
                <w:lang w:val="en-US" w:eastAsia="zh-CN"/>
              </w:rPr>
            </w:pPr>
            <w:r>
              <w:rPr>
                <w:rFonts w:hint="eastAsia" w:cs="宋体"/>
                <w:color w:val="auto"/>
                <w:kern w:val="0"/>
                <w:sz w:val="24"/>
                <w:szCs w:val="24"/>
                <w:lang w:val="en-US" w:eastAsia="zh-CN"/>
              </w:rPr>
              <w:t>无组织降落至密闭配料间内，定期清扫地面</w:t>
            </w:r>
          </w:p>
        </w:tc>
        <w:tc>
          <w:tcPr>
            <w:tcW w:w="1408" w:type="dxa"/>
            <w:vAlign w:val="center"/>
          </w:tcPr>
          <w:p w14:paraId="153FE8A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lang w:val="en-US" w:eastAsia="zh-CN"/>
              </w:rPr>
              <w:t>安徽省地方标准</w:t>
            </w:r>
            <w:r>
              <w:rPr>
                <w:rFonts w:hint="default"/>
                <w:sz w:val="24"/>
                <w:szCs w:val="24"/>
              </w:rPr>
              <w:t>《玻璃工业大气污染物排放标准》（</w:t>
            </w:r>
            <w:r>
              <w:rPr>
                <w:rFonts w:hint="default"/>
                <w:sz w:val="24"/>
                <w:szCs w:val="24"/>
                <w:lang w:val="en-US" w:eastAsia="zh-CN"/>
              </w:rPr>
              <w:t>D</w:t>
            </w:r>
            <w:r>
              <w:rPr>
                <w:rFonts w:hint="default"/>
                <w:sz w:val="24"/>
                <w:szCs w:val="24"/>
              </w:rPr>
              <w:t>B</w:t>
            </w:r>
            <w:r>
              <w:rPr>
                <w:rFonts w:hint="default"/>
                <w:sz w:val="24"/>
                <w:szCs w:val="24"/>
                <w:lang w:val="en-US" w:eastAsia="zh-CN"/>
              </w:rPr>
              <w:t>34 4295-2022</w:t>
            </w:r>
            <w:r>
              <w:rPr>
                <w:rFonts w:hint="default"/>
                <w:sz w:val="24"/>
                <w:szCs w:val="24"/>
              </w:rPr>
              <w:t>）</w:t>
            </w:r>
          </w:p>
        </w:tc>
      </w:tr>
      <w:tr w14:paraId="46A38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restart"/>
            <w:vAlign w:val="center"/>
          </w:tcPr>
          <w:p w14:paraId="35B1DA1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地表水环境</w:t>
            </w:r>
          </w:p>
        </w:tc>
        <w:tc>
          <w:tcPr>
            <w:tcW w:w="1679" w:type="dxa"/>
            <w:gridSpan w:val="2"/>
            <w:vAlign w:val="center"/>
          </w:tcPr>
          <w:p w14:paraId="78256B9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生活污水</w:t>
            </w:r>
          </w:p>
        </w:tc>
        <w:tc>
          <w:tcPr>
            <w:tcW w:w="1006" w:type="dxa"/>
            <w:vMerge w:val="restart"/>
            <w:vAlign w:val="center"/>
          </w:tcPr>
          <w:p w14:paraId="0E2DB7D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COD</w:t>
            </w:r>
            <w:r>
              <w:rPr>
                <w:rFonts w:hint="eastAsia"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BOD</w:t>
            </w:r>
            <w:r>
              <w:rPr>
                <w:rFonts w:hint="default" w:ascii="Times New Roman" w:hAnsi="Times New Roman" w:cs="Times New Roman"/>
                <w:sz w:val="24"/>
                <w:szCs w:val="24"/>
                <w:vertAlign w:val="subscript"/>
                <w:lang w:val="en-US" w:eastAsia="zh-CN"/>
              </w:rPr>
              <w:t>5</w:t>
            </w:r>
            <w:r>
              <w:rPr>
                <w:rFonts w:hint="eastAsia" w:cs="Times New Roman"/>
                <w:sz w:val="24"/>
                <w:szCs w:val="24"/>
                <w:vertAlign w:val="baseline"/>
                <w:lang w:val="en-US" w:eastAsia="zh-CN"/>
              </w:rPr>
              <w:t>、</w:t>
            </w:r>
            <w:r>
              <w:rPr>
                <w:rFonts w:hint="default" w:ascii="Times New Roman" w:hAnsi="Times New Roman" w:cs="Times New Roman"/>
                <w:sz w:val="24"/>
                <w:szCs w:val="24"/>
                <w:vertAlign w:val="baseline"/>
                <w:lang w:val="en-US" w:eastAsia="zh-CN"/>
              </w:rPr>
              <w:t>SS</w:t>
            </w:r>
          </w:p>
          <w:p w14:paraId="138260D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default"/>
                <w:sz w:val="24"/>
                <w:szCs w:val="24"/>
              </w:rPr>
            </w:pPr>
            <w:r>
              <w:rPr>
                <w:rFonts w:hint="default" w:ascii="Times New Roman" w:hAnsi="Times New Roman" w:cs="Times New Roman"/>
                <w:sz w:val="24"/>
                <w:szCs w:val="24"/>
                <w:vertAlign w:val="baseline"/>
                <w:lang w:val="en-US" w:eastAsia="zh-CN"/>
              </w:rPr>
              <w:t>氨氮</w:t>
            </w:r>
          </w:p>
        </w:tc>
        <w:tc>
          <w:tcPr>
            <w:tcW w:w="3779" w:type="dxa"/>
            <w:vMerge w:val="restart"/>
            <w:vAlign w:val="center"/>
          </w:tcPr>
          <w:p w14:paraId="4ED83D2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eastAsia"/>
                <w:sz w:val="24"/>
                <w:szCs w:val="24"/>
              </w:rPr>
            </w:pPr>
            <w:r>
              <w:rPr>
                <w:rFonts w:hint="eastAsia"/>
                <w:sz w:val="24"/>
                <w:szCs w:val="24"/>
                <w:lang w:val="en-US" w:eastAsia="zh-CN"/>
              </w:rPr>
              <w:t>雨污分流、雨水排入雨水管网，经化粪池预处理生活污水与定期排放的循环冷却定期排污水，汇同纯水制备浓水接管进入淮北蓝海水处理有限公司进一步处理，处理达标后部分作为平山电厂冷却循环水，剩余部分排入萧濉新河</w:t>
            </w:r>
          </w:p>
        </w:tc>
        <w:tc>
          <w:tcPr>
            <w:tcW w:w="1408" w:type="dxa"/>
            <w:vMerge w:val="restart"/>
            <w:vAlign w:val="center"/>
          </w:tcPr>
          <w:p w14:paraId="34E5DB7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rPr>
              <w:t>《污水综合排放标准》</w:t>
            </w:r>
            <w:r>
              <w:rPr>
                <w:rFonts w:hint="default"/>
                <w:sz w:val="24"/>
                <w:szCs w:val="24"/>
                <w:lang w:eastAsia="zh-CN"/>
              </w:rPr>
              <w:t>（</w:t>
            </w:r>
            <w:r>
              <w:rPr>
                <w:rFonts w:hint="default"/>
                <w:sz w:val="24"/>
                <w:szCs w:val="24"/>
              </w:rPr>
              <w:t>GB8978-1996</w:t>
            </w:r>
            <w:r>
              <w:rPr>
                <w:rFonts w:hint="default"/>
                <w:sz w:val="24"/>
                <w:szCs w:val="24"/>
                <w:lang w:eastAsia="zh-CN"/>
              </w:rPr>
              <w:t>）</w:t>
            </w:r>
            <w:r>
              <w:rPr>
                <w:rFonts w:hint="eastAsia"/>
                <w:sz w:val="24"/>
                <w:szCs w:val="24"/>
                <w:lang w:val="en-US" w:eastAsia="zh-CN"/>
              </w:rPr>
              <w:t>及淮北蓝海水处理有限公司</w:t>
            </w:r>
            <w:r>
              <w:rPr>
                <w:rFonts w:hint="default"/>
                <w:sz w:val="24"/>
                <w:szCs w:val="24"/>
                <w:lang w:val="en-US" w:eastAsia="zh-CN"/>
              </w:rPr>
              <w:t>接管限值</w:t>
            </w:r>
          </w:p>
        </w:tc>
      </w:tr>
      <w:tr w14:paraId="7B721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Merge w:val="continue"/>
            <w:vAlign w:val="center"/>
          </w:tcPr>
          <w:p w14:paraId="3F49DDA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default"/>
                <w:sz w:val="24"/>
                <w:szCs w:val="24"/>
              </w:rPr>
            </w:pPr>
          </w:p>
        </w:tc>
        <w:tc>
          <w:tcPr>
            <w:tcW w:w="1679" w:type="dxa"/>
            <w:gridSpan w:val="2"/>
            <w:vAlign w:val="center"/>
          </w:tcPr>
          <w:p w14:paraId="1DB98FBC">
            <w:pPr>
              <w:keepNext w:val="0"/>
              <w:keepLines w:val="0"/>
              <w:pageBreakBefore w:val="0"/>
              <w:widowControl/>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Times New Roman"/>
                <w:i w:val="0"/>
                <w:color w:val="000000"/>
                <w:kern w:val="0"/>
                <w:sz w:val="24"/>
                <w:szCs w:val="24"/>
                <w:u w:val="none"/>
                <w:lang w:val="en-US" w:eastAsia="zh-CN" w:bidi="ar"/>
              </w:rPr>
            </w:pPr>
            <w:r>
              <w:rPr>
                <w:rFonts w:hint="eastAsia" w:cs="Times New Roman"/>
                <w:i w:val="0"/>
                <w:color w:val="000000"/>
                <w:kern w:val="0"/>
                <w:sz w:val="24"/>
                <w:szCs w:val="24"/>
                <w:u w:val="none"/>
                <w:lang w:val="en-US" w:eastAsia="zh-CN" w:bidi="ar"/>
              </w:rPr>
              <w:t>生产</w:t>
            </w:r>
            <w:r>
              <w:rPr>
                <w:rFonts w:hint="eastAsia" w:ascii="Times New Roman" w:hAnsi="Times New Roman" w:eastAsia="宋体" w:cs="Times New Roman"/>
                <w:i w:val="0"/>
                <w:color w:val="000000"/>
                <w:kern w:val="0"/>
                <w:sz w:val="24"/>
                <w:szCs w:val="24"/>
                <w:u w:val="none"/>
                <w:lang w:val="en-US" w:eastAsia="zh-CN" w:bidi="ar"/>
              </w:rPr>
              <w:t>废水</w:t>
            </w:r>
          </w:p>
        </w:tc>
        <w:tc>
          <w:tcPr>
            <w:tcW w:w="1006" w:type="dxa"/>
            <w:vMerge w:val="continue"/>
            <w:vAlign w:val="center"/>
          </w:tcPr>
          <w:p w14:paraId="2D21F35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eastAsia" w:cs="宋体"/>
                <w:sz w:val="24"/>
                <w:szCs w:val="24"/>
              </w:rPr>
            </w:pPr>
          </w:p>
        </w:tc>
        <w:tc>
          <w:tcPr>
            <w:tcW w:w="3779" w:type="dxa"/>
            <w:vMerge w:val="continue"/>
            <w:vAlign w:val="center"/>
          </w:tcPr>
          <w:p w14:paraId="225908BA">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eastAsia" w:cs="宋体"/>
                <w:sz w:val="24"/>
                <w:szCs w:val="24"/>
              </w:rPr>
            </w:pPr>
          </w:p>
        </w:tc>
        <w:tc>
          <w:tcPr>
            <w:tcW w:w="1408" w:type="dxa"/>
            <w:vMerge w:val="continue"/>
            <w:vAlign w:val="center"/>
          </w:tcPr>
          <w:p w14:paraId="01E81C35">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eastAsia" w:cs="宋体"/>
                <w:sz w:val="24"/>
                <w:szCs w:val="24"/>
              </w:rPr>
            </w:pPr>
          </w:p>
        </w:tc>
      </w:tr>
      <w:tr w14:paraId="22C082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Align w:val="center"/>
          </w:tcPr>
          <w:p w14:paraId="0E283583">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声环境</w:t>
            </w:r>
          </w:p>
        </w:tc>
        <w:tc>
          <w:tcPr>
            <w:tcW w:w="1679" w:type="dxa"/>
            <w:gridSpan w:val="2"/>
            <w:vAlign w:val="center"/>
          </w:tcPr>
          <w:p w14:paraId="64945B3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生产设备、车辆等</w:t>
            </w:r>
          </w:p>
        </w:tc>
        <w:tc>
          <w:tcPr>
            <w:tcW w:w="1006" w:type="dxa"/>
            <w:vAlign w:val="center"/>
          </w:tcPr>
          <w:p w14:paraId="05FCB98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噪声</w:t>
            </w:r>
          </w:p>
        </w:tc>
        <w:tc>
          <w:tcPr>
            <w:tcW w:w="3779" w:type="dxa"/>
            <w:vAlign w:val="center"/>
          </w:tcPr>
          <w:p w14:paraId="5B44D196">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default"/>
                <w:sz w:val="24"/>
                <w:szCs w:val="24"/>
              </w:rPr>
            </w:pPr>
            <w:r>
              <w:rPr>
                <w:rFonts w:hint="eastAsia" w:cs="宋体"/>
                <w:sz w:val="24"/>
                <w:szCs w:val="24"/>
              </w:rPr>
              <w:t>基础减振、合理布局、墙体隔声</w:t>
            </w:r>
          </w:p>
        </w:tc>
        <w:tc>
          <w:tcPr>
            <w:tcW w:w="1408" w:type="dxa"/>
            <w:vAlign w:val="center"/>
          </w:tcPr>
          <w:p w14:paraId="5649861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满足《工业企业厂界环境噪声排放标准》（</w:t>
            </w:r>
            <w:r>
              <w:rPr>
                <w:rFonts w:hint="default"/>
                <w:sz w:val="24"/>
                <w:szCs w:val="24"/>
              </w:rPr>
              <w:t>GB12348-2008</w:t>
            </w:r>
            <w:r>
              <w:rPr>
                <w:rFonts w:hint="eastAsia" w:cs="宋体"/>
                <w:sz w:val="24"/>
                <w:szCs w:val="24"/>
              </w:rPr>
              <w:t>）</w:t>
            </w:r>
            <w:r>
              <w:rPr>
                <w:rFonts w:hint="eastAsia"/>
                <w:sz w:val="24"/>
                <w:szCs w:val="24"/>
                <w:lang w:val="en-US" w:eastAsia="zh-CN"/>
              </w:rPr>
              <w:t>3</w:t>
            </w:r>
            <w:r>
              <w:rPr>
                <w:rFonts w:hint="eastAsia" w:cs="宋体"/>
                <w:sz w:val="24"/>
                <w:szCs w:val="24"/>
              </w:rPr>
              <w:t>类标准要求</w:t>
            </w:r>
          </w:p>
        </w:tc>
      </w:tr>
      <w:tr w14:paraId="49987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Align w:val="center"/>
          </w:tcPr>
          <w:p w14:paraId="5A53FEC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电磁辐射</w:t>
            </w:r>
          </w:p>
        </w:tc>
        <w:tc>
          <w:tcPr>
            <w:tcW w:w="1679" w:type="dxa"/>
            <w:gridSpan w:val="2"/>
            <w:vAlign w:val="center"/>
          </w:tcPr>
          <w:p w14:paraId="04BA09FE">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rPr>
              <w:t>/</w:t>
            </w:r>
          </w:p>
        </w:tc>
        <w:tc>
          <w:tcPr>
            <w:tcW w:w="1006" w:type="dxa"/>
            <w:vAlign w:val="center"/>
          </w:tcPr>
          <w:p w14:paraId="140B345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rPr>
              <w:t>/</w:t>
            </w:r>
          </w:p>
        </w:tc>
        <w:tc>
          <w:tcPr>
            <w:tcW w:w="3779" w:type="dxa"/>
            <w:vAlign w:val="center"/>
          </w:tcPr>
          <w:p w14:paraId="347B517C">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rPr>
              <w:t>/</w:t>
            </w:r>
          </w:p>
        </w:tc>
        <w:tc>
          <w:tcPr>
            <w:tcW w:w="1408" w:type="dxa"/>
            <w:vAlign w:val="center"/>
          </w:tcPr>
          <w:p w14:paraId="1BFBABD4">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default"/>
                <w:sz w:val="24"/>
                <w:szCs w:val="24"/>
              </w:rPr>
              <w:t>/</w:t>
            </w:r>
          </w:p>
        </w:tc>
      </w:tr>
      <w:tr w14:paraId="6FD17E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Align w:val="center"/>
          </w:tcPr>
          <w:p w14:paraId="2098A56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固体废物</w:t>
            </w:r>
          </w:p>
        </w:tc>
        <w:tc>
          <w:tcPr>
            <w:tcW w:w="7872" w:type="dxa"/>
            <w:gridSpan w:val="5"/>
            <w:vAlign w:val="center"/>
          </w:tcPr>
          <w:p w14:paraId="62F82BC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default" w:eastAsia="宋体"/>
                <w:sz w:val="24"/>
                <w:szCs w:val="24"/>
                <w:lang w:val="en-US" w:eastAsia="zh-CN"/>
              </w:rPr>
            </w:pPr>
            <w:r>
              <w:rPr>
                <w:rFonts w:hint="eastAsia"/>
                <w:sz w:val="24"/>
                <w:szCs w:val="24"/>
                <w:lang w:val="en-US" w:eastAsia="zh-CN"/>
              </w:rPr>
              <w:t>生活垃圾收集至分类收集点，由环卫部门定期清运处理；废包装材料暂存于一般工业固体废物暂存场所，定期外售；玻璃废边角料、不合格产品暂存于一般工业固体废物暂存场所，定期回用于生产线；纯水制备产生的废过滤材料定期交由厂家回收；除尘器收集的粉尘暂存于一般工业固体废物暂存场所，定期外售；废润滑油及包装桶、废含油抹布、废手套暂存于危险固废暂存场所，交由有资质单位处置，停机检修产生的废保温材料检修后直接交由厂家回收。</w:t>
            </w:r>
          </w:p>
        </w:tc>
      </w:tr>
      <w:tr w14:paraId="02835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Align w:val="center"/>
          </w:tcPr>
          <w:p w14:paraId="2BA849C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土壤及地下水</w:t>
            </w:r>
          </w:p>
          <w:p w14:paraId="5661E567">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污染防治措施</w:t>
            </w:r>
          </w:p>
        </w:tc>
        <w:tc>
          <w:tcPr>
            <w:tcW w:w="7872" w:type="dxa"/>
            <w:gridSpan w:val="5"/>
            <w:vAlign w:val="center"/>
          </w:tcPr>
          <w:p w14:paraId="50DD2A08">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left"/>
              <w:rPr>
                <w:rFonts w:hint="eastAsia" w:eastAsia="宋体"/>
                <w:sz w:val="24"/>
                <w:szCs w:val="24"/>
                <w:lang w:eastAsia="zh-CN"/>
              </w:rPr>
            </w:pPr>
            <w:r>
              <w:rPr>
                <w:rFonts w:hint="eastAsia" w:eastAsia="宋体"/>
                <w:sz w:val="24"/>
                <w:szCs w:val="24"/>
                <w:lang w:eastAsia="zh-CN"/>
              </w:rPr>
              <w:t>污水管线、化粪池、</w:t>
            </w:r>
            <w:r>
              <w:rPr>
                <w:rFonts w:hint="eastAsia"/>
                <w:sz w:val="24"/>
                <w:szCs w:val="24"/>
                <w:lang w:val="en-US" w:eastAsia="zh-CN"/>
              </w:rPr>
              <w:t>危险废物贮存点</w:t>
            </w:r>
            <w:r>
              <w:rPr>
                <w:rFonts w:hint="eastAsia" w:eastAsia="宋体"/>
                <w:sz w:val="24"/>
                <w:szCs w:val="24"/>
                <w:lang w:eastAsia="zh-CN"/>
              </w:rPr>
              <w:t>重点防渗；</w:t>
            </w:r>
            <w:r>
              <w:rPr>
                <w:rFonts w:hint="eastAsia" w:eastAsia="宋体"/>
                <w:sz w:val="24"/>
                <w:szCs w:val="24"/>
                <w:lang w:val="en-US" w:eastAsia="zh-CN"/>
              </w:rPr>
              <w:t>一般固废暂存间、原料区、成品区</w:t>
            </w:r>
            <w:r>
              <w:rPr>
                <w:rFonts w:hint="eastAsia" w:eastAsia="宋体"/>
                <w:sz w:val="24"/>
                <w:szCs w:val="24"/>
                <w:lang w:eastAsia="zh-CN"/>
              </w:rPr>
              <w:t>等一般防渗、事故池</w:t>
            </w:r>
            <w:r>
              <w:rPr>
                <w:rFonts w:hint="eastAsia"/>
                <w:sz w:val="24"/>
                <w:szCs w:val="24"/>
                <w:lang w:eastAsia="zh-CN"/>
              </w:rPr>
              <w:t>（</w:t>
            </w:r>
            <w:r>
              <w:rPr>
                <w:rFonts w:hint="eastAsia"/>
                <w:sz w:val="24"/>
                <w:szCs w:val="24"/>
                <w:lang w:val="en-US" w:eastAsia="zh-CN"/>
              </w:rPr>
              <w:t>300m</w:t>
            </w:r>
            <w:r>
              <w:rPr>
                <w:rFonts w:hint="eastAsia"/>
                <w:sz w:val="24"/>
                <w:szCs w:val="24"/>
                <w:vertAlign w:val="superscript"/>
                <w:lang w:val="en-US" w:eastAsia="zh-CN"/>
              </w:rPr>
              <w:t>3</w:t>
            </w:r>
            <w:r>
              <w:rPr>
                <w:rFonts w:hint="eastAsia"/>
                <w:sz w:val="24"/>
                <w:szCs w:val="24"/>
                <w:lang w:eastAsia="zh-CN"/>
              </w:rPr>
              <w:t>）</w:t>
            </w:r>
            <w:r>
              <w:rPr>
                <w:rFonts w:hint="eastAsia" w:eastAsia="宋体"/>
                <w:sz w:val="24"/>
                <w:szCs w:val="24"/>
                <w:lang w:val="en-US" w:eastAsia="zh-CN"/>
              </w:rPr>
              <w:t>办公区等做简单防渗</w:t>
            </w:r>
          </w:p>
        </w:tc>
      </w:tr>
      <w:tr w14:paraId="09148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Align w:val="center"/>
          </w:tcPr>
          <w:p w14:paraId="32C0A820">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生态保护措施</w:t>
            </w:r>
          </w:p>
        </w:tc>
        <w:tc>
          <w:tcPr>
            <w:tcW w:w="7872" w:type="dxa"/>
            <w:gridSpan w:val="5"/>
            <w:vAlign w:val="center"/>
          </w:tcPr>
          <w:p w14:paraId="0CAD1D9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不涉及</w:t>
            </w:r>
          </w:p>
        </w:tc>
      </w:tr>
      <w:tr w14:paraId="323E4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vAlign w:val="center"/>
          </w:tcPr>
          <w:p w14:paraId="009D879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pacing w:val="-8"/>
                <w:sz w:val="24"/>
                <w:szCs w:val="24"/>
              </w:rPr>
            </w:pPr>
            <w:r>
              <w:rPr>
                <w:rFonts w:hint="eastAsia" w:cs="宋体"/>
                <w:spacing w:val="-8"/>
                <w:sz w:val="24"/>
                <w:szCs w:val="24"/>
              </w:rPr>
              <w:t>环境风险</w:t>
            </w:r>
          </w:p>
          <w:p w14:paraId="2047A449">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pacing w:val="-8"/>
                <w:sz w:val="24"/>
                <w:szCs w:val="24"/>
              </w:rPr>
            </w:pPr>
            <w:r>
              <w:rPr>
                <w:rFonts w:hint="eastAsia" w:cs="宋体"/>
                <w:spacing w:val="-8"/>
                <w:sz w:val="24"/>
                <w:szCs w:val="24"/>
              </w:rPr>
              <w:t>防范措施</w:t>
            </w:r>
          </w:p>
        </w:tc>
        <w:tc>
          <w:tcPr>
            <w:tcW w:w="7872" w:type="dxa"/>
            <w:gridSpan w:val="5"/>
            <w:vAlign w:val="center"/>
          </w:tcPr>
          <w:p w14:paraId="23BDF3EF">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z w:val="24"/>
                <w:szCs w:val="24"/>
              </w:rPr>
            </w:pPr>
            <w:r>
              <w:rPr>
                <w:rFonts w:hint="eastAsia" w:cs="宋体"/>
                <w:sz w:val="24"/>
                <w:szCs w:val="24"/>
              </w:rPr>
              <w:t>设消防、火灾报警系统；编制应急预案；消防事故池</w:t>
            </w:r>
          </w:p>
        </w:tc>
      </w:tr>
      <w:tr w14:paraId="46440C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8" w:type="dxa"/>
            <w:tcBorders>
              <w:bottom w:val="single" w:color="auto" w:sz="8" w:space="0"/>
            </w:tcBorders>
            <w:vAlign w:val="center"/>
          </w:tcPr>
          <w:p w14:paraId="5ACAD941">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pacing w:val="-8"/>
                <w:sz w:val="24"/>
                <w:szCs w:val="24"/>
              </w:rPr>
            </w:pPr>
            <w:r>
              <w:rPr>
                <w:rFonts w:hint="eastAsia" w:cs="宋体"/>
                <w:spacing w:val="-8"/>
                <w:sz w:val="24"/>
                <w:szCs w:val="24"/>
              </w:rPr>
              <w:t>其他环境</w:t>
            </w:r>
          </w:p>
          <w:p w14:paraId="1A41EA6D">
            <w:pPr>
              <w:keepNext w:val="0"/>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spacing w:val="-8"/>
                <w:sz w:val="24"/>
                <w:szCs w:val="24"/>
              </w:rPr>
            </w:pPr>
            <w:r>
              <w:rPr>
                <w:rFonts w:hint="eastAsia" w:cs="宋体"/>
                <w:spacing w:val="-8"/>
                <w:sz w:val="24"/>
                <w:szCs w:val="24"/>
              </w:rPr>
              <w:t>管理要求</w:t>
            </w:r>
          </w:p>
        </w:tc>
        <w:tc>
          <w:tcPr>
            <w:tcW w:w="7872" w:type="dxa"/>
            <w:gridSpan w:val="5"/>
            <w:tcBorders>
              <w:bottom w:val="single" w:color="auto" w:sz="8" w:space="0"/>
            </w:tcBorders>
            <w:vAlign w:val="center"/>
          </w:tcPr>
          <w:p w14:paraId="7F12CCE1">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textAlignment w:val="auto"/>
              <w:rPr>
                <w:rFonts w:hint="default" w:ascii="Times New Roman" w:hAnsi="Times New Roman" w:eastAsia="宋体" w:cs="宋体"/>
                <w:b/>
                <w:bCs/>
                <w:sz w:val="24"/>
                <w:szCs w:val="24"/>
                <w:lang w:val="en-US" w:eastAsia="zh-CN"/>
              </w:rPr>
            </w:pPr>
            <w:r>
              <w:rPr>
                <w:rFonts w:hint="eastAsia"/>
                <w:sz w:val="24"/>
                <w:szCs w:val="24"/>
                <w:lang w:val="en-US" w:eastAsia="zh-CN"/>
              </w:rPr>
              <w:t xml:space="preserve"> </w:t>
            </w:r>
            <w:r>
              <w:rPr>
                <w:rFonts w:hint="eastAsia" w:ascii="Times New Roman" w:hAnsi="Times New Roman" w:eastAsia="宋体" w:cs="宋体"/>
                <w:b/>
                <w:bCs/>
                <w:sz w:val="24"/>
                <w:szCs w:val="24"/>
                <w:lang w:val="en-US" w:eastAsia="zh-CN"/>
              </w:rPr>
              <w:t>5.1 标识牌设置</w:t>
            </w:r>
          </w:p>
          <w:p w14:paraId="2A1DC4A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sz w:val="24"/>
                <w:szCs w:val="24"/>
                <w:lang w:val="en-US" w:eastAsia="zh-CN"/>
              </w:rPr>
            </w:pPr>
            <w:r>
              <w:rPr>
                <w:rFonts w:hint="eastAsia"/>
                <w:sz w:val="24"/>
                <w:szCs w:val="24"/>
                <w:lang w:val="en-US" w:eastAsia="zh-CN"/>
              </w:rPr>
              <w:t>标识牌的设置应按《关于印发排放口标志牌技术规范的通知》（环办</w:t>
            </w:r>
            <w:r>
              <w:rPr>
                <w:rFonts w:hint="default"/>
                <w:sz w:val="24"/>
                <w:szCs w:val="24"/>
                <w:lang w:val="en-US" w:eastAsia="zh-CN"/>
              </w:rPr>
              <w:t>〔</w:t>
            </w:r>
            <w:r>
              <w:rPr>
                <w:rFonts w:hint="eastAsia"/>
                <w:sz w:val="24"/>
                <w:szCs w:val="24"/>
                <w:lang w:val="en-US" w:eastAsia="zh-CN"/>
              </w:rPr>
              <w:t>2005</w:t>
            </w:r>
            <w:r>
              <w:rPr>
                <w:rFonts w:hint="default"/>
                <w:sz w:val="24"/>
                <w:szCs w:val="24"/>
                <w:lang w:val="en-US" w:eastAsia="zh-CN"/>
              </w:rPr>
              <w:t>〕</w:t>
            </w:r>
            <w:r>
              <w:rPr>
                <w:rFonts w:hint="eastAsia"/>
                <w:sz w:val="24"/>
                <w:szCs w:val="24"/>
                <w:lang w:val="en-US" w:eastAsia="zh-CN"/>
              </w:rPr>
              <w:t>95号）中相关规定实施，统计所有排污口的名称、位置、数量、以及排放污染物的名称、数量等内容上报当地环保部门，以便进行验收和排污口规范性管理。图形符号分别为提示图形和警告图形符号两种，分别为（GB15562.1-1995）、（GB15562.2-1995）执行，环境保护图形标志的形状及颜色见下表：</w:t>
            </w:r>
          </w:p>
          <w:p w14:paraId="5EA5180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0" w:firstLineChars="0"/>
              <w:jc w:val="center"/>
              <w:textAlignment w:val="auto"/>
              <w:rPr>
                <w:rFonts w:hint="default"/>
                <w:sz w:val="24"/>
                <w:szCs w:val="24"/>
                <w:vertAlign w:val="baseline"/>
                <w:lang w:val="en-US" w:eastAsia="zh-CN"/>
              </w:rPr>
            </w:pPr>
            <w:r>
              <w:rPr>
                <w:rFonts w:hint="eastAsia"/>
                <w:b/>
                <w:bCs/>
                <w:sz w:val="24"/>
                <w:szCs w:val="24"/>
                <w:lang w:val="en-US" w:eastAsia="zh-CN"/>
              </w:rPr>
              <w:t>表5-1  环境保护图形符号一览表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385"/>
              <w:gridCol w:w="2932"/>
              <w:gridCol w:w="2276"/>
            </w:tblGrid>
            <w:tr w14:paraId="79D9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vAlign w:val="center"/>
                </w:tcPr>
                <w:p w14:paraId="2162B72C">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序号</w:t>
                  </w:r>
                </w:p>
              </w:tc>
              <w:tc>
                <w:tcPr>
                  <w:tcW w:w="1409" w:type="dxa"/>
                  <w:vAlign w:val="center"/>
                </w:tcPr>
                <w:p w14:paraId="7CC09866">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排放口</w:t>
                  </w:r>
                </w:p>
              </w:tc>
              <w:tc>
                <w:tcPr>
                  <w:tcW w:w="2987" w:type="dxa"/>
                  <w:vAlign w:val="center"/>
                </w:tcPr>
                <w:p w14:paraId="42F362F6">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提示/警告图形标识</w:t>
                  </w:r>
                </w:p>
              </w:tc>
              <w:tc>
                <w:tcPr>
                  <w:tcW w:w="2317" w:type="dxa"/>
                  <w:vAlign w:val="center"/>
                </w:tcPr>
                <w:p w14:paraId="7D6EC644">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功能</w:t>
                  </w:r>
                </w:p>
              </w:tc>
            </w:tr>
            <w:tr w14:paraId="4638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vAlign w:val="center"/>
                </w:tcPr>
                <w:p w14:paraId="2ABE6850">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1409" w:type="dxa"/>
                  <w:vAlign w:val="center"/>
                </w:tcPr>
                <w:p w14:paraId="0F5E7EFA">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废水排放口</w:t>
                  </w:r>
                </w:p>
              </w:tc>
              <w:tc>
                <w:tcPr>
                  <w:tcW w:w="2987" w:type="dxa"/>
                  <w:vAlign w:val="center"/>
                </w:tcPr>
                <w:p w14:paraId="1F6A8AF2">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000000"/>
                      <w:sz w:val="21"/>
                      <w:szCs w:val="21"/>
                    </w:rPr>
                  </w:pPr>
                  <w:r>
                    <w:rPr>
                      <w:rFonts w:hint="default" w:ascii="Times New Roman" w:hAnsi="Times New Roman" w:cs="Times New Roman"/>
                      <w:sz w:val="21"/>
                      <w:szCs w:val="21"/>
                    </w:rPr>
                    <w:drawing>
                      <wp:inline distT="0" distB="0" distL="114300" distR="114300">
                        <wp:extent cx="635" cy="0"/>
                        <wp:effectExtent l="0" t="0" r="0" b="0"/>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pic:cNvPicPr>
                              </pic:nvPicPr>
                              <pic:blipFill>
                                <a:blip r:embed="rId24"/>
                                <a:stretch>
                                  <a:fillRect/>
                                </a:stretch>
                              </pic:blipFill>
                              <pic:spPr>
                                <a:xfrm>
                                  <a:off x="0" y="0"/>
                                  <a:ext cx="635" cy="0"/>
                                </a:xfrm>
                                <a:prstGeom prst="rect">
                                  <a:avLst/>
                                </a:prstGeom>
                                <a:noFill/>
                                <a:ln>
                                  <a:noFill/>
                                </a:ln>
                              </pic:spPr>
                            </pic:pic>
                          </a:graphicData>
                        </a:graphic>
                      </wp:inline>
                    </w:drawing>
                  </w:r>
                  <w:r>
                    <w:rPr>
                      <w:rFonts w:hint="default" w:ascii="Times New Roman" w:hAnsi="Times New Roman" w:cs="Times New Roman"/>
                      <w:sz w:val="21"/>
                      <w:szCs w:val="21"/>
                    </w:rPr>
                    <w:drawing>
                      <wp:inline distT="0" distB="0" distL="114300" distR="114300">
                        <wp:extent cx="635" cy="0"/>
                        <wp:effectExtent l="0" t="0" r="0" b="0"/>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25"/>
                                <a:stretch>
                                  <a:fillRect/>
                                </a:stretch>
                              </pic:blipFill>
                              <pic:spPr>
                                <a:xfrm>
                                  <a:off x="0" y="0"/>
                                  <a:ext cx="635" cy="0"/>
                                </a:xfrm>
                                <a:prstGeom prst="rect">
                                  <a:avLst/>
                                </a:prstGeom>
                                <a:noFill/>
                                <a:ln>
                                  <a:noFill/>
                                </a:ln>
                              </pic:spPr>
                            </pic:pic>
                          </a:graphicData>
                        </a:graphic>
                      </wp:inline>
                    </w:drawing>
                  </w:r>
                  <w:r>
                    <w:rPr>
                      <w:rFonts w:hint="default" w:ascii="Times New Roman" w:hAnsi="Times New Roman" w:eastAsia="宋体" w:cs="Times New Roman"/>
                      <w:color w:val="000000"/>
                      <w:sz w:val="21"/>
                      <w:szCs w:val="21"/>
                    </w:rPr>
                    <w:drawing>
                      <wp:inline distT="0" distB="0" distL="114300" distR="114300">
                        <wp:extent cx="559435" cy="565785"/>
                        <wp:effectExtent l="0" t="0" r="12065" b="5715"/>
                        <wp:docPr id="14" name="图片 16" descr="说明: 说明: 说明: 1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descr="说明: 说明: 说明: 13001"/>
                                <pic:cNvPicPr>
                                  <a:picLocks noChangeAspect="1"/>
                                </pic:cNvPicPr>
                              </pic:nvPicPr>
                              <pic:blipFill>
                                <a:blip r:embed="rId26"/>
                                <a:stretch>
                                  <a:fillRect/>
                                </a:stretch>
                              </pic:blipFill>
                              <pic:spPr>
                                <a:xfrm>
                                  <a:off x="0" y="0"/>
                                  <a:ext cx="559435" cy="565785"/>
                                </a:xfrm>
                                <a:prstGeom prst="rect">
                                  <a:avLst/>
                                </a:prstGeom>
                                <a:noFill/>
                                <a:ln>
                                  <a:noFill/>
                                </a:ln>
                              </pic:spPr>
                            </pic:pic>
                          </a:graphicData>
                        </a:graphic>
                      </wp:inline>
                    </w:drawing>
                  </w:r>
                </w:p>
              </w:tc>
              <w:tc>
                <w:tcPr>
                  <w:tcW w:w="2317" w:type="dxa"/>
                  <w:vAlign w:val="center"/>
                </w:tcPr>
                <w:p w14:paraId="6D9AACB2">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表示污水向水体排放</w:t>
                  </w:r>
                </w:p>
              </w:tc>
            </w:tr>
            <w:tr w14:paraId="41DE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vAlign w:val="center"/>
                </w:tcPr>
                <w:p w14:paraId="1D327290">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1409" w:type="dxa"/>
                  <w:vAlign w:val="center"/>
                </w:tcPr>
                <w:p w14:paraId="635BCDB4">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排气筒</w:t>
                  </w:r>
                </w:p>
              </w:tc>
              <w:tc>
                <w:tcPr>
                  <w:tcW w:w="2987" w:type="dxa"/>
                  <w:vAlign w:val="center"/>
                </w:tcPr>
                <w:p w14:paraId="3849F52C">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sz w:val="21"/>
                      <w:szCs w:val="21"/>
                    </w:rPr>
                    <w:drawing>
                      <wp:inline distT="0" distB="0" distL="114300" distR="114300">
                        <wp:extent cx="583565" cy="589915"/>
                        <wp:effectExtent l="0" t="0" r="6985" b="635"/>
                        <wp:docPr id="15" name="图片 17" descr="说明: 说明: 说明: 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descr="说明: 说明: 说明: 13003"/>
                                <pic:cNvPicPr>
                                  <a:picLocks noChangeAspect="1"/>
                                </pic:cNvPicPr>
                              </pic:nvPicPr>
                              <pic:blipFill>
                                <a:blip r:embed="rId27"/>
                                <a:stretch>
                                  <a:fillRect/>
                                </a:stretch>
                              </pic:blipFill>
                              <pic:spPr>
                                <a:xfrm>
                                  <a:off x="0" y="0"/>
                                  <a:ext cx="583565" cy="589915"/>
                                </a:xfrm>
                                <a:prstGeom prst="rect">
                                  <a:avLst/>
                                </a:prstGeom>
                                <a:noFill/>
                                <a:ln>
                                  <a:noFill/>
                                </a:ln>
                              </pic:spPr>
                            </pic:pic>
                          </a:graphicData>
                        </a:graphic>
                      </wp:inline>
                    </w:drawing>
                  </w:r>
                </w:p>
              </w:tc>
              <w:tc>
                <w:tcPr>
                  <w:tcW w:w="2317" w:type="dxa"/>
                  <w:vAlign w:val="center"/>
                </w:tcPr>
                <w:p w14:paraId="1BDA17FF">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表示废气向大气排放</w:t>
                  </w:r>
                </w:p>
              </w:tc>
            </w:tr>
            <w:tr w14:paraId="0E3C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vAlign w:val="center"/>
                </w:tcPr>
                <w:p w14:paraId="5F40CD9C">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1409" w:type="dxa"/>
                  <w:vAlign w:val="center"/>
                </w:tcPr>
                <w:p w14:paraId="76172336">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噪声源</w:t>
                  </w:r>
                </w:p>
              </w:tc>
              <w:tc>
                <w:tcPr>
                  <w:tcW w:w="2987" w:type="dxa"/>
                  <w:vAlign w:val="center"/>
                </w:tcPr>
                <w:p w14:paraId="465858B4">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eastAsia="宋体" w:cs="Times New Roman"/>
                      <w:color w:val="000000"/>
                      <w:sz w:val="21"/>
                      <w:szCs w:val="21"/>
                    </w:rPr>
                    <w:drawing>
                      <wp:inline distT="0" distB="0" distL="114300" distR="114300">
                        <wp:extent cx="572770" cy="572770"/>
                        <wp:effectExtent l="0" t="0" r="17780" b="17780"/>
                        <wp:docPr id="16" name="图片 18" descr="说明: 说明: 说明: 200602201518049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8" descr="说明: 说明: 说明: 200602201518049853"/>
                                <pic:cNvPicPr>
                                  <a:picLocks noChangeAspect="1"/>
                                </pic:cNvPicPr>
                              </pic:nvPicPr>
                              <pic:blipFill>
                                <a:blip r:embed="rId28"/>
                                <a:stretch>
                                  <a:fillRect/>
                                </a:stretch>
                              </pic:blipFill>
                              <pic:spPr>
                                <a:xfrm>
                                  <a:off x="0" y="0"/>
                                  <a:ext cx="572770" cy="572770"/>
                                </a:xfrm>
                                <a:prstGeom prst="rect">
                                  <a:avLst/>
                                </a:prstGeom>
                                <a:noFill/>
                                <a:ln>
                                  <a:noFill/>
                                </a:ln>
                              </pic:spPr>
                            </pic:pic>
                          </a:graphicData>
                        </a:graphic>
                      </wp:inline>
                    </w:drawing>
                  </w:r>
                </w:p>
              </w:tc>
              <w:tc>
                <w:tcPr>
                  <w:tcW w:w="2317" w:type="dxa"/>
                  <w:vAlign w:val="center"/>
                </w:tcPr>
                <w:p w14:paraId="04D56C5E">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表示噪声向外环境排放</w:t>
                  </w:r>
                </w:p>
              </w:tc>
            </w:tr>
            <w:tr w14:paraId="60A0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70" w:type="dxa"/>
                  <w:vAlign w:val="center"/>
                </w:tcPr>
                <w:p w14:paraId="597EA4C6">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p>
              </w:tc>
              <w:tc>
                <w:tcPr>
                  <w:tcW w:w="1409" w:type="dxa"/>
                  <w:vAlign w:val="center"/>
                </w:tcPr>
                <w:p w14:paraId="55E2D7E8">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危险废物</w:t>
                  </w:r>
                </w:p>
              </w:tc>
              <w:tc>
                <w:tcPr>
                  <w:tcW w:w="2987" w:type="dxa"/>
                  <w:vAlign w:val="center"/>
                </w:tcPr>
                <w:p w14:paraId="500078EA">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default" w:ascii="Times New Roman" w:hAnsi="Times New Roman" w:eastAsia="宋体" w:cs="Times New Roman"/>
                      <w:b w:val="0"/>
                      <w:bCs w:val="0"/>
                      <w:color w:val="0000FF"/>
                      <w:sz w:val="21"/>
                      <w:szCs w:val="21"/>
                    </w:rPr>
                  </w:pPr>
                  <w:r>
                    <w:rPr>
                      <w:rFonts w:hint="default" w:ascii="Times New Roman" w:hAnsi="Times New Roman" w:cs="Times New Roman"/>
                      <w:color w:val="0000FF"/>
                      <w:sz w:val="21"/>
                      <w:szCs w:val="21"/>
                    </w:rPr>
                    <w:drawing>
                      <wp:inline distT="0" distB="0" distL="114300" distR="114300">
                        <wp:extent cx="596265" cy="636270"/>
                        <wp:effectExtent l="0" t="0" r="13335" b="11430"/>
                        <wp:docPr id="3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7"/>
                                <pic:cNvPicPr>
                                  <a:picLocks noChangeAspect="1"/>
                                </pic:cNvPicPr>
                              </pic:nvPicPr>
                              <pic:blipFill>
                                <a:blip r:embed="rId29"/>
                                <a:stretch>
                                  <a:fillRect/>
                                </a:stretch>
                              </pic:blipFill>
                              <pic:spPr>
                                <a:xfrm>
                                  <a:off x="0" y="0"/>
                                  <a:ext cx="596265" cy="636270"/>
                                </a:xfrm>
                                <a:prstGeom prst="rect">
                                  <a:avLst/>
                                </a:prstGeom>
                                <a:noFill/>
                                <a:ln>
                                  <a:noFill/>
                                </a:ln>
                              </pic:spPr>
                            </pic:pic>
                          </a:graphicData>
                        </a:graphic>
                      </wp:inline>
                    </w:drawing>
                  </w:r>
                </w:p>
              </w:tc>
              <w:tc>
                <w:tcPr>
                  <w:tcW w:w="2317" w:type="dxa"/>
                  <w:vAlign w:val="center"/>
                </w:tcPr>
                <w:p w14:paraId="47280112">
                  <w:pPr>
                    <w:pStyle w:val="2"/>
                    <w:keepLines w:val="0"/>
                    <w:pageBreakBefore w:val="0"/>
                    <w:suppressLineNumbers w:val="0"/>
                    <w:kinsoku/>
                    <w:wordWrap w:val="0"/>
                    <w:overflowPunct/>
                    <w:topLinePunct/>
                    <w:autoSpaceDE/>
                    <w:autoSpaceDN/>
                    <w:bidi w:val="0"/>
                    <w:adjustRightInd/>
                    <w:snapToGrid/>
                    <w:spacing w:before="0" w:beforeAutospacing="0" w:after="0" w:afterAutospacing="0" w:line="360" w:lineRule="auto"/>
                    <w:ind w:left="0" w:leftChars="0" w:right="0" w:rightChars="0"/>
                    <w:jc w:val="center"/>
                    <w:rPr>
                      <w:rFonts w:hint="default" w:ascii="Times New Roman" w:hAnsi="Times New Roman" w:cs="Times New Roman"/>
                      <w:b w:val="0"/>
                      <w:bCs w:val="0"/>
                      <w:color w:val="0000FF"/>
                      <w:sz w:val="21"/>
                      <w:szCs w:val="21"/>
                      <w:lang w:val="en-US" w:eastAsia="zh-CN"/>
                    </w:rPr>
                  </w:pPr>
                  <w:r>
                    <w:rPr>
                      <w:rFonts w:hint="default" w:ascii="Times New Roman" w:hAnsi="Times New Roman" w:cs="Times New Roman"/>
                      <w:b w:val="0"/>
                      <w:bCs w:val="0"/>
                      <w:color w:val="auto"/>
                      <w:sz w:val="21"/>
                      <w:szCs w:val="21"/>
                      <w:lang w:val="en-US" w:eastAsia="zh-CN"/>
                    </w:rPr>
                    <w:t>表示危险废物贮存点</w:t>
                  </w:r>
                </w:p>
              </w:tc>
            </w:tr>
          </w:tbl>
          <w:p w14:paraId="3671B9E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b/>
                <w:bCs/>
                <w:sz w:val="24"/>
                <w:szCs w:val="24"/>
                <w:lang w:val="en-US" w:eastAsia="zh-CN"/>
              </w:rPr>
            </w:pPr>
            <w:r>
              <w:rPr>
                <w:rFonts w:hint="eastAsia" w:eastAsia="仿宋_GB2312"/>
                <w:b/>
                <w:bCs/>
                <w:sz w:val="24"/>
                <w:szCs w:val="24"/>
                <w:lang w:val="en-US" w:eastAsia="zh-CN"/>
              </w:rPr>
              <w:t>5.2</w:t>
            </w:r>
            <w:r>
              <w:rPr>
                <w:rFonts w:hint="eastAsia"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排污许可</w:t>
            </w:r>
            <w:r>
              <w:rPr>
                <w:rFonts w:hint="eastAsia" w:cs="Times New Roman"/>
                <w:b/>
                <w:bCs/>
                <w:sz w:val="24"/>
                <w:szCs w:val="24"/>
                <w:lang w:val="en-US" w:eastAsia="zh-CN"/>
              </w:rPr>
              <w:t>联动内容</w:t>
            </w:r>
          </w:p>
          <w:p w14:paraId="75A8392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根据安徽省生态环境厅文件2021年1月30号</w:t>
            </w:r>
            <w:r>
              <w:rPr>
                <w:rFonts w:hint="default" w:ascii="Times New Roman" w:hAnsi="Times New Roman" w:cs="Times New Roman"/>
                <w:sz w:val="24"/>
                <w:szCs w:val="24"/>
                <w:lang w:eastAsia="zh-CN"/>
              </w:rPr>
              <w:t>《</w:t>
            </w:r>
            <w:r>
              <w:rPr>
                <w:rFonts w:hint="default" w:ascii="Times New Roman" w:hAnsi="Times New Roman" w:cs="Times New Roman"/>
                <w:sz w:val="24"/>
                <w:szCs w:val="24"/>
              </w:rPr>
              <w:t>安徽省生态环境厅关于统筹做好固定污染源排污许可日常监管工作的通知</w:t>
            </w:r>
            <w:r>
              <w:rPr>
                <w:rFonts w:hint="default" w:ascii="Times New Roman" w:hAnsi="Times New Roman" w:cs="Times New Roman"/>
                <w:sz w:val="24"/>
                <w:szCs w:val="24"/>
                <w:lang w:eastAsia="zh-CN"/>
              </w:rPr>
              <w:t>》（</w:t>
            </w:r>
            <w:r>
              <w:rPr>
                <w:rFonts w:hint="default" w:ascii="Times New Roman" w:hAnsi="Times New Roman" w:cs="Times New Roman"/>
                <w:sz w:val="24"/>
                <w:szCs w:val="24"/>
              </w:rPr>
              <w:t>皖环发</w:t>
            </w:r>
            <w:r>
              <w:rPr>
                <w:rFonts w:hint="default" w:ascii="Times New Roman" w:hAnsi="Times New Roman" w:cs="Times New Roman"/>
                <w:sz w:val="24"/>
                <w:szCs w:val="24"/>
                <w:lang w:eastAsia="zh-CN"/>
              </w:rPr>
              <w:t>（</w:t>
            </w:r>
            <w:r>
              <w:rPr>
                <w:rFonts w:hint="default" w:ascii="Times New Roman" w:hAnsi="Times New Roman" w:cs="Times New Roman"/>
                <w:sz w:val="24"/>
                <w:szCs w:val="24"/>
              </w:rPr>
              <w:t>2021</w:t>
            </w:r>
            <w:r>
              <w:rPr>
                <w:rFonts w:hint="default" w:ascii="Times New Roman" w:hAnsi="Times New Roman" w:cs="Times New Roman"/>
                <w:sz w:val="24"/>
                <w:szCs w:val="24"/>
                <w:lang w:eastAsia="zh-CN"/>
              </w:rPr>
              <w:t>）</w:t>
            </w:r>
            <w:r>
              <w:rPr>
                <w:rFonts w:hint="default" w:ascii="Times New Roman" w:hAnsi="Times New Roman" w:cs="Times New Roman"/>
                <w:sz w:val="24"/>
                <w:szCs w:val="24"/>
              </w:rPr>
              <w:t>7号</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文件内容：二、主要任务——第（七）条积极探索排污许可与环评制度的联动试点中——属于现行《固定污染源排污许可分类管理名录》内重点管理和简化管理的行业，建设单位在组织编制建设项目环境影响报告书（表）时，可结合相应行业排污许可证申请与核发技术规范，在环评文件中一并明确</w:t>
            </w:r>
            <w:r>
              <w:rPr>
                <w:rFonts w:hint="eastAsia" w:cs="Times New Roman"/>
                <w:sz w:val="24"/>
                <w:szCs w:val="24"/>
                <w:lang w:val="en-US" w:eastAsia="zh-CN"/>
              </w:rPr>
              <w:t>“</w:t>
            </w:r>
            <w:r>
              <w:rPr>
                <w:rFonts w:hint="default" w:ascii="Times New Roman" w:hAnsi="Times New Roman" w:cs="Times New Roman"/>
                <w:sz w:val="24"/>
                <w:szCs w:val="24"/>
                <w:lang w:val="en-US" w:eastAsia="zh-CN"/>
              </w:rPr>
              <w:t>建设项目环境影响评价与排污许可联动内容</w:t>
            </w:r>
            <w:r>
              <w:rPr>
                <w:rFonts w:hint="eastAsia" w:cs="Times New Roman"/>
                <w:sz w:val="24"/>
                <w:szCs w:val="24"/>
                <w:lang w:val="en-US" w:eastAsia="zh-CN"/>
              </w:rPr>
              <w:t>”</w:t>
            </w:r>
            <w:r>
              <w:rPr>
                <w:rFonts w:hint="default" w:ascii="Times New Roman" w:hAnsi="Times New Roman" w:cs="Times New Roman"/>
                <w:sz w:val="24"/>
                <w:szCs w:val="24"/>
                <w:lang w:val="en-US" w:eastAsia="zh-CN"/>
              </w:rPr>
              <w:t>（附件1）和《建设项目排污许可申请与填报信息表》（附件2），生态环境部门在环评文件受理和审批过程中同步审核。</w:t>
            </w:r>
          </w:p>
          <w:p w14:paraId="715C3B6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sz w:val="24"/>
                <w:szCs w:val="24"/>
                <w:lang w:val="en-US" w:eastAsia="zh-CN"/>
              </w:rPr>
            </w:pPr>
            <w:r>
              <w:rPr>
                <w:rFonts w:hint="default" w:ascii="Times New Roman" w:hAnsi="Times New Roman" w:eastAsia="宋体" w:cs="Times New Roman"/>
                <w:sz w:val="24"/>
                <w:szCs w:val="24"/>
                <w:lang w:val="en-US" w:eastAsia="zh-CN"/>
              </w:rPr>
              <w:t>本项目属于</w:t>
            </w:r>
            <w:r>
              <w:rPr>
                <w:rFonts w:hint="default" w:ascii="Times New Roman" w:hAnsi="Times New Roman" w:eastAsia="宋体" w:cs="Times New Roman"/>
                <w:sz w:val="24"/>
                <w:szCs w:val="24"/>
                <w:lang w:eastAsia="zh-CN"/>
              </w:rPr>
              <w:t>《固定污染源排污许可分类管理名录》</w:t>
            </w:r>
            <w:r>
              <w:rPr>
                <w:rFonts w:hint="default" w:ascii="Times New Roman" w:hAnsi="Times New Roman" w:eastAsia="宋体" w:cs="Times New Roman"/>
                <w:sz w:val="24"/>
                <w:szCs w:val="24"/>
                <w:lang w:val="en-US" w:eastAsia="zh-CN"/>
              </w:rPr>
              <w:t>中二十五、非金属矿物制品业 30</w:t>
            </w:r>
            <w:r>
              <w:rPr>
                <w:rFonts w:hint="eastAsia" w:cs="Times New Roman"/>
                <w:sz w:val="24"/>
                <w:szCs w:val="24"/>
                <w:lang w:val="en-US" w:eastAsia="zh-CN"/>
              </w:rPr>
              <w:t>；65、玻璃制造 304、玻璃制品制造305</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本项目属于其中的</w:t>
            </w:r>
            <w:r>
              <w:rPr>
                <w:rFonts w:hint="eastAsia" w:cs="Times New Roman"/>
                <w:sz w:val="24"/>
                <w:szCs w:val="24"/>
                <w:lang w:val="en-US" w:eastAsia="zh-CN"/>
              </w:rPr>
              <w:t>“特种玻璃制造3042”、以天然气为燃料的玻璃制品制造</w:t>
            </w:r>
            <w:r>
              <w:rPr>
                <w:rFonts w:hint="eastAsia" w:ascii="Times New Roman" w:hAnsi="Times New Roman" w:eastAsia="宋体" w:cs="Times New Roman"/>
                <w:sz w:val="24"/>
                <w:szCs w:val="24"/>
                <w:lang w:val="en-US" w:eastAsia="zh-CN"/>
              </w:rPr>
              <w:t>，属于</w:t>
            </w:r>
            <w:r>
              <w:rPr>
                <w:rFonts w:hint="eastAsia" w:cs="Times New Roman"/>
                <w:sz w:val="24"/>
                <w:szCs w:val="24"/>
                <w:lang w:val="en-US" w:eastAsia="zh-CN"/>
              </w:rPr>
              <w:t>简化</w:t>
            </w:r>
            <w:r>
              <w:rPr>
                <w:rFonts w:hint="eastAsia" w:ascii="Times New Roman" w:hAnsi="Times New Roman" w:eastAsia="宋体" w:cs="Times New Roman"/>
                <w:sz w:val="24"/>
                <w:szCs w:val="24"/>
                <w:lang w:val="en-US" w:eastAsia="zh-CN"/>
              </w:rPr>
              <w:t>管理</w:t>
            </w:r>
            <w:r>
              <w:rPr>
                <w:rFonts w:hint="eastAsia" w:cs="Times New Roman"/>
                <w:sz w:val="24"/>
                <w:szCs w:val="24"/>
                <w:lang w:val="en-US" w:eastAsia="zh-CN"/>
              </w:rPr>
              <w:t>，</w:t>
            </w:r>
            <w:r>
              <w:rPr>
                <w:rFonts w:hint="eastAsia"/>
                <w:sz w:val="24"/>
                <w:szCs w:val="24"/>
                <w:lang w:val="en-US" w:eastAsia="zh-CN"/>
              </w:rPr>
              <w:t>要求企业在履行竣工环保“三同时”验收时完善排污许可手续。</w:t>
            </w:r>
          </w:p>
          <w:p w14:paraId="297E122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both"/>
              <w:textAlignment w:val="auto"/>
              <w:rPr>
                <w:rFonts w:hint="eastAsia"/>
                <w:sz w:val="24"/>
                <w:szCs w:val="24"/>
                <w:lang w:val="en-US" w:eastAsia="zh-CN"/>
              </w:rPr>
            </w:pPr>
          </w:p>
          <w:p w14:paraId="79730BB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both"/>
              <w:textAlignment w:val="auto"/>
              <w:rPr>
                <w:rFonts w:hint="eastAsia"/>
                <w:sz w:val="24"/>
                <w:szCs w:val="24"/>
                <w:lang w:val="en-US" w:eastAsia="zh-CN"/>
              </w:rPr>
            </w:pPr>
          </w:p>
          <w:p w14:paraId="00A5F159">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jc w:val="both"/>
              <w:textAlignment w:val="auto"/>
              <w:rPr>
                <w:rFonts w:hint="default" w:eastAsia="宋体"/>
                <w:sz w:val="24"/>
                <w:szCs w:val="24"/>
                <w:lang w:val="en-US" w:eastAsia="zh-CN"/>
              </w:rPr>
            </w:pPr>
          </w:p>
        </w:tc>
      </w:tr>
    </w:tbl>
    <w:p w14:paraId="6D1D01EB">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ascii="黑体" w:hAnsi="黑体" w:eastAsia="黑体" w:cs="Times New Roman"/>
          <w:snapToGrid w:val="0"/>
          <w:sz w:val="30"/>
          <w:szCs w:val="30"/>
        </w:rPr>
      </w:pPr>
      <w:r>
        <w:rPr>
          <w:rFonts w:hint="eastAsia" w:ascii="黑体" w:hAnsi="黑体" w:eastAsia="黑体" w:cs="黑体"/>
          <w:snapToGrid w:val="0"/>
          <w:sz w:val="30"/>
          <w:szCs w:val="30"/>
        </w:rPr>
        <w:t>六、结论</w:t>
      </w:r>
      <w:bookmarkEnd w:id="11"/>
    </w:p>
    <w:tbl>
      <w:tblPr>
        <w:tblStyle w:val="3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7AF0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65" w:type="dxa"/>
            <w:tcBorders>
              <w:top w:val="single" w:color="auto" w:sz="8" w:space="0"/>
              <w:bottom w:val="single" w:color="auto" w:sz="8" w:space="0"/>
            </w:tcBorders>
            <w:vAlign w:val="center"/>
          </w:tcPr>
          <w:p w14:paraId="1AB114B6">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r>
              <w:rPr>
                <w:rFonts w:hint="default" w:ascii="Times New Roman" w:hAnsi="Times New Roman" w:cs="Times New Roman"/>
                <w:sz w:val="24"/>
              </w:rPr>
              <w:t>本项目选址于</w:t>
            </w:r>
            <w:r>
              <w:rPr>
                <w:rFonts w:hint="default" w:ascii="Times New Roman" w:hAnsi="Times New Roman" w:cs="Times New Roman"/>
                <w:sz w:val="24"/>
                <w:lang w:val="en-US" w:eastAsia="zh-CN"/>
              </w:rPr>
              <w:t>淮北市烈山区经济开发区青龙山电子信息产业园四期</w:t>
            </w:r>
            <w:r>
              <w:rPr>
                <w:rFonts w:hint="default" w:ascii="Times New Roman" w:hAnsi="Times New Roman" w:cs="Times New Roman"/>
                <w:sz w:val="24"/>
              </w:rPr>
              <w:t>，项目建设符合我国现行的产业政策，选址合理，符合当地区域总体规划，总图布置可行。污染治理措施技术经济可行，采取相应的污染防治措施后可使污染物达标排放，对评价区域环境质量的影响不明显，项目选址与周边用地功能相容性较好，无重大环境制约因素。只要严格落实环境影响报告表和工程设计提出的环保对策措施，确保项目产生的污染物达标排放，从环境</w:t>
            </w:r>
            <w:r>
              <w:rPr>
                <w:rFonts w:hint="eastAsia" w:cs="Times New Roman"/>
                <w:sz w:val="24"/>
                <w:lang w:val="en-US" w:eastAsia="zh-CN"/>
              </w:rPr>
              <w:t>保护</w:t>
            </w:r>
            <w:r>
              <w:rPr>
                <w:rFonts w:hint="default" w:ascii="Times New Roman" w:hAnsi="Times New Roman" w:cs="Times New Roman"/>
                <w:sz w:val="24"/>
              </w:rPr>
              <w:t>的角度考虑，本项目的建设是可行的</w:t>
            </w:r>
            <w:r>
              <w:rPr>
                <w:rFonts w:hint="eastAsia" w:cs="Times New Roman"/>
                <w:sz w:val="24"/>
                <w:lang w:eastAsia="zh-CN"/>
              </w:rPr>
              <w:t>。</w:t>
            </w:r>
          </w:p>
          <w:p w14:paraId="2DFE8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6E1DE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17D02A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6AE15B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1B9A2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62F9E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2EBAE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6C233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76042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7624C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72905A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2DECA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050F85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793CA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1FCA3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394E3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3E387A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61132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1D905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4A198F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sz w:val="24"/>
                <w:lang w:eastAsia="zh-CN"/>
              </w:rPr>
            </w:pPr>
          </w:p>
          <w:p w14:paraId="107F52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s="Times New Roman"/>
                <w:sz w:val="24"/>
                <w:lang w:val="en-US" w:eastAsia="zh-CN"/>
              </w:rPr>
            </w:pPr>
          </w:p>
          <w:p w14:paraId="7E8CBC70">
            <w:pPr>
              <w:keepNext w:val="0"/>
              <w:keepLines w:val="0"/>
              <w:suppressLineNumbers w:val="0"/>
              <w:spacing w:before="0" w:beforeAutospacing="0" w:after="0" w:afterAutospacing="0" w:line="360" w:lineRule="auto"/>
              <w:ind w:left="0" w:right="0"/>
              <w:rPr>
                <w:rFonts w:hint="default" w:ascii="宋体"/>
                <w:sz w:val="24"/>
                <w:szCs w:val="24"/>
              </w:rPr>
            </w:pPr>
          </w:p>
        </w:tc>
      </w:tr>
    </w:tbl>
    <w:p w14:paraId="6BEE5272">
      <w:pPr>
        <w:sectPr>
          <w:pgSz w:w="11906" w:h="16838"/>
          <w:pgMar w:top="1440" w:right="1800" w:bottom="1440" w:left="1417" w:header="851" w:footer="992" w:gutter="0"/>
          <w:pgNumType w:fmt="decimal"/>
          <w:cols w:space="425" w:num="1"/>
          <w:docGrid w:type="lines" w:linePitch="312" w:charSpace="0"/>
        </w:sectPr>
      </w:pPr>
    </w:p>
    <w:p w14:paraId="54DFACA5">
      <w:pPr>
        <w:pStyle w:val="28"/>
        <w:adjustRightInd w:val="0"/>
        <w:snapToGrid w:val="0"/>
        <w:spacing w:before="0" w:beforeAutospacing="0" w:after="0" w:afterAutospacing="0" w:line="648" w:lineRule="auto"/>
        <w:outlineLvl w:val="9"/>
        <w:rPr>
          <w:rFonts w:ascii="黑体" w:hAnsi="黑体" w:eastAsia="黑体" w:cs="Times New Roman"/>
          <w:snapToGrid w:val="0"/>
          <w:sz w:val="32"/>
          <w:szCs w:val="32"/>
        </w:rPr>
      </w:pPr>
      <w:bookmarkStart w:id="13" w:name="_Toc948"/>
      <w:r>
        <w:rPr>
          <w:rFonts w:hint="eastAsia" w:ascii="黑体" w:hAnsi="黑体" w:eastAsia="黑体" w:cs="黑体"/>
          <w:snapToGrid w:val="0"/>
          <w:sz w:val="32"/>
          <w:szCs w:val="32"/>
        </w:rPr>
        <w:t>附表</w:t>
      </w:r>
      <w:bookmarkEnd w:id="13"/>
    </w:p>
    <w:p w14:paraId="0A4F98C9">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ascii="方正小标宋_GBK" w:hAnsi="黑体" w:eastAsia="方正小标宋_GBK" w:cs="Times New Roman"/>
          <w:snapToGrid w:val="0"/>
          <w:sz w:val="38"/>
          <w:szCs w:val="38"/>
        </w:rPr>
      </w:pPr>
      <w:bookmarkStart w:id="14" w:name="_Toc6157"/>
      <w:r>
        <w:rPr>
          <w:rFonts w:hint="eastAsia" w:ascii="方正小标宋_GBK" w:hAnsi="黑体" w:eastAsia="方正小标宋_GBK" w:cs="方正小标宋_GBK"/>
          <w:snapToGrid w:val="0"/>
          <w:sz w:val="38"/>
          <w:szCs w:val="38"/>
        </w:rPr>
        <w:t>建设项目污染物排放量汇总表</w:t>
      </w:r>
      <w:bookmarkEnd w:id="14"/>
    </w:p>
    <w:tbl>
      <w:tblPr>
        <w:tblStyle w:val="30"/>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51"/>
        <w:gridCol w:w="1554"/>
        <w:gridCol w:w="1253"/>
        <w:gridCol w:w="1686"/>
        <w:gridCol w:w="1544"/>
        <w:gridCol w:w="1749"/>
        <w:gridCol w:w="1950"/>
        <w:gridCol w:w="1227"/>
      </w:tblGrid>
      <w:tr w14:paraId="31907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op w:val="single" w:color="auto" w:sz="8" w:space="0"/>
              <w:tl2br w:val="single" w:color="auto" w:sz="4" w:space="0"/>
            </w:tcBorders>
            <w:tcMar>
              <w:left w:w="28" w:type="dxa"/>
              <w:right w:w="28" w:type="dxa"/>
            </w:tcMar>
            <w:vAlign w:val="center"/>
          </w:tcPr>
          <w:p w14:paraId="5258B7FD">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项目</w:t>
            </w:r>
          </w:p>
          <w:p w14:paraId="73CF7C52">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分类</w:t>
            </w:r>
          </w:p>
        </w:tc>
        <w:tc>
          <w:tcPr>
            <w:tcW w:w="2251" w:type="dxa"/>
            <w:tcBorders>
              <w:top w:val="single" w:color="auto" w:sz="8" w:space="0"/>
            </w:tcBorders>
            <w:tcMar>
              <w:left w:w="28" w:type="dxa"/>
              <w:right w:w="28" w:type="dxa"/>
            </w:tcMar>
            <w:vAlign w:val="center"/>
          </w:tcPr>
          <w:p w14:paraId="1E6202A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污染物名称</w:t>
            </w:r>
          </w:p>
        </w:tc>
        <w:tc>
          <w:tcPr>
            <w:tcW w:w="1554" w:type="dxa"/>
            <w:tcBorders>
              <w:top w:val="single" w:color="auto" w:sz="8" w:space="0"/>
            </w:tcBorders>
            <w:tcMar>
              <w:left w:w="28" w:type="dxa"/>
              <w:right w:w="28" w:type="dxa"/>
            </w:tcMar>
            <w:vAlign w:val="center"/>
          </w:tcPr>
          <w:p w14:paraId="4C65DFF5">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现有工程</w:t>
            </w:r>
          </w:p>
          <w:p w14:paraId="0878F2CE">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排放量（固体废物产生量）</w:t>
            </w:r>
            <w:r>
              <w:rPr>
                <w:rFonts w:hint="default" w:ascii="Times New Roman" w:hAnsi="Times New Roman" w:eastAsia="黑体" w:cs="Times New Roman"/>
                <w:snapToGrid w:val="0"/>
                <w:color w:val="000000"/>
                <w:spacing w:val="-6"/>
                <w:kern w:val="21"/>
              </w:rPr>
              <w:fldChar w:fldCharType="begin"/>
            </w:r>
            <w:r>
              <w:rPr>
                <w:rFonts w:hint="default" w:ascii="Times New Roman" w:hAnsi="Times New Roman" w:eastAsia="黑体" w:cs="Times New Roman"/>
                <w:snapToGrid w:val="0"/>
                <w:color w:val="000000"/>
                <w:spacing w:val="-6"/>
                <w:kern w:val="21"/>
              </w:rPr>
              <w:instrText xml:space="preserve"> = 1 \* GB3 \* MERGEFORMAT </w:instrText>
            </w:r>
            <w:r>
              <w:rPr>
                <w:rFonts w:hint="default" w:ascii="Times New Roman" w:hAnsi="Times New Roman" w:eastAsia="黑体" w:cs="Times New Roman"/>
                <w:snapToGrid w:val="0"/>
                <w:color w:val="000000"/>
                <w:spacing w:val="-6"/>
                <w:kern w:val="21"/>
              </w:rPr>
              <w:fldChar w:fldCharType="separate"/>
            </w:r>
            <w:r>
              <w:rPr>
                <w:rFonts w:hint="default" w:ascii="Times New Roman" w:hAnsi="Times New Roman" w:eastAsia="黑体" w:cs="Times New Roman"/>
                <w:kern w:val="2"/>
              </w:rPr>
              <w:t>①</w:t>
            </w:r>
            <w:r>
              <w:rPr>
                <w:rFonts w:hint="default" w:ascii="Times New Roman" w:hAnsi="Times New Roman" w:eastAsia="黑体" w:cs="Times New Roman"/>
                <w:snapToGrid w:val="0"/>
                <w:color w:val="000000"/>
                <w:spacing w:val="-6"/>
                <w:kern w:val="21"/>
              </w:rPr>
              <w:fldChar w:fldCharType="end"/>
            </w:r>
          </w:p>
        </w:tc>
        <w:tc>
          <w:tcPr>
            <w:tcW w:w="1253" w:type="dxa"/>
            <w:tcBorders>
              <w:top w:val="single" w:color="auto" w:sz="8" w:space="0"/>
            </w:tcBorders>
            <w:tcMar>
              <w:left w:w="28" w:type="dxa"/>
              <w:right w:w="28" w:type="dxa"/>
            </w:tcMar>
            <w:vAlign w:val="center"/>
          </w:tcPr>
          <w:p w14:paraId="0F6CB99A">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现有工程</w:t>
            </w:r>
          </w:p>
          <w:p w14:paraId="1EEA86B6">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许可排放量</w:t>
            </w:r>
          </w:p>
          <w:p w14:paraId="73AEBCC8">
            <w:pPr>
              <w:keepNext w:val="0"/>
              <w:keepLines w:val="0"/>
              <w:suppressLineNumbers w:val="0"/>
              <w:spacing w:before="0" w:beforeLines="0" w:beforeAutospacing="0" w:after="0" w:afterLines="0" w:afterAutospacing="0"/>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fldChar w:fldCharType="begin"/>
            </w:r>
            <w:r>
              <w:rPr>
                <w:rFonts w:hint="default" w:ascii="Times New Roman" w:hAnsi="Times New Roman" w:eastAsia="黑体" w:cs="Times New Roman"/>
                <w:snapToGrid w:val="0"/>
                <w:color w:val="000000"/>
                <w:spacing w:val="-6"/>
                <w:kern w:val="21"/>
              </w:rPr>
              <w:instrText xml:space="preserve"> = 2 \* GB3 \* MERGEFORMAT </w:instrText>
            </w:r>
            <w:r>
              <w:rPr>
                <w:rFonts w:hint="default" w:ascii="Times New Roman" w:hAnsi="Times New Roman" w:eastAsia="黑体" w:cs="Times New Roman"/>
                <w:snapToGrid w:val="0"/>
                <w:color w:val="000000"/>
                <w:spacing w:val="-6"/>
                <w:kern w:val="21"/>
              </w:rPr>
              <w:fldChar w:fldCharType="separate"/>
            </w:r>
            <w:r>
              <w:rPr>
                <w:rFonts w:hint="default" w:ascii="Times New Roman" w:hAnsi="Times New Roman" w:eastAsia="黑体" w:cs="Times New Roman"/>
                <w:snapToGrid w:val="0"/>
                <w:color w:val="000000"/>
                <w:spacing w:val="-6"/>
                <w:kern w:val="21"/>
              </w:rPr>
              <w:t>②</w:t>
            </w:r>
            <w:r>
              <w:rPr>
                <w:rFonts w:hint="default" w:ascii="Times New Roman" w:hAnsi="Times New Roman" w:eastAsia="黑体" w:cs="Times New Roman"/>
                <w:snapToGrid w:val="0"/>
                <w:color w:val="000000"/>
                <w:spacing w:val="-6"/>
                <w:kern w:val="21"/>
              </w:rPr>
              <w:fldChar w:fldCharType="end"/>
            </w:r>
          </w:p>
        </w:tc>
        <w:tc>
          <w:tcPr>
            <w:tcW w:w="1686" w:type="dxa"/>
            <w:tcBorders>
              <w:top w:val="single" w:color="auto" w:sz="8" w:space="0"/>
            </w:tcBorders>
            <w:tcMar>
              <w:left w:w="28" w:type="dxa"/>
              <w:right w:w="28" w:type="dxa"/>
            </w:tcMar>
            <w:vAlign w:val="center"/>
          </w:tcPr>
          <w:p w14:paraId="72B44489">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在建工程</w:t>
            </w:r>
          </w:p>
          <w:p w14:paraId="61A61FF1">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排放量（固体废物产生量）</w:t>
            </w:r>
            <w:r>
              <w:rPr>
                <w:rFonts w:hint="default" w:ascii="Times New Roman" w:hAnsi="Times New Roman" w:eastAsia="黑体" w:cs="Times New Roman"/>
                <w:snapToGrid w:val="0"/>
                <w:color w:val="000000"/>
                <w:spacing w:val="-6"/>
                <w:kern w:val="21"/>
              </w:rPr>
              <w:fldChar w:fldCharType="begin"/>
            </w:r>
            <w:r>
              <w:rPr>
                <w:rFonts w:hint="default" w:ascii="Times New Roman" w:hAnsi="Times New Roman" w:eastAsia="黑体" w:cs="Times New Roman"/>
                <w:snapToGrid w:val="0"/>
                <w:color w:val="000000"/>
                <w:spacing w:val="-6"/>
                <w:kern w:val="21"/>
              </w:rPr>
              <w:instrText xml:space="preserve"> = 3 \* GB3 \* MERGEFORMAT </w:instrText>
            </w:r>
            <w:r>
              <w:rPr>
                <w:rFonts w:hint="default" w:ascii="Times New Roman" w:hAnsi="Times New Roman" w:eastAsia="黑体" w:cs="Times New Roman"/>
                <w:snapToGrid w:val="0"/>
                <w:color w:val="000000"/>
                <w:spacing w:val="-6"/>
                <w:kern w:val="21"/>
              </w:rPr>
              <w:fldChar w:fldCharType="separate"/>
            </w:r>
            <w:r>
              <w:rPr>
                <w:rFonts w:hint="default" w:ascii="Times New Roman" w:hAnsi="Times New Roman" w:eastAsia="黑体" w:cs="Times New Roman"/>
                <w:kern w:val="2"/>
              </w:rPr>
              <w:t>③</w:t>
            </w:r>
            <w:r>
              <w:rPr>
                <w:rFonts w:hint="default" w:ascii="Times New Roman" w:hAnsi="Times New Roman" w:eastAsia="黑体" w:cs="Times New Roman"/>
                <w:snapToGrid w:val="0"/>
                <w:color w:val="000000"/>
                <w:spacing w:val="-6"/>
                <w:kern w:val="21"/>
              </w:rPr>
              <w:fldChar w:fldCharType="end"/>
            </w:r>
          </w:p>
        </w:tc>
        <w:tc>
          <w:tcPr>
            <w:tcW w:w="1544" w:type="dxa"/>
            <w:tcBorders>
              <w:top w:val="single" w:color="auto" w:sz="8" w:space="0"/>
            </w:tcBorders>
            <w:tcMar>
              <w:left w:w="28" w:type="dxa"/>
              <w:right w:w="28" w:type="dxa"/>
            </w:tcMar>
            <w:vAlign w:val="center"/>
          </w:tcPr>
          <w:p w14:paraId="686B3B1E">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本项目</w:t>
            </w:r>
          </w:p>
          <w:p w14:paraId="2807F651">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排放量（固体废物产生量）</w:t>
            </w:r>
            <w:r>
              <w:rPr>
                <w:rFonts w:hint="default" w:ascii="Times New Roman" w:hAnsi="Times New Roman" w:eastAsia="黑体" w:cs="Times New Roman"/>
                <w:snapToGrid w:val="0"/>
                <w:color w:val="000000"/>
                <w:spacing w:val="-6"/>
                <w:kern w:val="21"/>
              </w:rPr>
              <w:fldChar w:fldCharType="begin"/>
            </w:r>
            <w:r>
              <w:rPr>
                <w:rFonts w:hint="default" w:ascii="Times New Roman" w:hAnsi="Times New Roman" w:eastAsia="黑体" w:cs="Times New Roman"/>
                <w:snapToGrid w:val="0"/>
                <w:color w:val="000000"/>
                <w:spacing w:val="-6"/>
                <w:kern w:val="21"/>
              </w:rPr>
              <w:instrText xml:space="preserve"> = 4 \* GB3 \* MERGEFORMAT </w:instrText>
            </w:r>
            <w:r>
              <w:rPr>
                <w:rFonts w:hint="default" w:ascii="Times New Roman" w:hAnsi="Times New Roman" w:eastAsia="黑体" w:cs="Times New Roman"/>
                <w:snapToGrid w:val="0"/>
                <w:color w:val="000000"/>
                <w:spacing w:val="-6"/>
                <w:kern w:val="21"/>
              </w:rPr>
              <w:fldChar w:fldCharType="separate"/>
            </w:r>
            <w:r>
              <w:rPr>
                <w:rFonts w:hint="default" w:ascii="Times New Roman" w:hAnsi="Times New Roman" w:eastAsia="黑体" w:cs="Times New Roman"/>
                <w:kern w:val="2"/>
              </w:rPr>
              <w:t>④</w:t>
            </w:r>
            <w:r>
              <w:rPr>
                <w:rFonts w:hint="default" w:ascii="Times New Roman" w:hAnsi="Times New Roman" w:eastAsia="黑体" w:cs="Times New Roman"/>
                <w:snapToGrid w:val="0"/>
                <w:color w:val="000000"/>
                <w:spacing w:val="-6"/>
                <w:kern w:val="21"/>
              </w:rPr>
              <w:fldChar w:fldCharType="end"/>
            </w:r>
          </w:p>
        </w:tc>
        <w:tc>
          <w:tcPr>
            <w:tcW w:w="1749" w:type="dxa"/>
            <w:tcBorders>
              <w:top w:val="single" w:color="auto" w:sz="8" w:space="0"/>
            </w:tcBorders>
            <w:tcMar>
              <w:left w:w="28" w:type="dxa"/>
              <w:right w:w="28" w:type="dxa"/>
            </w:tcMar>
            <w:vAlign w:val="center"/>
          </w:tcPr>
          <w:p w14:paraId="01C2125B">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16"/>
                <w:kern w:val="21"/>
              </w:rPr>
            </w:pPr>
            <w:r>
              <w:rPr>
                <w:rFonts w:hint="default" w:ascii="Times New Roman" w:hAnsi="Times New Roman" w:eastAsia="黑体" w:cs="Times New Roman"/>
                <w:snapToGrid w:val="0"/>
                <w:color w:val="000000"/>
                <w:spacing w:val="-16"/>
                <w:kern w:val="21"/>
              </w:rPr>
              <w:t>以新带老削减量</w:t>
            </w:r>
          </w:p>
          <w:p w14:paraId="1C0BD383">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16"/>
                <w:kern w:val="21"/>
              </w:rPr>
            </w:pPr>
            <w:r>
              <w:rPr>
                <w:rFonts w:hint="default" w:ascii="Times New Roman" w:hAnsi="Times New Roman" w:eastAsia="黑体" w:cs="Times New Roman"/>
                <w:snapToGrid w:val="0"/>
                <w:color w:val="000000"/>
                <w:spacing w:val="-16"/>
                <w:kern w:val="21"/>
              </w:rPr>
              <w:t>（新建项目不填）</w:t>
            </w:r>
            <w:r>
              <w:rPr>
                <w:rFonts w:hint="default" w:ascii="Times New Roman" w:hAnsi="Times New Roman" w:eastAsia="黑体" w:cs="Times New Roman"/>
                <w:snapToGrid w:val="0"/>
                <w:color w:val="000000"/>
                <w:spacing w:val="-16"/>
                <w:kern w:val="21"/>
              </w:rPr>
              <w:fldChar w:fldCharType="begin"/>
            </w:r>
            <w:r>
              <w:rPr>
                <w:rFonts w:hint="default" w:ascii="Times New Roman" w:hAnsi="Times New Roman" w:eastAsia="黑体" w:cs="Times New Roman"/>
                <w:snapToGrid w:val="0"/>
                <w:color w:val="000000"/>
                <w:spacing w:val="-16"/>
                <w:kern w:val="21"/>
              </w:rPr>
              <w:instrText xml:space="preserve"> = 5 \* GB3 \* MERGEFORMAT </w:instrText>
            </w:r>
            <w:r>
              <w:rPr>
                <w:rFonts w:hint="default" w:ascii="Times New Roman" w:hAnsi="Times New Roman" w:eastAsia="黑体" w:cs="Times New Roman"/>
                <w:snapToGrid w:val="0"/>
                <w:color w:val="000000"/>
                <w:spacing w:val="-16"/>
                <w:kern w:val="21"/>
              </w:rPr>
              <w:fldChar w:fldCharType="separate"/>
            </w:r>
            <w:r>
              <w:rPr>
                <w:rFonts w:hint="default" w:ascii="Times New Roman" w:hAnsi="Times New Roman" w:eastAsia="黑体" w:cs="Times New Roman"/>
                <w:kern w:val="2"/>
              </w:rPr>
              <w:t>⑤</w:t>
            </w:r>
            <w:r>
              <w:rPr>
                <w:rFonts w:hint="default" w:ascii="Times New Roman" w:hAnsi="Times New Roman" w:eastAsia="黑体" w:cs="Times New Roman"/>
                <w:snapToGrid w:val="0"/>
                <w:color w:val="000000"/>
                <w:spacing w:val="-16"/>
                <w:kern w:val="21"/>
              </w:rPr>
              <w:fldChar w:fldCharType="end"/>
            </w:r>
          </w:p>
        </w:tc>
        <w:tc>
          <w:tcPr>
            <w:tcW w:w="1950" w:type="dxa"/>
            <w:tcBorders>
              <w:top w:val="single" w:color="auto" w:sz="8" w:space="0"/>
            </w:tcBorders>
            <w:tcMar>
              <w:left w:w="28" w:type="dxa"/>
              <w:right w:w="28" w:type="dxa"/>
            </w:tcMar>
            <w:vAlign w:val="center"/>
          </w:tcPr>
          <w:p w14:paraId="045B8AE5">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16"/>
                <w:kern w:val="21"/>
              </w:rPr>
            </w:pPr>
            <w:r>
              <w:rPr>
                <w:rFonts w:hint="default" w:ascii="Times New Roman" w:hAnsi="Times New Roman" w:eastAsia="黑体" w:cs="Times New Roman"/>
                <w:snapToGrid w:val="0"/>
                <w:color w:val="000000"/>
                <w:spacing w:val="-16"/>
                <w:kern w:val="21"/>
              </w:rPr>
              <w:t>本项目建成后</w:t>
            </w:r>
          </w:p>
          <w:p w14:paraId="56E66C5C">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16"/>
                <w:kern w:val="21"/>
              </w:rPr>
            </w:pPr>
            <w:r>
              <w:rPr>
                <w:rFonts w:hint="default" w:ascii="Times New Roman" w:hAnsi="Times New Roman" w:eastAsia="黑体" w:cs="Times New Roman"/>
                <w:snapToGrid w:val="0"/>
                <w:color w:val="000000"/>
                <w:spacing w:val="-16"/>
                <w:kern w:val="21"/>
              </w:rPr>
              <w:t>全厂排放量（固体废物产生量）</w:t>
            </w:r>
            <w:r>
              <w:rPr>
                <w:rFonts w:hint="default" w:ascii="Times New Roman" w:hAnsi="Times New Roman" w:eastAsia="黑体" w:cs="Times New Roman"/>
                <w:snapToGrid w:val="0"/>
                <w:color w:val="000000"/>
                <w:spacing w:val="-16"/>
                <w:kern w:val="21"/>
              </w:rPr>
              <w:fldChar w:fldCharType="begin"/>
            </w:r>
            <w:r>
              <w:rPr>
                <w:rFonts w:hint="default" w:ascii="Times New Roman" w:hAnsi="Times New Roman" w:eastAsia="黑体" w:cs="Times New Roman"/>
                <w:snapToGrid w:val="0"/>
                <w:color w:val="000000"/>
                <w:spacing w:val="-16"/>
                <w:kern w:val="21"/>
              </w:rPr>
              <w:instrText xml:space="preserve"> = 6 \* GB3 \* MERGEFORMAT </w:instrText>
            </w:r>
            <w:r>
              <w:rPr>
                <w:rFonts w:hint="default" w:ascii="Times New Roman" w:hAnsi="Times New Roman" w:eastAsia="黑体" w:cs="Times New Roman"/>
                <w:snapToGrid w:val="0"/>
                <w:color w:val="000000"/>
                <w:spacing w:val="-16"/>
                <w:kern w:val="21"/>
              </w:rPr>
              <w:fldChar w:fldCharType="separate"/>
            </w:r>
            <w:r>
              <w:rPr>
                <w:rFonts w:hint="default" w:ascii="Times New Roman" w:hAnsi="Times New Roman" w:eastAsia="黑体" w:cs="Times New Roman"/>
                <w:kern w:val="2"/>
              </w:rPr>
              <w:t>⑥</w:t>
            </w:r>
            <w:r>
              <w:rPr>
                <w:rFonts w:hint="default" w:ascii="Times New Roman" w:hAnsi="Times New Roman" w:eastAsia="黑体" w:cs="Times New Roman"/>
                <w:snapToGrid w:val="0"/>
                <w:color w:val="000000"/>
                <w:spacing w:val="-16"/>
                <w:kern w:val="21"/>
              </w:rPr>
              <w:fldChar w:fldCharType="end"/>
            </w:r>
          </w:p>
        </w:tc>
        <w:tc>
          <w:tcPr>
            <w:tcW w:w="1227" w:type="dxa"/>
            <w:tcBorders>
              <w:top w:val="single" w:color="auto" w:sz="8" w:space="0"/>
            </w:tcBorders>
            <w:tcMar>
              <w:left w:w="28" w:type="dxa"/>
              <w:right w:w="28" w:type="dxa"/>
            </w:tcMar>
            <w:vAlign w:val="center"/>
          </w:tcPr>
          <w:p w14:paraId="3C96B420">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t>变化量</w:t>
            </w:r>
          </w:p>
          <w:p w14:paraId="743A9B84">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spacing w:val="-6"/>
                <w:kern w:val="21"/>
              </w:rPr>
            </w:pPr>
            <w:r>
              <w:rPr>
                <w:rFonts w:hint="default" w:ascii="Times New Roman" w:hAnsi="Times New Roman" w:eastAsia="黑体" w:cs="Times New Roman"/>
                <w:snapToGrid w:val="0"/>
                <w:color w:val="000000"/>
                <w:spacing w:val="-6"/>
                <w:kern w:val="21"/>
              </w:rPr>
              <w:fldChar w:fldCharType="begin"/>
            </w:r>
            <w:r>
              <w:rPr>
                <w:rFonts w:hint="default" w:ascii="Times New Roman" w:hAnsi="Times New Roman" w:eastAsia="黑体" w:cs="Times New Roman"/>
                <w:snapToGrid w:val="0"/>
                <w:color w:val="000000"/>
                <w:spacing w:val="-6"/>
                <w:kern w:val="21"/>
              </w:rPr>
              <w:instrText xml:space="preserve"> = 7 \* GB3 \* MERGEFORMAT </w:instrText>
            </w:r>
            <w:r>
              <w:rPr>
                <w:rFonts w:hint="default" w:ascii="Times New Roman" w:hAnsi="Times New Roman" w:eastAsia="黑体" w:cs="Times New Roman"/>
                <w:snapToGrid w:val="0"/>
                <w:color w:val="000000"/>
                <w:spacing w:val="-6"/>
                <w:kern w:val="21"/>
              </w:rPr>
              <w:fldChar w:fldCharType="separate"/>
            </w:r>
            <w:r>
              <w:rPr>
                <w:rFonts w:hint="default" w:ascii="Times New Roman" w:hAnsi="Times New Roman" w:eastAsia="黑体" w:cs="Times New Roman"/>
                <w:kern w:val="2"/>
              </w:rPr>
              <w:t>⑦</w:t>
            </w:r>
            <w:r>
              <w:rPr>
                <w:rFonts w:hint="default" w:ascii="Times New Roman" w:hAnsi="Times New Roman" w:eastAsia="黑体" w:cs="Times New Roman"/>
                <w:snapToGrid w:val="0"/>
                <w:color w:val="000000"/>
                <w:spacing w:val="-6"/>
                <w:kern w:val="21"/>
              </w:rPr>
              <w:fldChar w:fldCharType="end"/>
            </w:r>
          </w:p>
        </w:tc>
      </w:tr>
      <w:tr w14:paraId="7106E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504D9A8E">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废气</w:t>
            </w:r>
          </w:p>
        </w:tc>
        <w:tc>
          <w:tcPr>
            <w:tcW w:w="2251" w:type="dxa"/>
            <w:vAlign w:val="center"/>
          </w:tcPr>
          <w:p w14:paraId="6DF44F4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颗粒物</w:t>
            </w:r>
          </w:p>
        </w:tc>
        <w:tc>
          <w:tcPr>
            <w:tcW w:w="1554" w:type="dxa"/>
            <w:vAlign w:val="center"/>
          </w:tcPr>
          <w:p w14:paraId="0D4C2E4A">
            <w:pPr>
              <w:keepNext w:val="0"/>
              <w:keepLines w:val="0"/>
              <w:widowControl/>
              <w:suppressLineNumbers w:val="0"/>
              <w:kinsoku w:val="0"/>
              <w:overflowPunct w:val="0"/>
              <w:spacing w:before="0" w:beforeAutospacing="0" w:after="0" w:afterAutospacing="0" w:line="300" w:lineRule="exact"/>
              <w:ind w:left="0" w:leftChars="0" w:right="0" w:rightChars="0"/>
              <w:jc w:val="center"/>
              <w:rPr>
                <w:rFonts w:hint="eastAsia" w:ascii="Times New Roman" w:hAnsi="Times New Roman" w:eastAsia="宋体" w:cs="Times New Roman"/>
                <w:snapToGrid w:val="0"/>
                <w:color w:val="000000"/>
                <w:kern w:val="21"/>
                <w:lang w:val="en-US" w:eastAsia="zh-CN"/>
              </w:rPr>
            </w:pPr>
            <w:r>
              <w:rPr>
                <w:rFonts w:hint="default" w:ascii="Times New Roman" w:hAnsi="Times New Roman" w:cs="Times New Roman"/>
                <w:snapToGrid w:val="0"/>
                <w:color w:val="000000"/>
                <w:kern w:val="21"/>
              </w:rPr>
              <w:t>/</w:t>
            </w:r>
          </w:p>
        </w:tc>
        <w:tc>
          <w:tcPr>
            <w:tcW w:w="1253" w:type="dxa"/>
            <w:vAlign w:val="center"/>
          </w:tcPr>
          <w:p w14:paraId="7C754D47">
            <w:pPr>
              <w:keepNext w:val="0"/>
              <w:keepLines w:val="0"/>
              <w:widowControl/>
              <w:suppressLineNumbers w:val="0"/>
              <w:kinsoku w:val="0"/>
              <w:overflowPunct w:val="0"/>
              <w:spacing w:before="0" w:beforeAutospacing="0" w:after="0" w:afterAutospacing="0" w:line="300" w:lineRule="exact"/>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244B7928">
            <w:pPr>
              <w:pStyle w:val="68"/>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color w:val="auto"/>
                <w:sz w:val="21"/>
                <w:szCs w:val="21"/>
                <w:lang w:val="en-US" w:eastAsia="zh-CN"/>
              </w:rPr>
            </w:pPr>
            <w:r>
              <w:rPr>
                <w:rFonts w:hint="default" w:ascii="Times New Roman" w:hAnsi="Times New Roman" w:cs="Times New Roman"/>
                <w:snapToGrid w:val="0"/>
                <w:color w:val="000000"/>
                <w:kern w:val="21"/>
              </w:rPr>
              <w:t>/</w:t>
            </w:r>
          </w:p>
        </w:tc>
        <w:tc>
          <w:tcPr>
            <w:tcW w:w="1544" w:type="dxa"/>
            <w:vAlign w:val="center"/>
          </w:tcPr>
          <w:p w14:paraId="3D6BE0EB">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0.118</w:t>
            </w:r>
          </w:p>
        </w:tc>
        <w:tc>
          <w:tcPr>
            <w:tcW w:w="1749" w:type="dxa"/>
            <w:vAlign w:val="center"/>
          </w:tcPr>
          <w:p w14:paraId="19FAC424">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390ABE01">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snapToGrid w:val="0"/>
                <w:color w:val="000000"/>
                <w:kern w:val="21"/>
                <w:lang w:val="en-US"/>
              </w:rPr>
            </w:pPr>
            <w:r>
              <w:rPr>
                <w:rFonts w:hint="eastAsia" w:cs="Times New Roman"/>
                <w:snapToGrid w:val="0"/>
                <w:color w:val="000000"/>
                <w:kern w:val="21"/>
                <w:lang w:val="en-US" w:eastAsia="zh-CN"/>
              </w:rPr>
              <w:t>0.118</w:t>
            </w:r>
          </w:p>
        </w:tc>
        <w:tc>
          <w:tcPr>
            <w:tcW w:w="1227" w:type="dxa"/>
            <w:vAlign w:val="center"/>
          </w:tcPr>
          <w:p w14:paraId="4E8201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b/>
                <w:bCs/>
                <w:snapToGrid w:val="0"/>
                <w:color w:val="000000"/>
                <w:kern w:val="21"/>
                <w:lang w:val="en-US"/>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0.118</w:t>
            </w:r>
          </w:p>
        </w:tc>
      </w:tr>
      <w:tr w14:paraId="2550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4DA2E230">
            <w:pPr>
              <w:keepNext w:val="0"/>
              <w:keepLines w:val="0"/>
              <w:suppressLineNumbers w:val="0"/>
              <w:spacing w:before="0" w:beforeLines="0" w:beforeAutospacing="0" w:after="0" w:afterLines="0" w:afterAutospacing="0" w:line="240" w:lineRule="auto"/>
              <w:ind w:left="0" w:right="0"/>
              <w:jc w:val="center"/>
              <w:rPr>
                <w:rFonts w:hint="eastAsia" w:cs="Times New Roman"/>
                <w:snapToGrid w:val="0"/>
                <w:color w:val="000000"/>
                <w:kern w:val="21"/>
                <w:lang w:val="en-US" w:eastAsia="zh-CN"/>
              </w:rPr>
            </w:pPr>
          </w:p>
        </w:tc>
        <w:tc>
          <w:tcPr>
            <w:tcW w:w="2251" w:type="dxa"/>
            <w:vAlign w:val="center"/>
          </w:tcPr>
          <w:p w14:paraId="7CD0E99D">
            <w:pPr>
              <w:keepNext w:val="0"/>
              <w:keepLines w:val="0"/>
              <w:suppressLineNumbers w:val="0"/>
              <w:spacing w:before="0" w:beforeLines="0" w:beforeAutospacing="0" w:after="0" w:afterLines="0" w:afterAutospacing="0" w:line="240" w:lineRule="auto"/>
              <w:ind w:left="0" w:right="0"/>
              <w:jc w:val="center"/>
              <w:rPr>
                <w:rFonts w:hint="eastAsia" w:cs="Times New Roman"/>
                <w:snapToGrid w:val="0"/>
                <w:color w:val="000000"/>
                <w:kern w:val="21"/>
                <w:lang w:val="en-US" w:eastAsia="zh-CN"/>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SO</w:t>
            </w:r>
            <w:r>
              <w:rPr>
                <w:rFonts w:hint="eastAsia" w:ascii="Times New Roman" w:hAnsi="Times New Roman" w:eastAsia="仿宋" w:cs="Times New Roman"/>
                <w:color w:val="000000" w:themeColor="text1"/>
                <w:sz w:val="21"/>
                <w:szCs w:val="21"/>
                <w:vertAlign w:val="subscript"/>
                <w:lang w:val="en-US" w:eastAsia="zh-CN"/>
                <w14:textFill>
                  <w14:solidFill>
                    <w14:schemeClr w14:val="tx1"/>
                  </w14:solidFill>
                </w14:textFill>
              </w:rPr>
              <w:t>2</w:t>
            </w:r>
          </w:p>
        </w:tc>
        <w:tc>
          <w:tcPr>
            <w:tcW w:w="1554" w:type="dxa"/>
            <w:vAlign w:val="center"/>
          </w:tcPr>
          <w:p w14:paraId="5FC629AC">
            <w:pPr>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253" w:type="dxa"/>
            <w:vAlign w:val="center"/>
          </w:tcPr>
          <w:p w14:paraId="6EA5F661">
            <w:pPr>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434A86CB">
            <w:pPr>
              <w:pStyle w:val="68"/>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1E3548B5">
            <w:pPr>
              <w:keepNext w:val="0"/>
              <w:keepLines w:val="0"/>
              <w:suppressLineNumbers w:val="0"/>
              <w:spacing w:before="0" w:beforeLines="0" w:beforeAutospacing="0" w:after="0" w:afterLines="0" w:afterAutospacing="0" w:line="240" w:lineRule="auto"/>
              <w:ind w:left="0" w:right="0"/>
              <w:jc w:val="center"/>
              <w:rPr>
                <w:rFonts w:hint="default" w:cs="Times New Roman"/>
                <w:snapToGrid w:val="0"/>
                <w:color w:val="000000"/>
                <w:kern w:val="21"/>
                <w:lang w:val="en-US" w:eastAsia="zh-CN"/>
              </w:rPr>
            </w:pPr>
            <w:r>
              <w:rPr>
                <w:rFonts w:hint="eastAsia" w:cs="Times New Roman"/>
                <w:snapToGrid w:val="0"/>
                <w:color w:val="000000"/>
                <w:kern w:val="21"/>
                <w:lang w:val="en-US" w:eastAsia="zh-CN"/>
              </w:rPr>
              <w:t>0.017</w:t>
            </w:r>
          </w:p>
        </w:tc>
        <w:tc>
          <w:tcPr>
            <w:tcW w:w="1749" w:type="dxa"/>
            <w:vAlign w:val="center"/>
          </w:tcPr>
          <w:p w14:paraId="4038EF69">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1A28F006">
            <w:pPr>
              <w:keepNext w:val="0"/>
              <w:keepLines w:val="0"/>
              <w:suppressLineNumbers w:val="0"/>
              <w:spacing w:before="0" w:beforeLines="0" w:beforeAutospacing="0" w:after="0" w:afterLines="0" w:afterAutospacing="0" w:line="240" w:lineRule="auto"/>
              <w:ind w:left="0" w:leftChars="0" w:right="0" w:rightChars="0"/>
              <w:jc w:val="center"/>
              <w:rPr>
                <w:rFonts w:hint="eastAsia" w:cs="Times New Roman"/>
                <w:snapToGrid w:val="0"/>
                <w:color w:val="000000"/>
                <w:kern w:val="21"/>
                <w:lang w:val="en-US" w:eastAsia="zh-CN"/>
              </w:rPr>
            </w:pPr>
            <w:r>
              <w:rPr>
                <w:rFonts w:hint="eastAsia" w:cs="Times New Roman"/>
                <w:snapToGrid w:val="0"/>
                <w:color w:val="000000"/>
                <w:kern w:val="21"/>
                <w:lang w:val="en-US" w:eastAsia="zh-CN"/>
              </w:rPr>
              <w:t>0.017</w:t>
            </w:r>
          </w:p>
        </w:tc>
        <w:tc>
          <w:tcPr>
            <w:tcW w:w="1227" w:type="dxa"/>
            <w:vAlign w:val="center"/>
          </w:tcPr>
          <w:p w14:paraId="253B644B">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snapToGrid w:val="0"/>
                <w:color w:val="000000"/>
                <w:kern w:val="21"/>
                <w:lang w:val="en-US" w:eastAsia="zh-CN"/>
              </w:rPr>
              <w:t>0.017</w:t>
            </w:r>
          </w:p>
        </w:tc>
      </w:tr>
      <w:tr w14:paraId="271F6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93A7304">
            <w:pPr>
              <w:keepNext w:val="0"/>
              <w:keepLines w:val="0"/>
              <w:suppressLineNumbers w:val="0"/>
              <w:spacing w:before="0" w:beforeLines="0" w:beforeAutospacing="0" w:after="0" w:afterLines="0" w:afterAutospacing="0" w:line="240" w:lineRule="auto"/>
              <w:ind w:left="0" w:right="0"/>
              <w:jc w:val="center"/>
              <w:rPr>
                <w:rFonts w:hint="eastAsia" w:cs="Times New Roman"/>
                <w:snapToGrid w:val="0"/>
                <w:color w:val="000000"/>
                <w:kern w:val="21"/>
                <w:lang w:val="en-US" w:eastAsia="zh-CN"/>
              </w:rPr>
            </w:pPr>
          </w:p>
        </w:tc>
        <w:tc>
          <w:tcPr>
            <w:tcW w:w="2251" w:type="dxa"/>
            <w:vAlign w:val="center"/>
          </w:tcPr>
          <w:p w14:paraId="2A1E702B">
            <w:pPr>
              <w:keepNext w:val="0"/>
              <w:keepLines w:val="0"/>
              <w:suppressLineNumbers w:val="0"/>
              <w:spacing w:before="0" w:beforeLines="0" w:beforeAutospacing="0" w:after="0" w:afterLines="0" w:afterAutospacing="0" w:line="240" w:lineRule="auto"/>
              <w:ind w:left="0" w:right="0"/>
              <w:jc w:val="center"/>
              <w:rPr>
                <w:rFonts w:hint="eastAsia" w:cs="Times New Roman"/>
                <w:snapToGrid w:val="0"/>
                <w:color w:val="000000"/>
                <w:kern w:val="21"/>
                <w:lang w:val="en-US" w:eastAsia="zh-CN"/>
              </w:rPr>
            </w:pPr>
            <w:r>
              <w:rPr>
                <w:rFonts w:hint="eastAsia" w:ascii="Times New Roman" w:hAnsi="Times New Roman" w:eastAsia="仿宋" w:cs="Times New Roman"/>
                <w:color w:val="000000" w:themeColor="text1"/>
                <w:sz w:val="21"/>
                <w:szCs w:val="21"/>
                <w:lang w:val="en-US" w:eastAsia="zh-CN"/>
                <w14:textFill>
                  <w14:solidFill>
                    <w14:schemeClr w14:val="tx1"/>
                  </w14:solidFill>
                </w14:textFill>
              </w:rPr>
              <w:t>NOx</w:t>
            </w:r>
          </w:p>
        </w:tc>
        <w:tc>
          <w:tcPr>
            <w:tcW w:w="1554" w:type="dxa"/>
            <w:vAlign w:val="center"/>
          </w:tcPr>
          <w:p w14:paraId="6B0EECDC">
            <w:pPr>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253" w:type="dxa"/>
            <w:vAlign w:val="center"/>
          </w:tcPr>
          <w:p w14:paraId="7CFBCF29">
            <w:pPr>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458BA224">
            <w:pPr>
              <w:pStyle w:val="68"/>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34ED526D">
            <w:pPr>
              <w:keepNext w:val="0"/>
              <w:keepLines w:val="0"/>
              <w:suppressLineNumbers w:val="0"/>
              <w:spacing w:before="0" w:beforeLines="0" w:beforeAutospacing="0" w:after="0" w:afterLines="0" w:afterAutospacing="0" w:line="240" w:lineRule="auto"/>
              <w:ind w:left="0" w:right="0"/>
              <w:jc w:val="center"/>
              <w:rPr>
                <w:rFonts w:hint="default" w:cs="Times New Roman"/>
                <w:snapToGrid w:val="0"/>
                <w:color w:val="000000"/>
                <w:kern w:val="21"/>
                <w:lang w:val="en-US" w:eastAsia="zh-CN"/>
              </w:rPr>
            </w:pPr>
            <w:r>
              <w:rPr>
                <w:rFonts w:hint="eastAsia" w:cs="Times New Roman"/>
                <w:snapToGrid w:val="0"/>
                <w:color w:val="000000"/>
                <w:kern w:val="21"/>
                <w:lang w:val="en-US" w:eastAsia="zh-CN"/>
              </w:rPr>
              <w:t>0.155</w:t>
            </w:r>
          </w:p>
        </w:tc>
        <w:tc>
          <w:tcPr>
            <w:tcW w:w="1749" w:type="dxa"/>
            <w:vAlign w:val="center"/>
          </w:tcPr>
          <w:p w14:paraId="03A6252B">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2D93DBB8">
            <w:pPr>
              <w:keepNext w:val="0"/>
              <w:keepLines w:val="0"/>
              <w:suppressLineNumbers w:val="0"/>
              <w:spacing w:before="0" w:beforeLines="0" w:beforeAutospacing="0" w:after="0" w:afterLines="0" w:afterAutospacing="0" w:line="240" w:lineRule="auto"/>
              <w:ind w:left="0" w:leftChars="0" w:right="0" w:rightChars="0"/>
              <w:jc w:val="center"/>
              <w:rPr>
                <w:rFonts w:hint="eastAsia" w:cs="Times New Roman"/>
                <w:snapToGrid w:val="0"/>
                <w:color w:val="000000"/>
                <w:kern w:val="21"/>
                <w:lang w:val="en-US" w:eastAsia="zh-CN"/>
              </w:rPr>
            </w:pPr>
            <w:r>
              <w:rPr>
                <w:rFonts w:hint="eastAsia" w:cs="Times New Roman"/>
                <w:snapToGrid w:val="0"/>
                <w:color w:val="000000"/>
                <w:kern w:val="21"/>
                <w:lang w:val="en-US" w:eastAsia="zh-CN"/>
              </w:rPr>
              <w:t>0.155</w:t>
            </w:r>
          </w:p>
        </w:tc>
        <w:tc>
          <w:tcPr>
            <w:tcW w:w="1227" w:type="dxa"/>
            <w:vAlign w:val="center"/>
          </w:tcPr>
          <w:p w14:paraId="6883A5F6">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snapToGrid w:val="0"/>
                <w:color w:val="000000"/>
                <w:kern w:val="21"/>
                <w:lang w:val="en-US" w:eastAsia="zh-CN"/>
              </w:rPr>
              <w:t>0.155</w:t>
            </w:r>
          </w:p>
        </w:tc>
      </w:tr>
      <w:tr w14:paraId="01E0B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6C43006E">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废水</w:t>
            </w:r>
          </w:p>
        </w:tc>
        <w:tc>
          <w:tcPr>
            <w:tcW w:w="2251" w:type="dxa"/>
            <w:vAlign w:val="center"/>
          </w:tcPr>
          <w:p w14:paraId="58DA3FF0">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COD</w:t>
            </w:r>
          </w:p>
        </w:tc>
        <w:tc>
          <w:tcPr>
            <w:tcW w:w="1554" w:type="dxa"/>
            <w:vAlign w:val="center"/>
          </w:tcPr>
          <w:p w14:paraId="7051885D">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w:t>
            </w:r>
          </w:p>
        </w:tc>
        <w:tc>
          <w:tcPr>
            <w:tcW w:w="1253" w:type="dxa"/>
            <w:vAlign w:val="center"/>
          </w:tcPr>
          <w:p w14:paraId="1FD8FFBE">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4DA0D5BA">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lang w:val="en-US"/>
              </w:rPr>
            </w:pPr>
            <w:r>
              <w:rPr>
                <w:rFonts w:hint="default" w:ascii="Times New Roman" w:hAnsi="Times New Roman" w:cs="Times New Roman"/>
                <w:snapToGrid w:val="0"/>
                <w:color w:val="000000"/>
                <w:kern w:val="21"/>
              </w:rPr>
              <w:t>/</w:t>
            </w:r>
          </w:p>
        </w:tc>
        <w:tc>
          <w:tcPr>
            <w:tcW w:w="1544" w:type="dxa"/>
            <w:vAlign w:val="center"/>
          </w:tcPr>
          <w:p w14:paraId="7E086D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cs="Times New Roman"/>
                <w:i w:val="0"/>
                <w:color w:val="000000"/>
                <w:kern w:val="2"/>
                <w:sz w:val="21"/>
                <w:szCs w:val="21"/>
                <w:u w:val="none"/>
                <w:lang w:val="en-US" w:eastAsia="zh-CN" w:bidi="ar-SA"/>
              </w:rPr>
              <w:t>0.496</w:t>
            </w:r>
          </w:p>
        </w:tc>
        <w:tc>
          <w:tcPr>
            <w:tcW w:w="1749" w:type="dxa"/>
            <w:vAlign w:val="center"/>
          </w:tcPr>
          <w:p w14:paraId="54C734B5">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47D4E8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napToGrid w:val="0"/>
                <w:color w:val="000000"/>
                <w:kern w:val="21"/>
                <w:lang w:val="en-US"/>
              </w:rPr>
            </w:pPr>
            <w:r>
              <w:rPr>
                <w:rFonts w:hint="eastAsia" w:cs="Times New Roman"/>
                <w:i w:val="0"/>
                <w:color w:val="000000"/>
                <w:kern w:val="2"/>
                <w:sz w:val="21"/>
                <w:szCs w:val="21"/>
                <w:u w:val="none"/>
                <w:lang w:val="en-US" w:eastAsia="zh-CN" w:bidi="ar-SA"/>
              </w:rPr>
              <w:t>0.496</w:t>
            </w:r>
          </w:p>
        </w:tc>
        <w:tc>
          <w:tcPr>
            <w:tcW w:w="1227" w:type="dxa"/>
            <w:vAlign w:val="center"/>
          </w:tcPr>
          <w:p w14:paraId="25BB34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napToGrid w:val="0"/>
                <w:color w:val="000000"/>
                <w:kern w:val="21"/>
                <w:lang w:val="en-US"/>
              </w:rPr>
            </w:pPr>
            <w:r>
              <w:rPr>
                <w:rFonts w:hint="eastAsia" w:cs="Times New Roman"/>
                <w:i w:val="0"/>
                <w:color w:val="000000"/>
                <w:kern w:val="2"/>
                <w:sz w:val="21"/>
                <w:szCs w:val="21"/>
                <w:u w:val="none"/>
                <w:lang w:val="en-US" w:eastAsia="zh-CN" w:bidi="ar-SA"/>
              </w:rPr>
              <w:t>+0.496</w:t>
            </w:r>
          </w:p>
        </w:tc>
      </w:tr>
      <w:tr w14:paraId="6EA0E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2450FAC">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p>
        </w:tc>
        <w:tc>
          <w:tcPr>
            <w:tcW w:w="2251" w:type="dxa"/>
            <w:vAlign w:val="center"/>
          </w:tcPr>
          <w:p w14:paraId="6F9506DC">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NH</w:t>
            </w:r>
            <w:r>
              <w:rPr>
                <w:rFonts w:hint="default" w:ascii="Times New Roman" w:hAnsi="Times New Roman" w:cs="Times New Roman"/>
                <w:snapToGrid w:val="0"/>
                <w:color w:val="000000"/>
                <w:kern w:val="21"/>
                <w:vertAlign w:val="subscript"/>
              </w:rPr>
              <w:t>3</w:t>
            </w:r>
            <w:r>
              <w:rPr>
                <w:rFonts w:hint="default" w:ascii="Times New Roman" w:hAnsi="Times New Roman" w:cs="Times New Roman"/>
                <w:snapToGrid w:val="0"/>
                <w:color w:val="000000"/>
                <w:kern w:val="21"/>
              </w:rPr>
              <w:t>-N</w:t>
            </w:r>
          </w:p>
        </w:tc>
        <w:tc>
          <w:tcPr>
            <w:tcW w:w="1554" w:type="dxa"/>
            <w:vAlign w:val="center"/>
          </w:tcPr>
          <w:p w14:paraId="4EBBF2CC">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w:t>
            </w:r>
          </w:p>
        </w:tc>
        <w:tc>
          <w:tcPr>
            <w:tcW w:w="1253" w:type="dxa"/>
            <w:vAlign w:val="center"/>
          </w:tcPr>
          <w:p w14:paraId="56D5BCC3">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2F9D05C4">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lang w:val="en-US"/>
              </w:rPr>
            </w:pPr>
            <w:r>
              <w:rPr>
                <w:rFonts w:hint="default" w:ascii="Times New Roman" w:hAnsi="Times New Roman" w:cs="Times New Roman"/>
                <w:snapToGrid w:val="0"/>
                <w:color w:val="000000"/>
                <w:kern w:val="21"/>
              </w:rPr>
              <w:t>/</w:t>
            </w:r>
          </w:p>
        </w:tc>
        <w:tc>
          <w:tcPr>
            <w:tcW w:w="1544" w:type="dxa"/>
            <w:vAlign w:val="center"/>
          </w:tcPr>
          <w:p w14:paraId="46A18DF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eastAsia" w:cs="Times New Roman"/>
                <w:i w:val="0"/>
                <w:color w:val="000000"/>
                <w:kern w:val="0"/>
                <w:sz w:val="21"/>
                <w:szCs w:val="21"/>
                <w:u w:val="none"/>
                <w:lang w:val="en-US" w:eastAsia="zh-CN" w:bidi="ar"/>
              </w:rPr>
              <w:t>0.05</w:t>
            </w:r>
          </w:p>
        </w:tc>
        <w:tc>
          <w:tcPr>
            <w:tcW w:w="1749" w:type="dxa"/>
            <w:vAlign w:val="center"/>
          </w:tcPr>
          <w:p w14:paraId="2D32B5E0">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79B1F1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napToGrid w:val="0"/>
                <w:color w:val="000000"/>
                <w:kern w:val="21"/>
                <w:lang w:val="en-US"/>
              </w:rPr>
            </w:pPr>
            <w:r>
              <w:rPr>
                <w:rFonts w:hint="eastAsia" w:cs="Times New Roman"/>
                <w:i w:val="0"/>
                <w:color w:val="000000"/>
                <w:kern w:val="0"/>
                <w:sz w:val="21"/>
                <w:szCs w:val="21"/>
                <w:u w:val="none"/>
                <w:lang w:val="en-US" w:eastAsia="zh-CN" w:bidi="ar"/>
              </w:rPr>
              <w:t>0.05</w:t>
            </w:r>
          </w:p>
        </w:tc>
        <w:tc>
          <w:tcPr>
            <w:tcW w:w="1227" w:type="dxa"/>
            <w:vAlign w:val="center"/>
          </w:tcPr>
          <w:p w14:paraId="5CB56A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snapToGrid w:val="0"/>
                <w:color w:val="000000"/>
                <w:kern w:val="21"/>
              </w:rPr>
            </w:pPr>
            <w:r>
              <w:rPr>
                <w:rFonts w:hint="eastAsia" w:cs="Times New Roman"/>
                <w:i w:val="0"/>
                <w:color w:val="000000"/>
                <w:kern w:val="0"/>
                <w:sz w:val="21"/>
                <w:szCs w:val="21"/>
                <w:u w:val="none"/>
                <w:lang w:val="en-US" w:eastAsia="zh-CN" w:bidi="ar"/>
              </w:rPr>
              <w:t>+0.05</w:t>
            </w:r>
          </w:p>
        </w:tc>
      </w:tr>
      <w:tr w14:paraId="6B905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097" w:type="dxa"/>
            <w:gridSpan w:val="2"/>
            <w:vAlign w:val="center"/>
          </w:tcPr>
          <w:p w14:paraId="7C1E37DC">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000000"/>
                <w:kern w:val="21"/>
                <w:lang w:val="en-US" w:eastAsia="zh-CN"/>
              </w:rPr>
            </w:pPr>
            <w:r>
              <w:rPr>
                <w:rFonts w:hint="default" w:ascii="Times New Roman" w:hAnsi="Times New Roman" w:cs="Times New Roman"/>
                <w:snapToGrid w:val="0"/>
                <w:color w:val="000000"/>
                <w:kern w:val="21"/>
                <w:lang w:val="en-US" w:eastAsia="zh-CN"/>
              </w:rPr>
              <w:t>生活垃圾</w:t>
            </w:r>
          </w:p>
        </w:tc>
        <w:tc>
          <w:tcPr>
            <w:tcW w:w="1554" w:type="dxa"/>
            <w:vAlign w:val="center"/>
          </w:tcPr>
          <w:p w14:paraId="48C59FC5">
            <w:pPr>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253" w:type="dxa"/>
            <w:vAlign w:val="center"/>
          </w:tcPr>
          <w:p w14:paraId="4A7E917B">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Times New Roman"/>
                <w:snapToGrid w:val="0"/>
                <w:color w:val="000000"/>
                <w:kern w:val="21"/>
                <w:lang w:eastAsia="zh-CN"/>
              </w:rPr>
            </w:pPr>
            <w:r>
              <w:rPr>
                <w:rFonts w:hint="default" w:ascii="Times New Roman" w:hAnsi="Times New Roman" w:cs="Times New Roman"/>
                <w:snapToGrid w:val="0"/>
                <w:color w:val="000000"/>
                <w:kern w:val="21"/>
              </w:rPr>
              <w:t>/</w:t>
            </w:r>
          </w:p>
        </w:tc>
        <w:tc>
          <w:tcPr>
            <w:tcW w:w="1686" w:type="dxa"/>
            <w:vAlign w:val="center"/>
          </w:tcPr>
          <w:p w14:paraId="7B405FA6">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eastAsia" w:cs="Times New Roman"/>
                <w:snapToGrid w:val="0"/>
                <w:color w:val="000000"/>
                <w:kern w:val="21"/>
                <w:lang w:val="en-US" w:eastAsia="zh-CN"/>
              </w:rPr>
              <w:t>/</w:t>
            </w:r>
          </w:p>
        </w:tc>
        <w:tc>
          <w:tcPr>
            <w:tcW w:w="1544" w:type="dxa"/>
            <w:vAlign w:val="center"/>
          </w:tcPr>
          <w:p w14:paraId="2BE8C19A">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rPr>
            </w:pPr>
            <w:r>
              <w:rPr>
                <w:rFonts w:hint="default" w:ascii="Times New Roman" w:hAnsi="Times New Roman" w:eastAsia="宋体" w:cs="Times New Roman"/>
                <w:sz w:val="21"/>
                <w:szCs w:val="21"/>
                <w:lang w:val="en-US" w:eastAsia="zh-CN"/>
              </w:rPr>
              <w:t>10.95</w:t>
            </w:r>
          </w:p>
        </w:tc>
        <w:tc>
          <w:tcPr>
            <w:tcW w:w="1749" w:type="dxa"/>
            <w:vAlign w:val="center"/>
          </w:tcPr>
          <w:p w14:paraId="28AFDD7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5D0A380D">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sz w:val="21"/>
                <w:szCs w:val="21"/>
                <w:lang w:val="en-US" w:eastAsia="zh-CN"/>
              </w:rPr>
              <w:t>10.95</w:t>
            </w:r>
          </w:p>
        </w:tc>
        <w:tc>
          <w:tcPr>
            <w:tcW w:w="1227" w:type="dxa"/>
            <w:vAlign w:val="center"/>
          </w:tcPr>
          <w:p w14:paraId="3BA85ADD">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sz w:val="21"/>
                <w:szCs w:val="21"/>
                <w:lang w:val="en-US" w:eastAsia="zh-CN"/>
              </w:rPr>
              <w:t>10.95</w:t>
            </w:r>
          </w:p>
        </w:tc>
      </w:tr>
      <w:tr w14:paraId="2A724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52303232">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一般工业固体废物</w:t>
            </w:r>
          </w:p>
        </w:tc>
        <w:tc>
          <w:tcPr>
            <w:tcW w:w="2251" w:type="dxa"/>
            <w:vAlign w:val="center"/>
          </w:tcPr>
          <w:p w14:paraId="60DF4F93">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napToGrid w:val="0"/>
                <w:color w:val="000000"/>
                <w:kern w:val="21"/>
              </w:rPr>
            </w:pPr>
            <w:r>
              <w:rPr>
                <w:rFonts w:hint="default"/>
                <w:sz w:val="21"/>
                <w:szCs w:val="21"/>
                <w:lang w:eastAsia="zh-CN"/>
              </w:rPr>
              <w:t>废包装</w:t>
            </w:r>
            <w:r>
              <w:rPr>
                <w:rFonts w:hint="default"/>
                <w:sz w:val="21"/>
                <w:szCs w:val="21"/>
                <w:lang w:val="en-US" w:eastAsia="zh-CN"/>
              </w:rPr>
              <w:t>材料</w:t>
            </w:r>
          </w:p>
        </w:tc>
        <w:tc>
          <w:tcPr>
            <w:tcW w:w="1554" w:type="dxa"/>
            <w:vAlign w:val="center"/>
          </w:tcPr>
          <w:p w14:paraId="3987007C">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w:t>
            </w:r>
          </w:p>
        </w:tc>
        <w:tc>
          <w:tcPr>
            <w:tcW w:w="1253" w:type="dxa"/>
            <w:vAlign w:val="center"/>
          </w:tcPr>
          <w:p w14:paraId="0AE9221F">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2997FCE6">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144EE7A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rPr>
            </w:pPr>
            <w:r>
              <w:rPr>
                <w:rFonts w:hint="default" w:ascii="Times New Roman" w:hAnsi="Times New Roman" w:eastAsia="宋体" w:cs="Times New Roman"/>
                <w:sz w:val="21"/>
                <w:szCs w:val="21"/>
                <w:lang w:val="en-US" w:eastAsia="zh-CN"/>
              </w:rPr>
              <w:t>0.35</w:t>
            </w:r>
          </w:p>
        </w:tc>
        <w:tc>
          <w:tcPr>
            <w:tcW w:w="1749" w:type="dxa"/>
            <w:vAlign w:val="center"/>
          </w:tcPr>
          <w:p w14:paraId="3CAA9F30">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5F28F397">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rPr>
            </w:pPr>
            <w:r>
              <w:rPr>
                <w:rFonts w:hint="default" w:ascii="Times New Roman" w:hAnsi="Times New Roman" w:eastAsia="宋体" w:cs="Times New Roman"/>
                <w:sz w:val="21"/>
                <w:szCs w:val="21"/>
                <w:lang w:val="en-US" w:eastAsia="zh-CN"/>
              </w:rPr>
              <w:t>0.35</w:t>
            </w:r>
          </w:p>
        </w:tc>
        <w:tc>
          <w:tcPr>
            <w:tcW w:w="1227" w:type="dxa"/>
            <w:vAlign w:val="center"/>
          </w:tcPr>
          <w:p w14:paraId="0354A0E3">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sz w:val="21"/>
                <w:szCs w:val="21"/>
                <w:lang w:val="en-US" w:eastAsia="zh-CN"/>
              </w:rPr>
              <w:t>0.35</w:t>
            </w:r>
          </w:p>
        </w:tc>
      </w:tr>
      <w:tr w14:paraId="7BA9A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0AF856F">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p>
        </w:tc>
        <w:tc>
          <w:tcPr>
            <w:tcW w:w="2251" w:type="dxa"/>
            <w:vAlign w:val="center"/>
          </w:tcPr>
          <w:p w14:paraId="6E0447A0">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napToGrid w:val="0"/>
                <w:color w:val="000000"/>
                <w:kern w:val="21"/>
              </w:rPr>
            </w:pPr>
            <w:r>
              <w:rPr>
                <w:rFonts w:hint="default"/>
                <w:sz w:val="21"/>
                <w:szCs w:val="21"/>
                <w:lang w:val="en-US" w:eastAsia="zh-CN"/>
              </w:rPr>
              <w:t>玻璃废边角料、不合格产品</w:t>
            </w:r>
          </w:p>
        </w:tc>
        <w:tc>
          <w:tcPr>
            <w:tcW w:w="1554" w:type="dxa"/>
            <w:vAlign w:val="center"/>
          </w:tcPr>
          <w:p w14:paraId="5A2F3EA9">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w:t>
            </w:r>
          </w:p>
        </w:tc>
        <w:tc>
          <w:tcPr>
            <w:tcW w:w="1253" w:type="dxa"/>
            <w:vAlign w:val="center"/>
          </w:tcPr>
          <w:p w14:paraId="398D2C93">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30619D35">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37761EB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sz w:val="21"/>
                <w:szCs w:val="21"/>
                <w:lang w:val="en-US" w:eastAsia="zh-CN"/>
              </w:rPr>
              <w:t>99.6</w:t>
            </w:r>
          </w:p>
        </w:tc>
        <w:tc>
          <w:tcPr>
            <w:tcW w:w="1749" w:type="dxa"/>
            <w:vAlign w:val="center"/>
          </w:tcPr>
          <w:p w14:paraId="6FEE3CC3">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63F82767">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z w:val="21"/>
                <w:szCs w:val="21"/>
                <w:lang w:val="en-US" w:eastAsia="zh-CN"/>
              </w:rPr>
              <w:t>99.6</w:t>
            </w:r>
          </w:p>
        </w:tc>
        <w:tc>
          <w:tcPr>
            <w:tcW w:w="1227" w:type="dxa"/>
            <w:vAlign w:val="center"/>
          </w:tcPr>
          <w:p w14:paraId="0A7792A2">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snapToGrid w:val="0"/>
                <w:color w:val="000000"/>
                <w:kern w:val="21"/>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sz w:val="21"/>
                <w:szCs w:val="21"/>
                <w:lang w:val="en-US" w:eastAsia="zh-CN"/>
              </w:rPr>
              <w:t>99.6</w:t>
            </w:r>
          </w:p>
        </w:tc>
      </w:tr>
      <w:tr w14:paraId="08161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517A6200">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p>
        </w:tc>
        <w:tc>
          <w:tcPr>
            <w:tcW w:w="2251" w:type="dxa"/>
            <w:vAlign w:val="center"/>
          </w:tcPr>
          <w:p w14:paraId="3E11431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napToGrid w:val="0"/>
                <w:color w:val="000000"/>
                <w:kern w:val="21"/>
              </w:rPr>
            </w:pPr>
            <w:r>
              <w:rPr>
                <w:rFonts w:hint="eastAsia" w:cs="宋体"/>
                <w:sz w:val="21"/>
                <w:szCs w:val="21"/>
                <w:lang w:val="en-US" w:eastAsia="zh-CN"/>
              </w:rPr>
              <w:t>纯水制备产生的废过滤材料</w:t>
            </w:r>
          </w:p>
        </w:tc>
        <w:tc>
          <w:tcPr>
            <w:tcW w:w="1554" w:type="dxa"/>
            <w:vAlign w:val="center"/>
          </w:tcPr>
          <w:p w14:paraId="33EC9458">
            <w:pPr>
              <w:keepNext w:val="0"/>
              <w:keepLines w:val="0"/>
              <w:widowControl/>
              <w:suppressLineNumbers w:val="0"/>
              <w:kinsoku w:val="0"/>
              <w:overflowPunct w:val="0"/>
              <w:spacing w:before="0" w:beforeAutospacing="0" w:after="0" w:afterAutospacing="0" w:line="300" w:lineRule="exact"/>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253" w:type="dxa"/>
            <w:vAlign w:val="center"/>
          </w:tcPr>
          <w:p w14:paraId="7E6787A2">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6C35D7DB">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02934E3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sz w:val="21"/>
                <w:szCs w:val="21"/>
                <w:lang w:val="en-US" w:eastAsia="zh-CN"/>
              </w:rPr>
              <w:t>0.012</w:t>
            </w:r>
          </w:p>
        </w:tc>
        <w:tc>
          <w:tcPr>
            <w:tcW w:w="1749" w:type="dxa"/>
            <w:vAlign w:val="center"/>
          </w:tcPr>
          <w:p w14:paraId="091912F8">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24CC72FF">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z w:val="21"/>
                <w:szCs w:val="21"/>
                <w:lang w:val="en-US" w:eastAsia="zh-CN"/>
              </w:rPr>
              <w:t>0.012</w:t>
            </w:r>
          </w:p>
        </w:tc>
        <w:tc>
          <w:tcPr>
            <w:tcW w:w="1227" w:type="dxa"/>
            <w:vAlign w:val="center"/>
          </w:tcPr>
          <w:p w14:paraId="1F46F66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sz w:val="21"/>
                <w:szCs w:val="21"/>
                <w:lang w:val="en-US" w:eastAsia="zh-CN"/>
              </w:rPr>
              <w:t>0.012</w:t>
            </w:r>
          </w:p>
        </w:tc>
      </w:tr>
      <w:tr w14:paraId="0717C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71B9FAFB">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p>
        </w:tc>
        <w:tc>
          <w:tcPr>
            <w:tcW w:w="2251" w:type="dxa"/>
            <w:vAlign w:val="center"/>
          </w:tcPr>
          <w:p w14:paraId="12F26F85">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eastAsia="宋体" w:cs="宋体"/>
                <w:sz w:val="21"/>
                <w:szCs w:val="21"/>
                <w:lang w:val="en-US" w:eastAsia="zh-CN"/>
              </w:rPr>
            </w:pPr>
            <w:r>
              <w:rPr>
                <w:rFonts w:hint="eastAsia" w:eastAsia="宋体" w:cs="宋体"/>
                <w:sz w:val="21"/>
                <w:szCs w:val="21"/>
                <w:lang w:val="en-US" w:eastAsia="zh-CN"/>
              </w:rPr>
              <w:t>除尘器收集的粉尘</w:t>
            </w:r>
          </w:p>
        </w:tc>
        <w:tc>
          <w:tcPr>
            <w:tcW w:w="1554" w:type="dxa"/>
            <w:vAlign w:val="center"/>
          </w:tcPr>
          <w:p w14:paraId="7F0DEB72">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eastAsia="宋体" w:cs="Times New Roman"/>
                <w:snapToGrid w:val="0"/>
                <w:color w:val="000000"/>
                <w:kern w:val="21"/>
                <w:lang w:val="en-US" w:eastAsia="zh-CN"/>
              </w:rPr>
            </w:pPr>
            <w:r>
              <w:rPr>
                <w:rFonts w:hint="eastAsia" w:cs="Times New Roman"/>
                <w:snapToGrid w:val="0"/>
                <w:color w:val="000000"/>
                <w:kern w:val="21"/>
                <w:lang w:val="en-US" w:eastAsia="zh-CN"/>
              </w:rPr>
              <w:t>/</w:t>
            </w:r>
          </w:p>
        </w:tc>
        <w:tc>
          <w:tcPr>
            <w:tcW w:w="1253" w:type="dxa"/>
            <w:vAlign w:val="center"/>
          </w:tcPr>
          <w:p w14:paraId="0DB45675">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1FE1128E">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6410CFE6">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eastAsia="Times New Roman"/>
                <w:sz w:val="21"/>
                <w:szCs w:val="21"/>
                <w:lang w:val="en-US" w:eastAsia="zh-CN"/>
              </w:rPr>
            </w:pPr>
            <w:r>
              <w:rPr>
                <w:rFonts w:hint="default" w:ascii="Times New Roman" w:hAnsi="Times New Roman" w:eastAsia="宋体" w:cs="Times New Roman"/>
                <w:sz w:val="21"/>
                <w:szCs w:val="21"/>
                <w:lang w:val="en-US" w:eastAsia="zh-CN"/>
              </w:rPr>
              <w:t>9.269</w:t>
            </w:r>
          </w:p>
        </w:tc>
        <w:tc>
          <w:tcPr>
            <w:tcW w:w="1749" w:type="dxa"/>
            <w:vAlign w:val="center"/>
          </w:tcPr>
          <w:p w14:paraId="122F406C">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4526875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eastAsia="宋体"/>
                <w:sz w:val="21"/>
                <w:szCs w:val="21"/>
                <w:lang w:val="en-US" w:eastAsia="zh-CN"/>
              </w:rPr>
            </w:pPr>
            <w:r>
              <w:rPr>
                <w:rFonts w:hint="default" w:ascii="Times New Roman" w:hAnsi="Times New Roman" w:eastAsia="宋体" w:cs="Times New Roman"/>
                <w:sz w:val="21"/>
                <w:szCs w:val="21"/>
                <w:lang w:val="en-US" w:eastAsia="zh-CN"/>
              </w:rPr>
              <w:t>9.269</w:t>
            </w:r>
          </w:p>
        </w:tc>
        <w:tc>
          <w:tcPr>
            <w:tcW w:w="1227" w:type="dxa"/>
            <w:vAlign w:val="center"/>
          </w:tcPr>
          <w:p w14:paraId="1E0227B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sz w:val="21"/>
                <w:szCs w:val="21"/>
                <w:lang w:val="en-US" w:eastAsia="zh-CN"/>
              </w:rPr>
              <w:t>9.269</w:t>
            </w:r>
          </w:p>
        </w:tc>
      </w:tr>
      <w:tr w14:paraId="5EEEE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071453A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p>
        </w:tc>
        <w:tc>
          <w:tcPr>
            <w:tcW w:w="2251" w:type="dxa"/>
            <w:vAlign w:val="center"/>
          </w:tcPr>
          <w:p w14:paraId="4F395D57">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eastAsia" w:eastAsia="宋体" w:cs="宋体"/>
                <w:sz w:val="21"/>
                <w:szCs w:val="21"/>
                <w:lang w:val="en-US" w:eastAsia="zh-CN"/>
              </w:rPr>
            </w:pPr>
            <w:r>
              <w:rPr>
                <w:rFonts w:hint="eastAsia" w:eastAsia="宋体" w:cs="宋体"/>
                <w:sz w:val="21"/>
                <w:szCs w:val="21"/>
                <w:lang w:val="en-US" w:eastAsia="zh-CN"/>
              </w:rPr>
              <w:t>停机检修产生的废保温材料</w:t>
            </w:r>
          </w:p>
        </w:tc>
        <w:tc>
          <w:tcPr>
            <w:tcW w:w="1554" w:type="dxa"/>
            <w:vAlign w:val="center"/>
          </w:tcPr>
          <w:p w14:paraId="329406F4">
            <w:pPr>
              <w:keepNext w:val="0"/>
              <w:keepLines w:val="0"/>
              <w:suppressLineNumbers w:val="0"/>
              <w:spacing w:before="0" w:beforeLines="0" w:beforeAutospacing="0" w:after="0" w:afterLines="0" w:afterAutospacing="0" w:line="240" w:lineRule="auto"/>
              <w:ind w:left="0" w:leftChars="0" w:right="0" w:rightChars="0"/>
              <w:jc w:val="center"/>
              <w:rPr>
                <w:rFonts w:hint="eastAsia" w:cs="Times New Roman"/>
                <w:snapToGrid w:val="0"/>
                <w:color w:val="000000"/>
                <w:kern w:val="21"/>
                <w:lang w:val="en-US" w:eastAsia="zh-CN"/>
              </w:rPr>
            </w:pPr>
          </w:p>
        </w:tc>
        <w:tc>
          <w:tcPr>
            <w:tcW w:w="1253" w:type="dxa"/>
            <w:vAlign w:val="center"/>
          </w:tcPr>
          <w:p w14:paraId="2D6A10A4">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p>
        </w:tc>
        <w:tc>
          <w:tcPr>
            <w:tcW w:w="1686" w:type="dxa"/>
            <w:vAlign w:val="center"/>
          </w:tcPr>
          <w:p w14:paraId="4EEBA0D6">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p>
        </w:tc>
        <w:tc>
          <w:tcPr>
            <w:tcW w:w="1544" w:type="dxa"/>
            <w:vAlign w:val="center"/>
          </w:tcPr>
          <w:p w14:paraId="1E06D60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50t/4年</w:t>
            </w:r>
          </w:p>
        </w:tc>
        <w:tc>
          <w:tcPr>
            <w:tcW w:w="1749" w:type="dxa"/>
            <w:vAlign w:val="center"/>
          </w:tcPr>
          <w:p w14:paraId="7F91654A">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p>
        </w:tc>
        <w:tc>
          <w:tcPr>
            <w:tcW w:w="1950" w:type="dxa"/>
            <w:vAlign w:val="center"/>
          </w:tcPr>
          <w:p w14:paraId="18B9F7C1">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50t/4年</w:t>
            </w:r>
          </w:p>
        </w:tc>
        <w:tc>
          <w:tcPr>
            <w:tcW w:w="1227" w:type="dxa"/>
            <w:vAlign w:val="center"/>
          </w:tcPr>
          <w:p w14:paraId="76828319">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+50t/4年</w:t>
            </w:r>
          </w:p>
        </w:tc>
      </w:tr>
      <w:tr w14:paraId="4C702B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restart"/>
            <w:vAlign w:val="center"/>
          </w:tcPr>
          <w:p w14:paraId="1EC1C31C">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危险废物</w:t>
            </w:r>
          </w:p>
        </w:tc>
        <w:tc>
          <w:tcPr>
            <w:tcW w:w="2251" w:type="dxa"/>
            <w:vAlign w:val="center"/>
          </w:tcPr>
          <w:p w14:paraId="706DBFF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snapToGrid w:val="0"/>
                <w:color w:val="auto"/>
                <w:kern w:val="21"/>
              </w:rPr>
            </w:pPr>
            <w:r>
              <w:rPr>
                <w:rFonts w:hint="eastAsia" w:eastAsia="宋体" w:cs="宋体"/>
                <w:sz w:val="21"/>
                <w:szCs w:val="21"/>
                <w:lang w:val="en-US" w:eastAsia="zh-CN"/>
              </w:rPr>
              <w:t>废润滑油及包装桶</w:t>
            </w:r>
          </w:p>
        </w:tc>
        <w:tc>
          <w:tcPr>
            <w:tcW w:w="1554" w:type="dxa"/>
            <w:vAlign w:val="center"/>
          </w:tcPr>
          <w:p w14:paraId="4E541A2C">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eastAsia" w:cs="Times New Roman"/>
                <w:snapToGrid w:val="0"/>
                <w:color w:val="000000"/>
                <w:kern w:val="21"/>
                <w:lang w:val="en-US" w:eastAsia="zh-CN"/>
              </w:rPr>
              <w:t>/</w:t>
            </w:r>
          </w:p>
        </w:tc>
        <w:tc>
          <w:tcPr>
            <w:tcW w:w="1253" w:type="dxa"/>
            <w:vAlign w:val="center"/>
          </w:tcPr>
          <w:p w14:paraId="11C1D2E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52A328F8">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2B9C7112">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sz w:val="21"/>
                <w:szCs w:val="21"/>
                <w:lang w:val="en-US" w:eastAsia="zh-CN"/>
              </w:rPr>
              <w:t>0.4</w:t>
            </w:r>
          </w:p>
        </w:tc>
        <w:tc>
          <w:tcPr>
            <w:tcW w:w="1749" w:type="dxa"/>
            <w:vAlign w:val="center"/>
          </w:tcPr>
          <w:p w14:paraId="5120914D">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950" w:type="dxa"/>
            <w:vAlign w:val="center"/>
          </w:tcPr>
          <w:p w14:paraId="42FCF23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rPr>
            </w:pPr>
            <w:r>
              <w:rPr>
                <w:rFonts w:hint="default" w:ascii="Times New Roman" w:hAnsi="Times New Roman" w:eastAsia="宋体" w:cs="Times New Roman"/>
                <w:sz w:val="21"/>
                <w:szCs w:val="21"/>
                <w:lang w:val="en-US" w:eastAsia="zh-CN"/>
              </w:rPr>
              <w:t>0.4</w:t>
            </w:r>
          </w:p>
        </w:tc>
        <w:tc>
          <w:tcPr>
            <w:tcW w:w="1227" w:type="dxa"/>
            <w:vAlign w:val="center"/>
          </w:tcPr>
          <w:p w14:paraId="207F7072">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snapToGrid w:val="0"/>
                <w:color w:val="000000"/>
                <w:kern w:val="21"/>
                <w:lang w:val="en-US"/>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sz w:val="21"/>
                <w:szCs w:val="21"/>
                <w:lang w:val="en-US" w:eastAsia="zh-CN"/>
              </w:rPr>
              <w:t>0.4</w:t>
            </w:r>
          </w:p>
        </w:tc>
      </w:tr>
      <w:tr w14:paraId="7BECA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Merge w:val="continue"/>
            <w:vAlign w:val="center"/>
          </w:tcPr>
          <w:p w14:paraId="2FA646F9">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p>
        </w:tc>
        <w:tc>
          <w:tcPr>
            <w:tcW w:w="2251" w:type="dxa"/>
            <w:vAlign w:val="center"/>
          </w:tcPr>
          <w:p w14:paraId="1451302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ind w:left="0" w:leftChars="0" w:right="0" w:rightChars="0"/>
              <w:jc w:val="center"/>
              <w:textAlignment w:val="auto"/>
              <w:rPr>
                <w:rFonts w:hint="default" w:ascii="Times New Roman" w:hAnsi="Times New Roman" w:cs="Times New Roman"/>
                <w:i w:val="0"/>
                <w:color w:val="auto"/>
                <w:kern w:val="0"/>
                <w:sz w:val="21"/>
                <w:szCs w:val="21"/>
                <w:u w:val="none"/>
                <w:lang w:val="en-US" w:eastAsia="zh-CN" w:bidi="ar"/>
              </w:rPr>
            </w:pPr>
            <w:r>
              <w:rPr>
                <w:rFonts w:hint="eastAsia" w:eastAsia="宋体" w:cs="宋体"/>
                <w:sz w:val="21"/>
                <w:szCs w:val="21"/>
                <w:lang w:val="en-US" w:eastAsia="zh-CN"/>
              </w:rPr>
              <w:t>废含油抹布、废手套</w:t>
            </w:r>
          </w:p>
        </w:tc>
        <w:tc>
          <w:tcPr>
            <w:tcW w:w="1554" w:type="dxa"/>
            <w:vAlign w:val="center"/>
          </w:tcPr>
          <w:p w14:paraId="0E0F4C15">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253" w:type="dxa"/>
            <w:vAlign w:val="center"/>
          </w:tcPr>
          <w:p w14:paraId="2B93A64C">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686" w:type="dxa"/>
            <w:vAlign w:val="center"/>
          </w:tcPr>
          <w:p w14:paraId="6CE96F7E">
            <w:pPr>
              <w:keepNext w:val="0"/>
              <w:keepLines w:val="0"/>
              <w:suppressLineNumbers w:val="0"/>
              <w:spacing w:before="0" w:beforeLines="0" w:beforeAutospacing="0" w:after="0" w:afterLines="0" w:afterAutospacing="0" w:line="240" w:lineRule="auto"/>
              <w:ind w:left="0" w:leftChars="0" w:right="0" w:rightChars="0"/>
              <w:jc w:val="center"/>
              <w:rPr>
                <w:rFonts w:hint="default" w:ascii="Times New Roman" w:hAnsi="Times New Roman" w:cs="Times New Roman"/>
                <w:snapToGrid w:val="0"/>
                <w:color w:val="000000"/>
                <w:kern w:val="21"/>
              </w:rPr>
            </w:pPr>
            <w:r>
              <w:rPr>
                <w:rFonts w:hint="default" w:ascii="Times New Roman" w:hAnsi="Times New Roman" w:cs="Times New Roman"/>
                <w:snapToGrid w:val="0"/>
                <w:color w:val="000000"/>
                <w:kern w:val="21"/>
              </w:rPr>
              <w:t>/</w:t>
            </w:r>
          </w:p>
        </w:tc>
        <w:tc>
          <w:tcPr>
            <w:tcW w:w="1544" w:type="dxa"/>
            <w:vAlign w:val="center"/>
          </w:tcPr>
          <w:p w14:paraId="4D3FFF4B">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eastAsia="宋体" w:cs="Times New Roman"/>
                <w:sz w:val="21"/>
                <w:szCs w:val="21"/>
                <w:lang w:val="en-US" w:eastAsia="zh-CN"/>
              </w:rPr>
              <w:t>0.02</w:t>
            </w:r>
          </w:p>
        </w:tc>
        <w:tc>
          <w:tcPr>
            <w:tcW w:w="1749" w:type="dxa"/>
            <w:vAlign w:val="center"/>
          </w:tcPr>
          <w:p w14:paraId="2E924C4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cs="Times New Roman"/>
                <w:snapToGrid w:val="0"/>
                <w:color w:val="000000"/>
                <w:kern w:val="21"/>
              </w:rPr>
              <w:t>/</w:t>
            </w:r>
          </w:p>
        </w:tc>
        <w:tc>
          <w:tcPr>
            <w:tcW w:w="1950" w:type="dxa"/>
            <w:vAlign w:val="center"/>
          </w:tcPr>
          <w:p w14:paraId="1631FB68">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snapToGrid w:val="0"/>
                <w:color w:val="000000"/>
                <w:kern w:val="21"/>
                <w:sz w:val="21"/>
                <w:szCs w:val="21"/>
                <w:lang w:val="en-US" w:eastAsia="zh-CN" w:bidi="ar-SA"/>
              </w:rPr>
            </w:pPr>
            <w:r>
              <w:rPr>
                <w:rFonts w:hint="default" w:ascii="Times New Roman" w:hAnsi="Times New Roman" w:eastAsia="宋体" w:cs="Times New Roman"/>
                <w:sz w:val="21"/>
                <w:szCs w:val="21"/>
                <w:lang w:val="en-US" w:eastAsia="zh-CN"/>
              </w:rPr>
              <w:t>0.02</w:t>
            </w:r>
          </w:p>
        </w:tc>
        <w:tc>
          <w:tcPr>
            <w:tcW w:w="1227" w:type="dxa"/>
            <w:vAlign w:val="center"/>
          </w:tcPr>
          <w:p w14:paraId="1D24D670">
            <w:pPr>
              <w:pStyle w:val="2"/>
              <w:keepLines w:val="0"/>
              <w:pageBreakBefore w:val="0"/>
              <w:widowControl w:val="0"/>
              <w:suppressLineNumbers w:val="0"/>
              <w:kinsoku/>
              <w:wordWrap w:val="0"/>
              <w:overflowPunct/>
              <w:topLinePunct/>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sz w:val="21"/>
                <w:szCs w:val="21"/>
                <w:lang w:val="en-US" w:eastAsia="zh-CN"/>
              </w:rPr>
              <w:t>0.02</w:t>
            </w:r>
          </w:p>
        </w:tc>
      </w:tr>
    </w:tbl>
    <w:p w14:paraId="4E5EC3FA">
      <w:pPr>
        <w:spacing w:beforeLines="80" w:after="24"/>
        <w:jc w:val="left"/>
        <w:rPr>
          <w:rFonts w:hAnsi="宋体" w:cs="Times New Roman"/>
          <w:snapToGrid w:val="0"/>
          <w:color w:val="000000"/>
          <w:spacing w:val="-6"/>
          <w:kern w:val="21"/>
        </w:rPr>
      </w:pPr>
      <w:r>
        <w:rPr>
          <w:rFonts w:hint="eastAsia" w:hAnsi="宋体"/>
          <w:snapToGrid w:val="0"/>
          <w:color w:val="000000"/>
          <w:kern w:val="21"/>
        </w:rPr>
        <w:t>注：</w:t>
      </w:r>
      <w:r>
        <w:rPr>
          <w:rFonts w:hAnsi="宋体"/>
          <w:snapToGrid w:val="0"/>
          <w:color w:val="000000"/>
          <w:spacing w:val="-16"/>
          <w:kern w:val="21"/>
        </w:rPr>
        <w:fldChar w:fldCharType="begin"/>
      </w:r>
      <w:r>
        <w:rPr>
          <w:rFonts w:hAnsi="宋体"/>
          <w:snapToGrid w:val="0"/>
          <w:color w:val="000000"/>
          <w:spacing w:val="-16"/>
          <w:kern w:val="21"/>
        </w:rPr>
        <w:instrText xml:space="preserve"> = 6 \* GB3 \* MERGEFORMAT </w:instrText>
      </w:r>
      <w:r>
        <w:rPr>
          <w:rFonts w:hAnsi="宋体"/>
          <w:snapToGrid w:val="0"/>
          <w:color w:val="000000"/>
          <w:spacing w:val="-16"/>
          <w:kern w:val="21"/>
        </w:rPr>
        <w:fldChar w:fldCharType="separate"/>
      </w:r>
      <w:r>
        <w:rPr>
          <w:rFonts w:hint="eastAsia" w:hAnsi="宋体"/>
        </w:rPr>
        <w:t>⑥</w:t>
      </w:r>
      <w:r>
        <w:rPr>
          <w:rFonts w:hAnsi="宋体"/>
          <w:snapToGrid w:val="0"/>
          <w:color w:val="000000"/>
          <w:spacing w:val="-16"/>
          <w:kern w:val="21"/>
        </w:rPr>
        <w:fldChar w:fldCharType="end"/>
      </w:r>
      <w:r>
        <w:rPr>
          <w:rFonts w:hAnsi="宋体"/>
          <w:snapToGrid w:val="0"/>
          <w:color w:val="000000"/>
          <w:spacing w:val="-16"/>
          <w:kern w:val="21"/>
        </w:rPr>
        <w:t>=</w:t>
      </w:r>
      <w:r>
        <w:rPr>
          <w:rFonts w:hAnsi="宋体"/>
          <w:snapToGrid w:val="0"/>
          <w:color w:val="000000"/>
          <w:spacing w:val="-6"/>
          <w:kern w:val="21"/>
        </w:rPr>
        <w:fldChar w:fldCharType="begin"/>
      </w:r>
      <w:r>
        <w:rPr>
          <w:rFonts w:hAnsi="宋体"/>
          <w:snapToGrid w:val="0"/>
          <w:color w:val="000000"/>
          <w:spacing w:val="-6"/>
          <w:kern w:val="21"/>
        </w:rPr>
        <w:instrText xml:space="preserve"> = 1 \* GB3 \* MERGEFORMAT </w:instrText>
      </w:r>
      <w:r>
        <w:rPr>
          <w:rFonts w:hAnsi="宋体"/>
          <w:snapToGrid w:val="0"/>
          <w:color w:val="000000"/>
          <w:spacing w:val="-6"/>
          <w:kern w:val="21"/>
        </w:rPr>
        <w:fldChar w:fldCharType="separate"/>
      </w:r>
      <w:r>
        <w:rPr>
          <w:rFonts w:hint="eastAsia" w:hAnsi="宋体"/>
        </w:rPr>
        <w:t>①</w:t>
      </w:r>
      <w:r>
        <w:rPr>
          <w:rFonts w:hAnsi="宋体"/>
          <w:snapToGrid w:val="0"/>
          <w:color w:val="000000"/>
          <w:spacing w:val="-6"/>
          <w:kern w:val="21"/>
        </w:rPr>
        <w:fldChar w:fldCharType="end"/>
      </w:r>
      <w:r>
        <w:rPr>
          <w:rFonts w:hAnsi="宋体"/>
          <w:snapToGrid w:val="0"/>
          <w:color w:val="000000"/>
          <w:spacing w:val="-6"/>
          <w:kern w:val="21"/>
        </w:rPr>
        <w:t>+</w:t>
      </w:r>
      <w:r>
        <w:rPr>
          <w:rFonts w:hAnsi="宋体"/>
          <w:snapToGrid w:val="0"/>
          <w:color w:val="000000"/>
          <w:spacing w:val="-6"/>
          <w:kern w:val="21"/>
        </w:rPr>
        <w:fldChar w:fldCharType="begin"/>
      </w:r>
      <w:r>
        <w:rPr>
          <w:rFonts w:hAnsi="宋体"/>
          <w:snapToGrid w:val="0"/>
          <w:color w:val="000000"/>
          <w:spacing w:val="-6"/>
          <w:kern w:val="21"/>
        </w:rPr>
        <w:instrText xml:space="preserve"> = 3 \* GB3 \* MERGEFORMAT </w:instrText>
      </w:r>
      <w:r>
        <w:rPr>
          <w:rFonts w:hAnsi="宋体"/>
          <w:snapToGrid w:val="0"/>
          <w:color w:val="000000"/>
          <w:spacing w:val="-6"/>
          <w:kern w:val="21"/>
        </w:rPr>
        <w:fldChar w:fldCharType="separate"/>
      </w:r>
      <w:r>
        <w:rPr>
          <w:rFonts w:hint="eastAsia" w:hAnsi="宋体"/>
        </w:rPr>
        <w:t>③</w:t>
      </w:r>
      <w:r>
        <w:rPr>
          <w:rFonts w:hAnsi="宋体"/>
          <w:snapToGrid w:val="0"/>
          <w:color w:val="000000"/>
          <w:spacing w:val="-6"/>
          <w:kern w:val="21"/>
        </w:rPr>
        <w:fldChar w:fldCharType="end"/>
      </w:r>
      <w:r>
        <w:rPr>
          <w:rFonts w:hAnsi="宋体"/>
          <w:snapToGrid w:val="0"/>
          <w:color w:val="000000"/>
          <w:spacing w:val="-6"/>
          <w:kern w:val="21"/>
        </w:rPr>
        <w:t>+</w:t>
      </w:r>
      <w:r>
        <w:rPr>
          <w:rFonts w:hAnsi="宋体"/>
          <w:snapToGrid w:val="0"/>
          <w:color w:val="000000"/>
          <w:spacing w:val="-6"/>
          <w:kern w:val="21"/>
        </w:rPr>
        <w:fldChar w:fldCharType="begin"/>
      </w:r>
      <w:r>
        <w:rPr>
          <w:rFonts w:hAnsi="宋体"/>
          <w:snapToGrid w:val="0"/>
          <w:color w:val="000000"/>
          <w:spacing w:val="-6"/>
          <w:kern w:val="21"/>
        </w:rPr>
        <w:instrText xml:space="preserve"> = 4 \* GB3 \* MERGEFORMAT </w:instrText>
      </w:r>
      <w:r>
        <w:rPr>
          <w:rFonts w:hAnsi="宋体"/>
          <w:snapToGrid w:val="0"/>
          <w:color w:val="000000"/>
          <w:spacing w:val="-6"/>
          <w:kern w:val="21"/>
        </w:rPr>
        <w:fldChar w:fldCharType="separate"/>
      </w:r>
      <w:r>
        <w:rPr>
          <w:rFonts w:hint="eastAsia" w:hAnsi="宋体"/>
        </w:rPr>
        <w:t>④</w:t>
      </w:r>
      <w:r>
        <w:rPr>
          <w:rFonts w:hAnsi="宋体"/>
          <w:snapToGrid w:val="0"/>
          <w:color w:val="000000"/>
          <w:spacing w:val="-6"/>
          <w:kern w:val="21"/>
        </w:rPr>
        <w:fldChar w:fldCharType="end"/>
      </w:r>
      <w:r>
        <w:rPr>
          <w:rFonts w:hAnsi="宋体"/>
          <w:snapToGrid w:val="0"/>
          <w:color w:val="000000"/>
          <w:spacing w:val="-6"/>
          <w:kern w:val="21"/>
        </w:rPr>
        <w:t>-</w:t>
      </w:r>
      <w:r>
        <w:rPr>
          <w:rFonts w:hAnsi="宋体"/>
          <w:snapToGrid w:val="0"/>
          <w:color w:val="000000"/>
          <w:spacing w:val="-16"/>
          <w:kern w:val="21"/>
        </w:rPr>
        <w:fldChar w:fldCharType="begin"/>
      </w:r>
      <w:r>
        <w:rPr>
          <w:rFonts w:hAnsi="宋体"/>
          <w:snapToGrid w:val="0"/>
          <w:color w:val="000000"/>
          <w:spacing w:val="-16"/>
          <w:kern w:val="21"/>
        </w:rPr>
        <w:instrText xml:space="preserve"> = 5 \* GB3 \* MERGEFORMAT </w:instrText>
      </w:r>
      <w:r>
        <w:rPr>
          <w:rFonts w:hAnsi="宋体"/>
          <w:snapToGrid w:val="0"/>
          <w:color w:val="000000"/>
          <w:spacing w:val="-16"/>
          <w:kern w:val="21"/>
        </w:rPr>
        <w:fldChar w:fldCharType="separate"/>
      </w:r>
      <w:r>
        <w:rPr>
          <w:rFonts w:hint="eastAsia" w:hAnsi="宋体"/>
        </w:rPr>
        <w:t>⑤</w:t>
      </w:r>
      <w:r>
        <w:rPr>
          <w:rFonts w:hAnsi="宋体"/>
          <w:snapToGrid w:val="0"/>
          <w:color w:val="000000"/>
          <w:spacing w:val="-16"/>
          <w:kern w:val="21"/>
        </w:rPr>
        <w:fldChar w:fldCharType="end"/>
      </w:r>
      <w:r>
        <w:rPr>
          <w:rFonts w:hint="eastAsia" w:hAnsi="宋体"/>
          <w:snapToGrid w:val="0"/>
          <w:color w:val="000000"/>
          <w:spacing w:val="-16"/>
          <w:kern w:val="21"/>
        </w:rPr>
        <w:t>；</w:t>
      </w:r>
      <w:r>
        <w:rPr>
          <w:rFonts w:hAnsi="宋体"/>
          <w:snapToGrid w:val="0"/>
          <w:color w:val="000000"/>
          <w:spacing w:val="-6"/>
          <w:kern w:val="21"/>
        </w:rPr>
        <w:fldChar w:fldCharType="begin"/>
      </w:r>
      <w:r>
        <w:rPr>
          <w:rFonts w:hAnsi="宋体"/>
          <w:snapToGrid w:val="0"/>
          <w:color w:val="000000"/>
          <w:spacing w:val="-6"/>
          <w:kern w:val="21"/>
        </w:rPr>
        <w:instrText xml:space="preserve"> = 7 \* GB3 \* MERGEFORMAT </w:instrText>
      </w:r>
      <w:r>
        <w:rPr>
          <w:rFonts w:hAnsi="宋体"/>
          <w:snapToGrid w:val="0"/>
          <w:color w:val="000000"/>
          <w:spacing w:val="-6"/>
          <w:kern w:val="21"/>
        </w:rPr>
        <w:fldChar w:fldCharType="separate"/>
      </w:r>
      <w:r>
        <w:rPr>
          <w:rFonts w:hint="eastAsia" w:hAnsi="宋体"/>
        </w:rPr>
        <w:t>⑦</w:t>
      </w:r>
      <w:r>
        <w:rPr>
          <w:rFonts w:hAnsi="宋体"/>
          <w:snapToGrid w:val="0"/>
          <w:color w:val="000000"/>
          <w:spacing w:val="-6"/>
          <w:kern w:val="21"/>
        </w:rPr>
        <w:fldChar w:fldCharType="end"/>
      </w:r>
      <w:r>
        <w:rPr>
          <w:rFonts w:hAnsi="宋体"/>
          <w:snapToGrid w:val="0"/>
          <w:color w:val="000000"/>
          <w:spacing w:val="-6"/>
          <w:kern w:val="21"/>
        </w:rPr>
        <w:t>=</w:t>
      </w:r>
      <w:r>
        <w:rPr>
          <w:rFonts w:hAnsi="宋体"/>
          <w:snapToGrid w:val="0"/>
          <w:color w:val="000000"/>
          <w:spacing w:val="-16"/>
          <w:kern w:val="21"/>
        </w:rPr>
        <w:fldChar w:fldCharType="begin"/>
      </w:r>
      <w:r>
        <w:rPr>
          <w:rFonts w:hAnsi="宋体"/>
          <w:snapToGrid w:val="0"/>
          <w:color w:val="000000"/>
          <w:spacing w:val="-16"/>
          <w:kern w:val="21"/>
        </w:rPr>
        <w:instrText xml:space="preserve"> = 6 \* GB3 \* MERGEFORMAT </w:instrText>
      </w:r>
      <w:r>
        <w:rPr>
          <w:rFonts w:hAnsi="宋体"/>
          <w:snapToGrid w:val="0"/>
          <w:color w:val="000000"/>
          <w:spacing w:val="-16"/>
          <w:kern w:val="21"/>
        </w:rPr>
        <w:fldChar w:fldCharType="separate"/>
      </w:r>
      <w:r>
        <w:rPr>
          <w:rFonts w:hint="eastAsia" w:hAnsi="宋体"/>
        </w:rPr>
        <w:t>⑥</w:t>
      </w:r>
      <w:r>
        <w:rPr>
          <w:rFonts w:hAnsi="宋体"/>
          <w:snapToGrid w:val="0"/>
          <w:color w:val="000000"/>
          <w:spacing w:val="-16"/>
          <w:kern w:val="21"/>
        </w:rPr>
        <w:fldChar w:fldCharType="end"/>
      </w:r>
      <w:r>
        <w:rPr>
          <w:rFonts w:hAnsi="宋体"/>
          <w:snapToGrid w:val="0"/>
          <w:color w:val="000000"/>
          <w:spacing w:val="-16"/>
          <w:kern w:val="21"/>
        </w:rPr>
        <w:t>-</w:t>
      </w:r>
      <w:r>
        <w:rPr>
          <w:rFonts w:hAnsi="宋体"/>
          <w:snapToGrid w:val="0"/>
          <w:color w:val="000000"/>
          <w:spacing w:val="-6"/>
          <w:kern w:val="21"/>
        </w:rPr>
        <w:fldChar w:fldCharType="begin"/>
      </w:r>
      <w:r>
        <w:rPr>
          <w:rFonts w:hAnsi="宋体"/>
          <w:snapToGrid w:val="0"/>
          <w:color w:val="000000"/>
          <w:spacing w:val="-6"/>
          <w:kern w:val="21"/>
        </w:rPr>
        <w:instrText xml:space="preserve"> = 1 \* GB3 \* MERGEFORMAT </w:instrText>
      </w:r>
      <w:r>
        <w:rPr>
          <w:rFonts w:hAnsi="宋体"/>
          <w:snapToGrid w:val="0"/>
          <w:color w:val="000000"/>
          <w:spacing w:val="-6"/>
          <w:kern w:val="21"/>
        </w:rPr>
        <w:fldChar w:fldCharType="separate"/>
      </w:r>
      <w:r>
        <w:rPr>
          <w:rFonts w:hint="eastAsia" w:hAnsi="宋体"/>
        </w:rPr>
        <w:t>①</w:t>
      </w:r>
      <w:r>
        <w:rPr>
          <w:rFonts w:hAnsi="宋体"/>
          <w:snapToGrid w:val="0"/>
          <w:color w:val="000000"/>
          <w:spacing w:val="-6"/>
          <w:kern w:val="21"/>
        </w:rPr>
        <w:fldChar w:fldCharType="end"/>
      </w:r>
    </w:p>
    <w:sectPr>
      <w:footerReference r:id="rId6" w:type="default"/>
      <w:pgSz w:w="16838" w:h="11906" w:orient="landscape"/>
      <w:pgMar w:top="1531" w:right="1417" w:bottom="1531" w:left="1417" w:header="851"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Helvetica">
    <w:altName w:val="Arial"/>
    <w:panose1 w:val="00000000000000000000"/>
    <w:charset w:val="00"/>
    <w:family w:val="auto"/>
    <w:pitch w:val="default"/>
    <w:sig w:usb0="00000000" w:usb1="00000000" w:usb2="00000000" w:usb3="00000000" w:csb0="00040001" w:csb1="00000000"/>
  </w:font>
  <w:font w:name="宋?">
    <w:altName w:val="宋体"/>
    <w:panose1 w:val="00000000000000000000"/>
    <w:charset w:val="81"/>
    <w:family w:val="auto"/>
    <w:pitch w:val="default"/>
    <w:sig w:usb0="00000000" w:usb1="00000000" w:usb2="00000010" w:usb3="00000000" w:csb0="0008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F5CBC">
    <w:pPr>
      <w:pStyle w:val="2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461B9">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F3461B9">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2FFC">
    <w:pPr>
      <w:pStyle w:val="20"/>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42868">
                          <w:pPr>
                            <w:pStyle w:val="2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42868">
                    <w:pPr>
                      <w:pStyle w:val="20"/>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E2EB">
    <w:pPr>
      <w:pStyle w:val="2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33923">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C233923">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55921">
    <w:pPr>
      <w:pStyle w:val="20"/>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81FA6">
                          <w:pPr>
                            <w:pStyle w:val="20"/>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9281FA6">
                    <w:pPr>
                      <w:pStyle w:val="20"/>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FAF81"/>
    <w:multiLevelType w:val="singleLevel"/>
    <w:tmpl w:val="3D2FAF81"/>
    <w:lvl w:ilvl="0" w:tentative="0">
      <w:start w:val="1"/>
      <w:numFmt w:val="chineseCounting"/>
      <w:suff w:val="nothing"/>
      <w:lvlText w:val="%1、"/>
      <w:lvlJc w:val="left"/>
      <w:rPr>
        <w:rFonts w:hint="eastAsia"/>
      </w:rPr>
    </w:lvl>
  </w:abstractNum>
  <w:abstractNum w:abstractNumId="1">
    <w:nsid w:val="58BECB15"/>
    <w:multiLevelType w:val="singleLevel"/>
    <w:tmpl w:val="58BECB15"/>
    <w:lvl w:ilvl="0" w:tentative="0">
      <w:start w:val="1"/>
      <w:numFmt w:val="decimal"/>
      <w:pStyle w:val="7"/>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yYjM2ZGY5MmRmY2NiMGQzNjlmMmVlNGQyNDBjY2YifQ=="/>
  </w:docVars>
  <w:rsids>
    <w:rsidRoot w:val="00172A27"/>
    <w:rsid w:val="003A424D"/>
    <w:rsid w:val="004E04CF"/>
    <w:rsid w:val="005F7980"/>
    <w:rsid w:val="0061114F"/>
    <w:rsid w:val="006775C6"/>
    <w:rsid w:val="00764FC6"/>
    <w:rsid w:val="008130E0"/>
    <w:rsid w:val="009A6ED1"/>
    <w:rsid w:val="00A949FC"/>
    <w:rsid w:val="00BB0DEC"/>
    <w:rsid w:val="00C7660A"/>
    <w:rsid w:val="00D47C7B"/>
    <w:rsid w:val="00D53417"/>
    <w:rsid w:val="00D64AE1"/>
    <w:rsid w:val="00DC1065"/>
    <w:rsid w:val="00DD0C22"/>
    <w:rsid w:val="00E0240F"/>
    <w:rsid w:val="00E209A9"/>
    <w:rsid w:val="00F173DD"/>
    <w:rsid w:val="0102737F"/>
    <w:rsid w:val="0130118A"/>
    <w:rsid w:val="0133085B"/>
    <w:rsid w:val="013A1A87"/>
    <w:rsid w:val="01463665"/>
    <w:rsid w:val="01734169"/>
    <w:rsid w:val="01AB1207"/>
    <w:rsid w:val="01B354B0"/>
    <w:rsid w:val="01B570FE"/>
    <w:rsid w:val="01BA1255"/>
    <w:rsid w:val="01DC296E"/>
    <w:rsid w:val="01E34116"/>
    <w:rsid w:val="02193F5B"/>
    <w:rsid w:val="023D46EC"/>
    <w:rsid w:val="026C31F2"/>
    <w:rsid w:val="02B96251"/>
    <w:rsid w:val="02C24BF1"/>
    <w:rsid w:val="02EE2D13"/>
    <w:rsid w:val="03CA4089"/>
    <w:rsid w:val="043044BA"/>
    <w:rsid w:val="047A5783"/>
    <w:rsid w:val="04B240C1"/>
    <w:rsid w:val="04EC0C20"/>
    <w:rsid w:val="05176E48"/>
    <w:rsid w:val="052B7383"/>
    <w:rsid w:val="05594C2F"/>
    <w:rsid w:val="055D5C1F"/>
    <w:rsid w:val="05875422"/>
    <w:rsid w:val="059361FC"/>
    <w:rsid w:val="05A21F4C"/>
    <w:rsid w:val="05A43768"/>
    <w:rsid w:val="05AD53A5"/>
    <w:rsid w:val="05D60B4A"/>
    <w:rsid w:val="0600615C"/>
    <w:rsid w:val="061067B8"/>
    <w:rsid w:val="06BD38A0"/>
    <w:rsid w:val="07243D72"/>
    <w:rsid w:val="07496BA2"/>
    <w:rsid w:val="075E313A"/>
    <w:rsid w:val="0799327E"/>
    <w:rsid w:val="07C8638F"/>
    <w:rsid w:val="07D46B2E"/>
    <w:rsid w:val="07F9252D"/>
    <w:rsid w:val="080953D4"/>
    <w:rsid w:val="0843736A"/>
    <w:rsid w:val="08F83E38"/>
    <w:rsid w:val="09C45CB0"/>
    <w:rsid w:val="0A4F2B7E"/>
    <w:rsid w:val="0A524F89"/>
    <w:rsid w:val="0A5B1E32"/>
    <w:rsid w:val="0A65393A"/>
    <w:rsid w:val="0AC534D0"/>
    <w:rsid w:val="0AC6147B"/>
    <w:rsid w:val="0B2F50E5"/>
    <w:rsid w:val="0B53768A"/>
    <w:rsid w:val="0B8D66E4"/>
    <w:rsid w:val="0BE946A2"/>
    <w:rsid w:val="0BF85B57"/>
    <w:rsid w:val="0C290D86"/>
    <w:rsid w:val="0C6F61EF"/>
    <w:rsid w:val="0C981DC8"/>
    <w:rsid w:val="0CB0512B"/>
    <w:rsid w:val="0CB20FCC"/>
    <w:rsid w:val="0D5A0848"/>
    <w:rsid w:val="0DD10723"/>
    <w:rsid w:val="0E3B4801"/>
    <w:rsid w:val="0E736559"/>
    <w:rsid w:val="0ED93963"/>
    <w:rsid w:val="0EDA1411"/>
    <w:rsid w:val="0F0D18D8"/>
    <w:rsid w:val="0F7435C7"/>
    <w:rsid w:val="0F9C45C5"/>
    <w:rsid w:val="0FD23E7A"/>
    <w:rsid w:val="0FF61A67"/>
    <w:rsid w:val="105B2314"/>
    <w:rsid w:val="10FB2CEF"/>
    <w:rsid w:val="111B758B"/>
    <w:rsid w:val="118834B7"/>
    <w:rsid w:val="11B07595"/>
    <w:rsid w:val="11B42563"/>
    <w:rsid w:val="11BF4568"/>
    <w:rsid w:val="12406212"/>
    <w:rsid w:val="127D0228"/>
    <w:rsid w:val="12875E6B"/>
    <w:rsid w:val="128E7C19"/>
    <w:rsid w:val="12F72B5A"/>
    <w:rsid w:val="131F5A3E"/>
    <w:rsid w:val="13205D66"/>
    <w:rsid w:val="132434C8"/>
    <w:rsid w:val="13923F34"/>
    <w:rsid w:val="13C86346"/>
    <w:rsid w:val="13CC2321"/>
    <w:rsid w:val="13D80BD3"/>
    <w:rsid w:val="13F062F6"/>
    <w:rsid w:val="13FD106F"/>
    <w:rsid w:val="142D7D20"/>
    <w:rsid w:val="14620859"/>
    <w:rsid w:val="14740441"/>
    <w:rsid w:val="14992B17"/>
    <w:rsid w:val="14B02E2F"/>
    <w:rsid w:val="159A4AF5"/>
    <w:rsid w:val="15E21487"/>
    <w:rsid w:val="16534DAC"/>
    <w:rsid w:val="16A77E76"/>
    <w:rsid w:val="16A91E62"/>
    <w:rsid w:val="16CB5FEC"/>
    <w:rsid w:val="16E22373"/>
    <w:rsid w:val="16ED2588"/>
    <w:rsid w:val="17664C7E"/>
    <w:rsid w:val="1794322B"/>
    <w:rsid w:val="17AA758E"/>
    <w:rsid w:val="17B84AE8"/>
    <w:rsid w:val="17E71002"/>
    <w:rsid w:val="18A61CCC"/>
    <w:rsid w:val="18F73A44"/>
    <w:rsid w:val="19263DBD"/>
    <w:rsid w:val="193C66E3"/>
    <w:rsid w:val="194D3751"/>
    <w:rsid w:val="19C054D0"/>
    <w:rsid w:val="19FF5832"/>
    <w:rsid w:val="1A223791"/>
    <w:rsid w:val="1A3B3E94"/>
    <w:rsid w:val="1A4453B2"/>
    <w:rsid w:val="1AB114CD"/>
    <w:rsid w:val="1ADF10D1"/>
    <w:rsid w:val="1B502438"/>
    <w:rsid w:val="1B507925"/>
    <w:rsid w:val="1BE975A5"/>
    <w:rsid w:val="1BF100E2"/>
    <w:rsid w:val="1C1A5381"/>
    <w:rsid w:val="1C54061D"/>
    <w:rsid w:val="1C7E47E2"/>
    <w:rsid w:val="1CAE4CA3"/>
    <w:rsid w:val="1CBB3CE2"/>
    <w:rsid w:val="1CCE73CE"/>
    <w:rsid w:val="1CF605F7"/>
    <w:rsid w:val="1D507571"/>
    <w:rsid w:val="1D675848"/>
    <w:rsid w:val="1D91572E"/>
    <w:rsid w:val="1DDC2BB3"/>
    <w:rsid w:val="1DFC2162"/>
    <w:rsid w:val="1E0428AB"/>
    <w:rsid w:val="1E2B48B4"/>
    <w:rsid w:val="1E956C45"/>
    <w:rsid w:val="1E9B481C"/>
    <w:rsid w:val="1F024A01"/>
    <w:rsid w:val="1F0F5A94"/>
    <w:rsid w:val="1F2602C0"/>
    <w:rsid w:val="1F2A10D9"/>
    <w:rsid w:val="1F9A370F"/>
    <w:rsid w:val="1FAF169B"/>
    <w:rsid w:val="1FB5164E"/>
    <w:rsid w:val="1FC01B8F"/>
    <w:rsid w:val="20181E7C"/>
    <w:rsid w:val="20246166"/>
    <w:rsid w:val="203474B8"/>
    <w:rsid w:val="20BE5C21"/>
    <w:rsid w:val="20EF0E4F"/>
    <w:rsid w:val="218F7285"/>
    <w:rsid w:val="21D86513"/>
    <w:rsid w:val="220767F9"/>
    <w:rsid w:val="2213715F"/>
    <w:rsid w:val="222F0BD9"/>
    <w:rsid w:val="225628AC"/>
    <w:rsid w:val="228004B3"/>
    <w:rsid w:val="230E33EA"/>
    <w:rsid w:val="2322337F"/>
    <w:rsid w:val="237343F6"/>
    <w:rsid w:val="237C7129"/>
    <w:rsid w:val="23B76992"/>
    <w:rsid w:val="23CF5E36"/>
    <w:rsid w:val="24172B97"/>
    <w:rsid w:val="24252F28"/>
    <w:rsid w:val="2489276F"/>
    <w:rsid w:val="248934D8"/>
    <w:rsid w:val="249940D7"/>
    <w:rsid w:val="2504607E"/>
    <w:rsid w:val="251215C2"/>
    <w:rsid w:val="2521506B"/>
    <w:rsid w:val="258129B3"/>
    <w:rsid w:val="25916A45"/>
    <w:rsid w:val="25AD434A"/>
    <w:rsid w:val="25DD571A"/>
    <w:rsid w:val="25F17767"/>
    <w:rsid w:val="25F44D17"/>
    <w:rsid w:val="26112CDF"/>
    <w:rsid w:val="26B5225C"/>
    <w:rsid w:val="26EB6700"/>
    <w:rsid w:val="27025ECA"/>
    <w:rsid w:val="271D7B8F"/>
    <w:rsid w:val="27233293"/>
    <w:rsid w:val="2768508F"/>
    <w:rsid w:val="277A161C"/>
    <w:rsid w:val="278076D4"/>
    <w:rsid w:val="278C5B05"/>
    <w:rsid w:val="2811254B"/>
    <w:rsid w:val="282E7480"/>
    <w:rsid w:val="289C683F"/>
    <w:rsid w:val="28FB2BCD"/>
    <w:rsid w:val="291A20B6"/>
    <w:rsid w:val="294A7F54"/>
    <w:rsid w:val="299727E4"/>
    <w:rsid w:val="29BB4F96"/>
    <w:rsid w:val="29D82DC8"/>
    <w:rsid w:val="2A3011DA"/>
    <w:rsid w:val="2A347903"/>
    <w:rsid w:val="2A3947AD"/>
    <w:rsid w:val="2A6A2367"/>
    <w:rsid w:val="2AAF6648"/>
    <w:rsid w:val="2AC8497C"/>
    <w:rsid w:val="2AD549F8"/>
    <w:rsid w:val="2B173BAD"/>
    <w:rsid w:val="2B4D6852"/>
    <w:rsid w:val="2B715282"/>
    <w:rsid w:val="2B8E1816"/>
    <w:rsid w:val="2B9776EB"/>
    <w:rsid w:val="2C0623E2"/>
    <w:rsid w:val="2C0F48AD"/>
    <w:rsid w:val="2C9C1841"/>
    <w:rsid w:val="2CE0143A"/>
    <w:rsid w:val="2CEF3BC2"/>
    <w:rsid w:val="2D010F41"/>
    <w:rsid w:val="2D23699F"/>
    <w:rsid w:val="2D3C7A28"/>
    <w:rsid w:val="2D5507ED"/>
    <w:rsid w:val="2D585E06"/>
    <w:rsid w:val="2D6D3DEA"/>
    <w:rsid w:val="2D916834"/>
    <w:rsid w:val="2DF84678"/>
    <w:rsid w:val="2E20705B"/>
    <w:rsid w:val="2E920006"/>
    <w:rsid w:val="2EB94E3A"/>
    <w:rsid w:val="2EDB4F17"/>
    <w:rsid w:val="2EEA2285"/>
    <w:rsid w:val="2F0A2FC6"/>
    <w:rsid w:val="2F1A6405"/>
    <w:rsid w:val="2F364819"/>
    <w:rsid w:val="2F506B09"/>
    <w:rsid w:val="2F607D6E"/>
    <w:rsid w:val="2FA9669E"/>
    <w:rsid w:val="2FEF290A"/>
    <w:rsid w:val="301A3046"/>
    <w:rsid w:val="3073614D"/>
    <w:rsid w:val="308F5F09"/>
    <w:rsid w:val="31034752"/>
    <w:rsid w:val="31663352"/>
    <w:rsid w:val="31A044E4"/>
    <w:rsid w:val="31F1719D"/>
    <w:rsid w:val="320329AC"/>
    <w:rsid w:val="321E2EBB"/>
    <w:rsid w:val="32552696"/>
    <w:rsid w:val="32612A58"/>
    <w:rsid w:val="32A20948"/>
    <w:rsid w:val="32A913C3"/>
    <w:rsid w:val="3326632A"/>
    <w:rsid w:val="332F3F36"/>
    <w:rsid w:val="333A0748"/>
    <w:rsid w:val="333E450C"/>
    <w:rsid w:val="33925274"/>
    <w:rsid w:val="33C323F3"/>
    <w:rsid w:val="33D95246"/>
    <w:rsid w:val="33E06647"/>
    <w:rsid w:val="33E60F5B"/>
    <w:rsid w:val="33FA7D13"/>
    <w:rsid w:val="33FB70B9"/>
    <w:rsid w:val="34031D47"/>
    <w:rsid w:val="342E624B"/>
    <w:rsid w:val="343736F8"/>
    <w:rsid w:val="344B03EB"/>
    <w:rsid w:val="344B5B41"/>
    <w:rsid w:val="346F6A90"/>
    <w:rsid w:val="34AA3EE6"/>
    <w:rsid w:val="34F750C8"/>
    <w:rsid w:val="3546691F"/>
    <w:rsid w:val="35CA4AAF"/>
    <w:rsid w:val="35DA6777"/>
    <w:rsid w:val="360C4775"/>
    <w:rsid w:val="36B976A7"/>
    <w:rsid w:val="36D71AAB"/>
    <w:rsid w:val="37006830"/>
    <w:rsid w:val="37343130"/>
    <w:rsid w:val="378E4AC6"/>
    <w:rsid w:val="37987D6F"/>
    <w:rsid w:val="382E3558"/>
    <w:rsid w:val="38303DCF"/>
    <w:rsid w:val="384A1ACA"/>
    <w:rsid w:val="38593879"/>
    <w:rsid w:val="38743C6F"/>
    <w:rsid w:val="39066DA5"/>
    <w:rsid w:val="39A131D7"/>
    <w:rsid w:val="39AD5DDF"/>
    <w:rsid w:val="39F11E66"/>
    <w:rsid w:val="3A35201A"/>
    <w:rsid w:val="3A522E80"/>
    <w:rsid w:val="3A743034"/>
    <w:rsid w:val="3A916DA7"/>
    <w:rsid w:val="3AF4172E"/>
    <w:rsid w:val="3B6C511E"/>
    <w:rsid w:val="3B7F2268"/>
    <w:rsid w:val="3BA87D9E"/>
    <w:rsid w:val="3BD81FAA"/>
    <w:rsid w:val="3BF8758B"/>
    <w:rsid w:val="3C1A4438"/>
    <w:rsid w:val="3C767C64"/>
    <w:rsid w:val="3CA83721"/>
    <w:rsid w:val="3CEF0B55"/>
    <w:rsid w:val="3CF66674"/>
    <w:rsid w:val="3CFB2BFE"/>
    <w:rsid w:val="3D0E6D14"/>
    <w:rsid w:val="3D431F89"/>
    <w:rsid w:val="3D6D78F9"/>
    <w:rsid w:val="3D984EE5"/>
    <w:rsid w:val="3DC96AAC"/>
    <w:rsid w:val="3DF92FFF"/>
    <w:rsid w:val="3E08526F"/>
    <w:rsid w:val="3E1C312C"/>
    <w:rsid w:val="3E674363"/>
    <w:rsid w:val="3EB5316F"/>
    <w:rsid w:val="3ED41958"/>
    <w:rsid w:val="3F8520E9"/>
    <w:rsid w:val="3FA23805"/>
    <w:rsid w:val="3FAF0BC0"/>
    <w:rsid w:val="3FC15BAB"/>
    <w:rsid w:val="3FD61246"/>
    <w:rsid w:val="400B28B1"/>
    <w:rsid w:val="402206BB"/>
    <w:rsid w:val="407940EC"/>
    <w:rsid w:val="40E21887"/>
    <w:rsid w:val="40E8507E"/>
    <w:rsid w:val="410C18A2"/>
    <w:rsid w:val="414B0284"/>
    <w:rsid w:val="417307D0"/>
    <w:rsid w:val="417828EB"/>
    <w:rsid w:val="418B0B75"/>
    <w:rsid w:val="41910C30"/>
    <w:rsid w:val="41A00BF8"/>
    <w:rsid w:val="41B77AAE"/>
    <w:rsid w:val="41C93552"/>
    <w:rsid w:val="41DA2285"/>
    <w:rsid w:val="41ED7D93"/>
    <w:rsid w:val="41F9465B"/>
    <w:rsid w:val="421E3497"/>
    <w:rsid w:val="4241147F"/>
    <w:rsid w:val="42532C2C"/>
    <w:rsid w:val="425773DA"/>
    <w:rsid w:val="426C7982"/>
    <w:rsid w:val="42704421"/>
    <w:rsid w:val="42AD204F"/>
    <w:rsid w:val="42CA762A"/>
    <w:rsid w:val="42DA6920"/>
    <w:rsid w:val="42F003E0"/>
    <w:rsid w:val="43121A33"/>
    <w:rsid w:val="4328011B"/>
    <w:rsid w:val="433D2CE6"/>
    <w:rsid w:val="43F164B3"/>
    <w:rsid w:val="440C749E"/>
    <w:rsid w:val="44411C2A"/>
    <w:rsid w:val="445F0B84"/>
    <w:rsid w:val="4463095B"/>
    <w:rsid w:val="44D83E22"/>
    <w:rsid w:val="45050ABD"/>
    <w:rsid w:val="45963932"/>
    <w:rsid w:val="45BB1409"/>
    <w:rsid w:val="45E16022"/>
    <w:rsid w:val="45FA39AB"/>
    <w:rsid w:val="45FF5E51"/>
    <w:rsid w:val="460F3276"/>
    <w:rsid w:val="46170C49"/>
    <w:rsid w:val="4646138E"/>
    <w:rsid w:val="469F360D"/>
    <w:rsid w:val="471A130F"/>
    <w:rsid w:val="4729217D"/>
    <w:rsid w:val="477F5150"/>
    <w:rsid w:val="47AB36C1"/>
    <w:rsid w:val="481F54A0"/>
    <w:rsid w:val="48633C63"/>
    <w:rsid w:val="488A17C3"/>
    <w:rsid w:val="48D52F66"/>
    <w:rsid w:val="48DA0847"/>
    <w:rsid w:val="48F6797F"/>
    <w:rsid w:val="492808D3"/>
    <w:rsid w:val="49283C72"/>
    <w:rsid w:val="49285075"/>
    <w:rsid w:val="493C0CCB"/>
    <w:rsid w:val="49A02B1C"/>
    <w:rsid w:val="49BF3559"/>
    <w:rsid w:val="49EE2909"/>
    <w:rsid w:val="4A1B39BC"/>
    <w:rsid w:val="4A204C92"/>
    <w:rsid w:val="4A5C4C41"/>
    <w:rsid w:val="4A5F7DA8"/>
    <w:rsid w:val="4A655485"/>
    <w:rsid w:val="4A78356B"/>
    <w:rsid w:val="4A92584E"/>
    <w:rsid w:val="4A9839D9"/>
    <w:rsid w:val="4BAC2452"/>
    <w:rsid w:val="4C087260"/>
    <w:rsid w:val="4C422CA6"/>
    <w:rsid w:val="4C513C17"/>
    <w:rsid w:val="4C784026"/>
    <w:rsid w:val="4C7F23F5"/>
    <w:rsid w:val="4C811386"/>
    <w:rsid w:val="4C9203F1"/>
    <w:rsid w:val="4CD93D28"/>
    <w:rsid w:val="4CE26162"/>
    <w:rsid w:val="4D096951"/>
    <w:rsid w:val="4D31158F"/>
    <w:rsid w:val="4D3F4595"/>
    <w:rsid w:val="4D445A10"/>
    <w:rsid w:val="4D5613BC"/>
    <w:rsid w:val="4D9A383E"/>
    <w:rsid w:val="4DB30634"/>
    <w:rsid w:val="4DFC2F97"/>
    <w:rsid w:val="4E0E7153"/>
    <w:rsid w:val="4E580509"/>
    <w:rsid w:val="4E87477C"/>
    <w:rsid w:val="4E945844"/>
    <w:rsid w:val="4E9764FE"/>
    <w:rsid w:val="4E9F0653"/>
    <w:rsid w:val="4ED04889"/>
    <w:rsid w:val="4EDB739B"/>
    <w:rsid w:val="4F2C2708"/>
    <w:rsid w:val="4F565DA6"/>
    <w:rsid w:val="4F825895"/>
    <w:rsid w:val="4FA55BDC"/>
    <w:rsid w:val="4FB06BA9"/>
    <w:rsid w:val="501D0CB9"/>
    <w:rsid w:val="5042650A"/>
    <w:rsid w:val="50AA6015"/>
    <w:rsid w:val="50CB3487"/>
    <w:rsid w:val="51184352"/>
    <w:rsid w:val="513D7B8C"/>
    <w:rsid w:val="513F4C15"/>
    <w:rsid w:val="515E1303"/>
    <w:rsid w:val="515E2E5F"/>
    <w:rsid w:val="51710596"/>
    <w:rsid w:val="51766FCE"/>
    <w:rsid w:val="51826256"/>
    <w:rsid w:val="51983D9F"/>
    <w:rsid w:val="51AF677C"/>
    <w:rsid w:val="523346A5"/>
    <w:rsid w:val="52422B19"/>
    <w:rsid w:val="526F4EF5"/>
    <w:rsid w:val="52B91E6E"/>
    <w:rsid w:val="533D4CE6"/>
    <w:rsid w:val="53685A1E"/>
    <w:rsid w:val="538A064D"/>
    <w:rsid w:val="539955AC"/>
    <w:rsid w:val="53E60A72"/>
    <w:rsid w:val="541A1C86"/>
    <w:rsid w:val="54454C43"/>
    <w:rsid w:val="545115B7"/>
    <w:rsid w:val="54555034"/>
    <w:rsid w:val="545C182E"/>
    <w:rsid w:val="55006B53"/>
    <w:rsid w:val="55144405"/>
    <w:rsid w:val="5538487F"/>
    <w:rsid w:val="55CF6830"/>
    <w:rsid w:val="55F04C31"/>
    <w:rsid w:val="5605001A"/>
    <w:rsid w:val="5635149A"/>
    <w:rsid w:val="563B4CE3"/>
    <w:rsid w:val="565D315A"/>
    <w:rsid w:val="56777889"/>
    <w:rsid w:val="56A97DA8"/>
    <w:rsid w:val="56B74651"/>
    <w:rsid w:val="56C72E7F"/>
    <w:rsid w:val="56E71FD0"/>
    <w:rsid w:val="56FA4699"/>
    <w:rsid w:val="56FD660A"/>
    <w:rsid w:val="574C43AA"/>
    <w:rsid w:val="57844C6B"/>
    <w:rsid w:val="579716CC"/>
    <w:rsid w:val="57E01955"/>
    <w:rsid w:val="57F338B2"/>
    <w:rsid w:val="57F347A6"/>
    <w:rsid w:val="58266F35"/>
    <w:rsid w:val="582C77AE"/>
    <w:rsid w:val="58456607"/>
    <w:rsid w:val="5A3D5665"/>
    <w:rsid w:val="5A4D3CB5"/>
    <w:rsid w:val="5A884B1C"/>
    <w:rsid w:val="5A8D5884"/>
    <w:rsid w:val="5A9A0E33"/>
    <w:rsid w:val="5AA81E36"/>
    <w:rsid w:val="5AC4442D"/>
    <w:rsid w:val="5ACC324B"/>
    <w:rsid w:val="5ADE158D"/>
    <w:rsid w:val="5AED7BD2"/>
    <w:rsid w:val="5AF83D4A"/>
    <w:rsid w:val="5B1149CA"/>
    <w:rsid w:val="5B284542"/>
    <w:rsid w:val="5B3B02A9"/>
    <w:rsid w:val="5B552EDC"/>
    <w:rsid w:val="5B8D3394"/>
    <w:rsid w:val="5BCA703C"/>
    <w:rsid w:val="5C200DD6"/>
    <w:rsid w:val="5C6A0854"/>
    <w:rsid w:val="5CB7277F"/>
    <w:rsid w:val="5CBC25F2"/>
    <w:rsid w:val="5CE445A0"/>
    <w:rsid w:val="5D3A4390"/>
    <w:rsid w:val="5D745823"/>
    <w:rsid w:val="5D8E21CF"/>
    <w:rsid w:val="5D9F254A"/>
    <w:rsid w:val="5DD33983"/>
    <w:rsid w:val="5DD74F94"/>
    <w:rsid w:val="5DE703D1"/>
    <w:rsid w:val="5DEF4297"/>
    <w:rsid w:val="5E0A2061"/>
    <w:rsid w:val="5E3A76C9"/>
    <w:rsid w:val="5E5F3479"/>
    <w:rsid w:val="5E664C2A"/>
    <w:rsid w:val="5E7323B3"/>
    <w:rsid w:val="5EEE661A"/>
    <w:rsid w:val="5F091FA5"/>
    <w:rsid w:val="5F2A51A1"/>
    <w:rsid w:val="5F8336DB"/>
    <w:rsid w:val="5FA80908"/>
    <w:rsid w:val="60460C4A"/>
    <w:rsid w:val="609D1BEA"/>
    <w:rsid w:val="60A265CB"/>
    <w:rsid w:val="60C237B7"/>
    <w:rsid w:val="60E04172"/>
    <w:rsid w:val="60E16938"/>
    <w:rsid w:val="61035C4E"/>
    <w:rsid w:val="61135D2E"/>
    <w:rsid w:val="61163F0E"/>
    <w:rsid w:val="611A2BA3"/>
    <w:rsid w:val="611E5372"/>
    <w:rsid w:val="61415337"/>
    <w:rsid w:val="615332DA"/>
    <w:rsid w:val="61BC3271"/>
    <w:rsid w:val="622542CF"/>
    <w:rsid w:val="62823BCC"/>
    <w:rsid w:val="62CD418F"/>
    <w:rsid w:val="62DD2FCC"/>
    <w:rsid w:val="62F21014"/>
    <w:rsid w:val="63097573"/>
    <w:rsid w:val="63487C92"/>
    <w:rsid w:val="636F3A6F"/>
    <w:rsid w:val="63773F23"/>
    <w:rsid w:val="63D148B0"/>
    <w:rsid w:val="63FE5BB4"/>
    <w:rsid w:val="64246CB3"/>
    <w:rsid w:val="643A06DB"/>
    <w:rsid w:val="646253E1"/>
    <w:rsid w:val="647A5D61"/>
    <w:rsid w:val="64BF19EE"/>
    <w:rsid w:val="64C019AA"/>
    <w:rsid w:val="64E9648D"/>
    <w:rsid w:val="65076A61"/>
    <w:rsid w:val="65473755"/>
    <w:rsid w:val="654C3747"/>
    <w:rsid w:val="654C606B"/>
    <w:rsid w:val="65517474"/>
    <w:rsid w:val="65854734"/>
    <w:rsid w:val="665359AC"/>
    <w:rsid w:val="66955B67"/>
    <w:rsid w:val="669F579E"/>
    <w:rsid w:val="66B91D94"/>
    <w:rsid w:val="66ED5531"/>
    <w:rsid w:val="67294D7B"/>
    <w:rsid w:val="67324E21"/>
    <w:rsid w:val="675D5342"/>
    <w:rsid w:val="67733957"/>
    <w:rsid w:val="6793565D"/>
    <w:rsid w:val="67B1064E"/>
    <w:rsid w:val="67D245DB"/>
    <w:rsid w:val="67D57489"/>
    <w:rsid w:val="67E2232C"/>
    <w:rsid w:val="682C4BC2"/>
    <w:rsid w:val="682E7DD3"/>
    <w:rsid w:val="68326735"/>
    <w:rsid w:val="686F2D5B"/>
    <w:rsid w:val="68BB3869"/>
    <w:rsid w:val="68D75C06"/>
    <w:rsid w:val="691468B9"/>
    <w:rsid w:val="69377AF5"/>
    <w:rsid w:val="699028EC"/>
    <w:rsid w:val="69C35B3A"/>
    <w:rsid w:val="6A020F9C"/>
    <w:rsid w:val="6A2A3D08"/>
    <w:rsid w:val="6A3C798B"/>
    <w:rsid w:val="6A9C5B14"/>
    <w:rsid w:val="6AB4392E"/>
    <w:rsid w:val="6AC06231"/>
    <w:rsid w:val="6AF1095F"/>
    <w:rsid w:val="6AFB1E97"/>
    <w:rsid w:val="6B2A73AB"/>
    <w:rsid w:val="6B73536E"/>
    <w:rsid w:val="6B7C5D8B"/>
    <w:rsid w:val="6B867C25"/>
    <w:rsid w:val="6B9E72D4"/>
    <w:rsid w:val="6BE446D9"/>
    <w:rsid w:val="6C144F97"/>
    <w:rsid w:val="6C1B6FF8"/>
    <w:rsid w:val="6C2D7F3A"/>
    <w:rsid w:val="6CA327F2"/>
    <w:rsid w:val="6CA575B6"/>
    <w:rsid w:val="6CD460C1"/>
    <w:rsid w:val="6CEF13CA"/>
    <w:rsid w:val="6D142BB5"/>
    <w:rsid w:val="6D1C1D9D"/>
    <w:rsid w:val="6D5D7383"/>
    <w:rsid w:val="6D765805"/>
    <w:rsid w:val="6DCC3677"/>
    <w:rsid w:val="6DE57737"/>
    <w:rsid w:val="6E172C3C"/>
    <w:rsid w:val="6E4E22DE"/>
    <w:rsid w:val="6E7D482F"/>
    <w:rsid w:val="6E946C18"/>
    <w:rsid w:val="6F821D6B"/>
    <w:rsid w:val="6F8C60EA"/>
    <w:rsid w:val="6F8E2118"/>
    <w:rsid w:val="6FE42B14"/>
    <w:rsid w:val="71A3705E"/>
    <w:rsid w:val="71B26C0A"/>
    <w:rsid w:val="72311222"/>
    <w:rsid w:val="72412C42"/>
    <w:rsid w:val="725D452A"/>
    <w:rsid w:val="728E3A3D"/>
    <w:rsid w:val="72AF6C55"/>
    <w:rsid w:val="72CD0B09"/>
    <w:rsid w:val="72D16604"/>
    <w:rsid w:val="72D478C8"/>
    <w:rsid w:val="72EA41B6"/>
    <w:rsid w:val="73043F98"/>
    <w:rsid w:val="73480BED"/>
    <w:rsid w:val="73666070"/>
    <w:rsid w:val="736B1BB4"/>
    <w:rsid w:val="74253B04"/>
    <w:rsid w:val="743C4CEA"/>
    <w:rsid w:val="744321B9"/>
    <w:rsid w:val="748F1942"/>
    <w:rsid w:val="74995897"/>
    <w:rsid w:val="74B44EC7"/>
    <w:rsid w:val="74C23023"/>
    <w:rsid w:val="75400A7F"/>
    <w:rsid w:val="75490552"/>
    <w:rsid w:val="75820DF1"/>
    <w:rsid w:val="75A02B0D"/>
    <w:rsid w:val="75AE7B06"/>
    <w:rsid w:val="75BC4259"/>
    <w:rsid w:val="75F93928"/>
    <w:rsid w:val="76120458"/>
    <w:rsid w:val="7694196F"/>
    <w:rsid w:val="76975EA8"/>
    <w:rsid w:val="76FE532B"/>
    <w:rsid w:val="7743010B"/>
    <w:rsid w:val="77766A2E"/>
    <w:rsid w:val="77BF5DBB"/>
    <w:rsid w:val="77CB20E4"/>
    <w:rsid w:val="780F67B5"/>
    <w:rsid w:val="78172B22"/>
    <w:rsid w:val="7819497A"/>
    <w:rsid w:val="785857C8"/>
    <w:rsid w:val="788A60F8"/>
    <w:rsid w:val="789227C4"/>
    <w:rsid w:val="78DB5598"/>
    <w:rsid w:val="79027668"/>
    <w:rsid w:val="79041473"/>
    <w:rsid w:val="791C2A9A"/>
    <w:rsid w:val="79203DCA"/>
    <w:rsid w:val="796316D1"/>
    <w:rsid w:val="79BB12FA"/>
    <w:rsid w:val="79E85CDC"/>
    <w:rsid w:val="79FC1788"/>
    <w:rsid w:val="7A020D54"/>
    <w:rsid w:val="7A077969"/>
    <w:rsid w:val="7A1D5704"/>
    <w:rsid w:val="7A6C3C2F"/>
    <w:rsid w:val="7A715CD2"/>
    <w:rsid w:val="7A965295"/>
    <w:rsid w:val="7AD81C7E"/>
    <w:rsid w:val="7B4943E0"/>
    <w:rsid w:val="7B774A17"/>
    <w:rsid w:val="7B83557E"/>
    <w:rsid w:val="7B841B50"/>
    <w:rsid w:val="7BA05785"/>
    <w:rsid w:val="7BA27F39"/>
    <w:rsid w:val="7BA91FDB"/>
    <w:rsid w:val="7BEE4DA4"/>
    <w:rsid w:val="7C445508"/>
    <w:rsid w:val="7C856F54"/>
    <w:rsid w:val="7CB02F24"/>
    <w:rsid w:val="7CCD278E"/>
    <w:rsid w:val="7D6D4DC4"/>
    <w:rsid w:val="7D7F3E8F"/>
    <w:rsid w:val="7DBA3D19"/>
    <w:rsid w:val="7DF522B0"/>
    <w:rsid w:val="7DFA5739"/>
    <w:rsid w:val="7E264D8E"/>
    <w:rsid w:val="7E333268"/>
    <w:rsid w:val="7E4F6183"/>
    <w:rsid w:val="7E9300B5"/>
    <w:rsid w:val="7EEB45FD"/>
    <w:rsid w:val="7EF6491B"/>
    <w:rsid w:val="7F1E099B"/>
    <w:rsid w:val="7F3B7238"/>
    <w:rsid w:val="7FF66CC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nhideWhenUsed="0" w:uiPriority="99" w:semiHidden="0" w:name="heading 3"/>
    <w:lsdException w:qFormat="1"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uiPriority="39" w:name="toc 2" w:locked="1"/>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qFormat="1" w:uiPriority="39" w:semiHidden="0"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name="Salutation"/>
    <w:lsdException w:uiPriority="99" w:name="Date" w:locked="1"/>
    <w:lsdException w:qFormat="1" w:unhideWhenUsed="0" w:uiPriority="0" w:semiHidden="0" w:name="Body Text First Indent" w:locked="1"/>
    <w:lsdException w:qFormat="1" w:unhideWhenUsed="0" w:uiPriority="99" w:semiHidden="0" w:name="Body Text First Indent 2"/>
    <w:lsdException w:qFormat="1" w:unhideWhenUsed="0" w:uiPriority="0" w:semiHidden="0"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2"/>
    <w:autoRedefine/>
    <w:qFormat/>
    <w:uiPriority w:val="99"/>
    <w:pPr>
      <w:keepNext/>
      <w:spacing w:line="560" w:lineRule="exact"/>
      <w:outlineLvl w:val="0"/>
    </w:pPr>
    <w:rPr>
      <w:color w:val="000000"/>
      <w:sz w:val="28"/>
      <w:szCs w:val="28"/>
    </w:rPr>
  </w:style>
  <w:style w:type="paragraph" w:styleId="3">
    <w:name w:val="heading 2"/>
    <w:basedOn w:val="1"/>
    <w:next w:val="1"/>
    <w:autoRedefine/>
    <w:unhideWhenUsed/>
    <w:qFormat/>
    <w:locked/>
    <w:uiPriority w:val="0"/>
    <w:pPr>
      <w:keepNext/>
      <w:keepLines/>
      <w:spacing w:beforeLines="0" w:beforeAutospacing="0" w:afterLines="0" w:afterAutospacing="0" w:line="360" w:lineRule="auto"/>
      <w:ind w:firstLine="0" w:firstLineChars="0"/>
      <w:outlineLvl w:val="1"/>
    </w:pPr>
    <w:rPr>
      <w:rFonts w:ascii="Times New Roman" w:hAnsi="Times New Roman"/>
      <w:sz w:val="21"/>
      <w:szCs w:val="21"/>
    </w:rPr>
  </w:style>
  <w:style w:type="paragraph" w:styleId="4">
    <w:name w:val="heading 3"/>
    <w:basedOn w:val="1"/>
    <w:next w:val="1"/>
    <w:link w:val="53"/>
    <w:autoRedefine/>
    <w:qFormat/>
    <w:uiPriority w:val="99"/>
    <w:pPr>
      <w:keepNext/>
      <w:keepLines/>
      <w:spacing w:before="260" w:after="260" w:line="416" w:lineRule="auto"/>
      <w:outlineLvl w:val="2"/>
    </w:pPr>
    <w:rPr>
      <w:b/>
      <w:bCs/>
      <w:sz w:val="32"/>
      <w:szCs w:val="32"/>
    </w:rPr>
  </w:style>
  <w:style w:type="paragraph" w:styleId="5">
    <w:name w:val="heading 4"/>
    <w:basedOn w:val="1"/>
    <w:next w:val="1"/>
    <w:autoRedefine/>
    <w:unhideWhenUsed/>
    <w:qFormat/>
    <w:locked/>
    <w:uiPriority w:val="0"/>
    <w:pPr>
      <w:keepNext/>
      <w:keepLines/>
      <w:spacing w:line="440" w:lineRule="exact"/>
      <w:ind w:firstLine="200" w:firstLineChars="200"/>
      <w:outlineLvl w:val="3"/>
    </w:pPr>
    <w:rPr>
      <w:rFonts w:ascii="Calibri Light" w:hAnsi="Calibri Light"/>
      <w:bCs/>
      <w:kern w:val="2"/>
      <w:sz w:val="24"/>
      <w:szCs w:val="28"/>
      <w:lang w:val="en-US" w:eastAsia="zh-CN" w:bidi="ar-SA"/>
    </w:rPr>
  </w:style>
  <w:style w:type="character" w:default="1" w:styleId="32">
    <w:name w:val="Default Paragraph Font"/>
    <w:autoRedefine/>
    <w:semiHidden/>
    <w:qFormat/>
    <w:uiPriority w:val="99"/>
  </w:style>
  <w:style w:type="table" w:default="1" w:styleId="30">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6">
    <w:name w:val="Note Heading"/>
    <w:basedOn w:val="1"/>
    <w:next w:val="1"/>
    <w:autoRedefine/>
    <w:qFormat/>
    <w:locked/>
    <w:uiPriority w:val="0"/>
  </w:style>
  <w:style w:type="paragraph" w:styleId="7">
    <w:name w:val="List Number"/>
    <w:basedOn w:val="1"/>
    <w:autoRedefine/>
    <w:unhideWhenUsed/>
    <w:qFormat/>
    <w:locked/>
    <w:uiPriority w:val="99"/>
    <w:pPr>
      <w:numPr>
        <w:ilvl w:val="0"/>
        <w:numId w:val="1"/>
      </w:numPr>
    </w:pPr>
  </w:style>
  <w:style w:type="paragraph" w:styleId="8">
    <w:name w:val="Normal Indent"/>
    <w:basedOn w:val="1"/>
    <w:next w:val="9"/>
    <w:autoRedefine/>
    <w:qFormat/>
    <w:uiPriority w:val="99"/>
    <w:pPr>
      <w:ind w:firstLine="420" w:firstLineChars="200"/>
    </w:pPr>
  </w:style>
  <w:style w:type="paragraph" w:styleId="9">
    <w:name w:val="Body Text First Indent 2"/>
    <w:basedOn w:val="10"/>
    <w:next w:val="11"/>
    <w:link w:val="58"/>
    <w:autoRedefine/>
    <w:qFormat/>
    <w:uiPriority w:val="99"/>
    <w:pPr>
      <w:spacing w:after="120"/>
      <w:ind w:left="420" w:leftChars="200" w:firstLine="420" w:firstLineChars="200"/>
    </w:pPr>
    <w:rPr>
      <w:rFonts w:eastAsia="仿宋_GB2312"/>
      <w:color w:val="000000"/>
      <w:kern w:val="0"/>
      <w:sz w:val="28"/>
      <w:szCs w:val="28"/>
    </w:rPr>
  </w:style>
  <w:style w:type="paragraph" w:styleId="10">
    <w:name w:val="Body Text Indent"/>
    <w:basedOn w:val="1"/>
    <w:next w:val="9"/>
    <w:link w:val="56"/>
    <w:autoRedefine/>
    <w:qFormat/>
    <w:uiPriority w:val="99"/>
    <w:pPr>
      <w:spacing w:after="120"/>
      <w:ind w:left="420" w:leftChars="200"/>
    </w:pPr>
    <w:rPr>
      <w:kern w:val="0"/>
      <w:sz w:val="24"/>
      <w:szCs w:val="24"/>
    </w:rPr>
  </w:style>
  <w:style w:type="paragraph" w:styleId="11">
    <w:name w:val="Body Text First Indent"/>
    <w:basedOn w:val="12"/>
    <w:next w:val="1"/>
    <w:autoRedefine/>
    <w:qFormat/>
    <w:locked/>
    <w:uiPriority w:val="0"/>
    <w:pPr>
      <w:spacing w:before="120" w:after="240"/>
      <w:ind w:left="100" w:leftChars="100" w:firstLine="420" w:firstLineChars="100"/>
    </w:pPr>
  </w:style>
  <w:style w:type="paragraph" w:styleId="12">
    <w:name w:val="Body Text"/>
    <w:basedOn w:val="1"/>
    <w:link w:val="55"/>
    <w:autoRedefine/>
    <w:qFormat/>
    <w:uiPriority w:val="99"/>
    <w:pPr>
      <w:widowControl/>
      <w:snapToGrid w:val="0"/>
      <w:spacing w:before="60" w:after="160" w:line="259" w:lineRule="auto"/>
      <w:ind w:right="113"/>
    </w:pPr>
    <w:rPr>
      <w:kern w:val="0"/>
      <w:sz w:val="18"/>
      <w:szCs w:val="18"/>
    </w:rPr>
  </w:style>
  <w:style w:type="paragraph" w:styleId="13">
    <w:name w:val="Document Map"/>
    <w:basedOn w:val="1"/>
    <w:autoRedefine/>
    <w:qFormat/>
    <w:locked/>
    <w:uiPriority w:val="0"/>
    <w:pPr>
      <w:shd w:val="clear" w:color="auto" w:fill="000080"/>
    </w:pPr>
    <w:rPr>
      <w:szCs w:val="20"/>
    </w:rPr>
  </w:style>
  <w:style w:type="paragraph" w:styleId="14">
    <w:name w:val="annotation text"/>
    <w:basedOn w:val="1"/>
    <w:link w:val="64"/>
    <w:autoRedefine/>
    <w:semiHidden/>
    <w:qFormat/>
    <w:uiPriority w:val="99"/>
    <w:pPr>
      <w:jc w:val="left"/>
    </w:pPr>
  </w:style>
  <w:style w:type="paragraph" w:styleId="15">
    <w:name w:val="Salutation"/>
    <w:basedOn w:val="1"/>
    <w:next w:val="1"/>
    <w:link w:val="54"/>
    <w:autoRedefine/>
    <w:semiHidden/>
    <w:qFormat/>
    <w:uiPriority w:val="99"/>
    <w:pPr>
      <w:pBdr>
        <w:top w:val="single" w:color="auto" w:sz="4" w:space="1"/>
      </w:pBdr>
      <w:adjustRightInd w:val="0"/>
      <w:spacing w:line="360" w:lineRule="atLeast"/>
      <w:jc w:val="left"/>
      <w:textAlignment w:val="baseline"/>
    </w:pPr>
    <w:rPr>
      <w:kern w:val="0"/>
      <w:sz w:val="24"/>
      <w:szCs w:val="24"/>
    </w:rPr>
  </w:style>
  <w:style w:type="paragraph" w:styleId="16">
    <w:name w:val="toc 3"/>
    <w:basedOn w:val="1"/>
    <w:next w:val="1"/>
    <w:autoRedefine/>
    <w:semiHidden/>
    <w:qFormat/>
    <w:uiPriority w:val="99"/>
    <w:pPr>
      <w:ind w:left="840" w:leftChars="400"/>
    </w:pPr>
  </w:style>
  <w:style w:type="paragraph" w:styleId="17">
    <w:name w:val="Plain Text"/>
    <w:basedOn w:val="1"/>
    <w:next w:val="1"/>
    <w:link w:val="59"/>
    <w:autoRedefine/>
    <w:qFormat/>
    <w:uiPriority w:val="99"/>
    <w:rPr>
      <w:rFonts w:ascii="宋体" w:hAnsi="Courier New" w:cs="宋体"/>
    </w:rPr>
  </w:style>
  <w:style w:type="paragraph" w:styleId="18">
    <w:name w:val="Body Text Indent 2"/>
    <w:basedOn w:val="1"/>
    <w:next w:val="9"/>
    <w:link w:val="57"/>
    <w:autoRedefine/>
    <w:qFormat/>
    <w:uiPriority w:val="99"/>
    <w:pPr>
      <w:spacing w:line="620" w:lineRule="exact"/>
      <w:ind w:firstLine="570"/>
    </w:pPr>
  </w:style>
  <w:style w:type="paragraph" w:styleId="19">
    <w:name w:val="Balloon Text"/>
    <w:basedOn w:val="1"/>
    <w:link w:val="66"/>
    <w:autoRedefine/>
    <w:semiHidden/>
    <w:qFormat/>
    <w:uiPriority w:val="99"/>
    <w:rPr>
      <w:sz w:val="18"/>
      <w:szCs w:val="18"/>
    </w:rPr>
  </w:style>
  <w:style w:type="paragraph" w:styleId="20">
    <w:name w:val="footer"/>
    <w:basedOn w:val="1"/>
    <w:link w:val="60"/>
    <w:autoRedefine/>
    <w:qFormat/>
    <w:uiPriority w:val="99"/>
    <w:pPr>
      <w:tabs>
        <w:tab w:val="center" w:pos="4153"/>
        <w:tab w:val="right" w:pos="8306"/>
      </w:tabs>
      <w:snapToGrid w:val="0"/>
      <w:jc w:val="left"/>
    </w:pPr>
    <w:rPr>
      <w:kern w:val="0"/>
      <w:sz w:val="18"/>
      <w:szCs w:val="18"/>
    </w:rPr>
  </w:style>
  <w:style w:type="paragraph" w:styleId="21">
    <w:name w:val="header"/>
    <w:basedOn w:val="1"/>
    <w:next w:val="12"/>
    <w:link w:val="6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2">
    <w:name w:val="toc 1"/>
    <w:basedOn w:val="1"/>
    <w:next w:val="1"/>
    <w:autoRedefine/>
    <w:semiHidden/>
    <w:qFormat/>
    <w:uiPriority w:val="99"/>
  </w:style>
  <w:style w:type="paragraph" w:styleId="23">
    <w:name w:val="index heading"/>
    <w:basedOn w:val="1"/>
    <w:next w:val="24"/>
    <w:autoRedefine/>
    <w:semiHidden/>
    <w:qFormat/>
    <w:uiPriority w:val="99"/>
  </w:style>
  <w:style w:type="paragraph" w:styleId="24">
    <w:name w:val="index 1"/>
    <w:basedOn w:val="1"/>
    <w:next w:val="1"/>
    <w:autoRedefine/>
    <w:semiHidden/>
    <w:qFormat/>
    <w:uiPriority w:val="99"/>
    <w:pPr>
      <w:spacing w:line="440" w:lineRule="exact"/>
    </w:pPr>
    <w:rPr>
      <w:rFonts w:ascii="宋体" w:hAnsi="宋体" w:cs="宋体"/>
      <w:b/>
      <w:bCs/>
      <w:kern w:val="0"/>
      <w:sz w:val="24"/>
      <w:szCs w:val="24"/>
    </w:rPr>
  </w:style>
  <w:style w:type="paragraph" w:styleId="25">
    <w:name w:val="Body Text Indent 3"/>
    <w:basedOn w:val="1"/>
    <w:link w:val="62"/>
    <w:autoRedefine/>
    <w:qFormat/>
    <w:uiPriority w:val="99"/>
    <w:pPr>
      <w:spacing w:after="120"/>
      <w:ind w:left="420" w:leftChars="200"/>
    </w:pPr>
    <w:rPr>
      <w:sz w:val="16"/>
      <w:szCs w:val="16"/>
    </w:rPr>
  </w:style>
  <w:style w:type="paragraph" w:styleId="26">
    <w:name w:val="toc 9"/>
    <w:basedOn w:val="1"/>
    <w:next w:val="1"/>
    <w:autoRedefine/>
    <w:unhideWhenUsed/>
    <w:qFormat/>
    <w:locked/>
    <w:uiPriority w:val="39"/>
    <w:pPr>
      <w:wordWrap w:val="0"/>
      <w:ind w:left="2975"/>
      <w:jc w:val="both"/>
    </w:pPr>
    <w:rPr>
      <w:rFonts w:ascii="Times New Roman" w:hAnsi="Times New Roman" w:eastAsia="宋体" w:cs="Times New Roman"/>
      <w:sz w:val="21"/>
      <w:szCs w:val="22"/>
      <w:lang w:val="en-US" w:eastAsia="zh-CN" w:bidi="ar-SA"/>
    </w:rPr>
  </w:style>
  <w:style w:type="paragraph" w:styleId="27">
    <w:name w:val="Body Text 2"/>
    <w:basedOn w:val="1"/>
    <w:next w:val="1"/>
    <w:link w:val="63"/>
    <w:autoRedefine/>
    <w:qFormat/>
    <w:uiPriority w:val="99"/>
    <w:pPr>
      <w:spacing w:after="120" w:line="480" w:lineRule="auto"/>
    </w:pPr>
  </w:style>
  <w:style w:type="paragraph" w:styleId="2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29">
    <w:name w:val="annotation subject"/>
    <w:basedOn w:val="14"/>
    <w:next w:val="14"/>
    <w:link w:val="65"/>
    <w:autoRedefine/>
    <w:semiHidden/>
    <w:qFormat/>
    <w:uiPriority w:val="99"/>
    <w:rPr>
      <w:b/>
      <w:bCs/>
    </w:rPr>
  </w:style>
  <w:style w:type="table" w:styleId="31">
    <w:name w:val="Table Grid"/>
    <w:basedOn w:val="30"/>
    <w:autoRedefine/>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locked/>
    <w:uiPriority w:val="22"/>
    <w:rPr>
      <w:b/>
    </w:rPr>
  </w:style>
  <w:style w:type="character" w:styleId="34">
    <w:name w:val="page number"/>
    <w:basedOn w:val="32"/>
    <w:autoRedefine/>
    <w:qFormat/>
    <w:uiPriority w:val="99"/>
  </w:style>
  <w:style w:type="character" w:styleId="35">
    <w:name w:val="Emphasis"/>
    <w:basedOn w:val="32"/>
    <w:autoRedefine/>
    <w:qFormat/>
    <w:locked/>
    <w:uiPriority w:val="20"/>
    <w:rPr>
      <w:i/>
    </w:rPr>
  </w:style>
  <w:style w:type="character" w:styleId="36">
    <w:name w:val="Hyperlink"/>
    <w:basedOn w:val="32"/>
    <w:autoRedefine/>
    <w:qFormat/>
    <w:uiPriority w:val="99"/>
    <w:rPr>
      <w:color w:val="3366CC"/>
      <w:u w:val="single"/>
    </w:rPr>
  </w:style>
  <w:style w:type="character" w:styleId="37">
    <w:name w:val="annotation reference"/>
    <w:basedOn w:val="32"/>
    <w:autoRedefine/>
    <w:semiHidden/>
    <w:qFormat/>
    <w:uiPriority w:val="99"/>
    <w:rPr>
      <w:sz w:val="21"/>
      <w:szCs w:val="21"/>
    </w:rPr>
  </w:style>
  <w:style w:type="paragraph" w:customStyle="1" w:styleId="38">
    <w:name w:val="表格内容"/>
    <w:basedOn w:val="39"/>
    <w:autoRedefine/>
    <w:qFormat/>
    <w:uiPriority w:val="0"/>
    <w:pPr>
      <w:wordWrap w:val="0"/>
      <w:overflowPunct w:val="0"/>
      <w:adjustRightInd/>
      <w:spacing w:line="240" w:lineRule="auto"/>
      <w:ind w:firstLine="0" w:firstLineChars="0"/>
      <w:jc w:val="left"/>
      <w:textAlignment w:val="baseline"/>
    </w:pPr>
    <w:rPr>
      <w:rFonts w:ascii="Times New Roman" w:hAnsi="Times New Roman"/>
      <w:b w:val="0"/>
      <w:sz w:val="21"/>
    </w:rPr>
  </w:style>
  <w:style w:type="paragraph" w:customStyle="1" w:styleId="39">
    <w:name w:val="表格标题"/>
    <w:basedOn w:val="11"/>
    <w:autoRedefine/>
    <w:qFormat/>
    <w:uiPriority w:val="0"/>
    <w:pPr>
      <w:ind w:firstLine="0" w:firstLineChars="0"/>
      <w:jc w:val="center"/>
    </w:pPr>
    <w:rPr>
      <w:rFonts w:ascii="Times New Roman" w:hAnsi="Times New Roman" w:eastAsia="宋体"/>
      <w:b/>
      <w:sz w:val="24"/>
      <w:szCs w:val="21"/>
    </w:rPr>
  </w:style>
  <w:style w:type="paragraph" w:customStyle="1" w:styleId="40">
    <w:name w:val="表格正文"/>
    <w:basedOn w:val="8"/>
    <w:next w:val="1"/>
    <w:autoRedefine/>
    <w:qFormat/>
    <w:uiPriority w:val="0"/>
    <w:pPr>
      <w:widowControl/>
      <w:spacing w:line="240" w:lineRule="auto"/>
      <w:ind w:firstLine="0" w:firstLineChars="0"/>
      <w:jc w:val="center"/>
    </w:pPr>
    <w:rPr>
      <w:sz w:val="21"/>
    </w:rPr>
  </w:style>
  <w:style w:type="character" w:customStyle="1" w:styleId="41">
    <w:name w:val="标题 1 Char"/>
    <w:link w:val="2"/>
    <w:qFormat/>
    <w:uiPriority w:val="9"/>
    <w:rPr>
      <w:b/>
      <w:bCs/>
      <w:sz w:val="48"/>
      <w:szCs w:val="48"/>
    </w:rPr>
  </w:style>
  <w:style w:type="paragraph" w:customStyle="1" w:styleId="42">
    <w:name w:val="表格"/>
    <w:basedOn w:val="43"/>
    <w:next w:val="1"/>
    <w:autoRedefine/>
    <w:qFormat/>
    <w:uiPriority w:val="0"/>
    <w:pPr>
      <w:jc w:val="center"/>
    </w:pPr>
    <w:rPr>
      <w:sz w:val="24"/>
      <w:szCs w:val="24"/>
    </w:rPr>
  </w:style>
  <w:style w:type="paragraph" w:customStyle="1" w:styleId="43">
    <w:name w:val="表头"/>
    <w:basedOn w:val="44"/>
    <w:next w:val="1"/>
    <w:autoRedefine/>
    <w:qFormat/>
    <w:uiPriority w:val="99"/>
    <w:pPr>
      <w:spacing w:line="240" w:lineRule="auto"/>
      <w:ind w:firstLine="0" w:firstLineChars="0"/>
    </w:pPr>
    <w:rPr>
      <w:rFonts w:eastAsia="黑体"/>
      <w:kern w:val="0"/>
      <w:sz w:val="21"/>
      <w:szCs w:val="21"/>
    </w:rPr>
  </w:style>
  <w:style w:type="paragraph" w:customStyle="1" w:styleId="44">
    <w:name w:val="正文1"/>
    <w:basedOn w:val="1"/>
    <w:next w:val="45"/>
    <w:autoRedefine/>
    <w:qFormat/>
    <w:uiPriority w:val="0"/>
    <w:pPr>
      <w:adjustRightInd w:val="0"/>
      <w:snapToGrid w:val="0"/>
      <w:spacing w:line="500" w:lineRule="atLeast"/>
      <w:ind w:firstLine="567"/>
    </w:pPr>
    <w:rPr>
      <w:sz w:val="28"/>
    </w:rPr>
  </w:style>
  <w:style w:type="paragraph" w:customStyle="1" w:styleId="45">
    <w:name w:val="正文文本1"/>
    <w:basedOn w:val="44"/>
    <w:next w:val="44"/>
    <w:qFormat/>
    <w:uiPriority w:val="0"/>
    <w:pPr>
      <w:spacing w:before="120" w:beforeAutospacing="0" w:afterAutospacing="1" w:line="360" w:lineRule="auto"/>
      <w:ind w:right="300"/>
    </w:pPr>
    <w:rPr>
      <w:rFonts w:ascii="宋体" w:hAnsi="宋体" w:cs="Tahoma"/>
      <w:color w:val="333333"/>
      <w:sz w:val="30"/>
      <w:szCs w:val="28"/>
    </w:rPr>
  </w:style>
  <w:style w:type="paragraph" w:customStyle="1" w:styleId="46">
    <w:name w:val="表标题"/>
    <w:basedOn w:val="7"/>
    <w:next w:val="38"/>
    <w:autoRedefine/>
    <w:qFormat/>
    <w:uiPriority w:val="0"/>
    <w:pPr>
      <w:spacing w:line="240" w:lineRule="auto"/>
      <w:ind w:firstLine="0" w:firstLineChars="0"/>
      <w:jc w:val="center"/>
    </w:pPr>
    <w:rPr>
      <w:rFonts w:eastAsia="黑体"/>
    </w:rPr>
  </w:style>
  <w:style w:type="paragraph" w:customStyle="1" w:styleId="47">
    <w:name w:val="xl27"/>
    <w:basedOn w:val="1"/>
    <w:next w:val="1"/>
    <w:autoRedefine/>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48">
    <w:name w:val="A正文"/>
    <w:basedOn w:val="1"/>
    <w:autoRedefine/>
    <w:qFormat/>
    <w:uiPriority w:val="0"/>
    <w:pPr>
      <w:widowControl/>
      <w:overflowPunct w:val="0"/>
      <w:autoSpaceDE w:val="0"/>
      <w:autoSpaceDN w:val="0"/>
      <w:jc w:val="left"/>
      <w:textAlignment w:val="baseline"/>
    </w:pPr>
  </w:style>
  <w:style w:type="paragraph" w:customStyle="1" w:styleId="49">
    <w:name w:val="Default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T正文"/>
    <w:autoRedefine/>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51">
    <w:name w:val="0正文"/>
    <w:basedOn w:val="28"/>
    <w:autoRedefine/>
    <w:qFormat/>
    <w:uiPriority w:val="0"/>
    <w:pPr>
      <w:spacing w:before="0" w:beforeAutospacing="0" w:after="0" w:afterAutospacing="0"/>
      <w:ind w:firstLine="482"/>
      <w:jc w:val="both"/>
    </w:pPr>
    <w:rPr>
      <w:rFonts w:ascii="Times New Roman" w:hAnsi="Times New Roman"/>
      <w:kern w:val="2"/>
    </w:rPr>
  </w:style>
  <w:style w:type="character" w:customStyle="1" w:styleId="52">
    <w:name w:val="Heading 1 Char"/>
    <w:basedOn w:val="32"/>
    <w:link w:val="2"/>
    <w:autoRedefine/>
    <w:qFormat/>
    <w:locked/>
    <w:uiPriority w:val="99"/>
    <w:rPr>
      <w:b/>
      <w:bCs/>
      <w:kern w:val="44"/>
      <w:sz w:val="44"/>
      <w:szCs w:val="44"/>
    </w:rPr>
  </w:style>
  <w:style w:type="character" w:customStyle="1" w:styleId="53">
    <w:name w:val="Heading 3 Char"/>
    <w:basedOn w:val="32"/>
    <w:link w:val="4"/>
    <w:autoRedefine/>
    <w:semiHidden/>
    <w:qFormat/>
    <w:locked/>
    <w:uiPriority w:val="99"/>
    <w:rPr>
      <w:b/>
      <w:bCs/>
      <w:sz w:val="32"/>
      <w:szCs w:val="32"/>
    </w:rPr>
  </w:style>
  <w:style w:type="character" w:customStyle="1" w:styleId="54">
    <w:name w:val="Salutation Char"/>
    <w:basedOn w:val="32"/>
    <w:link w:val="15"/>
    <w:autoRedefine/>
    <w:semiHidden/>
    <w:qFormat/>
    <w:locked/>
    <w:uiPriority w:val="99"/>
    <w:rPr>
      <w:sz w:val="21"/>
      <w:szCs w:val="21"/>
    </w:rPr>
  </w:style>
  <w:style w:type="character" w:customStyle="1" w:styleId="55">
    <w:name w:val="Body Text Char"/>
    <w:basedOn w:val="32"/>
    <w:link w:val="12"/>
    <w:autoRedefine/>
    <w:semiHidden/>
    <w:qFormat/>
    <w:locked/>
    <w:uiPriority w:val="99"/>
    <w:rPr>
      <w:sz w:val="21"/>
      <w:szCs w:val="21"/>
    </w:rPr>
  </w:style>
  <w:style w:type="character" w:customStyle="1" w:styleId="56">
    <w:name w:val="Body Text Indent Char"/>
    <w:basedOn w:val="32"/>
    <w:link w:val="10"/>
    <w:autoRedefine/>
    <w:semiHidden/>
    <w:qFormat/>
    <w:locked/>
    <w:uiPriority w:val="99"/>
    <w:rPr>
      <w:sz w:val="21"/>
      <w:szCs w:val="21"/>
    </w:rPr>
  </w:style>
  <w:style w:type="character" w:customStyle="1" w:styleId="57">
    <w:name w:val="Body Text Indent 2 Char"/>
    <w:basedOn w:val="32"/>
    <w:link w:val="18"/>
    <w:autoRedefine/>
    <w:semiHidden/>
    <w:qFormat/>
    <w:locked/>
    <w:uiPriority w:val="99"/>
    <w:rPr>
      <w:sz w:val="21"/>
      <w:szCs w:val="21"/>
    </w:rPr>
  </w:style>
  <w:style w:type="character" w:customStyle="1" w:styleId="58">
    <w:name w:val="Body Text First Indent 2 Char"/>
    <w:basedOn w:val="56"/>
    <w:link w:val="9"/>
    <w:autoRedefine/>
    <w:semiHidden/>
    <w:qFormat/>
    <w:locked/>
    <w:uiPriority w:val="99"/>
  </w:style>
  <w:style w:type="character" w:customStyle="1" w:styleId="59">
    <w:name w:val="Plain Text Char"/>
    <w:basedOn w:val="32"/>
    <w:link w:val="17"/>
    <w:autoRedefine/>
    <w:semiHidden/>
    <w:qFormat/>
    <w:locked/>
    <w:uiPriority w:val="99"/>
    <w:rPr>
      <w:rFonts w:ascii="宋体" w:hAnsi="Courier New" w:cs="宋体"/>
      <w:sz w:val="21"/>
      <w:szCs w:val="21"/>
    </w:rPr>
  </w:style>
  <w:style w:type="character" w:customStyle="1" w:styleId="60">
    <w:name w:val="Footer Char"/>
    <w:basedOn w:val="32"/>
    <w:link w:val="20"/>
    <w:autoRedefine/>
    <w:semiHidden/>
    <w:qFormat/>
    <w:locked/>
    <w:uiPriority w:val="99"/>
    <w:rPr>
      <w:sz w:val="18"/>
      <w:szCs w:val="18"/>
    </w:rPr>
  </w:style>
  <w:style w:type="character" w:customStyle="1" w:styleId="61">
    <w:name w:val="Header Char"/>
    <w:basedOn w:val="32"/>
    <w:link w:val="21"/>
    <w:autoRedefine/>
    <w:semiHidden/>
    <w:qFormat/>
    <w:locked/>
    <w:uiPriority w:val="99"/>
    <w:rPr>
      <w:sz w:val="18"/>
      <w:szCs w:val="18"/>
    </w:rPr>
  </w:style>
  <w:style w:type="character" w:customStyle="1" w:styleId="62">
    <w:name w:val="Body Text Indent 3 Char"/>
    <w:basedOn w:val="32"/>
    <w:link w:val="25"/>
    <w:autoRedefine/>
    <w:semiHidden/>
    <w:qFormat/>
    <w:locked/>
    <w:uiPriority w:val="99"/>
    <w:rPr>
      <w:sz w:val="16"/>
      <w:szCs w:val="16"/>
    </w:rPr>
  </w:style>
  <w:style w:type="character" w:customStyle="1" w:styleId="63">
    <w:name w:val="Body Text 2 Char"/>
    <w:basedOn w:val="32"/>
    <w:link w:val="27"/>
    <w:autoRedefine/>
    <w:semiHidden/>
    <w:qFormat/>
    <w:locked/>
    <w:uiPriority w:val="99"/>
    <w:rPr>
      <w:sz w:val="21"/>
      <w:szCs w:val="21"/>
    </w:rPr>
  </w:style>
  <w:style w:type="character" w:customStyle="1" w:styleId="64">
    <w:name w:val="Comment Text Char"/>
    <w:basedOn w:val="32"/>
    <w:link w:val="14"/>
    <w:autoRedefine/>
    <w:semiHidden/>
    <w:qFormat/>
    <w:locked/>
    <w:uiPriority w:val="99"/>
    <w:rPr>
      <w:sz w:val="21"/>
      <w:szCs w:val="21"/>
    </w:rPr>
  </w:style>
  <w:style w:type="character" w:customStyle="1" w:styleId="65">
    <w:name w:val="Comment Subject Char"/>
    <w:basedOn w:val="64"/>
    <w:link w:val="29"/>
    <w:autoRedefine/>
    <w:semiHidden/>
    <w:qFormat/>
    <w:locked/>
    <w:uiPriority w:val="99"/>
    <w:rPr>
      <w:b/>
      <w:bCs/>
    </w:rPr>
  </w:style>
  <w:style w:type="character" w:customStyle="1" w:styleId="66">
    <w:name w:val="Balloon Text Char"/>
    <w:basedOn w:val="32"/>
    <w:link w:val="19"/>
    <w:autoRedefine/>
    <w:semiHidden/>
    <w:qFormat/>
    <w:locked/>
    <w:uiPriority w:val="99"/>
    <w:rPr>
      <w:sz w:val="2"/>
      <w:szCs w:val="2"/>
    </w:rPr>
  </w:style>
  <w:style w:type="paragraph" w:customStyle="1" w:styleId="67">
    <w:name w:val="正文（用）"/>
    <w:basedOn w:val="1"/>
    <w:autoRedefine/>
    <w:qFormat/>
    <w:uiPriority w:val="0"/>
    <w:pPr>
      <w:spacing w:line="360" w:lineRule="auto"/>
      <w:ind w:firstLine="480" w:firstLineChars="200"/>
      <w:jc w:val="left"/>
    </w:pPr>
    <w:rPr>
      <w:rFonts w:ascii="宋体" w:hAnsi="宋体" w:cs="宋体"/>
      <w:sz w:val="24"/>
    </w:rPr>
  </w:style>
  <w:style w:type="paragraph" w:customStyle="1" w:styleId="68">
    <w:name w:val="Table Paragraph"/>
    <w:basedOn w:val="1"/>
    <w:autoRedefine/>
    <w:qFormat/>
    <w:uiPriority w:val="1"/>
    <w:pPr>
      <w:jc w:val="center"/>
    </w:pPr>
    <w:rPr>
      <w:rFonts w:ascii="宋体" w:hAnsi="宋体" w:eastAsia="宋体" w:cs="宋体"/>
    </w:rPr>
  </w:style>
  <w:style w:type="paragraph" w:customStyle="1" w:styleId="69">
    <w:name w:val="Default"/>
    <w:basedOn w:val="70"/>
    <w:next w:val="71"/>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70">
    <w:name w:val="批注文字1"/>
    <w:autoRedefine/>
    <w:qFormat/>
    <w:uiPriority w:val="0"/>
    <w:pPr>
      <w:widowControl w:val="0"/>
    </w:pPr>
    <w:rPr>
      <w:rFonts w:ascii="Calibri" w:hAnsi="Calibri" w:eastAsia="宋体" w:cs="Times New Roman"/>
      <w:color w:val="000000"/>
      <w:kern w:val="2"/>
      <w:sz w:val="21"/>
      <w:szCs w:val="24"/>
      <w:lang w:val="en-US" w:eastAsia="zh-CN" w:bidi="ar-SA"/>
    </w:rPr>
  </w:style>
  <w:style w:type="paragraph" w:customStyle="1" w:styleId="71">
    <w:name w:val="1正文段落"/>
    <w:basedOn w:val="1"/>
    <w:autoRedefine/>
    <w:qFormat/>
    <w:uiPriority w:val="0"/>
    <w:pPr>
      <w:spacing w:line="360" w:lineRule="auto"/>
      <w:ind w:firstLine="480" w:firstLineChars="200"/>
      <w:jc w:val="left"/>
    </w:pPr>
    <w:rPr>
      <w:snapToGrid w:val="0"/>
      <w:kern w:val="0"/>
      <w:sz w:val="24"/>
    </w:rPr>
  </w:style>
  <w:style w:type="paragraph" w:customStyle="1" w:styleId="72">
    <w:name w:val="谏壁正文chen"/>
    <w:basedOn w:val="1"/>
    <w:autoRedefine/>
    <w:qFormat/>
    <w:uiPriority w:val="0"/>
    <w:pPr>
      <w:spacing w:line="360" w:lineRule="auto"/>
    </w:pPr>
  </w:style>
  <w:style w:type="character" w:customStyle="1" w:styleId="73">
    <w:name w:val="font11"/>
    <w:basedOn w:val="32"/>
    <w:autoRedefine/>
    <w:qFormat/>
    <w:uiPriority w:val="0"/>
    <w:rPr>
      <w:rFonts w:hint="default" w:ascii="Times New Roman" w:hAnsi="Times New Roman" w:cs="Times New Roman"/>
      <w:color w:val="000000"/>
      <w:sz w:val="21"/>
      <w:szCs w:val="21"/>
      <w:u w:val="none"/>
    </w:rPr>
  </w:style>
  <w:style w:type="character" w:customStyle="1" w:styleId="74">
    <w:name w:val="font51"/>
    <w:basedOn w:val="32"/>
    <w:autoRedefine/>
    <w:qFormat/>
    <w:uiPriority w:val="0"/>
    <w:rPr>
      <w:rFonts w:hint="eastAsia" w:ascii="宋体" w:hAnsi="宋体" w:eastAsia="宋体" w:cs="宋体"/>
      <w:color w:val="000000"/>
      <w:sz w:val="21"/>
      <w:szCs w:val="21"/>
      <w:u w:val="none"/>
      <w:vertAlign w:val="superscript"/>
    </w:rPr>
  </w:style>
  <w:style w:type="character" w:customStyle="1" w:styleId="75">
    <w:name w:val="font01"/>
    <w:basedOn w:val="32"/>
    <w:autoRedefine/>
    <w:qFormat/>
    <w:uiPriority w:val="0"/>
    <w:rPr>
      <w:rFonts w:hint="default" w:ascii="Times New Roman" w:hAnsi="Times New Roman" w:cs="Times New Roman"/>
      <w:color w:val="000000"/>
      <w:sz w:val="21"/>
      <w:szCs w:val="21"/>
      <w:u w:val="none"/>
    </w:rPr>
  </w:style>
  <w:style w:type="character" w:customStyle="1" w:styleId="76">
    <w:name w:val="font41"/>
    <w:basedOn w:val="32"/>
    <w:autoRedefine/>
    <w:qFormat/>
    <w:uiPriority w:val="0"/>
    <w:rPr>
      <w:rFonts w:hint="eastAsia" w:ascii="宋体" w:hAnsi="宋体" w:eastAsia="宋体" w:cs="宋体"/>
      <w:color w:val="000000"/>
      <w:sz w:val="21"/>
      <w:szCs w:val="21"/>
      <w:u w:val="none"/>
      <w:vertAlign w:val="superscript"/>
    </w:rPr>
  </w:style>
  <w:style w:type="paragraph" w:customStyle="1" w:styleId="77">
    <w:name w:val="表格内部"/>
    <w:basedOn w:val="1"/>
    <w:autoRedefine/>
    <w:qFormat/>
    <w:uiPriority w:val="0"/>
    <w:pPr>
      <w:spacing w:line="240" w:lineRule="auto"/>
      <w:ind w:firstLine="0" w:firstLineChars="0"/>
      <w:jc w:val="left"/>
    </w:pPr>
    <w:rPr>
      <w:kern w:val="24"/>
      <w:sz w:val="21"/>
      <w:szCs w:val="18"/>
    </w:rPr>
  </w:style>
  <w:style w:type="character" w:customStyle="1" w:styleId="78">
    <w:name w:val="NormalCharacter"/>
    <w:autoRedefine/>
    <w:qFormat/>
    <w:uiPriority w:val="0"/>
    <w:rPr>
      <w:kern w:val="2"/>
      <w:sz w:val="21"/>
      <w:szCs w:val="24"/>
      <w:lang w:val="en-US" w:eastAsia="zh-CN" w:bidi="ar-SA"/>
    </w:rPr>
  </w:style>
  <w:style w:type="paragraph" w:customStyle="1" w:styleId="79">
    <w:name w:val="表格内容--赵"/>
    <w:basedOn w:val="1"/>
    <w:autoRedefine/>
    <w:qFormat/>
    <w:uiPriority w:val="0"/>
    <w:pPr>
      <w:spacing w:line="240" w:lineRule="auto"/>
      <w:ind w:firstLine="0" w:firstLineChars="0"/>
      <w:jc w:val="center"/>
    </w:pPr>
    <w:rPr>
      <w:kern w:val="0"/>
      <w:sz w:val="21"/>
      <w:szCs w:val="21"/>
    </w:rPr>
  </w:style>
  <w:style w:type="paragraph" w:customStyle="1" w:styleId="80">
    <w:name w:val="正文思密达"/>
    <w:basedOn w:val="1"/>
    <w:autoRedefine/>
    <w:qFormat/>
    <w:uiPriority w:val="0"/>
    <w:pPr>
      <w:spacing w:line="360" w:lineRule="auto"/>
      <w:ind w:right="105" w:rightChars="50" w:firstLine="480" w:firstLineChars="200"/>
    </w:pPr>
    <w:rPr>
      <w:rFonts w:ascii="Calibri" w:hAnsi="Calibri" w:eastAsia="宋体" w:cs="Times New Roman"/>
      <w:sz w:val="24"/>
      <w:szCs w:val="24"/>
    </w:rPr>
  </w:style>
  <w:style w:type="paragraph" w:customStyle="1" w:styleId="81">
    <w:name w:val="p0"/>
    <w:basedOn w:val="1"/>
    <w:autoRedefine/>
    <w:qFormat/>
    <w:uiPriority w:val="0"/>
    <w:pPr>
      <w:widowControl/>
    </w:pPr>
    <w:rPr>
      <w:rFonts w:ascii="Calibri" w:hAnsi="Calibri" w:cs="宋体"/>
      <w:kern w:val="0"/>
      <w:szCs w:val="21"/>
    </w:rPr>
  </w:style>
  <w:style w:type="paragraph" w:customStyle="1" w:styleId="82">
    <w:name w:val="表格内标题"/>
    <w:basedOn w:val="8"/>
    <w:next w:val="1"/>
    <w:autoRedefine/>
    <w:qFormat/>
    <w:uiPriority w:val="0"/>
    <w:pPr>
      <w:widowControl/>
      <w:spacing w:line="240" w:lineRule="auto"/>
      <w:ind w:firstLine="0" w:firstLineChars="0"/>
      <w:jc w:val="center"/>
    </w:pPr>
    <w:rPr>
      <w:b/>
      <w:sz w:val="21"/>
      <w:szCs w:val="21"/>
    </w:rPr>
  </w:style>
  <w:style w:type="paragraph" w:customStyle="1" w:styleId="83">
    <w:name w:val="表格内文字"/>
    <w:basedOn w:val="1"/>
    <w:autoRedefine/>
    <w:qFormat/>
    <w:uiPriority w:val="0"/>
    <w:pPr>
      <w:kinsoku w:val="0"/>
      <w:wordWrap w:val="0"/>
      <w:overflowPunct w:val="0"/>
      <w:jc w:val="center"/>
    </w:pPr>
    <w:rPr>
      <w:rFonts w:ascii="Calibri" w:hAnsi="Calibri" w:cs="宋体"/>
      <w:snapToGrid w:val="0"/>
      <w:kern w:val="0"/>
    </w:rPr>
  </w:style>
  <w:style w:type="paragraph" w:customStyle="1" w:styleId="84">
    <w:name w:val="样式5"/>
    <w:basedOn w:val="1"/>
    <w:autoRedefine/>
    <w:qFormat/>
    <w:uiPriority w:val="0"/>
    <w:pPr>
      <w:topLinePunct/>
      <w:adjustRightInd w:val="0"/>
      <w:snapToGrid w:val="0"/>
      <w:spacing w:line="460" w:lineRule="exact"/>
      <w:ind w:firstLine="200" w:firstLineChars="200"/>
      <w:jc w:val="left"/>
      <w:textAlignment w:val="top"/>
    </w:pPr>
    <w:rPr>
      <w:rFonts w:ascii="Times New Roman" w:hAnsi="Times New Roman" w:eastAsia="Times New Roman" w:cs="Times New Roman"/>
      <w:snapToGrid w:val="0"/>
      <w:kern w:val="0"/>
      <w:sz w:val="26"/>
      <w:szCs w:val="24"/>
    </w:rPr>
  </w:style>
  <w:style w:type="paragraph" w:customStyle="1" w:styleId="85">
    <w:name w:val="我的正文"/>
    <w:basedOn w:val="1"/>
    <w:next w:val="13"/>
    <w:autoRedefine/>
    <w:qFormat/>
    <w:uiPriority w:val="0"/>
    <w:pPr>
      <w:spacing w:line="360" w:lineRule="auto"/>
      <w:ind w:firstLine="420" w:firstLineChars="200"/>
    </w:pPr>
    <w:rPr>
      <w:rFonts w:ascii="Times New Roman" w:hAnsi="Times New Roman"/>
      <w:sz w:val="24"/>
    </w:rPr>
  </w:style>
  <w:style w:type="paragraph" w:customStyle="1" w:styleId="86">
    <w:name w:val="胡正文"/>
    <w:basedOn w:val="1"/>
    <w:autoRedefine/>
    <w:qFormat/>
    <w:uiPriority w:val="0"/>
    <w:pPr>
      <w:spacing w:line="360" w:lineRule="auto"/>
      <w:ind w:firstLine="200" w:firstLineChars="200"/>
      <w:jc w:val="left"/>
    </w:pPr>
    <w:rPr>
      <w:rFonts w:ascii="宋体" w:hAnsi="宋体"/>
      <w:sz w:val="24"/>
      <w:szCs w:val="28"/>
    </w:rPr>
  </w:style>
  <w:style w:type="paragraph" w:customStyle="1" w:styleId="87">
    <w:name w:val="表格头"/>
    <w:autoRedefine/>
    <w:qFormat/>
    <w:uiPriority w:val="0"/>
    <w:pPr>
      <w:widowControl w:val="0"/>
      <w:tabs>
        <w:tab w:val="left" w:pos="0"/>
      </w:tabs>
      <w:spacing w:line="360" w:lineRule="auto"/>
      <w:jc w:val="center"/>
    </w:pPr>
    <w:rPr>
      <w:rFonts w:ascii="Calibri" w:hAnsi="Calibri" w:eastAsia="宋体" w:cs="Times New Roman"/>
      <w:b/>
      <w:bCs/>
      <w:kern w:val="2"/>
      <w:sz w:val="24"/>
      <w:szCs w:val="24"/>
      <w:lang w:val="en-US" w:eastAsia="zh-CN" w:bidi="ar-SA"/>
    </w:rPr>
  </w:style>
  <w:style w:type="character" w:customStyle="1" w:styleId="88">
    <w:name w:val="font21"/>
    <w:basedOn w:val="32"/>
    <w:autoRedefine/>
    <w:qFormat/>
    <w:uiPriority w:val="0"/>
    <w:rPr>
      <w:rFonts w:hint="default" w:ascii="Times New Roman" w:hAnsi="Times New Roman" w:cs="Times New Roman"/>
      <w:color w:val="FF0000"/>
      <w:sz w:val="22"/>
      <w:szCs w:val="22"/>
      <w:u w:val="none"/>
    </w:rPr>
  </w:style>
  <w:style w:type="character" w:customStyle="1" w:styleId="89">
    <w:name w:val="font31"/>
    <w:basedOn w:val="32"/>
    <w:autoRedefine/>
    <w:qFormat/>
    <w:uiPriority w:val="0"/>
    <w:rPr>
      <w:rFonts w:hint="eastAsia" w:ascii="宋体" w:hAnsi="宋体" w:eastAsia="宋体" w:cs="宋体"/>
      <w:color w:val="000000"/>
      <w:sz w:val="22"/>
      <w:szCs w:val="22"/>
      <w:u w:val="none"/>
    </w:rPr>
  </w:style>
  <w:style w:type="paragraph" w:customStyle="1" w:styleId="90">
    <w:name w:val="样式小4"/>
    <w:basedOn w:val="1"/>
    <w:qFormat/>
    <w:uiPriority w:val="0"/>
    <w:pPr>
      <w:spacing w:afterLines="0" w:line="360" w:lineRule="auto"/>
      <w:ind w:firstLine="480" w:firstLineChars="200"/>
    </w:pPr>
    <w:rPr>
      <w:rFonts w:hint="default" w:ascii="Times New Roman" w:hAnsi="Times New Roman" w:eastAsia="宋体" w:cs="Times New Roman"/>
      <w:sz w:val="24"/>
    </w:rPr>
  </w:style>
  <w:style w:type="paragraph" w:customStyle="1" w:styleId="91">
    <w:name w:val="表格填充1"/>
    <w:basedOn w:val="17"/>
    <w:qFormat/>
    <w:uiPriority w:val="0"/>
    <w:pPr>
      <w:snapToGrid w:val="0"/>
    </w:pPr>
    <w:rPr>
      <w:rFonts w:ascii="Times New Roman" w:hAnsi="Times New Roman" w:eastAsia="仿宋_GB2312" w:cs="Times New Roman"/>
      <w:snapToGrid w:val="0"/>
      <w:sz w:val="28"/>
      <w:szCs w:val="20"/>
    </w:rPr>
  </w:style>
  <w:style w:type="paragraph" w:customStyle="1" w:styleId="92">
    <w:name w:val="Table Text"/>
    <w:basedOn w:val="1"/>
    <w:semiHidden/>
    <w:qFormat/>
    <w:uiPriority w:val="0"/>
    <w:rPr>
      <w:rFonts w:ascii="宋体" w:hAnsi="宋体" w:eastAsia="宋体" w:cs="宋体"/>
      <w:sz w:val="24"/>
      <w:szCs w:val="24"/>
      <w:lang w:val="en-US" w:eastAsia="en-US" w:bidi="ar-SA"/>
    </w:rPr>
  </w:style>
  <w:style w:type="paragraph" w:customStyle="1" w:styleId="93">
    <w:name w:val="样式 首行缩进:  2 字符"/>
    <w:basedOn w:val="1"/>
    <w:qFormat/>
    <w:uiPriority w:val="0"/>
    <w:rPr>
      <w:rFonts w:cs="宋体"/>
      <w:sz w:val="24"/>
    </w:rPr>
  </w:style>
  <w:style w:type="paragraph" w:customStyle="1" w:styleId="94">
    <w:name w:val="报告书正文段落"/>
    <w:basedOn w:val="1"/>
    <w:qFormat/>
    <w:uiPriority w:val="0"/>
    <w:pPr>
      <w:spacing w:line="520" w:lineRule="exact"/>
      <w:ind w:firstLine="200" w:firstLineChars="200"/>
      <w:jc w:val="left"/>
    </w:pPr>
    <w:rPr>
      <w:rFonts w:ascii="Times New Roman" w:hAnsi="Times New Roman"/>
      <w:kern w:val="0"/>
      <w:sz w:val="24"/>
      <w:szCs w:val="20"/>
      <w:lang w:val="zh-CN"/>
    </w:rPr>
  </w:style>
  <w:style w:type="character" w:customStyle="1" w:styleId="95">
    <w:name w:val="font91"/>
    <w:basedOn w:val="32"/>
    <w:qFormat/>
    <w:uiPriority w:val="0"/>
    <w:rPr>
      <w:rFonts w:hint="default" w:ascii="Times New Roman" w:hAnsi="Times New Roman" w:cs="Times New Roman"/>
      <w:b/>
      <w:bCs/>
      <w:color w:val="000000"/>
      <w:sz w:val="21"/>
      <w:szCs w:val="21"/>
      <w:u w:val="none"/>
    </w:rPr>
  </w:style>
  <w:style w:type="paragraph" w:customStyle="1" w:styleId="96">
    <w:name w:val="_Style 16"/>
    <w:basedOn w:val="1"/>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92</Pages>
  <Words>14505</Words>
  <Characters>15688</Characters>
  <Lines>0</Lines>
  <Paragraphs>0</Paragraphs>
  <TotalTime>2</TotalTime>
  <ScaleCrop>false</ScaleCrop>
  <LinksUpToDate>false</LinksUpToDate>
  <CharactersWithSpaces>15717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2021-04-01T03:29:00Z</dcterms:created>
  <dc:creator>PVer</dc:creator>
  <cp:lastModifiedBy>一枚可爱的贝壳</cp:lastModifiedBy>
  <cp:lastPrinted>2023-10-26T09:33:00Z</cp:lastPrinted>
  <dcterms:modified xsi:type="dcterms:W3CDTF">2025-10-10T02:19:16Z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132417EC6F2A498E9385A33155633BB4_13</vt:lpwstr>
  </property>
  <property fmtid="{D5CDD505-2E9C-101B-9397-08002B2CF9AE}" pid="4" name="commondata">
    <vt:lpwstr>eyJoZGlkIjoiZjYyYjM2ZGY5MmRmY2NiMGQzNjlmMmVlNGQyNDBjY2YifQ==</vt:lpwstr>
  </property>
  <property fmtid="{D5CDD505-2E9C-101B-9397-08002B2CF9AE}" pid="5" name="KSOTemplateDocerSaveRecord">
    <vt:lpwstr>eyJoZGlkIjoiYWNiZWM2ODM5NmRmZTBhNTBmYTM0ZjhjZTE0MjliMmIiLCJ1c2VySWQiOiIzMzk5NzE4ODIifQ==</vt:lpwstr>
  </property>
</Properties>
</file>