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8"/>
        <w:tblW w:w="7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5"/>
        <w:gridCol w:w="1186"/>
        <w:gridCol w:w="1118"/>
        <w:gridCol w:w="1105"/>
        <w:gridCol w:w="1240"/>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94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bookmarkStart w:id="0" w:name="_GoBack"/>
            <w:bookmarkEnd w:id="0"/>
            <w:r>
              <w:rPr>
                <w:rFonts w:hint="default" w:ascii="宋体" w:hAnsi="宋体" w:eastAsia="宋体" w:cs="宋体"/>
                <w:b/>
                <w:bCs/>
                <w:snapToGrid w:val="0"/>
                <w:color w:val="000000"/>
                <w:spacing w:val="2"/>
                <w:kern w:val="0"/>
                <w:sz w:val="36"/>
                <w:szCs w:val="36"/>
                <w:lang w:val="en-US" w:eastAsia="zh-CN"/>
              </w:rPr>
              <w:t>烈山区2024年全区一般公共预算收入决算表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190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kinsoku w:val="0"/>
              <w:autoSpaceDE w:val="0"/>
              <w:autoSpaceDN w:val="0"/>
              <w:adjustRightInd w:val="0"/>
              <w:snapToGrid w:val="0"/>
              <w:spacing w:before="225" w:line="219" w:lineRule="auto"/>
              <w:jc w:val="left"/>
              <w:textAlignment w:val="baseline"/>
              <w:rPr>
                <w:rFonts w:ascii="黑体" w:hAnsi="黑体" w:eastAsia="黑体" w:cs="黑体"/>
                <w:snapToGrid w:val="0"/>
                <w:color w:val="000000"/>
                <w:spacing w:val="-4"/>
                <w:kern w:val="0"/>
                <w:sz w:val="22"/>
                <w:szCs w:val="22"/>
                <w:lang w:eastAsia="en-US"/>
              </w:rPr>
            </w:pPr>
            <w:r>
              <w:rPr>
                <w:rFonts w:hint="eastAsia" w:ascii="黑体" w:hAnsi="黑体" w:eastAsia="黑体" w:cs="黑体"/>
                <w:snapToGrid w:val="0"/>
                <w:color w:val="000000"/>
                <w:spacing w:val="-4"/>
                <w:kern w:val="0"/>
                <w:sz w:val="22"/>
                <w:szCs w:val="22"/>
                <w:lang w:val="en-US" w:eastAsia="zh-CN"/>
              </w:rPr>
              <w:t>收  入  项  目</w:t>
            </w:r>
          </w:p>
        </w:tc>
        <w:tc>
          <w:tcPr>
            <w:tcW w:w="11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预算数</w:t>
            </w:r>
          </w:p>
        </w:tc>
        <w:tc>
          <w:tcPr>
            <w:tcW w:w="11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调整预算数</w:t>
            </w:r>
          </w:p>
        </w:tc>
        <w:tc>
          <w:tcPr>
            <w:tcW w:w="11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决算数</w:t>
            </w:r>
          </w:p>
        </w:tc>
        <w:tc>
          <w:tcPr>
            <w:tcW w:w="12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为预算的%</w:t>
            </w:r>
          </w:p>
        </w:tc>
        <w:tc>
          <w:tcPr>
            <w:tcW w:w="13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黑体" w:eastAsia="黑体" w:cs="黑体"/>
                <w:snapToGrid w:val="0"/>
                <w:color w:val="000000"/>
                <w:spacing w:val="-2"/>
                <w:kern w:val="0"/>
                <w:sz w:val="22"/>
                <w:szCs w:val="22"/>
                <w:lang w:val="en-US" w:eastAsia="zh-CN"/>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黑体" w:eastAsia="黑体" w:cs="黑体"/>
                <w:snapToGrid w:val="0"/>
                <w:color w:val="000000"/>
                <w:spacing w:val="6"/>
                <w:kern w:val="0"/>
                <w:sz w:val="19"/>
                <w:szCs w:val="19"/>
                <w:lang w:val="en-US" w:eastAsia="zh-CN"/>
              </w:rPr>
              <w:t>一、税收收入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29080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24438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97.8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增值税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12124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101.0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企业所得税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个人所得税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资源税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2779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城市维护建设税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房产税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1527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101.8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印花税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95.9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城镇土地使用税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3039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101.3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土地增值税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93.1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车船税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耕地占用税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契税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烟叶税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环境保护税</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88.6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en-US" w:bidi="ar-SA"/>
              </w:rPr>
            </w:pPr>
            <w:r>
              <w:rPr>
                <w:rFonts w:hint="eastAsia" w:ascii="宋体" w:hAnsi="宋体" w:eastAsia="宋体" w:cs="宋体"/>
                <w:snapToGrid w:val="0"/>
                <w:color w:val="000000"/>
                <w:spacing w:val="6"/>
                <w:kern w:val="0"/>
                <w:sz w:val="19"/>
                <w:szCs w:val="19"/>
                <w:lang w:val="en-US" w:eastAsia="zh-CN" w:bidi="ar-SA"/>
              </w:rPr>
              <w:t xml:space="preserve">    其他税收收入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黑体" w:eastAsia="黑体" w:cs="黑体"/>
                <w:snapToGrid w:val="0"/>
                <w:color w:val="000000"/>
                <w:spacing w:val="6"/>
                <w:kern w:val="0"/>
                <w:sz w:val="19"/>
                <w:szCs w:val="19"/>
                <w:lang w:val="en-US" w:eastAsia="zh-CN"/>
              </w:rPr>
              <w:t>二、非税收入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24920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27790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102.9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专项收入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95.8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行政事业性收费收入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罚没收入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176.3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国有资本经营收入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国</w:t>
            </w:r>
            <w:r>
              <w:rPr>
                <w:rFonts w:hint="eastAsia" w:ascii="黑体" w:hAnsi="黑体" w:eastAsia="黑体" w:cs="黑体"/>
                <w:snapToGrid w:val="0"/>
                <w:color w:val="000000"/>
                <w:spacing w:val="-2"/>
                <w:kern w:val="0"/>
                <w:sz w:val="22"/>
                <w:szCs w:val="22"/>
                <w:lang w:val="en-US" w:eastAsia="zh-CN"/>
              </w:rPr>
              <w:t>有资</w:t>
            </w:r>
            <w:r>
              <w:rPr>
                <w:rFonts w:hint="eastAsia" w:ascii="宋体" w:hAnsi="宋体" w:eastAsia="宋体" w:cs="宋体"/>
                <w:snapToGrid w:val="0"/>
                <w:color w:val="000000"/>
                <w:spacing w:val="6"/>
                <w:kern w:val="0"/>
                <w:sz w:val="19"/>
                <w:szCs w:val="19"/>
                <w:lang w:val="en-US" w:eastAsia="zh-CN" w:bidi="ar-SA"/>
              </w:rPr>
              <w:t>源(资产)有偿使用收入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23389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96.6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其他收入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247.5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snapToGrid w:val="0"/>
                <w:color w:val="000000"/>
                <w:spacing w:val="6"/>
                <w:kern w:val="0"/>
                <w:sz w:val="19"/>
                <w:szCs w:val="19"/>
                <w:lang w:val="en-US" w:eastAsia="zh-CN" w:bidi="ar-SA"/>
              </w:rPr>
            </w:pPr>
            <w:r>
              <w:rPr>
                <w:rFonts w:hint="eastAsia" w:ascii="宋体" w:hAnsi="宋体" w:eastAsia="宋体" w:cs="宋体"/>
                <w:b/>
                <w:bCs/>
                <w:snapToGrid w:val="0"/>
                <w:color w:val="000000"/>
                <w:spacing w:val="6"/>
                <w:kern w:val="0"/>
                <w:sz w:val="19"/>
                <w:szCs w:val="19"/>
                <w:lang w:val="en-US" w:eastAsia="zh-CN" w:bidi="ar-SA"/>
              </w:rPr>
              <w:t>本年收入合计</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54000</w:t>
            </w: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52000 </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52228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100 </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上级税收返还收入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上级一般性转移支付收入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83690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上级专项转移支付收入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8423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地方政府一般债务转贷收入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6059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上年结余收入</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11156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调入资金</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19777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napToGrid w:val="0"/>
                <w:color w:val="000000"/>
                <w:spacing w:val="6"/>
                <w:kern w:val="0"/>
                <w:sz w:val="19"/>
                <w:szCs w:val="19"/>
                <w:lang w:val="en-US" w:eastAsia="zh-CN" w:bidi="ar-SA"/>
              </w:rPr>
            </w:pPr>
            <w:r>
              <w:rPr>
                <w:rFonts w:hint="eastAsia" w:ascii="宋体" w:hAnsi="宋体" w:eastAsia="宋体" w:cs="宋体"/>
                <w:snapToGrid w:val="0"/>
                <w:color w:val="000000"/>
                <w:spacing w:val="6"/>
                <w:kern w:val="0"/>
                <w:sz w:val="19"/>
                <w:szCs w:val="19"/>
                <w:lang w:val="en-US" w:eastAsia="zh-CN" w:bidi="ar-SA"/>
              </w:rPr>
              <w:t xml:space="preserve">    动用预算稳定调节基金</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w:t>
            </w:r>
            <w:r>
              <w:rPr>
                <w:rFonts w:hint="eastAsia" w:ascii="宋体" w:hAnsi="宋体" w:eastAsia="宋体" w:cs="宋体"/>
                <w:b/>
                <w:bCs/>
                <w:snapToGrid w:val="0"/>
                <w:color w:val="000000"/>
                <w:spacing w:val="6"/>
                <w:kern w:val="0"/>
                <w:sz w:val="19"/>
                <w:szCs w:val="19"/>
                <w:lang w:val="en-US" w:eastAsia="zh-CN" w:bidi="ar-SA"/>
              </w:rPr>
              <w:t>收 入 合 计</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111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182333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2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9"/>
        <w:gridCol w:w="1173"/>
        <w:gridCol w:w="1145"/>
        <w:gridCol w:w="1132"/>
        <w:gridCol w:w="1104"/>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253"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烈山区2024年区本级一般公共预算收入决算表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2349" w:type="dxa"/>
            <w:tcBorders>
              <w:top w:val="nil"/>
              <w:left w:val="nil"/>
              <w:bottom w:val="single" w:color="auto" w:sz="4" w:space="0"/>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73" w:type="dxa"/>
            <w:tcBorders>
              <w:top w:val="nil"/>
              <w:left w:val="nil"/>
              <w:bottom w:val="single" w:color="auto" w:sz="4" w:space="0"/>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45" w:type="dxa"/>
            <w:tcBorders>
              <w:top w:val="nil"/>
              <w:left w:val="nil"/>
              <w:bottom w:val="single" w:color="auto" w:sz="4" w:space="0"/>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32" w:type="dxa"/>
            <w:tcBorders>
              <w:top w:val="nil"/>
              <w:left w:val="nil"/>
              <w:bottom w:val="single" w:color="auto" w:sz="4" w:space="0"/>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04" w:type="dxa"/>
            <w:tcBorders>
              <w:top w:val="nil"/>
              <w:left w:val="nil"/>
              <w:bottom w:val="single" w:color="auto" w:sz="4" w:space="0"/>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single" w:color="auto"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收  入  项  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预算数</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调整预算数</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决算数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为预算的%</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一、税收收入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17109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13029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12469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95.7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增值税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8800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6800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6926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101.9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企业所得税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1323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1323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589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44.5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个人所得税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198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248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274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110.5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资源税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1717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917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996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108.6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城市维护建设税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1225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825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821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99.5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房产税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1114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1141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102.4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印花税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416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516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479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92.8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城镇土地使用税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1022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1122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1161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103.5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土地增值税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1173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143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69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48.3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车船税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耕地占用税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契税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烟叶税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环境保护税</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61.9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其他税收收入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二、非税收入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22640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24720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25513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103.2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专项收入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800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800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766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95.8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行政事业性收费收入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300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300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552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184.0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罚没收入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1580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2786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176.3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国有资本经营收入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国有资源(资产)有偿使用收入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20920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21920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21112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96.3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297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247.5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本 年 收 入 合 计</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39749 </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37749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37982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100.6 </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乡镇上解区收入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14246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上级一般性转移支付收入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83690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上级专项转移支付收入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8423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地方政府一般债务转贷收入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6059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上年结余收入</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11081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调入资金</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19777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预算稳定调节基金</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790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23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    收  入  合  计</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9"/>
                <w:szCs w:val="19"/>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9"/>
                <w:szCs w:val="19"/>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182048 </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i w:val="0"/>
                <w:iCs w:val="0"/>
                <w:color w:val="000000"/>
                <w:sz w:val="19"/>
                <w:szCs w:val="19"/>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宋体" w:hAnsi="宋体" w:eastAsia="宋体" w:cs="宋体"/>
                <w:i w:val="0"/>
                <w:iCs w:val="0"/>
                <w:color w:val="FFC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903" w:type="dxa"/>
            <w:gridSpan w:val="5"/>
            <w:tcBorders>
              <w:top w:val="single" w:color="auto"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备注：1、本表按区本级全口径填报</w:t>
            </w:r>
          </w:p>
        </w:tc>
        <w:tc>
          <w:tcPr>
            <w:tcW w:w="1350" w:type="dxa"/>
            <w:tcBorders>
              <w:top w:val="single" w:color="auto" w:sz="4" w:space="0"/>
              <w:left w:val="nil"/>
              <w:bottom w:val="nil"/>
              <w:right w:val="nil"/>
            </w:tcBorders>
            <w:shd w:val="clear" w:color="auto" w:fill="FFFFFF"/>
            <w:vAlign w:val="bottom"/>
          </w:tcPr>
          <w:p>
            <w:pPr>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widowControl/>
        <w:spacing w:line="360" w:lineRule="atLeast"/>
        <w:jc w:val="center"/>
        <w:rPr>
          <w:rFonts w:hint="eastAsia" w:ascii="宋体" w:hAnsi="宋体" w:cs="宋体"/>
          <w:b/>
          <w:color w:val="000000"/>
          <w:kern w:val="0"/>
          <w:sz w:val="44"/>
          <w:szCs w:val="44"/>
        </w:rPr>
      </w:pPr>
      <w:r>
        <w:rPr>
          <w:rFonts w:ascii="宋体" w:hAnsi="宋体" w:cs="宋体"/>
          <w:b/>
          <w:color w:val="000000"/>
          <w:kern w:val="0"/>
          <w:sz w:val="36"/>
          <w:szCs w:val="36"/>
        </w:rPr>
        <w:t>关于</w:t>
      </w:r>
      <w:r>
        <w:rPr>
          <w:rFonts w:hint="eastAsia" w:ascii="宋体" w:hAnsi="宋体" w:cs="宋体"/>
          <w:b/>
          <w:color w:val="000000"/>
          <w:kern w:val="0"/>
          <w:sz w:val="36"/>
          <w:szCs w:val="36"/>
          <w:lang w:val="en-US" w:eastAsia="zh-CN"/>
        </w:rPr>
        <w:t>烈山区</w:t>
      </w:r>
      <w:r>
        <w:rPr>
          <w:rFonts w:ascii="宋体" w:hAnsi="宋体" w:cs="宋体"/>
          <w:b/>
          <w:color w:val="000000"/>
          <w:kern w:val="0"/>
          <w:sz w:val="36"/>
          <w:szCs w:val="36"/>
        </w:rPr>
        <w:t>20</w:t>
      </w:r>
      <w:r>
        <w:rPr>
          <w:rFonts w:hint="eastAsia" w:ascii="宋体" w:hAnsi="宋体" w:cs="宋体"/>
          <w:b/>
          <w:color w:val="000000"/>
          <w:kern w:val="0"/>
          <w:sz w:val="36"/>
          <w:szCs w:val="36"/>
        </w:rPr>
        <w:t>2</w:t>
      </w:r>
      <w:r>
        <w:rPr>
          <w:rFonts w:hint="eastAsia" w:ascii="宋体" w:hAnsi="宋体" w:cs="宋体"/>
          <w:b/>
          <w:color w:val="000000"/>
          <w:kern w:val="0"/>
          <w:sz w:val="36"/>
          <w:szCs w:val="36"/>
          <w:lang w:val="en-US" w:eastAsia="zh-CN"/>
        </w:rPr>
        <w:t>4</w:t>
      </w:r>
      <w:r>
        <w:rPr>
          <w:rFonts w:ascii="宋体" w:hAnsi="宋体" w:cs="宋体"/>
          <w:b/>
          <w:color w:val="000000"/>
          <w:kern w:val="0"/>
          <w:sz w:val="36"/>
          <w:szCs w:val="36"/>
        </w:rPr>
        <w:t>年</w:t>
      </w:r>
      <w:r>
        <w:rPr>
          <w:rFonts w:hint="eastAsia" w:ascii="宋体" w:hAnsi="宋体" w:cs="宋体"/>
          <w:b/>
          <w:color w:val="000000"/>
          <w:kern w:val="0"/>
          <w:sz w:val="36"/>
          <w:szCs w:val="36"/>
          <w:lang w:val="en-US" w:eastAsia="zh-CN"/>
        </w:rPr>
        <w:t>区</w:t>
      </w:r>
      <w:r>
        <w:rPr>
          <w:rFonts w:hint="eastAsia" w:ascii="宋体" w:hAnsi="宋体" w:cs="宋体"/>
          <w:b/>
          <w:color w:val="000000"/>
          <w:kern w:val="0"/>
          <w:sz w:val="36"/>
          <w:szCs w:val="36"/>
        </w:rPr>
        <w:t>本</w:t>
      </w:r>
      <w:r>
        <w:rPr>
          <w:rFonts w:ascii="宋体" w:hAnsi="宋体" w:cs="宋体"/>
          <w:b/>
          <w:color w:val="000000"/>
          <w:kern w:val="0"/>
          <w:sz w:val="36"/>
          <w:szCs w:val="36"/>
        </w:rPr>
        <w:t>级一般公共预算收入决算情况的说明</w:t>
      </w:r>
    </w:p>
    <w:p>
      <w:pPr>
        <w:widowControl/>
        <w:spacing w:line="360" w:lineRule="atLeast"/>
        <w:ind w:firstLine="640"/>
        <w:jc w:val="left"/>
        <w:rPr>
          <w:rFonts w:hint="eastAsia" w:ascii="仿宋_GB2312" w:hAnsi="宋体" w:eastAsia="仿宋_GB2312" w:cs="宋体"/>
          <w:color w:val="000000"/>
          <w:kern w:val="0"/>
          <w:sz w:val="32"/>
          <w:szCs w:val="32"/>
        </w:rPr>
      </w:pP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烈山区</w:t>
      </w:r>
      <w:r>
        <w:rPr>
          <w:rFonts w:hint="eastAsia" w:ascii="仿宋" w:hAnsi="仿宋" w:eastAsia="仿宋" w:cs="仿宋"/>
          <w:snapToGrid w:val="0"/>
          <w:color w:val="000000"/>
          <w:spacing w:val="7"/>
          <w:kern w:val="0"/>
          <w:sz w:val="31"/>
          <w:szCs w:val="31"/>
          <w:lang w:val="en-US" w:eastAsia="en-US" w:bidi="ar-SA"/>
        </w:rPr>
        <w:t>202</w:t>
      </w:r>
      <w:r>
        <w:rPr>
          <w:rFonts w:hint="eastAsia" w:ascii="仿宋" w:hAnsi="仿宋" w:eastAsia="仿宋" w:cs="仿宋"/>
          <w:snapToGrid w:val="0"/>
          <w:color w:val="000000"/>
          <w:spacing w:val="7"/>
          <w:kern w:val="0"/>
          <w:sz w:val="31"/>
          <w:szCs w:val="31"/>
          <w:lang w:val="en-US" w:eastAsia="zh-CN" w:bidi="ar-SA"/>
        </w:rPr>
        <w:t>4</w:t>
      </w:r>
      <w:r>
        <w:rPr>
          <w:rFonts w:hint="eastAsia" w:ascii="仿宋" w:hAnsi="仿宋" w:eastAsia="仿宋" w:cs="仿宋"/>
          <w:snapToGrid w:val="0"/>
          <w:color w:val="000000"/>
          <w:spacing w:val="7"/>
          <w:kern w:val="0"/>
          <w:sz w:val="31"/>
          <w:szCs w:val="31"/>
          <w:lang w:val="en-US" w:eastAsia="en-US" w:bidi="ar-SA"/>
        </w:rPr>
        <w:t>年</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本级一般公共预算收入预算数</w:t>
      </w:r>
      <w:r>
        <w:rPr>
          <w:rFonts w:hint="eastAsia" w:ascii="仿宋" w:hAnsi="仿宋" w:eastAsia="仿宋" w:cs="仿宋"/>
          <w:snapToGrid w:val="0"/>
          <w:color w:val="000000"/>
          <w:spacing w:val="7"/>
          <w:kern w:val="0"/>
          <w:sz w:val="31"/>
          <w:szCs w:val="31"/>
          <w:lang w:val="en-US" w:eastAsia="zh-CN" w:bidi="ar-SA"/>
        </w:rPr>
        <w:t>37749</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37982</w:t>
      </w:r>
      <w:r>
        <w:rPr>
          <w:rFonts w:hint="eastAsia" w:ascii="仿宋" w:hAnsi="仿宋" w:eastAsia="仿宋" w:cs="仿宋"/>
          <w:snapToGrid w:val="0"/>
          <w:color w:val="000000"/>
          <w:spacing w:val="7"/>
          <w:kern w:val="0"/>
          <w:sz w:val="31"/>
          <w:szCs w:val="31"/>
          <w:lang w:val="en-US" w:eastAsia="en-US" w:bidi="ar-SA"/>
        </w:rPr>
        <w:t>万元，为预算的</w:t>
      </w:r>
      <w:r>
        <w:rPr>
          <w:rFonts w:hint="eastAsia" w:ascii="仿宋" w:hAnsi="仿宋" w:eastAsia="仿宋" w:cs="仿宋"/>
          <w:snapToGrid w:val="0"/>
          <w:color w:val="000000"/>
          <w:spacing w:val="7"/>
          <w:kern w:val="0"/>
          <w:sz w:val="31"/>
          <w:szCs w:val="31"/>
          <w:lang w:val="en-US" w:eastAsia="zh-CN" w:bidi="ar-SA"/>
        </w:rPr>
        <w:t>100.6</w:t>
      </w:r>
      <w:r>
        <w:rPr>
          <w:rFonts w:hint="eastAsia" w:ascii="仿宋" w:hAnsi="仿宋" w:eastAsia="仿宋" w:cs="仿宋"/>
          <w:snapToGrid w:val="0"/>
          <w:color w:val="000000"/>
          <w:spacing w:val="7"/>
          <w:kern w:val="0"/>
          <w:sz w:val="31"/>
          <w:szCs w:val="31"/>
          <w:lang w:val="en-US" w:eastAsia="en-US" w:bidi="ar-SA"/>
        </w:rPr>
        <w:t>%，为上年的</w:t>
      </w:r>
      <w:r>
        <w:rPr>
          <w:rFonts w:hint="eastAsia" w:ascii="仿宋" w:hAnsi="仿宋" w:eastAsia="仿宋" w:cs="仿宋"/>
          <w:snapToGrid w:val="0"/>
          <w:color w:val="000000"/>
          <w:spacing w:val="7"/>
          <w:kern w:val="0"/>
          <w:sz w:val="31"/>
          <w:szCs w:val="31"/>
          <w:lang w:val="en-US" w:eastAsia="zh-CN" w:bidi="ar-SA"/>
        </w:rPr>
        <w:t>100.1</w:t>
      </w:r>
      <w:r>
        <w:rPr>
          <w:rFonts w:hint="eastAsia" w:ascii="仿宋" w:hAnsi="仿宋" w:eastAsia="仿宋" w:cs="仿宋"/>
          <w:snapToGrid w:val="0"/>
          <w:color w:val="000000"/>
          <w:spacing w:val="7"/>
          <w:kern w:val="0"/>
          <w:sz w:val="31"/>
          <w:szCs w:val="31"/>
          <w:lang w:val="en-US" w:eastAsia="en-US" w:bidi="ar-SA"/>
        </w:rPr>
        <w:t>%。我</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财税部门，认真贯彻执行</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委</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政府关于财政工作的部署，依法科学组织收入，全面细化和分解年度工作目标，强化税收分析，非税收入管理，明确目标任务，确保各项收入及时足额入库。其中：</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1.增值税预算数为</w:t>
      </w:r>
      <w:r>
        <w:rPr>
          <w:rFonts w:hint="eastAsia" w:ascii="仿宋" w:hAnsi="仿宋" w:eastAsia="仿宋" w:cs="仿宋"/>
          <w:snapToGrid w:val="0"/>
          <w:color w:val="000000"/>
          <w:spacing w:val="7"/>
          <w:kern w:val="0"/>
          <w:sz w:val="31"/>
          <w:szCs w:val="31"/>
          <w:lang w:val="en-US" w:eastAsia="zh-CN" w:bidi="ar-SA"/>
        </w:rPr>
        <w:t>6800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6926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101.9</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2.企业所得税预算数为</w:t>
      </w:r>
      <w:r>
        <w:rPr>
          <w:rFonts w:hint="eastAsia" w:ascii="仿宋" w:hAnsi="仿宋" w:eastAsia="仿宋" w:cs="仿宋"/>
          <w:snapToGrid w:val="0"/>
          <w:color w:val="000000"/>
          <w:spacing w:val="7"/>
          <w:kern w:val="0"/>
          <w:sz w:val="31"/>
          <w:szCs w:val="31"/>
          <w:lang w:val="en-US" w:eastAsia="zh-CN" w:bidi="ar-SA"/>
        </w:rPr>
        <w:t>1323</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589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44.5</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3. 个人所得税预算数为</w:t>
      </w:r>
      <w:r>
        <w:rPr>
          <w:rFonts w:hint="eastAsia" w:ascii="仿宋" w:hAnsi="仿宋" w:eastAsia="仿宋" w:cs="仿宋"/>
          <w:snapToGrid w:val="0"/>
          <w:color w:val="000000"/>
          <w:spacing w:val="7"/>
          <w:kern w:val="0"/>
          <w:sz w:val="31"/>
          <w:szCs w:val="31"/>
          <w:lang w:val="en-US" w:eastAsia="zh-CN" w:bidi="ar-SA"/>
        </w:rPr>
        <w:t>248</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274</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110.5</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4.资源税预算数为917万元，决算数为996万元，达到预算的108.6%。</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5</w:t>
      </w:r>
      <w:r>
        <w:rPr>
          <w:rFonts w:hint="eastAsia" w:ascii="仿宋" w:hAnsi="仿宋" w:eastAsia="仿宋" w:cs="仿宋"/>
          <w:snapToGrid w:val="0"/>
          <w:color w:val="000000"/>
          <w:spacing w:val="7"/>
          <w:kern w:val="0"/>
          <w:sz w:val="31"/>
          <w:szCs w:val="31"/>
          <w:lang w:val="en-US" w:eastAsia="en-US" w:bidi="ar-SA"/>
        </w:rPr>
        <w:t>. 城市维护建设税预算数为</w:t>
      </w:r>
      <w:r>
        <w:rPr>
          <w:rFonts w:hint="eastAsia" w:ascii="仿宋" w:hAnsi="仿宋" w:eastAsia="仿宋" w:cs="仿宋"/>
          <w:snapToGrid w:val="0"/>
          <w:color w:val="000000"/>
          <w:spacing w:val="7"/>
          <w:kern w:val="0"/>
          <w:sz w:val="31"/>
          <w:szCs w:val="31"/>
          <w:lang w:val="en-US" w:eastAsia="zh-CN" w:bidi="ar-SA"/>
        </w:rPr>
        <w:t>825</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821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99.5</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6</w:t>
      </w:r>
      <w:r>
        <w:rPr>
          <w:rFonts w:hint="eastAsia" w:ascii="仿宋" w:hAnsi="仿宋" w:eastAsia="仿宋" w:cs="仿宋"/>
          <w:snapToGrid w:val="0"/>
          <w:color w:val="000000"/>
          <w:spacing w:val="7"/>
          <w:kern w:val="0"/>
          <w:sz w:val="31"/>
          <w:szCs w:val="31"/>
          <w:lang w:val="en-US" w:eastAsia="en-US" w:bidi="ar-SA"/>
        </w:rPr>
        <w:t>. 房产税预算数为</w:t>
      </w:r>
      <w:r>
        <w:rPr>
          <w:rFonts w:hint="eastAsia" w:ascii="仿宋" w:hAnsi="仿宋" w:eastAsia="仿宋" w:cs="仿宋"/>
          <w:snapToGrid w:val="0"/>
          <w:color w:val="000000"/>
          <w:spacing w:val="7"/>
          <w:kern w:val="0"/>
          <w:sz w:val="31"/>
          <w:szCs w:val="31"/>
          <w:lang w:val="en-US" w:eastAsia="zh-CN" w:bidi="ar-SA"/>
        </w:rPr>
        <w:t>1114</w:t>
      </w:r>
      <w:r>
        <w:rPr>
          <w:rFonts w:hint="eastAsia" w:ascii="仿宋" w:hAnsi="仿宋" w:eastAsia="仿宋" w:cs="仿宋"/>
          <w:snapToGrid w:val="0"/>
          <w:color w:val="000000"/>
          <w:spacing w:val="7"/>
          <w:kern w:val="0"/>
          <w:sz w:val="31"/>
          <w:szCs w:val="31"/>
          <w:lang w:val="en-US" w:eastAsia="en-US" w:bidi="ar-SA"/>
        </w:rPr>
        <w:t>万元，决算数为1</w:t>
      </w:r>
      <w:r>
        <w:rPr>
          <w:rFonts w:hint="eastAsia" w:ascii="仿宋" w:hAnsi="仿宋" w:eastAsia="仿宋" w:cs="仿宋"/>
          <w:snapToGrid w:val="0"/>
          <w:color w:val="000000"/>
          <w:spacing w:val="7"/>
          <w:kern w:val="0"/>
          <w:sz w:val="31"/>
          <w:szCs w:val="31"/>
          <w:lang w:val="en-US" w:eastAsia="zh-CN" w:bidi="ar-SA"/>
        </w:rPr>
        <w:t>141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102.4</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7</w:t>
      </w:r>
      <w:r>
        <w:rPr>
          <w:rFonts w:hint="eastAsia" w:ascii="仿宋" w:hAnsi="仿宋" w:eastAsia="仿宋" w:cs="仿宋"/>
          <w:snapToGrid w:val="0"/>
          <w:color w:val="000000"/>
          <w:spacing w:val="7"/>
          <w:kern w:val="0"/>
          <w:sz w:val="31"/>
          <w:szCs w:val="31"/>
          <w:lang w:val="en-US" w:eastAsia="en-US" w:bidi="ar-SA"/>
        </w:rPr>
        <w:t>. 印花税预算数为</w:t>
      </w:r>
      <w:r>
        <w:rPr>
          <w:rFonts w:hint="eastAsia" w:ascii="仿宋" w:hAnsi="仿宋" w:eastAsia="仿宋" w:cs="仿宋"/>
          <w:snapToGrid w:val="0"/>
          <w:color w:val="000000"/>
          <w:spacing w:val="7"/>
          <w:kern w:val="0"/>
          <w:sz w:val="31"/>
          <w:szCs w:val="31"/>
          <w:lang w:val="en-US" w:eastAsia="zh-CN" w:bidi="ar-SA"/>
        </w:rPr>
        <w:t>516</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479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92.8</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8</w:t>
      </w:r>
      <w:r>
        <w:rPr>
          <w:rFonts w:hint="eastAsia" w:ascii="仿宋" w:hAnsi="仿宋" w:eastAsia="仿宋" w:cs="仿宋"/>
          <w:snapToGrid w:val="0"/>
          <w:color w:val="000000"/>
          <w:spacing w:val="7"/>
          <w:kern w:val="0"/>
          <w:sz w:val="31"/>
          <w:szCs w:val="31"/>
          <w:lang w:val="en-US" w:eastAsia="en-US" w:bidi="ar-SA"/>
        </w:rPr>
        <w:t>. 城镇土地使用税预算数为</w:t>
      </w:r>
      <w:r>
        <w:rPr>
          <w:rFonts w:hint="eastAsia" w:ascii="仿宋" w:hAnsi="仿宋" w:eastAsia="仿宋" w:cs="仿宋"/>
          <w:snapToGrid w:val="0"/>
          <w:color w:val="000000"/>
          <w:spacing w:val="7"/>
          <w:kern w:val="0"/>
          <w:sz w:val="31"/>
          <w:szCs w:val="31"/>
          <w:lang w:val="en-US" w:eastAsia="zh-CN" w:bidi="ar-SA"/>
        </w:rPr>
        <w:t>1122</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1161</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103.5</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9</w:t>
      </w:r>
      <w:r>
        <w:rPr>
          <w:rFonts w:hint="eastAsia" w:ascii="仿宋" w:hAnsi="仿宋" w:eastAsia="仿宋" w:cs="仿宋"/>
          <w:snapToGrid w:val="0"/>
          <w:color w:val="000000"/>
          <w:spacing w:val="7"/>
          <w:kern w:val="0"/>
          <w:sz w:val="31"/>
          <w:szCs w:val="31"/>
          <w:lang w:val="en-US" w:eastAsia="en-US" w:bidi="ar-SA"/>
        </w:rPr>
        <w:t>. 土地增值税预算数为</w:t>
      </w:r>
      <w:r>
        <w:rPr>
          <w:rFonts w:hint="eastAsia" w:ascii="仿宋" w:hAnsi="仿宋" w:eastAsia="仿宋" w:cs="仿宋"/>
          <w:snapToGrid w:val="0"/>
          <w:color w:val="000000"/>
          <w:spacing w:val="7"/>
          <w:kern w:val="0"/>
          <w:sz w:val="31"/>
          <w:szCs w:val="31"/>
          <w:lang w:val="en-US" w:eastAsia="zh-CN" w:bidi="ar-SA"/>
        </w:rPr>
        <w:t>143</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69</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48.3</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 环境保护税预算数为</w:t>
      </w:r>
      <w:r>
        <w:rPr>
          <w:rFonts w:hint="eastAsia" w:ascii="仿宋" w:hAnsi="仿宋" w:eastAsia="仿宋" w:cs="仿宋"/>
          <w:snapToGrid w:val="0"/>
          <w:color w:val="000000"/>
          <w:spacing w:val="7"/>
          <w:kern w:val="0"/>
          <w:sz w:val="31"/>
          <w:szCs w:val="31"/>
          <w:lang w:val="en-US" w:eastAsia="zh-CN" w:bidi="ar-SA"/>
        </w:rPr>
        <w:t>21</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13</w:t>
      </w:r>
      <w:r>
        <w:rPr>
          <w:rFonts w:hint="eastAsia" w:ascii="仿宋" w:hAnsi="仿宋" w:eastAsia="仿宋" w:cs="仿宋"/>
          <w:snapToGrid w:val="0"/>
          <w:color w:val="000000"/>
          <w:spacing w:val="7"/>
          <w:kern w:val="0"/>
          <w:sz w:val="31"/>
          <w:szCs w:val="31"/>
          <w:lang w:val="en-US" w:eastAsia="en-US" w:bidi="ar-SA"/>
        </w:rPr>
        <w:t>万元，达到预算的61.</w:t>
      </w:r>
      <w:r>
        <w:rPr>
          <w:rFonts w:hint="eastAsia" w:ascii="仿宋" w:hAnsi="仿宋" w:eastAsia="仿宋" w:cs="仿宋"/>
          <w:snapToGrid w:val="0"/>
          <w:color w:val="000000"/>
          <w:spacing w:val="7"/>
          <w:kern w:val="0"/>
          <w:sz w:val="31"/>
          <w:szCs w:val="31"/>
          <w:lang w:val="en-US" w:eastAsia="zh-CN" w:bidi="ar-SA"/>
        </w:rPr>
        <w:t>9</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1</w:t>
      </w:r>
      <w:r>
        <w:rPr>
          <w:rFonts w:hint="eastAsia" w:ascii="仿宋" w:hAnsi="仿宋" w:eastAsia="仿宋" w:cs="仿宋"/>
          <w:snapToGrid w:val="0"/>
          <w:color w:val="000000"/>
          <w:spacing w:val="7"/>
          <w:kern w:val="0"/>
          <w:sz w:val="31"/>
          <w:szCs w:val="31"/>
          <w:lang w:val="en-US" w:eastAsia="en-US" w:bidi="ar-SA"/>
        </w:rPr>
        <w:t>.专项收入预算数为</w:t>
      </w:r>
      <w:r>
        <w:rPr>
          <w:rFonts w:hint="eastAsia" w:ascii="仿宋" w:hAnsi="仿宋" w:eastAsia="仿宋" w:cs="仿宋"/>
          <w:snapToGrid w:val="0"/>
          <w:color w:val="000000"/>
          <w:spacing w:val="7"/>
          <w:kern w:val="0"/>
          <w:sz w:val="31"/>
          <w:szCs w:val="31"/>
          <w:lang w:val="en-US" w:eastAsia="zh-CN" w:bidi="ar-SA"/>
        </w:rPr>
        <w:t>800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766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95.8</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2</w:t>
      </w:r>
      <w:r>
        <w:rPr>
          <w:rFonts w:hint="eastAsia" w:ascii="仿宋" w:hAnsi="仿宋" w:eastAsia="仿宋" w:cs="仿宋"/>
          <w:snapToGrid w:val="0"/>
          <w:color w:val="000000"/>
          <w:spacing w:val="7"/>
          <w:kern w:val="0"/>
          <w:sz w:val="31"/>
          <w:szCs w:val="31"/>
          <w:lang w:val="en-US" w:eastAsia="en-US" w:bidi="ar-SA"/>
        </w:rPr>
        <w:t>.行政事业性收费收入预算数为</w:t>
      </w:r>
      <w:r>
        <w:rPr>
          <w:rFonts w:hint="eastAsia" w:ascii="仿宋" w:hAnsi="仿宋" w:eastAsia="仿宋" w:cs="仿宋"/>
          <w:snapToGrid w:val="0"/>
          <w:color w:val="000000"/>
          <w:spacing w:val="7"/>
          <w:kern w:val="0"/>
          <w:sz w:val="31"/>
          <w:szCs w:val="31"/>
          <w:lang w:val="en-US" w:eastAsia="zh-CN" w:bidi="ar-SA"/>
        </w:rPr>
        <w:t>300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552</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184</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3</w:t>
      </w:r>
      <w:r>
        <w:rPr>
          <w:rFonts w:hint="eastAsia" w:ascii="仿宋" w:hAnsi="仿宋" w:eastAsia="仿宋" w:cs="仿宋"/>
          <w:snapToGrid w:val="0"/>
          <w:color w:val="000000"/>
          <w:spacing w:val="7"/>
          <w:kern w:val="0"/>
          <w:sz w:val="31"/>
          <w:szCs w:val="31"/>
          <w:lang w:val="en-US" w:eastAsia="en-US" w:bidi="ar-SA"/>
        </w:rPr>
        <w:t>.罚没收入预算数为</w:t>
      </w:r>
      <w:r>
        <w:rPr>
          <w:rFonts w:hint="eastAsia" w:ascii="仿宋" w:hAnsi="仿宋" w:eastAsia="仿宋" w:cs="仿宋"/>
          <w:snapToGrid w:val="0"/>
          <w:color w:val="000000"/>
          <w:spacing w:val="7"/>
          <w:kern w:val="0"/>
          <w:sz w:val="31"/>
          <w:szCs w:val="31"/>
          <w:lang w:val="en-US" w:eastAsia="zh-CN" w:bidi="ar-SA"/>
        </w:rPr>
        <w:t>1580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2786</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176.3</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en-US" w:bidi="ar-SA"/>
        </w:rPr>
        <w:t>1</w:t>
      </w:r>
      <w:r>
        <w:rPr>
          <w:rFonts w:hint="eastAsia" w:ascii="仿宋" w:hAnsi="仿宋" w:eastAsia="仿宋" w:cs="仿宋"/>
          <w:snapToGrid w:val="0"/>
          <w:color w:val="000000"/>
          <w:spacing w:val="7"/>
          <w:kern w:val="0"/>
          <w:sz w:val="31"/>
          <w:szCs w:val="31"/>
          <w:lang w:val="en-US" w:eastAsia="zh-CN" w:bidi="ar-SA"/>
        </w:rPr>
        <w:t>4</w:t>
      </w:r>
      <w:r>
        <w:rPr>
          <w:rFonts w:hint="eastAsia" w:ascii="仿宋" w:hAnsi="仿宋" w:eastAsia="仿宋" w:cs="仿宋"/>
          <w:snapToGrid w:val="0"/>
          <w:color w:val="000000"/>
          <w:spacing w:val="7"/>
          <w:kern w:val="0"/>
          <w:sz w:val="31"/>
          <w:szCs w:val="31"/>
          <w:lang w:val="en-US" w:eastAsia="en-US" w:bidi="ar-SA"/>
        </w:rPr>
        <w:t>.国有资源(资产)有偿使用收入预算数为</w:t>
      </w:r>
      <w:r>
        <w:rPr>
          <w:rFonts w:hint="eastAsia" w:ascii="仿宋" w:hAnsi="仿宋" w:eastAsia="仿宋" w:cs="仿宋"/>
          <w:snapToGrid w:val="0"/>
          <w:color w:val="000000"/>
          <w:spacing w:val="7"/>
          <w:kern w:val="0"/>
          <w:sz w:val="31"/>
          <w:szCs w:val="31"/>
          <w:lang w:val="en-US" w:eastAsia="zh-CN" w:bidi="ar-SA"/>
        </w:rPr>
        <w:t>21920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21112</w:t>
      </w:r>
      <w:r>
        <w:rPr>
          <w:rFonts w:hint="eastAsia" w:ascii="仿宋" w:hAnsi="仿宋" w:eastAsia="仿宋" w:cs="仿宋"/>
          <w:snapToGrid w:val="0"/>
          <w:color w:val="000000"/>
          <w:spacing w:val="7"/>
          <w:kern w:val="0"/>
          <w:sz w:val="31"/>
          <w:szCs w:val="31"/>
          <w:lang w:val="en-US" w:eastAsia="en-US" w:bidi="ar-SA"/>
        </w:rPr>
        <w:t>万元，达到预算的</w:t>
      </w:r>
      <w:r>
        <w:rPr>
          <w:rFonts w:hint="eastAsia" w:ascii="仿宋" w:hAnsi="仿宋" w:eastAsia="仿宋" w:cs="仿宋"/>
          <w:snapToGrid w:val="0"/>
          <w:color w:val="000000"/>
          <w:spacing w:val="7"/>
          <w:kern w:val="0"/>
          <w:sz w:val="31"/>
          <w:szCs w:val="31"/>
          <w:lang w:val="en-US" w:eastAsia="zh-CN" w:bidi="ar-SA"/>
        </w:rPr>
        <w:t>96.3</w:t>
      </w:r>
      <w:r>
        <w:rPr>
          <w:rFonts w:hint="eastAsia" w:ascii="仿宋" w:hAnsi="仿宋" w:eastAsia="仿宋" w:cs="仿宋"/>
          <w:snapToGrid w:val="0"/>
          <w:color w:val="000000"/>
          <w:spacing w:val="7"/>
          <w:kern w:val="0"/>
          <w:sz w:val="31"/>
          <w:szCs w:val="31"/>
          <w:lang w:val="en-US" w:eastAsia="en-US" w:bidi="ar-SA"/>
        </w:rPr>
        <w:t>%。</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15</w:t>
      </w:r>
      <w:r>
        <w:rPr>
          <w:rFonts w:hint="eastAsia" w:ascii="仿宋" w:hAnsi="仿宋" w:eastAsia="仿宋" w:cs="仿宋"/>
          <w:snapToGrid w:val="0"/>
          <w:color w:val="000000"/>
          <w:spacing w:val="7"/>
          <w:kern w:val="0"/>
          <w:sz w:val="31"/>
          <w:szCs w:val="31"/>
          <w:lang w:val="en-US" w:eastAsia="en-US" w:bidi="ar-SA"/>
        </w:rPr>
        <w:t>.其他收入预算数为</w:t>
      </w:r>
      <w:r>
        <w:rPr>
          <w:rFonts w:hint="eastAsia" w:ascii="仿宋" w:hAnsi="仿宋" w:eastAsia="仿宋" w:cs="仿宋"/>
          <w:snapToGrid w:val="0"/>
          <w:color w:val="000000"/>
          <w:spacing w:val="7"/>
          <w:kern w:val="0"/>
          <w:sz w:val="31"/>
          <w:szCs w:val="31"/>
          <w:lang w:val="en-US" w:eastAsia="zh-CN" w:bidi="ar-SA"/>
        </w:rPr>
        <w:t>120</w:t>
      </w:r>
      <w:r>
        <w:rPr>
          <w:rFonts w:hint="eastAsia" w:ascii="仿宋" w:hAnsi="仿宋" w:eastAsia="仿宋" w:cs="仿宋"/>
          <w:snapToGrid w:val="0"/>
          <w:color w:val="000000"/>
          <w:spacing w:val="7"/>
          <w:kern w:val="0"/>
          <w:sz w:val="31"/>
          <w:szCs w:val="31"/>
          <w:lang w:val="en-US" w:eastAsia="en-US" w:bidi="ar-SA"/>
        </w:rPr>
        <w:t>万元，决算数为</w:t>
      </w:r>
      <w:r>
        <w:rPr>
          <w:rFonts w:hint="eastAsia" w:ascii="仿宋" w:hAnsi="仿宋" w:eastAsia="仿宋" w:cs="仿宋"/>
          <w:snapToGrid w:val="0"/>
          <w:color w:val="000000"/>
          <w:spacing w:val="7"/>
          <w:kern w:val="0"/>
          <w:sz w:val="31"/>
          <w:szCs w:val="31"/>
          <w:lang w:val="en-US" w:eastAsia="zh-CN" w:bidi="ar-SA"/>
        </w:rPr>
        <w:t>297</w:t>
      </w:r>
      <w:r>
        <w:rPr>
          <w:rFonts w:hint="eastAsia" w:ascii="仿宋" w:hAnsi="仿宋" w:eastAsia="仿宋" w:cs="仿宋"/>
          <w:snapToGrid w:val="0"/>
          <w:color w:val="000000"/>
          <w:spacing w:val="7"/>
          <w:kern w:val="0"/>
          <w:sz w:val="31"/>
          <w:szCs w:val="31"/>
          <w:lang w:val="en-US" w:eastAsia="en-US" w:bidi="ar-SA"/>
        </w:rPr>
        <w:t>万元</w:t>
      </w:r>
      <w:r>
        <w:rPr>
          <w:rFonts w:hint="eastAsia" w:ascii="仿宋" w:hAnsi="仿宋" w:eastAsia="仿宋" w:cs="仿宋"/>
          <w:snapToGrid w:val="0"/>
          <w:color w:val="000000"/>
          <w:spacing w:val="7"/>
          <w:kern w:val="0"/>
          <w:sz w:val="31"/>
          <w:szCs w:val="31"/>
          <w:lang w:val="en-US" w:eastAsia="zh-CN" w:bidi="ar-SA"/>
        </w:rPr>
        <w:t>，达到预算的247.5%。</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16</w:t>
      </w:r>
      <w:r>
        <w:rPr>
          <w:rFonts w:hint="eastAsia" w:ascii="仿宋" w:hAnsi="仿宋" w:eastAsia="仿宋" w:cs="仿宋"/>
          <w:snapToGrid w:val="0"/>
          <w:color w:val="000000"/>
          <w:spacing w:val="7"/>
          <w:kern w:val="0"/>
          <w:sz w:val="31"/>
          <w:szCs w:val="31"/>
          <w:lang w:val="en-US" w:eastAsia="en-US" w:bidi="ar-SA"/>
        </w:rPr>
        <w:t>.上级税收返还收入决算数</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万元，其中：增值税返还收入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万元(含增值税“五五分享”税收返还)，消费税返还收入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万元，所得税返还收入</w:t>
      </w:r>
      <w:r>
        <w:rPr>
          <w:rFonts w:hint="eastAsia" w:ascii="仿宋" w:hAnsi="仿宋" w:eastAsia="仿宋" w:cs="仿宋"/>
          <w:snapToGrid w:val="0"/>
          <w:color w:val="000000"/>
          <w:spacing w:val="7"/>
          <w:kern w:val="0"/>
          <w:sz w:val="31"/>
          <w:szCs w:val="31"/>
          <w:lang w:val="en-US" w:eastAsia="zh-CN" w:bidi="ar-SA"/>
        </w:rPr>
        <w:t>0</w:t>
      </w:r>
      <w:r>
        <w:rPr>
          <w:rFonts w:hint="eastAsia" w:ascii="仿宋" w:hAnsi="仿宋" w:eastAsia="仿宋" w:cs="仿宋"/>
          <w:snapToGrid w:val="0"/>
          <w:color w:val="000000"/>
          <w:spacing w:val="7"/>
          <w:kern w:val="0"/>
          <w:sz w:val="31"/>
          <w:szCs w:val="31"/>
          <w:lang w:val="en-US" w:eastAsia="en-US" w:bidi="ar-SA"/>
        </w:rPr>
        <w:t>万元。</w:t>
      </w:r>
    </w:p>
    <w:p>
      <w:pPr>
        <w:widowControl/>
        <w:spacing w:line="360" w:lineRule="atLeast"/>
        <w:ind w:firstLine="640"/>
        <w:jc w:val="left"/>
        <w:rPr>
          <w:rFonts w:ascii="仿宋" w:hAnsi="仿宋" w:eastAsia="仿宋" w:cs="仿宋"/>
          <w:snapToGrid w:val="0"/>
          <w:color w:val="000000"/>
          <w:spacing w:val="7"/>
          <w:kern w:val="0"/>
          <w:sz w:val="31"/>
          <w:szCs w:val="31"/>
          <w:lang w:val="en-US" w:eastAsia="en-US" w:bidi="ar-SA"/>
        </w:rPr>
      </w:pPr>
      <w:r>
        <w:rPr>
          <w:rFonts w:hint="eastAsia" w:ascii="仿宋" w:hAnsi="仿宋" w:eastAsia="仿宋" w:cs="仿宋"/>
          <w:snapToGrid w:val="0"/>
          <w:color w:val="000000"/>
          <w:spacing w:val="7"/>
          <w:kern w:val="0"/>
          <w:sz w:val="31"/>
          <w:szCs w:val="31"/>
          <w:lang w:val="en-US" w:eastAsia="zh-CN" w:bidi="ar-SA"/>
        </w:rPr>
        <w:t>17</w:t>
      </w:r>
      <w:r>
        <w:rPr>
          <w:rFonts w:hint="eastAsia" w:ascii="仿宋" w:hAnsi="仿宋" w:eastAsia="仿宋" w:cs="仿宋"/>
          <w:snapToGrid w:val="0"/>
          <w:color w:val="000000"/>
          <w:spacing w:val="7"/>
          <w:kern w:val="0"/>
          <w:sz w:val="31"/>
          <w:szCs w:val="31"/>
          <w:lang w:val="en-US" w:eastAsia="en-US" w:bidi="ar-SA"/>
        </w:rPr>
        <w:t>.上级一般性转移支付收入决算数</w:t>
      </w:r>
      <w:r>
        <w:rPr>
          <w:rFonts w:hint="eastAsia" w:ascii="仿宋" w:hAnsi="仿宋" w:eastAsia="仿宋" w:cs="仿宋"/>
          <w:snapToGrid w:val="0"/>
          <w:color w:val="000000"/>
          <w:spacing w:val="7"/>
          <w:kern w:val="0"/>
          <w:sz w:val="31"/>
          <w:szCs w:val="31"/>
          <w:lang w:val="en-US" w:eastAsia="zh-CN" w:bidi="ar-SA"/>
        </w:rPr>
        <w:t>86390</w:t>
      </w:r>
      <w:r>
        <w:rPr>
          <w:rFonts w:hint="eastAsia" w:ascii="仿宋" w:hAnsi="仿宋" w:eastAsia="仿宋" w:cs="仿宋"/>
          <w:snapToGrid w:val="0"/>
          <w:color w:val="000000"/>
          <w:spacing w:val="7"/>
          <w:kern w:val="0"/>
          <w:sz w:val="31"/>
          <w:szCs w:val="31"/>
          <w:lang w:val="en-US" w:eastAsia="en-US" w:bidi="ar-SA"/>
        </w:rPr>
        <w:t>万元，根据省下达我</w:t>
      </w:r>
      <w:r>
        <w:rPr>
          <w:rFonts w:hint="eastAsia" w:ascii="仿宋" w:hAnsi="仿宋" w:eastAsia="仿宋" w:cs="仿宋"/>
          <w:snapToGrid w:val="0"/>
          <w:color w:val="000000"/>
          <w:spacing w:val="7"/>
          <w:kern w:val="0"/>
          <w:sz w:val="31"/>
          <w:szCs w:val="31"/>
          <w:lang w:val="en-US" w:eastAsia="zh-CN" w:bidi="ar-SA"/>
        </w:rPr>
        <w:t>区</w:t>
      </w:r>
      <w:r>
        <w:rPr>
          <w:rFonts w:hint="eastAsia" w:ascii="仿宋" w:hAnsi="仿宋" w:eastAsia="仿宋" w:cs="仿宋"/>
          <w:snapToGrid w:val="0"/>
          <w:color w:val="000000"/>
          <w:spacing w:val="7"/>
          <w:kern w:val="0"/>
          <w:sz w:val="31"/>
          <w:szCs w:val="31"/>
          <w:lang w:val="en-US" w:eastAsia="en-US" w:bidi="ar-SA"/>
        </w:rPr>
        <w:t>本级一般性转移支付收入数据填列。</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18.上级专项转移支付收入决算数8423万元，根据市下达我区本级专项转移支付收入数据填列。</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19.乡镇上解区本级收入决算数14246万元。</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20.地方政府一般债务转贷收入决算数6059万元。</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21.上年结余决算数11081万元，根据2023年区本级决算的结转下年数据填列。</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22.调入资金决算数19777万元。</w:t>
      </w:r>
    </w:p>
    <w:p>
      <w:pPr>
        <w:widowControl/>
        <w:spacing w:line="360" w:lineRule="atLeast"/>
        <w:ind w:firstLine="640"/>
        <w:jc w:val="left"/>
        <w:rPr>
          <w:rFonts w:hint="eastAsia" w:ascii="仿宋" w:hAnsi="仿宋" w:eastAsia="仿宋" w:cs="仿宋"/>
          <w:snapToGrid w:val="0"/>
          <w:color w:val="000000"/>
          <w:spacing w:val="7"/>
          <w:kern w:val="0"/>
          <w:sz w:val="31"/>
          <w:szCs w:val="31"/>
          <w:lang w:val="en-US" w:eastAsia="zh-CN" w:bidi="ar-SA"/>
        </w:rPr>
      </w:pPr>
      <w:r>
        <w:rPr>
          <w:rFonts w:hint="eastAsia" w:ascii="仿宋" w:hAnsi="仿宋" w:eastAsia="仿宋" w:cs="仿宋"/>
          <w:snapToGrid w:val="0"/>
          <w:color w:val="000000"/>
          <w:spacing w:val="7"/>
          <w:kern w:val="0"/>
          <w:sz w:val="31"/>
          <w:szCs w:val="31"/>
          <w:lang w:val="en-US" w:eastAsia="zh-CN" w:bidi="ar-SA"/>
        </w:rPr>
        <w:t>23.调入预算稳定调节基金790万元。</w:t>
      </w: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8"/>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8" w:hRule="atLeast"/>
        </w:trPr>
        <w:tc>
          <w:tcPr>
            <w:tcW w:w="7967"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烈山区2024年全区上级税收返还和转移支付收入决算表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5908"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59"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一、上级返还性收入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1.所得税基数返还收入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2.增值税税收返还收入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3.消费税税收返还收入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4.增值税“五五分享”税收返还收入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二、上级一般性转移支付收入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83690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体制补助收入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均衡性转移支付收入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县级基本财力保障机制奖补资金收入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结算补助收入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产粮(油)大县奖励资金收入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重点生态功能区转移支付收入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固定数额补助收入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巩固脱贫攻坚成果衔接乡村振兴转移支付收入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公共安全共同财政事权转移支付收入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教育共同财政事权转移支付收入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文化旅游体育与传媒共同财政事权转移支付收入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社会保障和就业共同财政事权转移支付收入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医疗卫生共同财政事权转移支付收入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节能环保共同财政事权转移支付收入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农林水共同财政事权转移支付收入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交通运输共同财政事权转移支付收入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住房保障共同财政事权转移支付收入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灾害防治及应急管理共同财政事权转移支付收入  </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增值税留抵退税转移支付收入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其他退税减税降费转移支付收入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补充县区财力转移支付收入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其他一般性转移支付收入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三、上级专项转移支付收入</w:t>
            </w:r>
          </w:p>
        </w:tc>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 xml:space="preserve">8423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一般公共服务</w:t>
            </w:r>
          </w:p>
        </w:tc>
        <w:tc>
          <w:tcPr>
            <w:tcW w:w="2059" w:type="dxa"/>
            <w:tcBorders>
              <w:top w:val="single" w:color="auto"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外交</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国防</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公共安全</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教育</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科学技术</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文化旅游体育与传媒</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社会保障和就业</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卫生健康</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节能环保</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城乡社区</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农林水</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交通运输</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资源勘探工业信息等</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商业服务业等</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金融</w:t>
            </w:r>
          </w:p>
        </w:tc>
        <w:tc>
          <w:tcPr>
            <w:tcW w:w="2059" w:type="dxa"/>
            <w:tcBorders>
              <w:top w:val="single" w:color="000000" w:sz="4" w:space="0"/>
              <w:left w:val="single" w:color="000000" w:sz="4" w:space="0"/>
              <w:bottom w:val="single" w:color="000000" w:sz="4" w:space="0"/>
              <w:right w:val="nil"/>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自然资源海洋气象等</w:t>
            </w:r>
          </w:p>
        </w:tc>
        <w:tc>
          <w:tcPr>
            <w:tcW w:w="2059"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住房保障</w:t>
            </w:r>
          </w:p>
        </w:tc>
        <w:tc>
          <w:tcPr>
            <w:tcW w:w="2059"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粮油物资储备</w:t>
            </w:r>
          </w:p>
        </w:tc>
        <w:tc>
          <w:tcPr>
            <w:tcW w:w="2059"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灾害防治及应急管理</w:t>
            </w:r>
          </w:p>
        </w:tc>
        <w:tc>
          <w:tcPr>
            <w:tcW w:w="2059" w:type="dxa"/>
            <w:tcBorders>
              <w:top w:val="single" w:color="000000" w:sz="4" w:space="0"/>
              <w:left w:val="single" w:color="000000" w:sz="4" w:space="0"/>
              <w:bottom w:val="single" w:color="000000" w:sz="4" w:space="0"/>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5908" w:type="dxa"/>
            <w:tcBorders>
              <w:top w:val="single" w:color="000000" w:sz="4" w:space="0"/>
              <w:left w:val="nil"/>
              <w:bottom w:val="nil"/>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其他收入</w:t>
            </w:r>
          </w:p>
        </w:tc>
        <w:tc>
          <w:tcPr>
            <w:tcW w:w="2059" w:type="dxa"/>
            <w:tcBorders>
              <w:top w:val="single" w:color="000000" w:sz="4" w:space="0"/>
              <w:left w:val="single" w:color="000000" w:sz="4" w:space="0"/>
              <w:bottom w:val="nil"/>
              <w:right w:val="nil"/>
            </w:tcBorders>
            <w:shd w:val="clear" w:color="auto" w:fill="auto"/>
            <w:vAlign w:val="bottom"/>
          </w:tcPr>
          <w:p>
            <w:pPr>
              <w:rPr>
                <w:rFonts w:hint="eastAsia" w:ascii="宋体" w:hAnsi="宋体" w:eastAsia="宋体" w:cs="宋体"/>
                <w:i w:val="0"/>
                <w:iCs w:val="0"/>
                <w:color w:val="000000"/>
                <w:sz w:val="19"/>
                <w:szCs w:val="19"/>
                <w:u w:val="none"/>
              </w:rPr>
            </w:pPr>
          </w:p>
        </w:tc>
      </w:tr>
    </w:tbl>
    <w:p>
      <w:pPr/>
    </w:p>
    <w:p>
      <w:pPr/>
    </w:p>
    <w:p>
      <w:pPr/>
    </w:p>
    <w:p>
      <w:pPr/>
    </w:p>
    <w:p>
      <w:pPr/>
    </w:p>
    <w:p>
      <w:pPr/>
    </w:p>
    <w:p>
      <w:pPr/>
    </w:p>
    <w:p>
      <w:pPr/>
    </w:p>
    <w:p>
      <w:pPr/>
    </w:p>
    <w:p>
      <w:pPr/>
    </w:p>
    <w:p>
      <w:pPr/>
    </w:p>
    <w:p>
      <w:pPr/>
    </w:p>
    <w:p>
      <w:pPr/>
    </w:p>
    <w:p>
      <w:pPr/>
    </w:p>
    <w:p>
      <w:pPr/>
    </w:p>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烈山区</w:t>
      </w:r>
      <w:r>
        <w:rPr>
          <w:rFonts w:hint="eastAsia" w:ascii="宋体" w:hAnsi="宋体" w:eastAsia="宋体" w:cs="宋体"/>
          <w:b/>
          <w:bCs/>
          <w:sz w:val="36"/>
          <w:szCs w:val="36"/>
        </w:rPr>
        <w:t>20</w:t>
      </w:r>
      <w:r>
        <w:rPr>
          <w:rFonts w:hint="eastAsia" w:ascii="宋体" w:hAnsi="宋体" w:eastAsia="宋体" w:cs="宋体"/>
          <w:b/>
          <w:bCs/>
          <w:sz w:val="36"/>
          <w:szCs w:val="36"/>
          <w:lang w:val="en-US" w:eastAsia="zh-CN"/>
        </w:rPr>
        <w:t>24</w:t>
      </w:r>
      <w:r>
        <w:rPr>
          <w:rFonts w:hint="eastAsia" w:ascii="宋体" w:hAnsi="宋体" w:eastAsia="宋体" w:cs="宋体"/>
          <w:b/>
          <w:bCs/>
          <w:sz w:val="36"/>
          <w:szCs w:val="36"/>
        </w:rPr>
        <w:t>年</w:t>
      </w:r>
      <w:r>
        <w:rPr>
          <w:rFonts w:hint="eastAsia" w:ascii="宋体" w:hAnsi="宋体" w:eastAsia="宋体" w:cs="宋体"/>
          <w:b/>
          <w:bCs/>
          <w:sz w:val="36"/>
          <w:szCs w:val="36"/>
          <w:lang w:eastAsia="zh-CN"/>
        </w:rPr>
        <w:t>上级税收返还和</w:t>
      </w:r>
      <w:r>
        <w:rPr>
          <w:rFonts w:hint="eastAsia" w:ascii="宋体" w:hAnsi="宋体" w:eastAsia="宋体" w:cs="宋体"/>
          <w:b/>
          <w:bCs/>
          <w:sz w:val="36"/>
          <w:szCs w:val="36"/>
        </w:rPr>
        <w:t>转移支付</w:t>
      </w:r>
      <w:r>
        <w:rPr>
          <w:rFonts w:hint="eastAsia" w:ascii="宋体" w:hAnsi="宋体" w:eastAsia="宋体" w:cs="宋体"/>
          <w:b/>
          <w:bCs/>
          <w:sz w:val="36"/>
          <w:szCs w:val="36"/>
          <w:lang w:eastAsia="zh-CN"/>
        </w:rPr>
        <w:t>收入</w:t>
      </w:r>
      <w:r>
        <w:rPr>
          <w:rFonts w:hint="eastAsia" w:ascii="宋体" w:hAnsi="宋体" w:eastAsia="宋体" w:cs="宋体"/>
          <w:b/>
          <w:bCs/>
          <w:sz w:val="36"/>
          <w:szCs w:val="36"/>
        </w:rPr>
        <w:t>情况</w:t>
      </w:r>
      <w:r>
        <w:rPr>
          <w:rFonts w:hint="eastAsia" w:ascii="宋体" w:hAnsi="宋体" w:eastAsia="宋体" w:cs="宋体"/>
          <w:b/>
          <w:bCs/>
          <w:sz w:val="36"/>
          <w:szCs w:val="36"/>
          <w:lang w:eastAsia="zh-CN"/>
        </w:rPr>
        <w:t>的</w:t>
      </w:r>
      <w:r>
        <w:rPr>
          <w:rFonts w:hint="eastAsia" w:ascii="宋体" w:hAnsi="宋体" w:eastAsia="宋体" w:cs="宋体"/>
          <w:b/>
          <w:bCs/>
          <w:sz w:val="36"/>
          <w:szCs w:val="36"/>
        </w:rPr>
        <w:t>说明</w:t>
      </w:r>
    </w:p>
    <w:p>
      <w:pPr>
        <w:rPr>
          <w:rFonts w:ascii="Times New Roman" w:hAnsi="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 xml:space="preserve"> 一、</w:t>
      </w:r>
      <w:r>
        <w:rPr>
          <w:rFonts w:hint="eastAsia" w:ascii="仿宋" w:hAnsi="仿宋" w:eastAsia="仿宋" w:cs="仿宋"/>
          <w:snapToGrid w:val="0"/>
          <w:color w:val="000000"/>
          <w:spacing w:val="7"/>
          <w:kern w:val="0"/>
          <w:sz w:val="31"/>
          <w:szCs w:val="31"/>
          <w:lang w:val="en-US" w:eastAsia="zh-CN" w:bidi="ar-SA"/>
        </w:rPr>
        <w:t>上级税收</w:t>
      </w:r>
      <w:r>
        <w:rPr>
          <w:rFonts w:hint="eastAsia" w:ascii="仿宋" w:hAnsi="仿宋" w:eastAsia="仿宋" w:cs="仿宋"/>
          <w:sz w:val="31"/>
          <w:szCs w:val="31"/>
          <w:lang w:eastAsia="zh-CN"/>
        </w:rPr>
        <w:t>返还收入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2024年上级税收返还数为0万元。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lang w:eastAsia="zh-CN"/>
        </w:rPr>
        <w:t>二、一般性转移支付收入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lang w:val="en-US" w:eastAsia="zh-CN"/>
        </w:rPr>
        <w:t>2024年</w:t>
      </w:r>
      <w:r>
        <w:rPr>
          <w:rFonts w:hint="eastAsia" w:ascii="仿宋" w:hAnsi="仿宋" w:eastAsia="仿宋" w:cs="仿宋"/>
          <w:sz w:val="31"/>
          <w:szCs w:val="31"/>
        </w:rPr>
        <w:t>一般性转移支付收入</w:t>
      </w:r>
      <w:r>
        <w:rPr>
          <w:rFonts w:hint="eastAsia" w:ascii="仿宋" w:hAnsi="仿宋" w:eastAsia="仿宋" w:cs="仿宋"/>
          <w:sz w:val="31"/>
          <w:szCs w:val="31"/>
        </w:rPr>
        <w:tab/>
      </w:r>
      <w:r>
        <w:rPr>
          <w:rFonts w:hint="eastAsia" w:ascii="仿宋" w:hAnsi="仿宋" w:eastAsia="仿宋" w:cs="仿宋"/>
          <w:sz w:val="31"/>
          <w:szCs w:val="31"/>
        </w:rPr>
        <w:t>83690</w:t>
      </w:r>
      <w:r>
        <w:rPr>
          <w:rFonts w:hint="eastAsia" w:ascii="仿宋" w:hAnsi="仿宋" w:eastAsia="仿宋" w:cs="仿宋"/>
          <w:sz w:val="31"/>
          <w:szCs w:val="31"/>
          <w:lang w:eastAsia="zh-CN"/>
        </w:rPr>
        <w:t>万元，比上年减少</w:t>
      </w:r>
      <w:r>
        <w:rPr>
          <w:rFonts w:hint="eastAsia" w:ascii="仿宋" w:hAnsi="仿宋" w:eastAsia="仿宋" w:cs="仿宋"/>
          <w:sz w:val="31"/>
          <w:szCs w:val="31"/>
          <w:lang w:val="en-US" w:eastAsia="zh-CN"/>
        </w:rPr>
        <w:t>14659</w:t>
      </w:r>
      <w:r>
        <w:rPr>
          <w:rFonts w:hint="eastAsia" w:ascii="仿宋" w:hAnsi="仿宋" w:eastAsia="仿宋" w:cs="仿宋"/>
          <w:sz w:val="31"/>
          <w:szCs w:val="31"/>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b w:val="0"/>
          <w:bCs/>
          <w:sz w:val="31"/>
          <w:szCs w:val="31"/>
          <w:lang w:eastAsia="zh-CN"/>
        </w:rPr>
      </w:pPr>
      <w:r>
        <w:rPr>
          <w:rFonts w:hint="eastAsia" w:ascii="仿宋" w:hAnsi="仿宋" w:eastAsia="仿宋" w:cs="仿宋"/>
          <w:b w:val="0"/>
          <w:bCs/>
          <w:sz w:val="31"/>
          <w:szCs w:val="31"/>
          <w:lang w:eastAsia="zh-CN"/>
        </w:rPr>
        <w:t>三、</w:t>
      </w:r>
      <w:r>
        <w:rPr>
          <w:rFonts w:hint="eastAsia" w:ascii="仿宋" w:hAnsi="仿宋" w:eastAsia="仿宋" w:cs="仿宋"/>
          <w:b w:val="0"/>
          <w:bCs/>
          <w:sz w:val="31"/>
          <w:szCs w:val="31"/>
        </w:rPr>
        <w:t>专项转移支付收入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b/>
          <w:sz w:val="31"/>
          <w:szCs w:val="31"/>
        </w:rPr>
      </w:pPr>
      <w:r>
        <w:rPr>
          <w:rFonts w:hint="eastAsia" w:ascii="仿宋" w:hAnsi="仿宋" w:eastAsia="仿宋" w:cs="仿宋"/>
          <w:sz w:val="31"/>
          <w:szCs w:val="31"/>
          <w:lang w:val="en-US" w:eastAsia="zh-CN"/>
        </w:rPr>
        <w:t>2024年专项转移支付收入8423万元，比上年减少8976万元。</w:t>
      </w:r>
      <w:r>
        <w:rPr>
          <w:rFonts w:hint="eastAsia" w:ascii="仿宋" w:hAnsi="仿宋" w:eastAsia="仿宋" w:cs="仿宋"/>
          <w:sz w:val="31"/>
          <w:szCs w:val="31"/>
        </w:rPr>
        <w:t>其中: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一般公共服务</w:t>
      </w:r>
      <w:r>
        <w:rPr>
          <w:rFonts w:hint="eastAsia" w:ascii="仿宋" w:hAnsi="仿宋" w:eastAsia="仿宋" w:cs="仿宋"/>
          <w:sz w:val="31"/>
          <w:szCs w:val="31"/>
          <w:lang w:val="en-US" w:eastAsia="zh-CN"/>
        </w:rPr>
        <w:t>93万元；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社会保障和就业</w:t>
      </w:r>
      <w:r>
        <w:rPr>
          <w:rFonts w:hint="eastAsia" w:ascii="仿宋" w:hAnsi="仿宋" w:eastAsia="仿宋" w:cs="仿宋"/>
          <w:sz w:val="31"/>
          <w:szCs w:val="31"/>
          <w:lang w:val="en-US" w:eastAsia="zh-CN"/>
        </w:rPr>
        <w:t>165万元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eastAsia="zh-CN"/>
        </w:rPr>
        <w:t>卫生健康</w:t>
      </w:r>
      <w:r>
        <w:rPr>
          <w:rFonts w:hint="eastAsia" w:ascii="仿宋" w:hAnsi="仿宋" w:eastAsia="仿宋" w:cs="仿宋"/>
          <w:sz w:val="31"/>
          <w:szCs w:val="31"/>
          <w:lang w:val="en-US" w:eastAsia="zh-CN"/>
        </w:rPr>
        <w:t>83万元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节能环保</w:t>
      </w:r>
      <w:r>
        <w:rPr>
          <w:rFonts w:hint="eastAsia" w:ascii="仿宋" w:hAnsi="仿宋" w:eastAsia="仿宋" w:cs="仿宋"/>
          <w:sz w:val="31"/>
          <w:szCs w:val="31"/>
          <w:lang w:val="en-US" w:eastAsia="zh-CN"/>
        </w:rPr>
        <w:t>2803万元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城乡社区</w:t>
      </w:r>
      <w:r>
        <w:rPr>
          <w:rFonts w:hint="eastAsia" w:ascii="仿宋" w:hAnsi="仿宋" w:eastAsia="仿宋" w:cs="仿宋"/>
          <w:sz w:val="31"/>
          <w:szCs w:val="31"/>
          <w:lang w:val="en-US" w:eastAsia="zh-CN"/>
        </w:rPr>
        <w:t>3507万元；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农林水</w:t>
      </w:r>
      <w:r>
        <w:rPr>
          <w:rFonts w:hint="eastAsia" w:ascii="仿宋" w:hAnsi="仿宋" w:eastAsia="仿宋" w:cs="仿宋"/>
          <w:sz w:val="31"/>
          <w:szCs w:val="31"/>
          <w:lang w:val="en-US" w:eastAsia="zh-CN"/>
        </w:rPr>
        <w:t>381万元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资源勘探</w:t>
      </w:r>
      <w:r>
        <w:rPr>
          <w:rFonts w:hint="eastAsia" w:ascii="仿宋" w:hAnsi="仿宋" w:eastAsia="仿宋" w:cs="仿宋"/>
          <w:sz w:val="31"/>
          <w:szCs w:val="31"/>
          <w:lang w:eastAsia="zh-CN"/>
        </w:rPr>
        <w:t>工业</w:t>
      </w:r>
      <w:r>
        <w:rPr>
          <w:rFonts w:hint="eastAsia" w:ascii="仿宋" w:hAnsi="仿宋" w:eastAsia="仿宋" w:cs="仿宋"/>
          <w:sz w:val="31"/>
          <w:szCs w:val="31"/>
        </w:rPr>
        <w:t>信息</w:t>
      </w:r>
      <w:r>
        <w:rPr>
          <w:rFonts w:hint="eastAsia" w:ascii="仿宋" w:hAnsi="仿宋" w:eastAsia="仿宋" w:cs="仿宋"/>
          <w:sz w:val="31"/>
          <w:szCs w:val="31"/>
          <w:lang w:eastAsia="zh-CN"/>
        </w:rPr>
        <w:t>等</w:t>
      </w:r>
      <w:r>
        <w:rPr>
          <w:rFonts w:hint="eastAsia" w:ascii="仿宋" w:hAnsi="仿宋" w:eastAsia="仿宋" w:cs="仿宋"/>
          <w:sz w:val="31"/>
          <w:szCs w:val="31"/>
          <w:lang w:val="en-US" w:eastAsia="zh-CN"/>
        </w:rPr>
        <w:t>229万元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商业服务业等</w:t>
      </w:r>
      <w:r>
        <w:rPr>
          <w:rFonts w:hint="eastAsia" w:ascii="仿宋" w:hAnsi="仿宋" w:eastAsia="仿宋" w:cs="仿宋"/>
          <w:sz w:val="31"/>
          <w:szCs w:val="31"/>
          <w:lang w:val="en-US" w:eastAsia="zh-CN"/>
        </w:rPr>
        <w:t>50万元</w:t>
      </w:r>
      <w:r>
        <w:rPr>
          <w:rFonts w:hint="eastAsia" w:ascii="仿宋" w:hAnsi="仿宋" w:eastAsia="仿宋" w:cs="仿宋"/>
          <w:sz w:val="31"/>
          <w:szCs w:val="31"/>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eastAsia="zh-CN"/>
        </w:rPr>
        <w:t>自然资源海洋气象</w:t>
      </w:r>
      <w:r>
        <w:rPr>
          <w:rFonts w:hint="eastAsia" w:ascii="仿宋" w:hAnsi="仿宋" w:eastAsia="仿宋" w:cs="仿宋"/>
          <w:sz w:val="31"/>
          <w:szCs w:val="31"/>
        </w:rPr>
        <w:t>等</w:t>
      </w:r>
      <w:r>
        <w:rPr>
          <w:rFonts w:hint="eastAsia" w:ascii="仿宋" w:hAnsi="仿宋" w:eastAsia="仿宋" w:cs="仿宋"/>
          <w:sz w:val="31"/>
          <w:szCs w:val="31"/>
          <w:lang w:val="en-US" w:eastAsia="zh-CN"/>
        </w:rPr>
        <w:t>200</w:t>
      </w:r>
      <w:r>
        <w:rPr>
          <w:rFonts w:hint="eastAsia" w:ascii="仿宋" w:hAnsi="仿宋" w:eastAsia="仿宋" w:cs="仿宋"/>
          <w:sz w:val="31"/>
          <w:szCs w:val="31"/>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rPr>
        <w:t>住房保障</w:t>
      </w:r>
      <w:r>
        <w:rPr>
          <w:rFonts w:hint="eastAsia" w:ascii="仿宋" w:hAnsi="仿宋" w:eastAsia="仿宋" w:cs="仿宋"/>
          <w:sz w:val="31"/>
          <w:szCs w:val="31"/>
          <w:lang w:val="en-US" w:eastAsia="zh-CN"/>
        </w:rPr>
        <w:t>313万元；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rPr>
      </w:pPr>
      <w:r>
        <w:rPr>
          <w:rFonts w:hint="eastAsia" w:ascii="仿宋" w:hAnsi="仿宋" w:eastAsia="仿宋" w:cs="仿宋"/>
          <w:sz w:val="31"/>
          <w:szCs w:val="31"/>
          <w:lang w:val="en-US" w:eastAsia="zh-CN"/>
        </w:rPr>
        <w:t>粮油物资储备98万元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仿宋" w:hAnsi="仿宋" w:eastAsia="仿宋" w:cs="仿宋"/>
          <w:sz w:val="31"/>
          <w:szCs w:val="31"/>
          <w:lang w:val="en-US" w:eastAsia="zh-CN"/>
        </w:rPr>
      </w:pPr>
      <w:r>
        <w:rPr>
          <w:rFonts w:hint="eastAsia" w:ascii="仿宋" w:hAnsi="仿宋" w:eastAsia="仿宋" w:cs="仿宋"/>
          <w:sz w:val="31"/>
          <w:szCs w:val="31"/>
        </w:rPr>
        <w:t>灾害防治及应急管理</w:t>
      </w:r>
      <w:r>
        <w:rPr>
          <w:rFonts w:hint="eastAsia" w:ascii="仿宋" w:hAnsi="仿宋" w:eastAsia="仿宋" w:cs="仿宋"/>
          <w:sz w:val="31"/>
          <w:szCs w:val="31"/>
          <w:lang w:eastAsia="zh-CN"/>
        </w:rPr>
        <w:t>等</w:t>
      </w:r>
      <w:r>
        <w:rPr>
          <w:rFonts w:hint="eastAsia" w:ascii="仿宋" w:hAnsi="仿宋" w:eastAsia="仿宋" w:cs="仿宋"/>
          <w:sz w:val="31"/>
          <w:szCs w:val="31"/>
          <w:lang w:val="en-US" w:eastAsia="zh-CN"/>
        </w:rPr>
        <w:t>501万元。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1"/>
          <w:szCs w:val="31"/>
          <w:lang w:val="en-US" w:eastAsia="zh-CN"/>
        </w:rPr>
      </w:pPr>
    </w:p>
    <w:tbl>
      <w:tblPr>
        <w:tblStyle w:val="8"/>
        <w:tblW w:w="8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1"/>
        <w:gridCol w:w="335"/>
        <w:gridCol w:w="715"/>
        <w:gridCol w:w="285"/>
        <w:gridCol w:w="751"/>
        <w:gridCol w:w="242"/>
        <w:gridCol w:w="849"/>
        <w:gridCol w:w="126"/>
        <w:gridCol w:w="910"/>
        <w:gridCol w:w="125"/>
        <w:gridCol w:w="1089"/>
        <w:gridCol w:w="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27" w:type="dxa"/>
          <w:trHeight w:val="660" w:hRule="atLeast"/>
        </w:trPr>
        <w:tc>
          <w:tcPr>
            <w:tcW w:w="8158"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烈山区2024年全区一般公共预算支出决算表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420" w:hRule="atLeast"/>
        </w:trPr>
        <w:tc>
          <w:tcPr>
            <w:tcW w:w="27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0"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91"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6"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14"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667"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支  出  项  目</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预算数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调整预算数</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决算数</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为预算的％</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一、一般公共服务支出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15,678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12,816</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12,806</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99.9%</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二、外交支出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三、国防支出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四、公共安全支出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1,352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607</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五、教育支出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38,222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45,103</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44,702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99.1%</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六、科学技术支出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2,183</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8,807</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8,807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37"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七、文化旅游体育与传媒支出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1,602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2,650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八、社会保障和就业支出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25,990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30,444</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30,363</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99.7%</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22"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九、卫生健康支出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11,889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13,026</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13,026</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十、节能环保支出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1,830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2,973</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2,084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70.1%</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十一、城乡社区支出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24,969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18,272</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18,272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十二、农林水支出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7,762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22,928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22,928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1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十三、交通运输支出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2,160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53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十四、资源勘探工业信息等支出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十五、商业服务业等支出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十六、金融支出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十七、援助其他地区支出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十八、自然资源海洋气象等支出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687</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112</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十九、住房保障支出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10,965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10,151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10,151</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68"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二十、粮油物资储备支出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57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二十一、灾害防治及应急管理支出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1,874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1,389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1,170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84.2%</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二十二、预备费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1,400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二十三、其他支出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210</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二十四、债务付息支出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1,291</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1,375</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462"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二十五、债务发行费用支出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2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本 年 支 出 合 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147944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173392 </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171430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98.9%</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一般债务还本支出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2196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68"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上解支出</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6517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调出资金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09"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补充预算稳定调节基金</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228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296"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结转下年</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1962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27" w:type="dxa"/>
          <w:trHeight w:val="36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支  出  合  计</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182333 </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385"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烈山区2024年区本级一般公共预算支出决算表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3066"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000"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93"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75"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035" w:type="dxa"/>
            <w:gridSpan w:val="2"/>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316"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支  出  项  目</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预算数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调整预算数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决算数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为预算的％</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一、一般公共服务支出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11083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8221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8211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99.88%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二、外交支出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三、国防支出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四、公共安全支出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1352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607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五、教育支出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38210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45085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44684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99.11%</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六、科学技术支出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2133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8757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8757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七、文化旅游体育与传媒支出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1602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2650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2650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八、社会保障和就业支出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23668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28197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28191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99.98%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九、卫生健康支出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11005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12142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十、节能环保支出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954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2097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1208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57.61%</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十一、城乡社区支出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19565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13105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13105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十二、农林水支出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4084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19019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19019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十三、交通运输支出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2160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2160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十四、资源勘探工业信息等支出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229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十五、商业服务业等支出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FF0000"/>
                <w:kern w:val="0"/>
                <w:sz w:val="19"/>
                <w:szCs w:val="19"/>
                <w:u w:val="none"/>
                <w:lang w:val="en-US" w:eastAsia="zh-CN" w:bidi="ar"/>
              </w:rPr>
              <w:t>(5)</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十六、金融支出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40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十七、援助其他地区支出</w:t>
            </w:r>
          </w:p>
        </w:tc>
        <w:tc>
          <w:tcPr>
            <w:tcW w:w="1000" w:type="dxa"/>
            <w:gridSpan w:val="2"/>
            <w:tcBorders>
              <w:top w:val="nil"/>
              <w:left w:val="nil"/>
              <w:bottom w:val="nil"/>
              <w:right w:val="nil"/>
            </w:tcBorders>
            <w:shd w:val="clear" w:color="auto" w:fill="FFFFFF"/>
            <w:vAlign w:val="bottom"/>
          </w:tcPr>
          <w:p>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十八、自然资源海洋气象等支出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629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54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38.03%</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十九、住房保障支出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10462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9648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9648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二十、粮油物资储备支出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98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二十一、灾害防治及应急管理支出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1874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1170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84.23%</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二十二、预备费</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1400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二十三、其他支出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59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二十四、债务付息支出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1291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1375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1375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二十五、债务发行费用支出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5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本 年 支 出 合 计</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129557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155080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153193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98.78%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补助镇办支出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18237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一般债务还本支出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2196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上解支出</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6517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调出资金</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补充预算稳定调节基金</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    结转下年</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 xml:space="preserve">1887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bottom"/>
          </w:tcPr>
          <w:p>
            <w:pPr>
              <w:rPr>
                <w:rFonts w:hint="eastAsia" w:ascii="宋体" w:hAnsi="宋体" w:eastAsia="宋体" w:cs="宋体"/>
                <w:i w:val="0"/>
                <w:iCs w:val="0"/>
                <w:color w:val="00000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支  出  合  计</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9"/>
                <w:szCs w:val="19"/>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19"/>
                <w:szCs w:val="19"/>
                <w:u w:val="none"/>
              </w:rPr>
            </w:pPr>
            <w:r>
              <w:rPr>
                <w:rFonts w:hint="eastAsia" w:ascii="黑体" w:hAnsi="宋体" w:eastAsia="黑体" w:cs="黑体"/>
                <w:i w:val="0"/>
                <w:iCs w:val="0"/>
                <w:color w:val="000000"/>
                <w:kern w:val="0"/>
                <w:sz w:val="19"/>
                <w:szCs w:val="19"/>
                <w:u w:val="none"/>
                <w:lang w:val="en-US" w:eastAsia="zh-CN" w:bidi="ar"/>
              </w:rPr>
              <w:t xml:space="preserve">182048 </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19"/>
                <w:szCs w:val="19"/>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19"/>
                <w:szCs w:val="19"/>
                <w:u w:val="none"/>
              </w:rPr>
            </w:pP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jc w:val="center"/>
        <w:rPr>
          <w:rFonts w:hint="eastAsia" w:ascii="宋体" w:hAnsi="宋体"/>
          <w:b/>
          <w:color w:val="000000"/>
          <w:sz w:val="44"/>
          <w:szCs w:val="44"/>
        </w:rPr>
      </w:pPr>
      <w:r>
        <w:rPr>
          <w:rFonts w:hint="eastAsia" w:ascii="宋体" w:hAnsi="宋体"/>
          <w:b/>
          <w:color w:val="000000"/>
          <w:sz w:val="36"/>
          <w:szCs w:val="36"/>
        </w:rPr>
        <w:t>关于</w:t>
      </w:r>
      <w:r>
        <w:rPr>
          <w:rFonts w:hint="eastAsia" w:ascii="宋体" w:hAnsi="宋体"/>
          <w:b/>
          <w:color w:val="000000"/>
          <w:sz w:val="36"/>
          <w:szCs w:val="36"/>
          <w:lang w:val="en-US" w:eastAsia="zh-CN"/>
        </w:rPr>
        <w:t>烈山区2024</w:t>
      </w:r>
      <w:r>
        <w:rPr>
          <w:rFonts w:hint="eastAsia" w:ascii="宋体" w:hAnsi="宋体"/>
          <w:b/>
          <w:color w:val="000000"/>
          <w:sz w:val="36"/>
          <w:szCs w:val="36"/>
        </w:rPr>
        <w:t>年</w:t>
      </w:r>
      <w:r>
        <w:rPr>
          <w:rFonts w:hint="eastAsia" w:ascii="宋体" w:hAnsi="宋体"/>
          <w:b/>
          <w:color w:val="000000"/>
          <w:sz w:val="36"/>
          <w:szCs w:val="36"/>
          <w:lang w:val="en-US" w:eastAsia="zh-CN"/>
        </w:rPr>
        <w:t>区</w:t>
      </w:r>
      <w:r>
        <w:rPr>
          <w:rFonts w:hint="eastAsia" w:ascii="宋体" w:hAnsi="宋体"/>
          <w:b/>
          <w:color w:val="000000"/>
          <w:sz w:val="36"/>
          <w:szCs w:val="36"/>
        </w:rPr>
        <w:t>本级一般公共预算支出决算情况的说明</w:t>
      </w:r>
    </w:p>
    <w:p>
      <w:pPr>
        <w:pStyle w:val="4"/>
        <w:spacing w:before="0" w:beforeAutospacing="0" w:after="0" w:afterAutospacing="0" w:line="580" w:lineRule="atLeast"/>
        <w:ind w:firstLine="640"/>
        <w:rPr>
          <w:rFonts w:hint="eastAsia" w:ascii="仿宋_GB2312" w:eastAsia="仿宋_GB2312"/>
          <w:color w:val="000000"/>
          <w:sz w:val="32"/>
          <w:szCs w:val="32"/>
        </w:rPr>
      </w:pP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lang w:val="en-US" w:eastAsia="zh-CN"/>
        </w:rPr>
        <w:t>烈山区2024</w:t>
      </w:r>
      <w:r>
        <w:rPr>
          <w:rFonts w:hint="eastAsia" w:ascii="仿宋_GB2312" w:eastAsia="仿宋_GB2312"/>
          <w:color w:val="000000"/>
          <w:sz w:val="31"/>
          <w:szCs w:val="31"/>
        </w:rPr>
        <w:t>年</w:t>
      </w:r>
      <w:r>
        <w:rPr>
          <w:rFonts w:hint="eastAsia" w:ascii="仿宋_GB2312" w:eastAsia="仿宋_GB2312"/>
          <w:color w:val="000000"/>
          <w:sz w:val="31"/>
          <w:szCs w:val="31"/>
          <w:lang w:val="en-US" w:eastAsia="zh-CN"/>
        </w:rPr>
        <w:t>区</w:t>
      </w:r>
      <w:r>
        <w:rPr>
          <w:rFonts w:hint="eastAsia" w:ascii="仿宋_GB2312" w:eastAsia="仿宋_GB2312"/>
          <w:color w:val="000000"/>
          <w:sz w:val="31"/>
          <w:szCs w:val="31"/>
        </w:rPr>
        <w:t>本级一般公共预算支出预算数(是指年初预算数,加上级追加、预算调整等，减去拨付各乡镇后，形成的调整预算数，下同)为</w:t>
      </w:r>
      <w:r>
        <w:rPr>
          <w:rFonts w:hint="eastAsia" w:ascii="仿宋_GB2312" w:eastAsia="仿宋_GB2312"/>
          <w:color w:val="000000"/>
          <w:sz w:val="31"/>
          <w:szCs w:val="31"/>
          <w:lang w:val="en-US" w:eastAsia="zh-CN"/>
        </w:rPr>
        <w:t>155080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153193</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98.8</w:t>
      </w:r>
      <w:r>
        <w:rPr>
          <w:rFonts w:hint="eastAsia" w:ascii="仿宋_GB2312" w:eastAsia="仿宋_GB2312"/>
          <w:color w:val="000000"/>
          <w:sz w:val="31"/>
          <w:szCs w:val="31"/>
        </w:rPr>
        <w:t>%。具体情况如下：</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1.一般公共服务支出预算数为</w:t>
      </w:r>
      <w:r>
        <w:rPr>
          <w:rFonts w:hint="eastAsia" w:ascii="仿宋_GB2312" w:eastAsia="仿宋_GB2312"/>
          <w:color w:val="000000"/>
          <w:sz w:val="31"/>
          <w:szCs w:val="31"/>
          <w:lang w:val="en-US" w:eastAsia="zh-CN"/>
        </w:rPr>
        <w:t>8221</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8211</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99.9</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2.公共安全支出预算数为</w:t>
      </w:r>
      <w:r>
        <w:rPr>
          <w:rFonts w:hint="eastAsia" w:ascii="仿宋_GB2312" w:eastAsia="仿宋_GB2312"/>
          <w:color w:val="000000"/>
          <w:sz w:val="31"/>
          <w:szCs w:val="31"/>
          <w:lang w:val="en-US" w:eastAsia="zh-CN"/>
        </w:rPr>
        <w:t>607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607</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3.教育支出预算数为</w:t>
      </w:r>
      <w:r>
        <w:rPr>
          <w:rFonts w:hint="eastAsia" w:ascii="仿宋_GB2312" w:eastAsia="仿宋_GB2312"/>
          <w:color w:val="000000"/>
          <w:sz w:val="31"/>
          <w:szCs w:val="31"/>
          <w:lang w:val="en-US" w:eastAsia="zh-CN"/>
        </w:rPr>
        <w:t>45085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44684</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99.1</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4.科学技术支出预算数为</w:t>
      </w:r>
      <w:r>
        <w:rPr>
          <w:rFonts w:hint="eastAsia" w:ascii="仿宋_GB2312" w:eastAsia="仿宋_GB2312"/>
          <w:color w:val="000000"/>
          <w:sz w:val="31"/>
          <w:szCs w:val="31"/>
          <w:lang w:val="en-US" w:eastAsia="zh-CN"/>
        </w:rPr>
        <w:t>8757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8757</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5.文化旅游体育与传媒支出预算数为</w:t>
      </w:r>
      <w:r>
        <w:rPr>
          <w:rFonts w:hint="eastAsia" w:ascii="仿宋_GB2312" w:eastAsia="仿宋_GB2312"/>
          <w:color w:val="000000"/>
          <w:sz w:val="31"/>
          <w:szCs w:val="31"/>
          <w:lang w:val="en-US" w:eastAsia="zh-CN"/>
        </w:rPr>
        <w:t>2650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2650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6.社会保障和就业支出预算数为</w:t>
      </w:r>
      <w:r>
        <w:rPr>
          <w:rFonts w:hint="eastAsia" w:ascii="仿宋_GB2312" w:eastAsia="仿宋_GB2312"/>
          <w:color w:val="000000"/>
          <w:sz w:val="31"/>
          <w:szCs w:val="31"/>
          <w:lang w:val="en-US" w:eastAsia="zh-CN"/>
        </w:rPr>
        <w:t>28197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28191</w:t>
      </w:r>
      <w:r>
        <w:rPr>
          <w:rFonts w:hint="eastAsia" w:ascii="仿宋_GB2312" w:eastAsia="仿宋_GB2312"/>
          <w:color w:val="000000"/>
          <w:sz w:val="31"/>
          <w:szCs w:val="31"/>
        </w:rPr>
        <w:t>万元，完成预算的10</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7.卫生健康支出预算数为</w:t>
      </w:r>
      <w:r>
        <w:rPr>
          <w:rFonts w:hint="eastAsia" w:ascii="仿宋_GB2312" w:eastAsia="仿宋_GB2312"/>
          <w:color w:val="000000"/>
          <w:sz w:val="31"/>
          <w:szCs w:val="31"/>
          <w:lang w:val="en-US" w:eastAsia="zh-CN"/>
        </w:rPr>
        <w:t>12142</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12142</w:t>
      </w:r>
      <w:r>
        <w:rPr>
          <w:rFonts w:hint="eastAsia" w:ascii="仿宋_GB2312" w:eastAsia="仿宋_GB2312"/>
          <w:color w:val="000000"/>
          <w:sz w:val="31"/>
          <w:szCs w:val="31"/>
        </w:rPr>
        <w:t>万元，完成预算的10</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8.节能环保支出预算数为</w:t>
      </w:r>
      <w:r>
        <w:rPr>
          <w:rFonts w:hint="eastAsia" w:ascii="仿宋_GB2312" w:eastAsia="仿宋_GB2312"/>
          <w:color w:val="000000"/>
          <w:sz w:val="31"/>
          <w:szCs w:val="31"/>
          <w:lang w:val="en-US" w:eastAsia="zh-CN"/>
        </w:rPr>
        <w:t>2097</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1208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57.6</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9.城乡社区支出预算数为</w:t>
      </w:r>
      <w:r>
        <w:rPr>
          <w:rFonts w:hint="eastAsia" w:ascii="仿宋_GB2312" w:eastAsia="仿宋_GB2312"/>
          <w:color w:val="000000"/>
          <w:sz w:val="31"/>
          <w:szCs w:val="31"/>
          <w:lang w:val="en-US" w:eastAsia="zh-CN"/>
        </w:rPr>
        <w:t>13105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13105</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10.农林水支出预算数为</w:t>
      </w:r>
      <w:r>
        <w:rPr>
          <w:rFonts w:hint="eastAsia" w:ascii="仿宋_GB2312" w:eastAsia="仿宋_GB2312"/>
          <w:color w:val="000000"/>
          <w:sz w:val="31"/>
          <w:szCs w:val="31"/>
          <w:lang w:val="en-US" w:eastAsia="zh-CN"/>
        </w:rPr>
        <w:t>19019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19019</w:t>
      </w:r>
      <w:r>
        <w:rPr>
          <w:rFonts w:hint="eastAsia" w:ascii="仿宋_GB2312" w:eastAsia="仿宋_GB2312"/>
          <w:color w:val="000000"/>
          <w:sz w:val="31"/>
          <w:szCs w:val="31"/>
        </w:rPr>
        <w:t>万元，完成预算的1</w:t>
      </w:r>
      <w:r>
        <w:rPr>
          <w:rFonts w:hint="eastAsia" w:ascii="仿宋_GB2312" w:eastAsia="仿宋_GB2312"/>
          <w:color w:val="000000"/>
          <w:sz w:val="31"/>
          <w:szCs w:val="31"/>
          <w:lang w:val="en-US" w:eastAsia="zh-CN"/>
        </w:rPr>
        <w:t>00</w:t>
      </w:r>
      <w:r>
        <w:rPr>
          <w:rFonts w:hint="eastAsia" w:ascii="仿宋_GB2312" w:eastAsia="仿宋_GB2312"/>
          <w:color w:val="000000"/>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11.交通运输支出预算数为</w:t>
      </w:r>
      <w:r>
        <w:rPr>
          <w:rFonts w:hint="eastAsia" w:ascii="仿宋_GB2312" w:eastAsia="仿宋_GB2312"/>
          <w:color w:val="000000"/>
          <w:sz w:val="31"/>
          <w:szCs w:val="31"/>
          <w:lang w:val="en-US" w:eastAsia="zh-CN"/>
        </w:rPr>
        <w:t>2160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2160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12.资源勘探信息等支出预算数为</w:t>
      </w:r>
      <w:r>
        <w:rPr>
          <w:rFonts w:hint="eastAsia" w:ascii="仿宋_GB2312" w:eastAsia="仿宋_GB2312"/>
          <w:color w:val="000000"/>
          <w:sz w:val="31"/>
          <w:szCs w:val="31"/>
          <w:lang w:val="en-US" w:eastAsia="zh-CN"/>
        </w:rPr>
        <w:t>229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万元</w:t>
      </w:r>
      <w:r>
        <w:rPr>
          <w:rFonts w:hint="eastAsia" w:ascii="仿宋_GB2312" w:eastAsia="仿宋_GB2312"/>
          <w:color w:val="000000"/>
          <w:sz w:val="31"/>
          <w:szCs w:val="31"/>
          <w:lang w:eastAsia="zh-CN"/>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13.商业服务业等支出预算数为</w:t>
      </w:r>
      <w:r>
        <w:rPr>
          <w:rFonts w:hint="eastAsia" w:ascii="仿宋_GB2312" w:eastAsia="仿宋_GB2312"/>
          <w:color w:val="000000"/>
          <w:sz w:val="31"/>
          <w:szCs w:val="31"/>
          <w:lang w:val="en-US" w:eastAsia="zh-CN"/>
        </w:rPr>
        <w:t>45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0</w:t>
      </w:r>
      <w:r>
        <w:rPr>
          <w:rFonts w:hint="eastAsia" w:ascii="仿宋_GB2312" w:eastAsia="仿宋_GB2312"/>
          <w:color w:val="000000"/>
          <w:sz w:val="31"/>
          <w:szCs w:val="31"/>
        </w:rPr>
        <w:t>万元</w:t>
      </w:r>
      <w:r>
        <w:rPr>
          <w:rFonts w:hint="eastAsia" w:ascii="仿宋_GB2312" w:eastAsia="仿宋_GB2312"/>
          <w:color w:val="000000"/>
          <w:sz w:val="31"/>
          <w:szCs w:val="31"/>
          <w:lang w:eastAsia="zh-CN"/>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14.金融支出预算数为</w:t>
      </w:r>
      <w:r>
        <w:rPr>
          <w:rFonts w:hint="eastAsia" w:ascii="仿宋_GB2312" w:eastAsia="仿宋_GB2312"/>
          <w:color w:val="000000"/>
          <w:sz w:val="31"/>
          <w:szCs w:val="31"/>
          <w:lang w:val="en-US" w:eastAsia="zh-CN"/>
        </w:rPr>
        <w:t>50</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50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15.</w:t>
      </w:r>
      <w:r>
        <w:rPr>
          <w:rFonts w:hint="eastAsia" w:ascii="仿宋_GB2312" w:eastAsia="仿宋_GB2312"/>
          <w:sz w:val="31"/>
          <w:szCs w:val="31"/>
        </w:rPr>
        <w:t>自然资源海洋气象等支出预算数为</w:t>
      </w:r>
      <w:r>
        <w:rPr>
          <w:rFonts w:hint="eastAsia" w:ascii="仿宋_GB2312" w:eastAsia="仿宋_GB2312"/>
          <w:sz w:val="31"/>
          <w:szCs w:val="31"/>
          <w:lang w:val="en-US" w:eastAsia="zh-CN"/>
        </w:rPr>
        <w:t>142</w:t>
      </w:r>
      <w:r>
        <w:rPr>
          <w:rFonts w:hint="eastAsia" w:ascii="仿宋_GB2312" w:eastAsia="仿宋_GB2312"/>
          <w:sz w:val="31"/>
          <w:szCs w:val="31"/>
        </w:rPr>
        <w:t>万元，决算数为</w:t>
      </w:r>
      <w:r>
        <w:rPr>
          <w:rFonts w:hint="eastAsia" w:ascii="仿宋_GB2312" w:eastAsia="仿宋_GB2312"/>
          <w:sz w:val="31"/>
          <w:szCs w:val="31"/>
          <w:lang w:val="en-US" w:eastAsia="zh-CN"/>
        </w:rPr>
        <w:t>54</w:t>
      </w:r>
      <w:r>
        <w:rPr>
          <w:rFonts w:hint="eastAsia" w:ascii="仿宋_GB2312" w:eastAsia="仿宋_GB2312"/>
          <w:sz w:val="31"/>
          <w:szCs w:val="31"/>
        </w:rPr>
        <w:t>万元，完成预算的</w:t>
      </w:r>
      <w:r>
        <w:rPr>
          <w:rFonts w:hint="eastAsia" w:ascii="仿宋_GB2312" w:eastAsia="仿宋_GB2312"/>
          <w:sz w:val="31"/>
          <w:szCs w:val="31"/>
          <w:lang w:val="en-US" w:eastAsia="zh-CN"/>
        </w:rPr>
        <w:t>38</w:t>
      </w:r>
      <w:r>
        <w:rPr>
          <w:rFonts w:hint="eastAsia" w:ascii="仿宋_GB2312" w:eastAsia="仿宋_GB2312"/>
          <w:sz w:val="31"/>
          <w:szCs w:val="31"/>
        </w:rPr>
        <w:t>%。</w:t>
      </w:r>
    </w:p>
    <w:p>
      <w:pPr>
        <w:pStyle w:val="4"/>
        <w:spacing w:before="0" w:beforeAutospacing="0" w:after="0" w:afterAutospacing="0" w:line="580" w:lineRule="atLeast"/>
        <w:ind w:firstLine="640"/>
        <w:rPr>
          <w:color w:val="000000"/>
          <w:sz w:val="31"/>
          <w:szCs w:val="31"/>
        </w:rPr>
      </w:pPr>
      <w:r>
        <w:rPr>
          <w:rFonts w:hint="eastAsia" w:ascii="仿宋_GB2312" w:eastAsia="仿宋_GB2312"/>
          <w:color w:val="000000"/>
          <w:sz w:val="31"/>
          <w:szCs w:val="31"/>
        </w:rPr>
        <w:t>16.住房保障支出预算数为</w:t>
      </w:r>
      <w:r>
        <w:rPr>
          <w:rFonts w:hint="eastAsia" w:ascii="仿宋_GB2312" w:eastAsia="仿宋_GB2312"/>
          <w:color w:val="000000"/>
          <w:sz w:val="31"/>
          <w:szCs w:val="31"/>
          <w:lang w:val="en-US" w:eastAsia="zh-CN"/>
        </w:rPr>
        <w:t>9648</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9648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17.粮油物资储备支出预算数为</w:t>
      </w:r>
      <w:r>
        <w:rPr>
          <w:rFonts w:hint="eastAsia" w:ascii="仿宋_GB2312" w:eastAsia="仿宋_GB2312"/>
          <w:color w:val="000000"/>
          <w:sz w:val="31"/>
          <w:szCs w:val="31"/>
          <w:lang w:val="en-US" w:eastAsia="zh-CN"/>
        </w:rPr>
        <w:t>98</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98</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100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18.灾害防治及应急管理支出预算数为</w:t>
      </w:r>
      <w:r>
        <w:rPr>
          <w:rFonts w:hint="eastAsia" w:ascii="仿宋_GB2312" w:eastAsia="仿宋_GB2312"/>
          <w:color w:val="000000"/>
          <w:sz w:val="31"/>
          <w:szCs w:val="31"/>
          <w:lang w:val="en-US" w:eastAsia="zh-CN"/>
        </w:rPr>
        <w:t>1389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1170</w:t>
      </w:r>
      <w:r>
        <w:rPr>
          <w:rFonts w:hint="eastAsia" w:ascii="仿宋_GB2312" w:eastAsia="仿宋_GB2312"/>
          <w:color w:val="000000"/>
          <w:sz w:val="31"/>
          <w:szCs w:val="31"/>
        </w:rPr>
        <w:t>万元，完成预算的</w:t>
      </w:r>
      <w:r>
        <w:rPr>
          <w:rFonts w:hint="eastAsia" w:ascii="仿宋_GB2312" w:eastAsia="仿宋_GB2312"/>
          <w:color w:val="000000"/>
          <w:sz w:val="31"/>
          <w:szCs w:val="31"/>
          <w:lang w:val="en-US" w:eastAsia="zh-CN"/>
        </w:rPr>
        <w:t>84.2</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19.其他支出预算数为</w:t>
      </w:r>
      <w:r>
        <w:rPr>
          <w:rFonts w:hint="eastAsia" w:ascii="仿宋_GB2312" w:eastAsia="仿宋_GB2312"/>
          <w:color w:val="000000"/>
          <w:sz w:val="31"/>
          <w:szCs w:val="31"/>
          <w:lang w:val="en-US" w:eastAsia="zh-CN"/>
        </w:rPr>
        <w:t>59</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59</w:t>
      </w:r>
      <w:r>
        <w:rPr>
          <w:rFonts w:hint="eastAsia" w:ascii="仿宋_GB2312" w:eastAsia="仿宋_GB2312"/>
          <w:color w:val="000000"/>
          <w:sz w:val="31"/>
          <w:szCs w:val="31"/>
        </w:rPr>
        <w:t>万元，完成预算的1</w:t>
      </w:r>
      <w:r>
        <w:rPr>
          <w:rFonts w:hint="eastAsia" w:ascii="仿宋_GB2312" w:eastAsia="仿宋_GB2312"/>
          <w:color w:val="000000"/>
          <w:sz w:val="31"/>
          <w:szCs w:val="31"/>
          <w:lang w:val="en-US" w:eastAsia="zh-CN"/>
        </w:rPr>
        <w:t>00</w:t>
      </w:r>
      <w:r>
        <w:rPr>
          <w:rFonts w:hint="eastAsia" w:ascii="仿宋_GB2312" w:eastAsia="仿宋_GB2312"/>
          <w:color w:val="000000"/>
          <w:sz w:val="31"/>
          <w:szCs w:val="31"/>
        </w:rPr>
        <w:t>%。</w:t>
      </w:r>
    </w:p>
    <w:p>
      <w:pPr>
        <w:pStyle w:val="4"/>
        <w:spacing w:before="0" w:beforeAutospacing="0" w:after="0" w:afterAutospacing="0" w:line="580" w:lineRule="atLeast"/>
        <w:ind w:firstLine="640"/>
        <w:rPr>
          <w:rFonts w:hint="eastAsia" w:ascii="仿宋_GB2312" w:eastAsia="仿宋_GB2312"/>
          <w:color w:val="000000"/>
          <w:sz w:val="31"/>
          <w:szCs w:val="31"/>
        </w:rPr>
      </w:pPr>
      <w:r>
        <w:rPr>
          <w:rFonts w:hint="eastAsia" w:ascii="仿宋_GB2312" w:eastAsia="仿宋_GB2312"/>
          <w:color w:val="000000"/>
          <w:sz w:val="31"/>
          <w:szCs w:val="31"/>
        </w:rPr>
        <w:t>20.债务付息支出预算数为</w:t>
      </w:r>
      <w:r>
        <w:rPr>
          <w:rFonts w:hint="eastAsia" w:ascii="仿宋_GB2312" w:eastAsia="仿宋_GB2312"/>
          <w:color w:val="000000"/>
          <w:sz w:val="31"/>
          <w:szCs w:val="31"/>
          <w:lang w:val="en-US" w:eastAsia="zh-CN"/>
        </w:rPr>
        <w:t>1375</w:t>
      </w:r>
      <w:r>
        <w:rPr>
          <w:rFonts w:hint="eastAsia" w:ascii="仿宋_GB2312" w:eastAsia="仿宋_GB2312"/>
          <w:color w:val="000000"/>
          <w:sz w:val="31"/>
          <w:szCs w:val="31"/>
        </w:rPr>
        <w:t>万元，决算数为</w:t>
      </w:r>
      <w:r>
        <w:rPr>
          <w:rFonts w:hint="eastAsia" w:ascii="仿宋_GB2312" w:eastAsia="仿宋_GB2312"/>
          <w:color w:val="000000"/>
          <w:sz w:val="31"/>
          <w:szCs w:val="31"/>
          <w:lang w:val="en-US" w:eastAsia="zh-CN"/>
        </w:rPr>
        <w:t>1375</w:t>
      </w:r>
      <w:r>
        <w:rPr>
          <w:rFonts w:hint="eastAsia" w:ascii="仿宋_GB2312" w:eastAsia="仿宋_GB2312"/>
          <w:color w:val="000000"/>
          <w:sz w:val="31"/>
          <w:szCs w:val="31"/>
        </w:rPr>
        <w:t>万元，完成预算的100%。</w:t>
      </w:r>
    </w:p>
    <w:p>
      <w:pPr>
        <w:pStyle w:val="4"/>
        <w:spacing w:before="0" w:beforeAutospacing="0" w:after="0" w:afterAutospacing="0" w:line="580" w:lineRule="atLeast"/>
        <w:ind w:firstLine="640"/>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21.债务发行费用支出预算数为5万元，决算数为5万元，完成预算的100%。</w:t>
      </w:r>
    </w:p>
    <w:p>
      <w:pPr>
        <w:pStyle w:val="4"/>
        <w:spacing w:before="0" w:beforeAutospacing="0" w:after="0" w:afterAutospacing="0" w:line="580" w:lineRule="atLeast"/>
        <w:ind w:firstLine="640"/>
        <w:rPr>
          <w:rFonts w:hint="default" w:ascii="仿宋_GB2312" w:eastAsia="仿宋_GB2312"/>
          <w:color w:val="000000"/>
          <w:sz w:val="31"/>
          <w:szCs w:val="31"/>
          <w:highlight w:val="none"/>
          <w:lang w:val="en-US" w:eastAsia="zh-CN"/>
        </w:rPr>
      </w:pPr>
      <w:r>
        <w:rPr>
          <w:rFonts w:hint="eastAsia" w:ascii="仿宋_GB2312" w:eastAsia="仿宋_GB2312"/>
          <w:color w:val="000000"/>
          <w:sz w:val="31"/>
          <w:szCs w:val="31"/>
          <w:highlight w:val="none"/>
          <w:lang w:val="en-US" w:eastAsia="zh-CN"/>
        </w:rPr>
        <w:t>22.补助镇办支出18237万元。</w:t>
      </w:r>
    </w:p>
    <w:p>
      <w:pPr>
        <w:pStyle w:val="4"/>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3</w:t>
      </w:r>
      <w:r>
        <w:rPr>
          <w:rFonts w:hint="eastAsia" w:ascii="仿宋_GB2312" w:eastAsia="仿宋_GB2312"/>
          <w:color w:val="000000"/>
          <w:sz w:val="31"/>
          <w:szCs w:val="31"/>
          <w:highlight w:val="none"/>
        </w:rPr>
        <w:t>.上解上级支出决算数为</w:t>
      </w:r>
      <w:r>
        <w:rPr>
          <w:rFonts w:hint="eastAsia" w:ascii="仿宋_GB2312" w:eastAsia="仿宋_GB2312"/>
          <w:color w:val="000000"/>
          <w:sz w:val="31"/>
          <w:szCs w:val="31"/>
          <w:highlight w:val="none"/>
          <w:lang w:val="en-US" w:eastAsia="zh-CN"/>
        </w:rPr>
        <w:t>6517</w:t>
      </w:r>
      <w:r>
        <w:rPr>
          <w:rFonts w:hint="eastAsia" w:ascii="仿宋_GB2312" w:eastAsia="仿宋_GB2312"/>
          <w:color w:val="000000"/>
          <w:sz w:val="31"/>
          <w:szCs w:val="31"/>
          <w:highlight w:val="none"/>
        </w:rPr>
        <w:t xml:space="preserve"> 万元。</w:t>
      </w:r>
    </w:p>
    <w:p>
      <w:pPr>
        <w:pStyle w:val="4"/>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4</w:t>
      </w:r>
      <w:r>
        <w:rPr>
          <w:rFonts w:hint="eastAsia" w:ascii="仿宋_GB2312" w:eastAsia="仿宋_GB2312"/>
          <w:color w:val="000000"/>
          <w:sz w:val="31"/>
          <w:szCs w:val="31"/>
          <w:highlight w:val="none"/>
        </w:rPr>
        <w:t>.地方政府一般债务还本支出决算数为</w:t>
      </w:r>
      <w:r>
        <w:rPr>
          <w:rFonts w:hint="eastAsia" w:ascii="仿宋_GB2312" w:eastAsia="仿宋_GB2312"/>
          <w:color w:val="000000"/>
          <w:sz w:val="31"/>
          <w:szCs w:val="31"/>
          <w:highlight w:val="none"/>
          <w:lang w:val="en-US" w:eastAsia="zh-CN"/>
        </w:rPr>
        <w:t>2196</w:t>
      </w:r>
      <w:r>
        <w:rPr>
          <w:rFonts w:hint="eastAsia" w:ascii="仿宋_GB2312" w:eastAsia="仿宋_GB2312"/>
          <w:color w:val="000000"/>
          <w:sz w:val="31"/>
          <w:szCs w:val="31"/>
          <w:highlight w:val="none"/>
        </w:rPr>
        <w:t>万元。</w:t>
      </w:r>
    </w:p>
    <w:p>
      <w:pPr>
        <w:pStyle w:val="4"/>
        <w:spacing w:before="0" w:beforeAutospacing="0" w:after="0" w:afterAutospacing="0" w:line="580" w:lineRule="atLeast"/>
        <w:ind w:firstLine="640"/>
        <w:rPr>
          <w:rFonts w:hint="eastAsia" w:ascii="仿宋_GB2312" w:eastAsia="仿宋_GB2312"/>
          <w:color w:val="000000"/>
          <w:sz w:val="31"/>
          <w:szCs w:val="31"/>
          <w:highlight w:val="none"/>
        </w:rPr>
      </w:pPr>
      <w:r>
        <w:rPr>
          <w:rFonts w:hint="eastAsia" w:ascii="仿宋_GB2312" w:eastAsia="仿宋_GB2312"/>
          <w:color w:val="000000"/>
          <w:sz w:val="31"/>
          <w:szCs w:val="31"/>
          <w:highlight w:val="none"/>
        </w:rPr>
        <w:t>2</w:t>
      </w:r>
      <w:r>
        <w:rPr>
          <w:rFonts w:hint="eastAsia" w:ascii="仿宋_GB2312" w:eastAsia="仿宋_GB2312"/>
          <w:color w:val="000000"/>
          <w:sz w:val="31"/>
          <w:szCs w:val="31"/>
          <w:highlight w:val="none"/>
          <w:lang w:val="en-US" w:eastAsia="zh-CN"/>
        </w:rPr>
        <w:t>5</w:t>
      </w:r>
      <w:r>
        <w:rPr>
          <w:rFonts w:hint="eastAsia" w:ascii="仿宋_GB2312" w:eastAsia="仿宋_GB2312"/>
          <w:color w:val="000000"/>
          <w:sz w:val="31"/>
          <w:szCs w:val="31"/>
          <w:highlight w:val="none"/>
        </w:rPr>
        <w:t>.调出资金决算数为</w:t>
      </w:r>
      <w:r>
        <w:rPr>
          <w:rFonts w:hint="eastAsia" w:ascii="仿宋_GB2312" w:eastAsia="仿宋_GB2312"/>
          <w:color w:val="000000"/>
          <w:sz w:val="31"/>
          <w:szCs w:val="31"/>
          <w:highlight w:val="none"/>
          <w:lang w:val="en-US" w:eastAsia="zh-CN"/>
        </w:rPr>
        <w:t>0</w:t>
      </w:r>
      <w:r>
        <w:rPr>
          <w:rFonts w:hint="eastAsia" w:ascii="仿宋_GB2312" w:eastAsia="仿宋_GB2312"/>
          <w:color w:val="000000"/>
          <w:sz w:val="31"/>
          <w:szCs w:val="31"/>
          <w:highlight w:val="none"/>
        </w:rPr>
        <w:t>万元，</w:t>
      </w:r>
    </w:p>
    <w:p>
      <w:pPr>
        <w:pStyle w:val="4"/>
        <w:spacing w:before="0" w:beforeAutospacing="0" w:after="0" w:afterAutospacing="0" w:line="580" w:lineRule="atLeast"/>
        <w:ind w:firstLine="640"/>
        <w:rPr>
          <w:color w:val="000000"/>
          <w:sz w:val="31"/>
          <w:szCs w:val="31"/>
          <w:highlight w:val="none"/>
        </w:rPr>
      </w:pPr>
      <w:r>
        <w:rPr>
          <w:rFonts w:hint="eastAsia" w:ascii="仿宋_GB2312" w:eastAsia="仿宋_GB2312"/>
          <w:color w:val="000000"/>
          <w:sz w:val="31"/>
          <w:szCs w:val="31"/>
          <w:highlight w:val="none"/>
          <w:lang w:val="en-US" w:eastAsia="zh-CN"/>
        </w:rPr>
        <w:t>26.</w:t>
      </w:r>
      <w:r>
        <w:rPr>
          <w:rFonts w:hint="eastAsia" w:ascii="仿宋_GB2312" w:eastAsia="仿宋_GB2312"/>
          <w:color w:val="000000"/>
          <w:sz w:val="31"/>
          <w:szCs w:val="31"/>
          <w:highlight w:val="none"/>
        </w:rPr>
        <w:t>补充预算稳定调节基金</w:t>
      </w:r>
      <w:r>
        <w:rPr>
          <w:rFonts w:hint="eastAsia" w:ascii="仿宋_GB2312" w:eastAsia="仿宋_GB2312"/>
          <w:color w:val="000000"/>
          <w:sz w:val="31"/>
          <w:szCs w:val="31"/>
          <w:highlight w:val="none"/>
          <w:lang w:val="en-US" w:eastAsia="zh-CN"/>
        </w:rPr>
        <w:t>18万元</w:t>
      </w:r>
      <w:r>
        <w:rPr>
          <w:rFonts w:hint="eastAsia" w:ascii="仿宋_GB2312" w:eastAsia="仿宋_GB2312"/>
          <w:color w:val="000000"/>
          <w:sz w:val="31"/>
          <w:szCs w:val="31"/>
          <w:highlight w:val="none"/>
        </w:rPr>
        <w:t>，主要是根据《预算法》第66条规定，将预算结余资金补充预算稳定调节基金，用于跨年度预算平衡。</w:t>
      </w:r>
    </w:p>
    <w:p>
      <w:pPr/>
    </w:p>
    <w:p>
      <w:pPr/>
    </w:p>
    <w:p>
      <w:pPr/>
    </w:p>
    <w:p>
      <w:pPr/>
    </w:p>
    <w:p>
      <w:pPr/>
    </w:p>
    <w:p>
      <w:pPr/>
    </w:p>
    <w:p>
      <w:pPr/>
    </w:p>
    <w:p>
      <w:pPr/>
    </w:p>
    <w:p>
      <w:pPr/>
    </w:p>
    <w:p>
      <w:pPr/>
    </w:p>
    <w:p>
      <w:pPr/>
    </w:p>
    <w:p>
      <w:pPr/>
    </w:p>
    <w:p>
      <w:pPr/>
    </w:p>
    <w:p>
      <w:pPr/>
    </w:p>
    <w:p>
      <w:pPr/>
    </w:p>
    <w:p>
      <w:pPr/>
    </w:p>
    <w:p>
      <w:pPr/>
    </w:p>
    <w:p>
      <w:pPr/>
    </w:p>
    <w:tbl>
      <w:tblPr>
        <w:tblStyle w:val="8"/>
        <w:tblW w:w="8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6"/>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8103"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烈山区2024年区级一般公共预算支出（项级）决算表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567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2427"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人大会议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代表工作</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其他人大事务支出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政协会议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其他政协事务支出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政府办公厅(室)及相关机构事务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发展与改革事务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其他发展与改革事务支出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统计信息事务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专项统计业务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统计抽样调查</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税收事务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其他审计事务支出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纪检监察事务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商贸事务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招商引资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其他商贸事务支出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知识产权事务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其他知识产权事务支出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民主党派及工商联事务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其他民主党派及工商联事务支出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群众团体事务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党委办公厅(室)及相关机构事务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其他党委办公厅(室)及相关机构事务支出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组织事务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其他组织事务支出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宣传事务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其他宣传事务支出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统战事务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宗教事务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其他统战事务支出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市场监督管理事务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质量安全监管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食品安全监管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社会工作事务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其他社会工作事务支出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其他信访事务支出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公共安全支出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检察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其他检察支出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其他法院支出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司法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基层司法业务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普法宣传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公共法律服务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社区矫正</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法治建设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高中教育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其他职业教育支出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进修及培训</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干部教育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教育费附加安排的支出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其他教育费附加安排的支出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科学技术支出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基础研究</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科技人才队伍建设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科学技术普及</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其他科学技术普及支出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文化和旅游</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图书馆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博物馆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体育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其他体育支出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广播电视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人力资源和社会保障管理事务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劳动保障监察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劳动人事争议调解仲裁</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民政管理事务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基层政权建设和社区治理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行政事业单位养老支出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就业补助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褒扬纪念</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退役安置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养老服务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残疾人事业</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残疾人康复</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残疾人生活和护理补贴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其他残疾人事业支出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最低生活保障</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城市最低生活保障金支出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流浪乞讨人员救助支出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特困人员救助供养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其他生活救助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其他农村生活救助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财政对城乡居民基本养老保险基金的补助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退役军人管理事务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拥军优属</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卫生健康管理事务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公立医院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职业病防治医院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基层医疗卫生机构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乡镇卫生院</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公共卫生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妇幼保健机构</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突发公共卫生事件应急处置</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行政事业单位医疗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财政对基本医疗保险基金的补助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财政对城乡居民基本医疗保险基金的补助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医疗保障管理事务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其他医疗保障管理事务支出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节能环保支出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环境监测与监察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其他环境监测与监察支出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污染防治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水体</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其他污染防治支出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自然生态保护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农村环境保护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城管执法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城乡社区规划与管理(项)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城乡社区公共设施</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其他城乡社区公共设施支出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农业农村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病虫害控制</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农产品质量安全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统计监测与信息服务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稳定农民收入补贴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农村合作经济</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农业生态资源保护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耕地建设与利用</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林业和草原</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森林资源培育</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水利行业业务管理</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水利工程运行与维护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水资源节约管理与保护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防汛</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抗旱</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江河湖库水系综合整治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农村供水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巩固脱贫攻坚成果衔接乡村振兴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其他巩固脱贫攻坚成果衔接乡村振兴支出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农村综合改革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对村级公益事业建设的补助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对村集体经济组织的补助</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其他农村综合改革支出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普惠金融发展支出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农业保险保费补贴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其他普惠金融发展支出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其他农林水支出(款)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其他农林水支出(项)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公路水路运输</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商业服务业等支出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商业流通事务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其他商业流通事务支出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金融支出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其他金融发展支出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自然资源海洋气象等支出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自然资源利用与保护</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其他自然资源事务支出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保障性安居工程支出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农村危房改造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老旧小区改造</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其他保障性安居工程支出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住房改革支出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粮油物资储备支出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粮油物资事务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其他粮油物资事务支出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灾害防治及应急管理支出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应急救援</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其他应急管理支出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消防救援事务</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其他消防救援事务支出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自然灾害防治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其他自然灾害防治支出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其他支出(类)</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地方政府一般债券付息支出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地方政府一般债务发行费用支出(款)</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676"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地方政府一般债务发行费用支出(项)</w:t>
            </w:r>
          </w:p>
        </w:tc>
        <w:tc>
          <w:tcPr>
            <w:tcW w:w="2427"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8"/>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090" w:type="dxa"/>
            <w:gridSpan w:val="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烈山区2024年区级一般公共预算支出（项级）决算表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605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2032"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6058"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支出科目名称</w:t>
            </w:r>
          </w:p>
        </w:tc>
        <w:tc>
          <w:tcPr>
            <w:tcW w:w="2032" w:type="dxa"/>
            <w:tcBorders>
              <w:top w:val="single" w:color="000000" w:sz="4" w:space="0"/>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一般公共预算支出合计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人大事务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人大会议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代表工作</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其他人大事务支出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政协事务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政协会议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委员视察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其他政协事务支出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政府办公厅(室)及相关机构事务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发展与改革事务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其他发展与改革事务支出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统计信息事务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专项统计业务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专项普查活动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统计抽样调查</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其他财政事务支出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税收事务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其他税收事务支出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审计事务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其他审计事务支出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纪检监察事务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巡视工作</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其他纪检监察事务支出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商贸事务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招商引资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其他商贸事务支出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知识产权事务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其他知识产权事务支出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档案事务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档案馆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民主党派及工商联事务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其他民主党派及工商联事务支出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群众团体事务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党委办公厅(室)及相关机构事务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其他党委办公厅(室)及相关机构事务支出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组织事务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其他组织事务支出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宣传事务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其他宣传事务支出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统战事务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宗教事务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其他统战事务支出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市场监督管理事务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市场主体管理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质量安全监管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食品安全监管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其他市场监督管理事务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社会工作事务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其他社会工作事务支出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信访事务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信访业务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其他一般公共服务支出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检察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其他检察支出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法院</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其他法院支出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司法</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基层司法业务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普法宣传</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公共法律服务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社区矫正</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法治建设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其他司法支出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其他公共安全支出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普通教育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高中教育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职业教育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中等职业教育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其他职业教育支出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进修及培训</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干部教育</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教育费附加安排的支出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其他教育费附加安排的支出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其他教育支出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基础研究</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科技人才队伍建设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科学技术普及</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机构运行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科普活动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其他科学技术普及支出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其他科学技术支出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文化和旅游</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图书馆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其他文化和旅游支出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文物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博物馆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体育</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其他体育支出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广播电视</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其他广播电视支出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其他文化旅游体育与传媒支出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人力资源和社会保障管理事务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劳动保障监察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劳动人事争议调解仲裁</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其他人力资源和社会保障管理事务支出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民政管理事务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其他民政管理事务支出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行政事业单位养老支出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行政单位离退休</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就业补助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其他就业补助支出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抚恤</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义务兵优待</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褒扬纪念</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其他优抚支出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退役安置</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社会福利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儿童福利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老年福利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养老服务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残疾人事业</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残疾人康复</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残疾人生活和护理补贴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其他残疾人事业支出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最低生活保障</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城市最低生活保障金支出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农村最低生活保障金支出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临时救助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流浪乞讨人员救助支出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特困人员救助供养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农村特困人员救助供养支出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财政对城乡居民基本养老保险基金的补助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退役军人管理事务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拥军优属</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其他退役军人事务管理支出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卫生健康管理事务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其他卫生健康管理事务支出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公立医院</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综合医院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职业病防治医院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其他公立医院支出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基层医疗卫生机构</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乡镇卫生院</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公共卫生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疾病预防控制机构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妇幼保健机构</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基本公共卫生服务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重大公共卫生服务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突发公共卫生事件应急处置</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其他公共卫生支出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计划生育事务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计划生育服务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其他计划生育事务支出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行政事业单位医疗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财政对基本医疗保险基金的补助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财政对城乡居民基本医疗保险基金的补助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医疗救助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城乡医疗救助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优抚对象医疗</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优抚对象医疗补助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医疗保障管理事务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其他医疗保障管理事务支出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老龄卫生健康事务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老龄卫生健康事务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污染防治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水体</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其他节能环保支出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其他城乡社区管理事务支出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城乡社区公共设施</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其他城乡社区公共设施支出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城乡社区环境卫生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城乡社区环境卫生</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农林水支出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农业农村</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科技转化与推广服务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病虫害控制</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农产品质量安全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统计监测与信息服务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行业业务管理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防灾救灾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稳定农民收入补贴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农业生产发展</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农村合作经济</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农村社会事业</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农业生态资源保护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耕地建设与利用</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其他农业农村支出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林业和草原</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其他林业和草原支出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水利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水利行业业务管理</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水利工程运行与维护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水土保持</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水资源节约管理与保护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防汛</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江河湖库水系综合整治</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农村供水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其他水利支出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巩固脱贫攻坚成果衔接乡村振兴</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其他巩固脱贫攻坚成果衔接乡村振兴支出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农村综合改革</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对村民委员会和村党支部的补助</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其他农村综合改革支出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普惠金融发展支出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农业保险保费补贴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其他普惠金融发展支出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交通运输支出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公路水路运输</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公路建设</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公路养护</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其他金融发展支出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自然资源海洋气象等支出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自然资源事务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自然资源利用与保护</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住房保障支出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保障性安居工程支出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农村危房改造</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保障性住房租金补贴</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老旧小区改造</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其他保障性安居工程支出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住房改革支出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粮油物资储备支出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粮油物资事务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其他粮油物资事务支出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应急管理事务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应急救援</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消防救援事务</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其他消防救援事务支出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自然灾害防治</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其他自然灾害防治支出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其他灾害防治及应急管理支出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地方政府一般债券付息支出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地方政府一般债务发行费用支出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FFFF99"/>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058" w:type="dxa"/>
            <w:tcBorders>
              <w:top w:val="single" w:color="000000" w:sz="4" w:space="0"/>
              <w:left w:val="single" w:color="000000" w:sz="4"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地方政府一般债务发行费用支出</w:t>
            </w:r>
          </w:p>
        </w:tc>
        <w:tc>
          <w:tcPr>
            <w:tcW w:w="2032" w:type="dxa"/>
            <w:tcBorders>
              <w:top w:val="single" w:color="000000" w:sz="4" w:space="0"/>
              <w:left w:val="single" w:color="000000" w:sz="4" w:space="0"/>
              <w:bottom w:val="single" w:color="000000" w:sz="4" w:space="0"/>
              <w:right w:val="single" w:color="000000" w:sz="4" w:space="0"/>
            </w:tcBorders>
            <w:shd w:val="clear" w:color="auto" w:fill="99CC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pPr/>
    </w:p>
    <w:p>
      <w:pPr/>
    </w:p>
    <w:p>
      <w:pPr/>
    </w:p>
    <w:p>
      <w:pPr/>
    </w:p>
    <w:p>
      <w:pPr/>
    </w:p>
    <w:p>
      <w:pPr/>
    </w:p>
    <w:p>
      <w:pPr/>
    </w:p>
    <w:p>
      <w:pPr/>
    </w:p>
    <w:p>
      <w:pPr/>
    </w:p>
    <w:p>
      <w:pPr/>
    </w:p>
    <w:p>
      <w:pPr/>
    </w:p>
    <w:p>
      <w:pPr/>
    </w:p>
    <w:p>
      <w:pPr/>
    </w:p>
    <w:p>
      <w:pPr/>
    </w:p>
    <w:p>
      <w:pPr/>
    </w:p>
    <w:p>
      <w:pPr/>
    </w:p>
    <w:p>
      <w:pPr/>
    </w:p>
    <w:p>
      <w:pPr/>
    </w:p>
    <w:p>
      <w:pPr/>
    </w:p>
    <w:p>
      <w:pPr/>
    </w:p>
    <w:p>
      <w:pPr/>
    </w:p>
    <w:tbl>
      <w:tblPr>
        <w:tblStyle w:val="8"/>
        <w:tblW w:w="78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01"/>
        <w:gridCol w:w="1052"/>
        <w:gridCol w:w="2946"/>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781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烈山区2024年全区一般公共预算基本支出(经济科目)决算表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7817"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17,058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对事业单位资本性补助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资本性支出(基本建设)</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对企业资本性支出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资本金注入(基本建设)</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10,169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29,855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对社会保障基金补助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机关资本性支出(基本建设)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对事业单位经常性补助</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49,593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46,877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171,430</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4"/>
        <w:gridCol w:w="1245"/>
        <w:gridCol w:w="2659"/>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8076"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烈山区2024年区本级一般公共预算基本支出(经济科目)决算表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076"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27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2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6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预算科目</w:t>
            </w:r>
          </w:p>
        </w:tc>
        <w:tc>
          <w:tcPr>
            <w:tcW w:w="14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10,281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对事业单位资本性补助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工资奖金津补贴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5,187</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社会保障缴费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资本性支出(基本建设)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费用补贴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14,354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利息补贴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办公经费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对企业资本性支出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专用材料购置费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资本金注入(基本建设)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政府投资基金股权投资</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其他对企业资本性支出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社会福利和救助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25,013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离退休费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21,709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对社会保障基金补助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对社会保险基金补助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土地征迁补偿和安置支出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对机关事业单位职业年金的补助</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2,347</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机关资本性支出(基本建设)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设备购置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对事业单位经常性补助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49,419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工资福利支出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46,703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商品和服务支出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其他对事业单位补助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153,193</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4"/>
        <w:gridCol w:w="1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768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烈山区2024年区本级对下税收返还和转移支付决算表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57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一、返还性支出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1.所得税基数返还支出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2.增值税税收返还支出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3.超收返还</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二、一般性转移支付支出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1.体制补助支出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2.均衡性转移支付支出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3.结算补助支出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三、专项转移支付支出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5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总    计</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6"/>
                <w:szCs w:val="2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734"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备注：本年我区本级无对下税收返还和转移支付。</w:t>
            </w:r>
          </w:p>
        </w:tc>
        <w:tc>
          <w:tcPr>
            <w:tcW w:w="194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val="en-US" w:eastAsia="zh-CN"/>
        </w:rPr>
        <w:t>烈山区</w:t>
      </w:r>
      <w:r>
        <w:rPr>
          <w:rFonts w:ascii="黑体" w:hAnsi="黑体" w:eastAsia="黑体"/>
          <w:sz w:val="36"/>
          <w:szCs w:val="36"/>
        </w:rPr>
        <w:t>20</w:t>
      </w:r>
      <w:r>
        <w:rPr>
          <w:rFonts w:hint="eastAsia" w:ascii="黑体" w:hAnsi="黑体" w:eastAsia="黑体"/>
          <w:sz w:val="36"/>
          <w:szCs w:val="36"/>
        </w:rPr>
        <w:t>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val="en-US" w:eastAsia="zh-CN"/>
        </w:rPr>
        <w:t>区</w:t>
      </w:r>
      <w:r>
        <w:rPr>
          <w:rFonts w:hint="eastAsia" w:ascii="黑体" w:hAnsi="黑体" w:eastAsia="黑体"/>
          <w:sz w:val="36"/>
          <w:szCs w:val="36"/>
        </w:rPr>
        <w:t>本级</w:t>
      </w:r>
      <w:r>
        <w:rPr>
          <w:rFonts w:ascii="黑体" w:hAnsi="黑体" w:eastAsia="黑体"/>
          <w:sz w:val="36"/>
          <w:szCs w:val="36"/>
        </w:rPr>
        <w:t>对下</w:t>
      </w:r>
      <w:r>
        <w:rPr>
          <w:rFonts w:hint="eastAsia" w:ascii="黑体" w:hAnsi="黑体" w:eastAsia="黑体"/>
          <w:sz w:val="36"/>
          <w:szCs w:val="36"/>
        </w:rPr>
        <w:t>税收返还和</w:t>
      </w:r>
      <w:r>
        <w:rPr>
          <w:rFonts w:ascii="黑体" w:hAnsi="黑体" w:eastAsia="黑体"/>
          <w:sz w:val="36"/>
          <w:szCs w:val="36"/>
        </w:rPr>
        <w:t>转移支付</w:t>
      </w:r>
    </w:p>
    <w:p>
      <w:pPr>
        <w:jc w:val="center"/>
        <w:rPr>
          <w:rFonts w:hint="eastAsia" w:ascii="黑体" w:hAnsi="黑体" w:eastAsia="黑体"/>
          <w:color w:val="000000"/>
          <w:sz w:val="36"/>
          <w:szCs w:val="36"/>
        </w:rPr>
      </w:pPr>
      <w:r>
        <w:rPr>
          <w:rFonts w:ascii="黑体" w:hAnsi="黑体" w:eastAsia="黑体"/>
          <w:sz w:val="36"/>
          <w:szCs w:val="36"/>
        </w:rPr>
        <w:t>决算的说明</w:t>
      </w:r>
    </w:p>
    <w:p>
      <w:pPr>
        <w:pStyle w:val="4"/>
        <w:spacing w:before="0" w:beforeAutospacing="0" w:after="0" w:afterAutospacing="0"/>
        <w:ind w:firstLine="640"/>
        <w:rPr>
          <w:rFonts w:hint="eastAsia" w:ascii="仿宋_GB2312" w:eastAsia="仿宋_GB2312"/>
          <w:color w:val="000000"/>
          <w:sz w:val="32"/>
          <w:szCs w:val="32"/>
        </w:rPr>
      </w:pPr>
    </w:p>
    <w:p>
      <w:pPr>
        <w:pStyle w:val="4"/>
        <w:spacing w:before="0" w:beforeAutospacing="0" w:after="0" w:afterAutospacing="0"/>
        <w:ind w:firstLine="640"/>
        <w:rPr>
          <w:rFonts w:ascii="仿宋_GB2312" w:eastAsia="仿宋_GB2312"/>
          <w:color w:val="000000"/>
          <w:sz w:val="32"/>
          <w:szCs w:val="32"/>
        </w:rPr>
      </w:pPr>
      <w:r>
        <w:rPr>
          <w:rFonts w:hint="eastAsia" w:ascii="仿宋_GB2312" w:eastAsia="仿宋_GB2312"/>
          <w:color w:val="000000"/>
          <w:sz w:val="32"/>
          <w:szCs w:val="32"/>
          <w:lang w:val="en-US" w:eastAsia="zh-CN"/>
        </w:rPr>
        <w:t>烈山区</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本级无对下税收返还和转移支付(决算数）。</w:t>
      </w:r>
    </w:p>
    <w:p>
      <w:pPr>
        <w:rPr>
          <w:rFonts w:hint="eastAsia"/>
        </w:rPr>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2"/>
        <w:gridCol w:w="2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7899"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烈山区2024年区本级对下税收返还分地区决算表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2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687"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烈山镇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宋疃镇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古饶镇</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杨庄办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    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212"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备注：本年我区本级无对下税收返还。</w:t>
            </w:r>
          </w:p>
        </w:tc>
        <w:tc>
          <w:tcPr>
            <w:tcW w:w="2687" w:type="dxa"/>
            <w:tcBorders>
              <w:top w:val="nil"/>
              <w:left w:val="nil"/>
              <w:bottom w:val="nil"/>
              <w:right w:val="nil"/>
            </w:tcBorders>
            <w:shd w:val="clear" w:color="auto" w:fill="FFFFFF"/>
            <w:vAlign w:val="bottom"/>
          </w:tcPr>
          <w:p>
            <w:pPr>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p>
    <w:p>
      <w:pPr/>
    </w:p>
    <w:p>
      <w:pPr/>
    </w:p>
    <w:p>
      <w:pPr/>
    </w:p>
    <w:p>
      <w:pPr/>
    </w:p>
    <w:p>
      <w:pPr/>
    </w:p>
    <w:p>
      <w:pPr/>
    </w:p>
    <w:p>
      <w:pPr/>
    </w:p>
    <w:p>
      <w:pPr/>
    </w:p>
    <w:tbl>
      <w:tblPr>
        <w:tblStyle w:val="8"/>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1"/>
        <w:gridCol w:w="2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820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烈山区2024年区本级对下一般性转移支付分地区决算表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5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22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烈山镇</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宋疃镇</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古饶镇</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杨庄办</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总    计</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981"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备注：本年我区本级无对下一般性转移支付。</w:t>
            </w:r>
          </w:p>
        </w:tc>
        <w:tc>
          <w:tcPr>
            <w:tcW w:w="2224"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p>
    <w:p>
      <w:pPr/>
    </w:p>
    <w:p>
      <w:pPr/>
    </w:p>
    <w:p>
      <w:pPr/>
    </w:p>
    <w:p>
      <w:pPr/>
    </w:p>
    <w:p>
      <w:pPr/>
    </w:p>
    <w:p>
      <w:pPr/>
    </w:p>
    <w:p>
      <w:pPr/>
    </w:p>
    <w:tbl>
      <w:tblPr>
        <w:tblStyle w:val="8"/>
        <w:tblW w:w="7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54"/>
        <w:gridCol w:w="4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775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烈山区2024年区本级对下专项转移支付分地区决算表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2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0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4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备注：本年我区本级无对下专项转移支付。</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3"/>
        <w:gridCol w:w="1868"/>
        <w:gridCol w:w="1964"/>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8117"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烈山区</w:t>
            </w:r>
            <w:r>
              <w:rPr>
                <w:rStyle w:val="11"/>
                <w:lang w:val="en-US" w:eastAsia="zh-CN" w:bidi="ar"/>
              </w:rPr>
              <w:t>2024年区本级专项转移支付分项目决算表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003" w:type="dxa"/>
            <w:tcBorders>
              <w:top w:val="nil"/>
              <w:left w:val="nil"/>
              <w:bottom w:val="nil"/>
              <w:right w:val="nil"/>
            </w:tcBorders>
            <w:shd w:val="clear" w:color="auto" w:fill="auto"/>
            <w:vAlign w:val="top"/>
          </w:tcPr>
          <w:p>
            <w:pPr>
              <w:rPr>
                <w:rFonts w:hint="eastAsia" w:ascii="Arial" w:hAnsi="Arial" w:cs="Arial"/>
                <w:i w:val="0"/>
                <w:iCs w:val="0"/>
                <w:color w:val="000000"/>
                <w:sz w:val="20"/>
                <w:szCs w:val="20"/>
                <w:u w:val="none"/>
              </w:rPr>
            </w:pPr>
          </w:p>
        </w:tc>
        <w:tc>
          <w:tcPr>
            <w:tcW w:w="1868" w:type="dxa"/>
            <w:tcBorders>
              <w:top w:val="nil"/>
              <w:left w:val="nil"/>
              <w:bottom w:val="nil"/>
              <w:right w:val="nil"/>
            </w:tcBorders>
            <w:shd w:val="clear" w:color="auto" w:fill="auto"/>
            <w:vAlign w:val="top"/>
          </w:tcPr>
          <w:p>
            <w:pPr>
              <w:rPr>
                <w:rFonts w:hint="default" w:ascii="Arial" w:hAnsi="Arial" w:cs="Arial"/>
                <w:i w:val="0"/>
                <w:iCs w:val="0"/>
                <w:color w:val="000000"/>
                <w:sz w:val="20"/>
                <w:szCs w:val="20"/>
                <w:u w:val="none"/>
              </w:rPr>
            </w:pPr>
          </w:p>
        </w:tc>
        <w:tc>
          <w:tcPr>
            <w:tcW w:w="1964" w:type="dxa"/>
            <w:tcBorders>
              <w:top w:val="nil"/>
              <w:left w:val="nil"/>
              <w:bottom w:val="nil"/>
              <w:right w:val="nil"/>
            </w:tcBorders>
            <w:shd w:val="clear" w:color="auto" w:fill="auto"/>
            <w:vAlign w:val="top"/>
          </w:tcPr>
          <w:p>
            <w:pPr>
              <w:rPr>
                <w:rFonts w:hint="default" w:ascii="Arial" w:hAnsi="Arial" w:cs="Arial"/>
                <w:i w:val="0"/>
                <w:iCs w:val="0"/>
                <w:color w:val="000000"/>
                <w:sz w:val="20"/>
                <w:szCs w:val="20"/>
                <w:u w:val="none"/>
              </w:rPr>
            </w:pPr>
          </w:p>
        </w:tc>
        <w:tc>
          <w:tcPr>
            <w:tcW w:w="1282" w:type="dxa"/>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项目资金用途</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003"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备注：本年我区本级无专项转移支付。</w:t>
            </w:r>
          </w:p>
        </w:tc>
        <w:tc>
          <w:tcPr>
            <w:tcW w:w="186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96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8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r>
    </w:tbl>
    <w:p>
      <w:pPr/>
    </w:p>
    <w:p>
      <w:pPr/>
    </w:p>
    <w:p>
      <w:pPr/>
    </w:p>
    <w:p>
      <w:pPr/>
    </w:p>
    <w:p>
      <w:pPr/>
    </w:p>
    <w:p>
      <w:pPr/>
    </w:p>
    <w:p>
      <w:pPr/>
    </w:p>
    <w:p>
      <w:pPr/>
    </w:p>
    <w:p>
      <w:pPr/>
    </w:p>
    <w:p>
      <w:pPr/>
    </w:p>
    <w:p>
      <w:pPr/>
    </w:p>
    <w:p>
      <w:pPr/>
    </w:p>
    <w:p>
      <w:pPr/>
    </w:p>
    <w:p>
      <w:pPr/>
    </w:p>
    <w:p>
      <w:pPr/>
    </w:p>
    <w:p>
      <w:pPr/>
    </w:p>
    <w:p>
      <w:pPr/>
    </w:p>
    <w:tbl>
      <w:tblPr>
        <w:tblStyle w:val="8"/>
        <w:tblW w:w="8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0"/>
        <w:gridCol w:w="2556"/>
        <w:gridCol w:w="3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809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烈山区2024年政府一般债务限额余额决算表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252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55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2"/>
                <w:szCs w:val="22"/>
                <w:u w:val="none"/>
              </w:rPr>
            </w:pPr>
          </w:p>
        </w:tc>
        <w:tc>
          <w:tcPr>
            <w:tcW w:w="301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地     区</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2024年债务限额</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2024年末债务余额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烈山区</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47911 </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47045 </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spacing w:line="600" w:lineRule="exact"/>
        <w:jc w:val="center"/>
        <w:rPr>
          <w:rFonts w:ascii="宋体" w:hAnsi="宋体"/>
          <w:b/>
          <w:color w:val="000000"/>
          <w:sz w:val="36"/>
          <w:szCs w:val="36"/>
        </w:rPr>
      </w:pPr>
      <w:r>
        <w:rPr>
          <w:rFonts w:ascii="宋体" w:hAnsi="宋体"/>
          <w:b/>
          <w:color w:val="000000"/>
          <w:sz w:val="36"/>
          <w:szCs w:val="36"/>
        </w:rPr>
        <w:t>关于</w:t>
      </w:r>
      <w:r>
        <w:rPr>
          <w:rFonts w:hint="eastAsia" w:ascii="宋体" w:hAnsi="宋体"/>
          <w:b/>
          <w:color w:val="000000"/>
          <w:sz w:val="36"/>
          <w:szCs w:val="36"/>
          <w:lang w:val="en-US" w:eastAsia="zh-CN"/>
        </w:rPr>
        <w:t>烈山区2024</w:t>
      </w:r>
      <w:r>
        <w:rPr>
          <w:rFonts w:ascii="宋体" w:hAnsi="宋体"/>
          <w:b/>
          <w:color w:val="000000"/>
          <w:sz w:val="36"/>
          <w:szCs w:val="36"/>
        </w:rPr>
        <w:t>年政府一般债务</w:t>
      </w:r>
      <w:r>
        <w:rPr>
          <w:rFonts w:hint="eastAsia" w:ascii="宋体" w:hAnsi="宋体"/>
          <w:b/>
          <w:color w:val="000000"/>
          <w:sz w:val="36"/>
          <w:szCs w:val="36"/>
        </w:rPr>
        <w:t>情况</w:t>
      </w:r>
      <w:r>
        <w:rPr>
          <w:rFonts w:ascii="宋体" w:hAnsi="宋体"/>
          <w:b/>
          <w:color w:val="000000"/>
          <w:sz w:val="36"/>
          <w:szCs w:val="36"/>
        </w:rPr>
        <w:t>的说明</w:t>
      </w:r>
    </w:p>
    <w:p>
      <w:pPr>
        <w:ind w:firstLine="640" w:firstLineChars="200"/>
        <w:rPr>
          <w:rFonts w:hint="eastAsia" w:ascii="仿宋" w:hAnsi="仿宋" w:eastAsia="仿宋"/>
          <w:color w:val="000000"/>
          <w:sz w:val="32"/>
          <w:szCs w:val="32"/>
        </w:rPr>
      </w:pPr>
    </w:p>
    <w:p>
      <w:pPr>
        <w:ind w:firstLine="640" w:firstLineChars="200"/>
        <w:rPr>
          <w:rFonts w:hint="eastAsia" w:ascii="仿宋" w:hAnsi="仿宋" w:eastAsia="仿宋"/>
          <w:color w:val="000000"/>
          <w:sz w:val="32"/>
          <w:szCs w:val="32"/>
        </w:rPr>
      </w:pPr>
      <w:r>
        <w:rPr>
          <w:rFonts w:ascii="仿宋" w:hAnsi="仿宋" w:eastAsia="仿宋"/>
          <w:color w:val="000000"/>
          <w:sz w:val="32"/>
          <w:szCs w:val="32"/>
        </w:rPr>
        <w:t>截至202</w:t>
      </w:r>
      <w:r>
        <w:rPr>
          <w:rFonts w:hint="eastAsia" w:ascii="仿宋" w:hAnsi="仿宋" w:eastAsia="仿宋"/>
          <w:color w:val="000000"/>
          <w:sz w:val="32"/>
          <w:szCs w:val="32"/>
          <w:lang w:val="en-US" w:eastAsia="zh-CN"/>
        </w:rPr>
        <w:t>4</w:t>
      </w:r>
      <w:r>
        <w:rPr>
          <w:rFonts w:ascii="仿宋" w:hAnsi="仿宋" w:eastAsia="仿宋"/>
          <w:color w:val="000000"/>
          <w:sz w:val="32"/>
          <w:szCs w:val="32"/>
        </w:rPr>
        <w:t>年底，</w:t>
      </w:r>
      <w:r>
        <w:rPr>
          <w:rFonts w:hint="eastAsia" w:ascii="仿宋" w:hAnsi="仿宋" w:eastAsia="仿宋"/>
          <w:color w:val="000000"/>
          <w:sz w:val="32"/>
          <w:szCs w:val="32"/>
          <w:lang w:val="en-US" w:eastAsia="zh-CN"/>
        </w:rPr>
        <w:t>烈山区</w:t>
      </w:r>
      <w:r>
        <w:rPr>
          <w:rFonts w:ascii="仿宋" w:hAnsi="仿宋" w:eastAsia="仿宋"/>
          <w:color w:val="000000"/>
          <w:sz w:val="32"/>
          <w:szCs w:val="32"/>
        </w:rPr>
        <w:t>政府一般债务余额</w:t>
      </w:r>
      <w:r>
        <w:rPr>
          <w:rFonts w:hint="eastAsia" w:ascii="仿宋" w:hAnsi="仿宋" w:eastAsia="仿宋"/>
          <w:color w:val="000000"/>
          <w:sz w:val="32"/>
          <w:szCs w:val="32"/>
          <w:lang w:val="en-US" w:eastAsia="zh-CN"/>
        </w:rPr>
        <w:t>47045</w:t>
      </w:r>
      <w:r>
        <w:rPr>
          <w:rFonts w:hint="eastAsia" w:ascii="仿宋" w:hAnsi="仿宋" w:eastAsia="仿宋"/>
          <w:color w:val="000000"/>
          <w:sz w:val="32"/>
          <w:szCs w:val="32"/>
        </w:rPr>
        <w:t>万</w:t>
      </w:r>
      <w:r>
        <w:rPr>
          <w:rFonts w:ascii="仿宋" w:hAnsi="仿宋" w:eastAsia="仿宋"/>
          <w:color w:val="000000"/>
          <w:sz w:val="32"/>
          <w:szCs w:val="32"/>
        </w:rPr>
        <w:t>元，一般债务限额</w:t>
      </w:r>
      <w:r>
        <w:rPr>
          <w:rFonts w:hint="eastAsia" w:ascii="仿宋" w:hAnsi="仿宋" w:eastAsia="仿宋"/>
          <w:color w:val="000000"/>
          <w:sz w:val="32"/>
          <w:szCs w:val="32"/>
          <w:lang w:val="en-US" w:eastAsia="zh-CN"/>
        </w:rPr>
        <w:t>47911</w:t>
      </w:r>
      <w:r>
        <w:rPr>
          <w:rFonts w:hint="eastAsia" w:ascii="仿宋" w:hAnsi="仿宋" w:eastAsia="仿宋"/>
          <w:color w:val="000000"/>
          <w:sz w:val="32"/>
          <w:szCs w:val="32"/>
        </w:rPr>
        <w:t>万</w:t>
      </w:r>
      <w:r>
        <w:rPr>
          <w:rFonts w:ascii="仿宋" w:hAnsi="仿宋" w:eastAsia="仿宋"/>
          <w:color w:val="000000"/>
          <w:sz w:val="32"/>
          <w:szCs w:val="32"/>
        </w:rPr>
        <w:t>元，债务余额低于债务限额。</w:t>
      </w:r>
    </w:p>
    <w:p>
      <w:pPr>
        <w:ind w:firstLine="640" w:firstLineChars="200"/>
        <w:rPr>
          <w:rFonts w:hint="eastAsia" w:ascii="黑体" w:hAnsi="黑体" w:eastAsia="黑体"/>
          <w:color w:val="000000"/>
          <w:sz w:val="32"/>
          <w:szCs w:val="32"/>
        </w:rPr>
      </w:pPr>
      <w:r>
        <w:rPr>
          <w:rFonts w:ascii="黑体" w:hAnsi="黑体" w:eastAsia="黑体"/>
          <w:color w:val="000000"/>
          <w:sz w:val="32"/>
          <w:szCs w:val="32"/>
        </w:rPr>
        <w:t>一、政府一般债务收支情况</w:t>
      </w:r>
    </w:p>
    <w:p>
      <w:pPr>
        <w:ind w:firstLine="640" w:firstLineChars="20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ascii="仿宋" w:hAnsi="仿宋" w:eastAsia="仿宋"/>
          <w:color w:val="000000"/>
          <w:sz w:val="32"/>
          <w:szCs w:val="32"/>
        </w:rPr>
        <w:t>年，政府一般债务收入</w:t>
      </w:r>
      <w:r>
        <w:rPr>
          <w:rFonts w:hint="eastAsia" w:ascii="仿宋" w:hAnsi="仿宋" w:eastAsia="仿宋"/>
          <w:color w:val="000000"/>
          <w:sz w:val="32"/>
          <w:szCs w:val="32"/>
          <w:lang w:val="en-US" w:eastAsia="zh-CN"/>
        </w:rPr>
        <w:t>6059</w:t>
      </w:r>
      <w:r>
        <w:rPr>
          <w:rFonts w:hint="eastAsia" w:ascii="仿宋" w:hAnsi="仿宋" w:eastAsia="仿宋"/>
          <w:color w:val="000000"/>
          <w:sz w:val="32"/>
          <w:szCs w:val="32"/>
        </w:rPr>
        <w:t>万</w:t>
      </w:r>
      <w:r>
        <w:rPr>
          <w:rFonts w:ascii="仿宋" w:hAnsi="仿宋" w:eastAsia="仿宋"/>
          <w:color w:val="000000"/>
          <w:sz w:val="32"/>
          <w:szCs w:val="32"/>
        </w:rPr>
        <w:t>元，其中:一是根据</w:t>
      </w:r>
      <w:r>
        <w:rPr>
          <w:rFonts w:hint="eastAsia" w:ascii="仿宋" w:hAnsi="仿宋" w:eastAsia="仿宋"/>
          <w:color w:val="000000"/>
          <w:sz w:val="32"/>
          <w:szCs w:val="32"/>
        </w:rPr>
        <w:t>省财政厅</w:t>
      </w:r>
      <w:r>
        <w:rPr>
          <w:rFonts w:ascii="仿宋" w:hAnsi="仿宋" w:eastAsia="仿宋"/>
          <w:color w:val="000000"/>
          <w:sz w:val="32"/>
          <w:szCs w:val="32"/>
        </w:rPr>
        <w:t>下达我</w:t>
      </w:r>
      <w:r>
        <w:rPr>
          <w:rFonts w:hint="eastAsia" w:ascii="仿宋" w:hAnsi="仿宋" w:eastAsia="仿宋"/>
          <w:color w:val="000000"/>
          <w:sz w:val="32"/>
          <w:szCs w:val="32"/>
        </w:rPr>
        <w:t>县</w:t>
      </w:r>
      <w:r>
        <w:rPr>
          <w:rFonts w:ascii="仿宋" w:hAnsi="仿宋" w:eastAsia="仿宋"/>
          <w:color w:val="000000"/>
          <w:sz w:val="32"/>
          <w:szCs w:val="32"/>
        </w:rPr>
        <w:t>一般债券限额，发行的新增一般债券收入</w:t>
      </w:r>
      <w:r>
        <w:rPr>
          <w:rFonts w:hint="eastAsia" w:ascii="仿宋" w:hAnsi="仿宋" w:eastAsia="仿宋"/>
          <w:color w:val="000000"/>
          <w:sz w:val="32"/>
          <w:szCs w:val="32"/>
          <w:lang w:val="en-US" w:eastAsia="zh-CN"/>
        </w:rPr>
        <w:t>4000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（和美乡村项目）</w:t>
      </w:r>
      <w:r>
        <w:rPr>
          <w:rFonts w:hint="eastAsia" w:ascii="仿宋" w:hAnsi="仿宋" w:eastAsia="仿宋"/>
          <w:color w:val="000000"/>
          <w:sz w:val="32"/>
          <w:szCs w:val="32"/>
        </w:rPr>
        <w:t>；</w:t>
      </w:r>
      <w:r>
        <w:rPr>
          <w:rFonts w:ascii="仿宋" w:hAnsi="仿宋" w:eastAsia="仿宋"/>
          <w:color w:val="000000"/>
          <w:sz w:val="32"/>
          <w:szCs w:val="32"/>
        </w:rPr>
        <w:t>二是一般债再融资债券收入</w:t>
      </w:r>
      <w:r>
        <w:rPr>
          <w:rFonts w:hint="eastAsia" w:ascii="仿宋" w:hAnsi="仿宋" w:eastAsia="仿宋"/>
          <w:color w:val="000000"/>
          <w:sz w:val="32"/>
          <w:szCs w:val="32"/>
          <w:lang w:val="en-US" w:eastAsia="zh-CN"/>
        </w:rPr>
        <w:t>1232</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rPr>
        <w:t>；三是</w:t>
      </w:r>
      <w:r>
        <w:rPr>
          <w:rFonts w:hint="eastAsia" w:ascii="仿宋" w:hAnsi="仿宋" w:eastAsia="仿宋"/>
          <w:color w:val="000000"/>
          <w:sz w:val="32"/>
          <w:szCs w:val="32"/>
          <w:lang w:eastAsia="zh-CN"/>
        </w:rPr>
        <w:t>转贷</w:t>
      </w:r>
      <w:r>
        <w:rPr>
          <w:rFonts w:hint="eastAsia" w:ascii="仿宋" w:hAnsi="仿宋" w:eastAsia="仿宋"/>
          <w:color w:val="000000"/>
          <w:sz w:val="32"/>
          <w:szCs w:val="32"/>
        </w:rPr>
        <w:t>债券收入</w:t>
      </w:r>
      <w:r>
        <w:rPr>
          <w:rFonts w:hint="eastAsia" w:ascii="仿宋" w:hAnsi="仿宋" w:eastAsia="仿宋"/>
          <w:color w:val="000000"/>
          <w:sz w:val="32"/>
          <w:szCs w:val="32"/>
          <w:lang w:val="en-US" w:eastAsia="zh-CN"/>
        </w:rPr>
        <w:t>827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(置换)</w:t>
      </w:r>
      <w:r>
        <w:rPr>
          <w:rFonts w:hint="eastAsia" w:ascii="仿宋" w:hAnsi="仿宋" w:eastAsia="仿宋"/>
          <w:color w:val="000000"/>
          <w:sz w:val="32"/>
          <w:szCs w:val="32"/>
        </w:rPr>
        <w:t>。</w:t>
      </w:r>
    </w:p>
    <w:p>
      <w:pPr>
        <w:ind w:firstLine="640" w:firstLineChars="200"/>
        <w:rPr>
          <w:rFonts w:hint="eastAsia" w:ascii="黑体" w:hAnsi="黑体" w:eastAsia="黑体"/>
          <w:color w:val="000000"/>
          <w:sz w:val="32"/>
          <w:szCs w:val="32"/>
        </w:rPr>
      </w:pPr>
      <w:r>
        <w:rPr>
          <w:rFonts w:ascii="黑体" w:hAnsi="黑体" w:eastAsia="黑体"/>
          <w:color w:val="000000"/>
          <w:sz w:val="32"/>
          <w:szCs w:val="32"/>
        </w:rPr>
        <w:t>二、政府一般债务限额余额情况</w:t>
      </w:r>
    </w:p>
    <w:p>
      <w:pPr>
        <w:ind w:firstLine="640" w:firstLineChars="200"/>
        <w:rPr>
          <w:rFonts w:ascii="仿宋" w:hAnsi="仿宋" w:eastAsia="仿宋"/>
          <w:color w:val="000000"/>
          <w:sz w:val="32"/>
          <w:szCs w:val="32"/>
        </w:rPr>
      </w:pPr>
      <w:r>
        <w:rPr>
          <w:rFonts w:ascii="仿宋" w:hAnsi="仿宋" w:eastAsia="仿宋"/>
          <w:color w:val="000000"/>
          <w:sz w:val="32"/>
          <w:szCs w:val="32"/>
        </w:rPr>
        <w:t>截至</w:t>
      </w:r>
      <w:r>
        <w:rPr>
          <w:rFonts w:hint="eastAsia" w:ascii="仿宋" w:hAnsi="仿宋" w:eastAsia="仿宋"/>
          <w:color w:val="000000"/>
          <w:sz w:val="32"/>
          <w:szCs w:val="32"/>
          <w:lang w:val="en-US" w:eastAsia="zh-CN"/>
        </w:rPr>
        <w:t>2024</w:t>
      </w:r>
      <w:r>
        <w:rPr>
          <w:rFonts w:ascii="仿宋" w:hAnsi="仿宋" w:eastAsia="仿宋"/>
          <w:color w:val="000000"/>
          <w:sz w:val="32"/>
          <w:szCs w:val="32"/>
        </w:rPr>
        <w:t>年底，政府一般债务余额限额</w:t>
      </w:r>
      <w:r>
        <w:rPr>
          <w:rFonts w:hint="eastAsia" w:ascii="仿宋" w:hAnsi="仿宋" w:eastAsia="仿宋"/>
          <w:color w:val="000000"/>
          <w:sz w:val="32"/>
          <w:szCs w:val="32"/>
          <w:lang w:val="en-US" w:eastAsia="zh-CN"/>
        </w:rPr>
        <w:t>47911</w:t>
      </w:r>
      <w:r>
        <w:rPr>
          <w:rFonts w:hint="eastAsia" w:ascii="仿宋" w:hAnsi="仿宋" w:eastAsia="仿宋"/>
          <w:color w:val="000000"/>
          <w:sz w:val="32"/>
          <w:szCs w:val="32"/>
        </w:rPr>
        <w:t>万</w:t>
      </w:r>
      <w:r>
        <w:rPr>
          <w:rFonts w:ascii="仿宋" w:hAnsi="仿宋" w:eastAsia="仿宋"/>
          <w:color w:val="000000"/>
          <w:sz w:val="32"/>
          <w:szCs w:val="32"/>
        </w:rPr>
        <w:t>元，政府一般债务余额</w:t>
      </w:r>
      <w:r>
        <w:rPr>
          <w:rFonts w:hint="eastAsia" w:ascii="仿宋" w:hAnsi="仿宋" w:eastAsia="仿宋"/>
          <w:color w:val="000000"/>
          <w:sz w:val="32"/>
          <w:szCs w:val="32"/>
          <w:lang w:val="en-US" w:eastAsia="zh-CN"/>
        </w:rPr>
        <w:t>47045</w:t>
      </w:r>
      <w:r>
        <w:rPr>
          <w:rFonts w:hint="eastAsia" w:ascii="仿宋" w:hAnsi="仿宋" w:eastAsia="仿宋"/>
          <w:color w:val="000000"/>
          <w:sz w:val="32"/>
          <w:szCs w:val="32"/>
        </w:rPr>
        <w:t>万</w:t>
      </w:r>
      <w:r>
        <w:rPr>
          <w:rFonts w:ascii="仿宋" w:hAnsi="仿宋" w:eastAsia="仿宋"/>
          <w:color w:val="000000"/>
          <w:sz w:val="32"/>
          <w:szCs w:val="32"/>
        </w:rPr>
        <w:t>元。</w:t>
      </w:r>
    </w:p>
    <w:p>
      <w:pPr/>
    </w:p>
    <w:p>
      <w:pPr/>
    </w:p>
    <w:p>
      <w:pPr/>
    </w:p>
    <w:p>
      <w:pPr/>
    </w:p>
    <w:p>
      <w:pPr/>
    </w:p>
    <w:p>
      <w:pPr/>
    </w:p>
    <w:p>
      <w:pPr/>
    </w:p>
    <w:p>
      <w:pPr/>
    </w:p>
    <w:p>
      <w:pPr/>
    </w:p>
    <w:p>
      <w:pPr/>
    </w:p>
    <w:p>
      <w:pPr/>
    </w:p>
    <w:p>
      <w:pPr/>
    </w:p>
    <w:p>
      <w:pPr/>
    </w:p>
    <w:p>
      <w:pPr/>
    </w:p>
    <w:p>
      <w:pPr/>
    </w:p>
    <w:p>
      <w:pPr/>
    </w:p>
    <w:p>
      <w:pPr/>
    </w:p>
    <w:p>
      <w:pPr/>
    </w:p>
    <w:p>
      <w:pPr/>
    </w:p>
    <w:p>
      <w:pPr/>
    </w:p>
    <w:tbl>
      <w:tblPr>
        <w:tblStyle w:val="8"/>
        <w:tblW w:w="81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7"/>
        <w:gridCol w:w="831"/>
        <w:gridCol w:w="1337"/>
        <w:gridCol w:w="1009"/>
        <w:gridCol w:w="1104"/>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144"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烈山区2024年全区政府性基金收入决算表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7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0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  入  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调整预算数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1.国有土地收益基金收入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2.国有土地使用权出让收入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3.城市基础设施配套费收入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4.污水处理费收入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政府性基金预算收入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上年结余收入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专项债务转贷收入</w:t>
            </w:r>
          </w:p>
        </w:tc>
        <w:tc>
          <w:tcPr>
            <w:tcW w:w="831" w:type="dxa"/>
            <w:tcBorders>
              <w:top w:val="single" w:color="000000" w:sz="4" w:space="0"/>
              <w:left w:val="single" w:color="000000" w:sz="4" w:space="0"/>
              <w:bottom w:val="single" w:color="000000" w:sz="4" w:space="0"/>
              <w:right w:val="single" w:color="000000" w:sz="4" w:space="0"/>
            </w:tcBorders>
            <w:shd w:val="pct50" w:color="FFFFFF" w:fill="auto"/>
            <w:vAlign w:val="center"/>
          </w:tcPr>
          <w:p>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28537</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调入资金</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46429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
    <w:p>
      <w:pPr/>
    </w:p>
    <w:p>
      <w:pPr/>
    </w:p>
    <w:p>
      <w:pPr/>
    </w:p>
    <w:p>
      <w:pPr/>
    </w:p>
    <w:tbl>
      <w:tblPr>
        <w:tblStyle w:val="8"/>
        <w:tblW w:w="82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1"/>
        <w:gridCol w:w="1364"/>
        <w:gridCol w:w="1323"/>
        <w:gridCol w:w="1036"/>
        <w:gridCol w:w="1077"/>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823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烈山区2024年全区政府性基金支出决算表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206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5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5,529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39.23%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27.12%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26,621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94.86%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债务付息支出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9,671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161.88%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债务发行费用支出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本年支出合计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11,857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42,592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37,409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87.83%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加：调出资金</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债务还本支出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结转下年</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5,183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支  出  合  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46,429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0"/>
        <w:gridCol w:w="886"/>
        <w:gridCol w:w="903"/>
        <w:gridCol w:w="975"/>
        <w:gridCol w:w="975"/>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769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烈山区2024年区本级政府性基金收入决算表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6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  入  项  目</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调整预算数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1.国有土地收益基金收入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2.国有土地使用权出让收入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3.城市基础设施配套费收入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4.污水处理费收入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政府性基金预算收入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加：上级补助收入</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上年结余收入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专项债务转贷收入</w:t>
            </w:r>
          </w:p>
        </w:tc>
        <w:tc>
          <w:tcPr>
            <w:tcW w:w="886" w:type="dxa"/>
            <w:tcBorders>
              <w:top w:val="single" w:color="000000" w:sz="4" w:space="0"/>
              <w:left w:val="single" w:color="000000" w:sz="4" w:space="0"/>
              <w:bottom w:val="single" w:color="000000" w:sz="4" w:space="0"/>
              <w:right w:val="single" w:color="000000" w:sz="4" w:space="0"/>
            </w:tcBorders>
            <w:shd w:val="pct50" w:color="FFFFFF"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28537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调入资金</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    收  入  合  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46122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p>
    <w:p>
      <w:pPr/>
    </w:p>
    <w:p>
      <w:pPr/>
    </w:p>
    <w:p>
      <w:pPr/>
    </w:p>
    <w:p>
      <w:pPr/>
    </w:p>
    <w:p>
      <w:pPr/>
    </w:p>
    <w:p>
      <w:pPr/>
    </w:p>
    <w:p>
      <w:pPr/>
    </w:p>
    <w:p>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val="en-US" w:eastAsia="zh-CN"/>
        </w:rPr>
        <w:t>烈山区</w:t>
      </w:r>
      <w:r>
        <w:rPr>
          <w:rFonts w:ascii="黑体" w:hAnsi="黑体" w:eastAsia="黑体"/>
          <w:sz w:val="36"/>
          <w:szCs w:val="36"/>
        </w:rPr>
        <w:t>202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val="en-US" w:eastAsia="zh-CN"/>
        </w:rPr>
        <w:t>区</w:t>
      </w:r>
      <w:r>
        <w:rPr>
          <w:rFonts w:hint="eastAsia" w:ascii="黑体" w:hAnsi="黑体" w:eastAsia="黑体"/>
          <w:sz w:val="36"/>
          <w:szCs w:val="36"/>
        </w:rPr>
        <w:t>本</w:t>
      </w:r>
      <w:r>
        <w:rPr>
          <w:rFonts w:ascii="黑体" w:hAnsi="黑体" w:eastAsia="黑体"/>
          <w:sz w:val="36"/>
          <w:szCs w:val="36"/>
        </w:rPr>
        <w:t>级政府性基金收入决算</w:t>
      </w:r>
    </w:p>
    <w:p>
      <w:pPr>
        <w:jc w:val="center"/>
        <w:rPr>
          <w:rFonts w:hint="eastAsia" w:ascii="黑体" w:hAnsi="黑体" w:eastAsia="黑体"/>
          <w:sz w:val="36"/>
          <w:szCs w:val="36"/>
        </w:rPr>
      </w:pPr>
      <w:r>
        <w:rPr>
          <w:rFonts w:hint="eastAsia" w:ascii="黑体" w:hAnsi="黑体" w:eastAsia="黑体"/>
          <w:sz w:val="36"/>
          <w:szCs w:val="36"/>
        </w:rPr>
        <w:t>情况</w:t>
      </w:r>
      <w:r>
        <w:rPr>
          <w:rFonts w:ascii="黑体" w:hAnsi="黑体" w:eastAsia="黑体"/>
          <w:sz w:val="36"/>
          <w:szCs w:val="36"/>
        </w:rPr>
        <w:t>的说明</w:t>
      </w:r>
    </w:p>
    <w:p>
      <w:pPr>
        <w:rPr>
          <w:rFonts w:hint="eastAsia"/>
        </w:rPr>
      </w:pPr>
    </w:p>
    <w:p>
      <w:pPr>
        <w:pStyle w:val="4"/>
        <w:numPr>
          <w:ilvl w:val="0"/>
          <w:numId w:val="2"/>
        </w:numPr>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烈山区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级政府性基金收入预算数为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w:t>
      </w:r>
    </w:p>
    <w:p>
      <w:pPr>
        <w:pStyle w:val="4"/>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1.国有土地使用权出让收入预算数为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 xml:space="preserve"> 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%，主要是土地</w:t>
      </w:r>
      <w:r>
        <w:rPr>
          <w:rFonts w:hint="eastAsia" w:ascii="Times New Roman" w:hAnsi="Times New Roman" w:eastAsia="仿宋_GB2312" w:cs="Times New Roman"/>
          <w:sz w:val="32"/>
          <w:szCs w:val="32"/>
          <w:lang w:eastAsia="zh-CN"/>
        </w:rPr>
        <w:t>出让</w:t>
      </w:r>
      <w:r>
        <w:rPr>
          <w:rFonts w:hint="eastAsia" w:ascii="Times New Roman" w:hAnsi="Times New Roman" w:eastAsia="仿宋_GB2312" w:cs="Times New Roman"/>
          <w:sz w:val="32"/>
          <w:szCs w:val="32"/>
        </w:rPr>
        <w:t>收入。</w:t>
      </w:r>
    </w:p>
    <w:p>
      <w:pPr>
        <w:pStyle w:val="4"/>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2.城市基础设施配套费收入预算数为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%，主要是城市建设方面</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收入。</w:t>
      </w:r>
    </w:p>
    <w:p>
      <w:pPr>
        <w:pStyle w:val="4"/>
        <w:spacing w:before="0" w:beforeAutospacing="0" w:after="0" w:afterAutospacing="0"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3.污水处理费收入预算数为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万元，为预算的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pPr>
        <w:pStyle w:val="4"/>
        <w:spacing w:before="0" w:beforeAutospacing="0" w:after="0" w:afterAutospacing="0" w:line="600" w:lineRule="exact"/>
        <w:ind w:firstLine="640" w:firstLineChars="200"/>
        <w:rPr>
          <w:rFonts w:hint="eastAsia"/>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烈山区</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级政府性基金收入决算数为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，加上级补助收入</w:t>
      </w:r>
      <w:r>
        <w:rPr>
          <w:rFonts w:hint="eastAsia" w:ascii="Times New Roman" w:hAnsi="Times New Roman" w:eastAsia="仿宋_GB2312" w:cs="Times New Roman"/>
          <w:sz w:val="32"/>
          <w:szCs w:val="32"/>
          <w:lang w:val="en-US" w:eastAsia="zh-CN"/>
        </w:rPr>
        <w:t>5819</w:t>
      </w:r>
      <w:r>
        <w:rPr>
          <w:rFonts w:hint="eastAsia" w:ascii="Times New Roman" w:hAnsi="Times New Roman" w:eastAsia="仿宋_GB2312" w:cs="Times New Roman"/>
          <w:sz w:val="32"/>
          <w:szCs w:val="32"/>
        </w:rPr>
        <w:t>万元，上年结余收入</w:t>
      </w:r>
      <w:r>
        <w:rPr>
          <w:rFonts w:hint="eastAsia" w:ascii="Times New Roman" w:hAnsi="Times New Roman" w:eastAsia="仿宋_GB2312" w:cs="Times New Roman"/>
          <w:sz w:val="32"/>
          <w:szCs w:val="32"/>
          <w:lang w:val="en-US" w:eastAsia="zh-CN"/>
        </w:rPr>
        <w:t>2508</w:t>
      </w:r>
      <w:r>
        <w:rPr>
          <w:rFonts w:hint="eastAsia" w:ascii="Times New Roman" w:hAnsi="Times New Roman" w:eastAsia="仿宋_GB2312" w:cs="Times New Roman"/>
          <w:sz w:val="32"/>
          <w:szCs w:val="32"/>
        </w:rPr>
        <w:t>万元，专项债务转贷收入</w:t>
      </w:r>
      <w:r>
        <w:rPr>
          <w:rFonts w:hint="eastAsia" w:ascii="Times New Roman" w:hAnsi="Times New Roman" w:eastAsia="仿宋_GB2312" w:cs="Times New Roman"/>
          <w:sz w:val="32"/>
          <w:szCs w:val="32"/>
          <w:lang w:val="en-US" w:eastAsia="zh-CN"/>
        </w:rPr>
        <w:t>28537</w:t>
      </w:r>
      <w:r>
        <w:rPr>
          <w:rFonts w:hint="eastAsia" w:ascii="Times New Roman" w:hAnsi="Times New Roman" w:eastAsia="仿宋_GB2312" w:cs="Times New Roman"/>
          <w:sz w:val="32"/>
          <w:szCs w:val="32"/>
        </w:rPr>
        <w:t>万元，调入资金</w:t>
      </w:r>
      <w:r>
        <w:rPr>
          <w:rFonts w:hint="eastAsia" w:ascii="Times New Roman" w:hAnsi="Times New Roman" w:eastAsia="仿宋_GB2312" w:cs="Times New Roman"/>
          <w:sz w:val="32"/>
          <w:szCs w:val="32"/>
          <w:lang w:val="en-US" w:eastAsia="zh-CN"/>
        </w:rPr>
        <w:t>9888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其中</w:t>
      </w:r>
      <w:r>
        <w:rPr>
          <w:rFonts w:hint="eastAsia" w:eastAsia="仿宋_GB2312"/>
          <w:kern w:val="0"/>
          <w:sz w:val="32"/>
          <w:szCs w:val="32"/>
        </w:rPr>
        <w:t>上级补助收入</w:t>
      </w:r>
      <w:r>
        <w:rPr>
          <w:rFonts w:hint="eastAsia" w:eastAsia="仿宋_GB2312"/>
          <w:kern w:val="0"/>
          <w:sz w:val="32"/>
          <w:szCs w:val="32"/>
          <w:lang w:val="en-US" w:eastAsia="zh-CN"/>
        </w:rPr>
        <w:t>5819</w:t>
      </w:r>
      <w:r>
        <w:rPr>
          <w:rFonts w:hint="eastAsia" w:eastAsia="仿宋_GB2312"/>
          <w:kern w:val="0"/>
          <w:sz w:val="32"/>
          <w:szCs w:val="32"/>
        </w:rPr>
        <w:t>万元，根据</w:t>
      </w:r>
      <w:r>
        <w:rPr>
          <w:rFonts w:hint="eastAsia" w:eastAsia="仿宋_GB2312"/>
          <w:kern w:val="0"/>
          <w:sz w:val="32"/>
          <w:szCs w:val="32"/>
          <w:lang w:eastAsia="zh-CN"/>
        </w:rPr>
        <w:t>市</w:t>
      </w:r>
      <w:r>
        <w:rPr>
          <w:rFonts w:hint="eastAsia" w:eastAsia="仿宋_GB2312"/>
          <w:kern w:val="0"/>
          <w:sz w:val="32"/>
          <w:szCs w:val="32"/>
        </w:rPr>
        <w:t>下达我</w:t>
      </w:r>
      <w:r>
        <w:rPr>
          <w:rFonts w:hint="eastAsia" w:eastAsia="仿宋_GB2312"/>
          <w:kern w:val="0"/>
          <w:sz w:val="32"/>
          <w:szCs w:val="32"/>
          <w:lang w:eastAsia="zh-CN"/>
        </w:rPr>
        <w:t>区</w:t>
      </w:r>
      <w:r>
        <w:rPr>
          <w:rFonts w:hint="eastAsia" w:eastAsia="仿宋_GB2312"/>
          <w:kern w:val="0"/>
          <w:sz w:val="32"/>
          <w:szCs w:val="32"/>
        </w:rPr>
        <w:t>本级政府性基金转移支付收入数据填列，主要为城乡社区补助收入。</w:t>
      </w:r>
      <w:r>
        <w:rPr>
          <w:rFonts w:hint="eastAsia" w:ascii="Times New Roman" w:hAnsi="Times New Roman" w:eastAsia="仿宋_GB2312" w:cs="Times New Roman"/>
          <w:sz w:val="32"/>
          <w:szCs w:val="32"/>
        </w:rPr>
        <w:t>上年结余收入</w:t>
      </w:r>
      <w:r>
        <w:rPr>
          <w:rFonts w:hint="eastAsia" w:ascii="Times New Roman" w:hAnsi="Times New Roman" w:eastAsia="仿宋_GB2312" w:cs="Times New Roman"/>
          <w:sz w:val="32"/>
          <w:szCs w:val="32"/>
          <w:lang w:val="en-US" w:eastAsia="zh-CN"/>
        </w:rPr>
        <w:t>2508</w:t>
      </w:r>
      <w:r>
        <w:rPr>
          <w:rFonts w:hint="eastAsia" w:ascii="Times New Roman" w:hAnsi="Times New Roman" w:eastAsia="仿宋_GB2312" w:cs="Times New Roman"/>
          <w:sz w:val="32"/>
          <w:szCs w:val="32"/>
        </w:rPr>
        <w:t>万元，按照202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年决算年终结余填列。专项债务转贷收入</w:t>
      </w:r>
      <w:r>
        <w:rPr>
          <w:rFonts w:hint="eastAsia" w:ascii="Times New Roman" w:hAnsi="Times New Roman" w:eastAsia="仿宋_GB2312" w:cs="Times New Roman"/>
          <w:sz w:val="32"/>
          <w:szCs w:val="32"/>
          <w:lang w:val="en-US" w:eastAsia="zh-CN"/>
        </w:rPr>
        <w:t>28537</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一是根据</w:t>
      </w:r>
      <w:r>
        <w:rPr>
          <w:rFonts w:hint="eastAsia" w:ascii="Times New Roman" w:hAnsi="Times New Roman" w:eastAsia="仿宋_GB2312" w:cs="Times New Roman"/>
          <w:sz w:val="32"/>
          <w:szCs w:val="32"/>
        </w:rPr>
        <w:t>省财政厅</w:t>
      </w:r>
      <w:r>
        <w:rPr>
          <w:rFonts w:ascii="Times New Roman" w:hAnsi="Times New Roman" w:eastAsia="仿宋_GB2312" w:cs="Times New Roman"/>
          <w:sz w:val="32"/>
          <w:szCs w:val="32"/>
        </w:rPr>
        <w:t>下达我</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债券限额，发行的新增</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债券收入</w:t>
      </w:r>
      <w:r>
        <w:rPr>
          <w:rFonts w:hint="eastAsia" w:ascii="Times New Roman" w:hAnsi="Times New Roman" w:eastAsia="仿宋_GB2312" w:cs="Times New Roman"/>
          <w:sz w:val="32"/>
          <w:szCs w:val="32"/>
          <w:lang w:val="en-US" w:eastAsia="zh-CN"/>
        </w:rPr>
        <w:t>24700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（含财力补助</w:t>
      </w:r>
      <w:r>
        <w:rPr>
          <w:rFonts w:hint="eastAsia" w:ascii="Times New Roman" w:hAnsi="Times New Roman" w:eastAsia="仿宋_GB2312" w:cs="Times New Roman"/>
          <w:sz w:val="32"/>
          <w:szCs w:val="32"/>
          <w:lang w:val="en-US" w:eastAsia="zh-CN"/>
        </w:rPr>
        <w:t>1300万元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债</w:t>
      </w:r>
      <w:r>
        <w:rPr>
          <w:rFonts w:hint="eastAsia" w:ascii="Times New Roman" w:hAnsi="Times New Roman" w:eastAsia="仿宋_GB2312" w:cs="Times New Roman"/>
          <w:sz w:val="32"/>
          <w:szCs w:val="32"/>
          <w:lang w:eastAsia="zh-CN"/>
        </w:rPr>
        <w:t>（置换）</w:t>
      </w:r>
      <w:r>
        <w:rPr>
          <w:rFonts w:ascii="Times New Roman" w:hAnsi="Times New Roman" w:eastAsia="仿宋_GB2312" w:cs="Times New Roman"/>
          <w:sz w:val="32"/>
          <w:szCs w:val="32"/>
        </w:rPr>
        <w:t>债券收入</w:t>
      </w:r>
      <w:r>
        <w:rPr>
          <w:rFonts w:hint="eastAsia" w:ascii="Times New Roman" w:hAnsi="Times New Roman" w:eastAsia="仿宋_GB2312" w:cs="Times New Roman"/>
          <w:sz w:val="32"/>
          <w:szCs w:val="32"/>
          <w:lang w:val="en-US" w:eastAsia="zh-CN"/>
        </w:rPr>
        <w:t>3837</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w:t>
      </w:r>
    </w:p>
    <w:p>
      <w:pPr/>
    </w:p>
    <w:p>
      <w:pPr/>
    </w:p>
    <w:p>
      <w:pPr/>
    </w:p>
    <w:p>
      <w:pPr/>
    </w:p>
    <w:p>
      <w:pPr/>
    </w:p>
    <w:p>
      <w:pPr/>
    </w:p>
    <w:p>
      <w:pPr/>
    </w:p>
    <w:tbl>
      <w:tblPr>
        <w:tblStyle w:val="8"/>
        <w:tblW w:w="7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8"/>
        <w:gridCol w:w="900"/>
        <w:gridCol w:w="954"/>
        <w:gridCol w:w="928"/>
        <w:gridCol w:w="1009"/>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7693"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烈山区2024年区本级政府性基金支出决算表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27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92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13"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4,845</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36.99%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27.12%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资源勘探工业信息等支出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849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26,621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25,231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94.78%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债务付息支出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9,671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9,842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9,865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100.23%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债务发行费用支出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 年 支 出 合 计</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11550 </w:t>
            </w:r>
          </w:p>
        </w:tc>
        <w:tc>
          <w:tcPr>
            <w:tcW w:w="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41885 </w:t>
            </w:r>
          </w:p>
        </w:tc>
        <w:tc>
          <w:tcPr>
            <w:tcW w:w="9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37,009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88.36%</w:t>
            </w:r>
          </w:p>
        </w:tc>
        <w:tc>
          <w:tcPr>
            <w:tcW w:w="110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补助下级支出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加：调出资金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债务还本支出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3,837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结转下年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4,876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
    <w:p>
      <w:pPr/>
    </w:p>
    <w:p>
      <w:pPr/>
    </w:p>
    <w:p>
      <w:pPr/>
    </w:p>
    <w:p>
      <w:pPr/>
    </w:p>
    <w:p>
      <w:pPr/>
    </w:p>
    <w:p>
      <w:pPr/>
    </w:p>
    <w:p>
      <w:pPr/>
    </w:p>
    <w:p>
      <w:pPr>
        <w:jc w:val="center"/>
        <w:rPr>
          <w:rFonts w:hint="eastAsia" w:ascii="黑体" w:hAnsi="黑体" w:eastAsia="黑体"/>
          <w:color w:val="000000"/>
          <w:sz w:val="36"/>
          <w:szCs w:val="36"/>
        </w:rPr>
      </w:pPr>
      <w:r>
        <w:rPr>
          <w:rFonts w:ascii="黑体" w:hAnsi="黑体" w:eastAsia="黑体"/>
          <w:color w:val="000000"/>
          <w:sz w:val="36"/>
          <w:szCs w:val="36"/>
        </w:rPr>
        <w:t>关于</w:t>
      </w:r>
      <w:r>
        <w:rPr>
          <w:rFonts w:hint="eastAsia" w:ascii="黑体" w:hAnsi="黑体" w:eastAsia="黑体"/>
          <w:color w:val="000000"/>
          <w:sz w:val="36"/>
          <w:szCs w:val="36"/>
          <w:lang w:eastAsia="zh-CN"/>
        </w:rPr>
        <w:t>烈山区</w:t>
      </w:r>
      <w:r>
        <w:rPr>
          <w:rFonts w:ascii="黑体" w:hAnsi="黑体" w:eastAsia="黑体"/>
          <w:color w:val="000000"/>
          <w:sz w:val="36"/>
          <w:szCs w:val="36"/>
        </w:rPr>
        <w:t>20</w:t>
      </w:r>
      <w:r>
        <w:rPr>
          <w:rFonts w:hint="eastAsia" w:ascii="黑体" w:hAnsi="黑体" w:eastAsia="黑体"/>
          <w:color w:val="000000"/>
          <w:sz w:val="36"/>
          <w:szCs w:val="36"/>
        </w:rPr>
        <w:t>2</w:t>
      </w:r>
      <w:r>
        <w:rPr>
          <w:rFonts w:hint="eastAsia" w:ascii="黑体" w:hAnsi="黑体" w:eastAsia="黑体"/>
          <w:color w:val="000000"/>
          <w:sz w:val="36"/>
          <w:szCs w:val="36"/>
          <w:lang w:val="en-US" w:eastAsia="zh-CN"/>
        </w:rPr>
        <w:t>4</w:t>
      </w:r>
      <w:r>
        <w:rPr>
          <w:rFonts w:ascii="黑体" w:hAnsi="黑体" w:eastAsia="黑体"/>
          <w:color w:val="000000"/>
          <w:sz w:val="36"/>
          <w:szCs w:val="36"/>
        </w:rPr>
        <w:t>年</w:t>
      </w:r>
      <w:r>
        <w:rPr>
          <w:rFonts w:hint="eastAsia" w:ascii="黑体" w:hAnsi="黑体" w:eastAsia="黑体"/>
          <w:color w:val="000000"/>
          <w:sz w:val="36"/>
          <w:szCs w:val="36"/>
          <w:lang w:eastAsia="zh-CN"/>
        </w:rPr>
        <w:t>区</w:t>
      </w:r>
      <w:r>
        <w:rPr>
          <w:rFonts w:hint="eastAsia" w:ascii="黑体" w:hAnsi="黑体" w:eastAsia="黑体"/>
          <w:color w:val="000000"/>
          <w:sz w:val="36"/>
          <w:szCs w:val="36"/>
        </w:rPr>
        <w:t>本</w:t>
      </w:r>
      <w:r>
        <w:rPr>
          <w:rFonts w:ascii="黑体" w:hAnsi="黑体" w:eastAsia="黑体"/>
          <w:color w:val="000000"/>
          <w:sz w:val="36"/>
          <w:szCs w:val="36"/>
        </w:rPr>
        <w:t>级政府性基金支出决算</w:t>
      </w:r>
    </w:p>
    <w:p>
      <w:pPr>
        <w:jc w:val="center"/>
        <w:rPr>
          <w:rFonts w:hint="eastAsia" w:ascii="黑体" w:hAnsi="黑体" w:eastAsia="黑体"/>
          <w:color w:val="000000"/>
          <w:sz w:val="36"/>
          <w:szCs w:val="36"/>
        </w:rPr>
      </w:pPr>
      <w:r>
        <w:rPr>
          <w:rFonts w:hint="eastAsia" w:ascii="黑体" w:hAnsi="黑体" w:eastAsia="黑体"/>
          <w:color w:val="000000"/>
          <w:sz w:val="36"/>
          <w:szCs w:val="36"/>
        </w:rPr>
        <w:t>情况</w:t>
      </w:r>
      <w:r>
        <w:rPr>
          <w:rFonts w:ascii="黑体" w:hAnsi="黑体" w:eastAsia="黑体"/>
          <w:color w:val="000000"/>
          <w:sz w:val="36"/>
          <w:szCs w:val="36"/>
        </w:rPr>
        <w:t>的说明</w:t>
      </w:r>
    </w:p>
    <w:p>
      <w:pPr>
        <w:pStyle w:val="4"/>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p>
    <w:p>
      <w:pPr>
        <w:pStyle w:val="4"/>
        <w:numPr>
          <w:ilvl w:val="0"/>
          <w:numId w:val="3"/>
        </w:numPr>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烈山区</w:t>
      </w:r>
      <w:r>
        <w:rPr>
          <w:rFonts w:hint="eastAsia" w:ascii="仿宋_GB2312" w:hAnsi="仿宋" w:eastAsia="仿宋_GB2312" w:cs="Times New Roman"/>
          <w:color w:val="000000"/>
          <w:sz w:val="32"/>
          <w:szCs w:val="32"/>
        </w:rPr>
        <w:t>202</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区</w:t>
      </w:r>
      <w:r>
        <w:rPr>
          <w:rFonts w:hint="eastAsia" w:ascii="仿宋_GB2312" w:hAnsi="仿宋" w:eastAsia="仿宋_GB2312" w:cs="Times New Roman"/>
          <w:color w:val="000000"/>
          <w:sz w:val="32"/>
          <w:szCs w:val="32"/>
        </w:rPr>
        <w:t>本级政府性基金支出预算数</w:t>
      </w:r>
      <w:r>
        <w:rPr>
          <w:rFonts w:hint="eastAsia" w:ascii="仿宋_GB2312" w:hAnsi="楷体" w:eastAsia="仿宋_GB2312" w:cs="Times New Roman"/>
          <w:color w:val="000000"/>
          <w:sz w:val="32"/>
          <w:szCs w:val="32"/>
        </w:rPr>
        <w:t>(是指年初预算数，加上级追加、预算调整等，减去补助下级后，形成的调整预算数，下同)</w:t>
      </w:r>
      <w:r>
        <w:rPr>
          <w:rFonts w:hint="eastAsia" w:ascii="仿宋_GB2312" w:hAnsi="仿宋" w:eastAsia="仿宋_GB2312" w:cs="Times New Roman"/>
          <w:color w:val="000000"/>
          <w:sz w:val="32"/>
          <w:szCs w:val="32"/>
        </w:rPr>
        <w:t>为</w:t>
      </w:r>
      <w:r>
        <w:rPr>
          <w:rFonts w:hint="eastAsia" w:ascii="仿宋_GB2312" w:hAnsi="仿宋" w:eastAsia="仿宋_GB2312" w:cs="Times New Roman"/>
          <w:color w:val="000000"/>
          <w:sz w:val="32"/>
          <w:szCs w:val="32"/>
          <w:lang w:val="en-US" w:eastAsia="zh-CN"/>
        </w:rPr>
        <w:t>41885</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37009</w:t>
      </w:r>
      <w:r>
        <w:rPr>
          <w:rFonts w:hint="eastAsia" w:ascii="仿宋_GB2312" w:hAnsi="仿宋" w:eastAsia="仿宋_GB2312" w:cs="Times New Roman"/>
          <w:color w:val="000000"/>
          <w:sz w:val="32"/>
          <w:szCs w:val="32"/>
        </w:rPr>
        <w:t>万元，完成预算的</w:t>
      </w:r>
      <w:r>
        <w:rPr>
          <w:rFonts w:hint="eastAsia" w:ascii="仿宋_GB2312" w:hAnsi="仿宋" w:eastAsia="仿宋_GB2312" w:cs="Times New Roman"/>
          <w:color w:val="000000"/>
          <w:sz w:val="32"/>
          <w:szCs w:val="32"/>
          <w:lang w:val="en-US" w:eastAsia="zh-CN"/>
        </w:rPr>
        <w:t>88.4</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eastAsia="zh-CN"/>
        </w:rPr>
        <w:t>其中：</w:t>
      </w:r>
    </w:p>
    <w:p>
      <w:pPr>
        <w:pStyle w:val="4"/>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s="Times New Roman"/>
          <w:color w:val="000000"/>
          <w:sz w:val="32"/>
          <w:szCs w:val="32"/>
        </w:rPr>
        <w:t>文化旅游体育与传媒支出</w:t>
      </w:r>
      <w:r>
        <w:rPr>
          <w:rFonts w:hint="eastAsia" w:ascii="仿宋_GB2312" w:hAnsi="仿宋" w:eastAsia="仿宋_GB2312"/>
          <w:color w:val="000000"/>
          <w:sz w:val="32"/>
          <w:szCs w:val="32"/>
        </w:rPr>
        <w:t>预算数为</w:t>
      </w:r>
      <w:r>
        <w:rPr>
          <w:rFonts w:hint="eastAsia" w:ascii="仿宋_GB2312" w:hAnsi="仿宋" w:eastAsia="仿宋_GB2312"/>
          <w:color w:val="000000"/>
          <w:sz w:val="32"/>
          <w:szCs w:val="32"/>
          <w:lang w:val="en-US" w:eastAsia="zh-CN"/>
        </w:rPr>
        <w:t>327</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万元，完成预算的</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w:t>
      </w:r>
    </w:p>
    <w:p>
      <w:pPr>
        <w:pStyle w:val="4"/>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城乡社区支出预算数为</w:t>
      </w:r>
      <w:r>
        <w:rPr>
          <w:rFonts w:hint="eastAsia" w:ascii="仿宋_GB2312" w:hAnsi="仿宋" w:eastAsia="仿宋_GB2312"/>
          <w:color w:val="000000"/>
          <w:sz w:val="32"/>
          <w:szCs w:val="32"/>
          <w:lang w:val="en-US" w:eastAsia="zh-CN"/>
        </w:rPr>
        <w:t>4845</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1792</w:t>
      </w:r>
      <w:r>
        <w:rPr>
          <w:rFonts w:hint="eastAsia" w:ascii="仿宋_GB2312" w:hAnsi="仿宋" w:eastAsia="仿宋_GB2312"/>
          <w:color w:val="000000"/>
          <w:sz w:val="32"/>
          <w:szCs w:val="32"/>
        </w:rPr>
        <w:t xml:space="preserve"> 万元，完成预算的</w:t>
      </w:r>
      <w:r>
        <w:rPr>
          <w:rFonts w:hint="eastAsia" w:ascii="仿宋_GB2312" w:hAnsi="仿宋" w:eastAsia="仿宋_GB2312"/>
          <w:color w:val="000000"/>
          <w:sz w:val="32"/>
          <w:szCs w:val="32"/>
          <w:lang w:val="en-US" w:eastAsia="zh-CN"/>
        </w:rPr>
        <w:t>37</w:t>
      </w:r>
      <w:r>
        <w:rPr>
          <w:rFonts w:hint="eastAsia" w:ascii="仿宋_GB2312" w:hAnsi="仿宋" w:eastAsia="仿宋_GB2312"/>
          <w:color w:val="000000"/>
          <w:sz w:val="32"/>
          <w:szCs w:val="32"/>
        </w:rPr>
        <w:t>%。</w:t>
      </w:r>
    </w:p>
    <w:p>
      <w:pPr>
        <w:pStyle w:val="4"/>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农林水支出预算数为</w:t>
      </w:r>
      <w:r>
        <w:rPr>
          <w:rFonts w:hint="eastAsia" w:ascii="仿宋_GB2312" w:hAnsi="仿宋" w:eastAsia="仿宋_GB2312"/>
          <w:color w:val="000000"/>
          <w:sz w:val="32"/>
          <w:szCs w:val="32"/>
          <w:lang w:val="en-US" w:eastAsia="zh-CN"/>
        </w:rPr>
        <w:t>177</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48</w:t>
      </w:r>
      <w:r>
        <w:rPr>
          <w:rFonts w:hint="eastAsia" w:ascii="仿宋_GB2312" w:hAnsi="仿宋" w:eastAsia="仿宋_GB2312"/>
          <w:color w:val="000000"/>
          <w:sz w:val="32"/>
          <w:szCs w:val="32"/>
        </w:rPr>
        <w:t xml:space="preserve"> 万元，完成预算的</w:t>
      </w:r>
      <w:r>
        <w:rPr>
          <w:rFonts w:hint="eastAsia" w:ascii="仿宋_GB2312" w:hAnsi="仿宋" w:eastAsia="仿宋_GB2312"/>
          <w:color w:val="000000"/>
          <w:sz w:val="32"/>
          <w:szCs w:val="32"/>
          <w:lang w:val="en-US" w:eastAsia="zh-CN"/>
        </w:rPr>
        <w:t>27.1</w:t>
      </w:r>
      <w:r>
        <w:rPr>
          <w:rFonts w:hint="eastAsia" w:ascii="仿宋_GB2312" w:hAnsi="仿宋" w:eastAsia="仿宋_GB2312"/>
          <w:color w:val="000000"/>
          <w:sz w:val="32"/>
          <w:szCs w:val="32"/>
        </w:rPr>
        <w:t>%。</w:t>
      </w:r>
    </w:p>
    <w:p>
      <w:pPr>
        <w:pStyle w:val="4"/>
        <w:spacing w:before="0" w:beforeAutospacing="0" w:after="0" w:afterAutospacing="0"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资源勘探工业信息等支出预算数为</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万元，决算数为</w:t>
      </w:r>
      <w:r>
        <w:rPr>
          <w:rFonts w:hint="eastAsia" w:ascii="仿宋_GB2312" w:hAnsi="仿宋" w:eastAsia="仿宋_GB2312"/>
          <w:color w:val="000000"/>
          <w:sz w:val="32"/>
          <w:szCs w:val="32"/>
          <w:lang w:val="en-US" w:eastAsia="zh-CN"/>
        </w:rPr>
        <w:t>50</w:t>
      </w:r>
      <w:r>
        <w:rPr>
          <w:rFonts w:hint="eastAsia" w:ascii="仿宋_GB2312" w:hAnsi="仿宋" w:eastAsia="仿宋_GB2312"/>
          <w:color w:val="000000"/>
          <w:sz w:val="32"/>
          <w:szCs w:val="32"/>
        </w:rPr>
        <w:t>万元，完成预算的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0%。</w:t>
      </w:r>
    </w:p>
    <w:p>
      <w:pPr>
        <w:pStyle w:val="4"/>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lang w:eastAsia="zh-CN"/>
        </w:rPr>
        <w:t>其他</w:t>
      </w:r>
      <w:r>
        <w:rPr>
          <w:rFonts w:hint="eastAsia" w:ascii="仿宋_GB2312" w:hAnsi="仿宋" w:eastAsia="仿宋_GB2312" w:cs="Times New Roman"/>
          <w:color w:val="000000"/>
          <w:sz w:val="32"/>
          <w:szCs w:val="32"/>
        </w:rPr>
        <w:t>支出预算数为</w:t>
      </w:r>
      <w:r>
        <w:rPr>
          <w:rFonts w:hint="eastAsia" w:ascii="仿宋_GB2312" w:hAnsi="仿宋" w:eastAsia="仿宋_GB2312" w:cs="Times New Roman"/>
          <w:color w:val="000000"/>
          <w:sz w:val="32"/>
          <w:szCs w:val="32"/>
          <w:lang w:val="en-US" w:eastAsia="zh-CN"/>
        </w:rPr>
        <w:t>26621</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25231</w:t>
      </w:r>
      <w:r>
        <w:rPr>
          <w:rFonts w:hint="eastAsia" w:ascii="仿宋_GB2312" w:hAnsi="仿宋" w:eastAsia="仿宋_GB2312" w:cs="Times New Roman"/>
          <w:color w:val="000000"/>
          <w:sz w:val="32"/>
          <w:szCs w:val="32"/>
        </w:rPr>
        <w:t>万元，完成预算的</w:t>
      </w:r>
      <w:r>
        <w:rPr>
          <w:rFonts w:hint="eastAsia" w:ascii="仿宋_GB2312" w:hAnsi="仿宋" w:eastAsia="仿宋_GB2312" w:cs="Times New Roman"/>
          <w:color w:val="000000"/>
          <w:sz w:val="32"/>
          <w:szCs w:val="32"/>
          <w:lang w:val="en-US" w:eastAsia="zh-CN"/>
        </w:rPr>
        <w:t>94.8</w:t>
      </w:r>
      <w:r>
        <w:rPr>
          <w:rFonts w:hint="eastAsia" w:ascii="仿宋_GB2312" w:hAnsi="仿宋" w:eastAsia="仿宋_GB2312" w:cs="Times New Roman"/>
          <w:color w:val="000000"/>
          <w:sz w:val="32"/>
          <w:szCs w:val="32"/>
        </w:rPr>
        <w:t>%。</w:t>
      </w:r>
    </w:p>
    <w:p>
      <w:pPr>
        <w:pStyle w:val="4"/>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6</w:t>
      </w:r>
      <w:r>
        <w:rPr>
          <w:rFonts w:hint="eastAsia" w:ascii="仿宋_GB2312" w:hAnsi="仿宋" w:eastAsia="仿宋_GB2312" w:cs="Times New Roman"/>
          <w:color w:val="000000"/>
          <w:sz w:val="32"/>
          <w:szCs w:val="32"/>
        </w:rPr>
        <w:t>.</w:t>
      </w:r>
      <w:r>
        <w:rPr>
          <w:rFonts w:hint="eastAsia"/>
          <w:color w:val="000000"/>
        </w:rPr>
        <w:t xml:space="preserve"> </w:t>
      </w:r>
      <w:r>
        <w:rPr>
          <w:rFonts w:hint="eastAsia" w:ascii="仿宋_GB2312" w:hAnsi="仿宋" w:eastAsia="仿宋_GB2312" w:cs="Times New Roman"/>
          <w:color w:val="000000"/>
          <w:sz w:val="32"/>
          <w:szCs w:val="32"/>
        </w:rPr>
        <w:t>债务付息支出预算数为</w:t>
      </w:r>
      <w:r>
        <w:rPr>
          <w:rFonts w:hint="eastAsia" w:ascii="仿宋_GB2312" w:hAnsi="仿宋" w:eastAsia="仿宋_GB2312" w:cs="Times New Roman"/>
          <w:color w:val="000000"/>
          <w:sz w:val="32"/>
          <w:szCs w:val="32"/>
          <w:lang w:val="en-US" w:eastAsia="zh-CN"/>
        </w:rPr>
        <w:t>9842</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9865</w:t>
      </w:r>
      <w:r>
        <w:rPr>
          <w:rFonts w:hint="eastAsia" w:ascii="仿宋_GB2312" w:hAnsi="仿宋" w:eastAsia="仿宋_GB2312" w:cs="Times New Roman"/>
          <w:color w:val="000000"/>
          <w:sz w:val="32"/>
          <w:szCs w:val="32"/>
        </w:rPr>
        <w:t>万元，完成预算的100</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w:t>
      </w:r>
    </w:p>
    <w:p>
      <w:pPr>
        <w:pStyle w:val="4"/>
        <w:spacing w:before="0" w:beforeAutospacing="0" w:after="0" w:afterAutospacing="0" w:line="60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7</w:t>
      </w:r>
      <w:r>
        <w:rPr>
          <w:rFonts w:hint="eastAsia" w:ascii="仿宋_GB2312" w:hAnsi="仿宋" w:eastAsia="仿宋_GB2312" w:cs="Times New Roman"/>
          <w:color w:val="000000"/>
          <w:sz w:val="32"/>
          <w:szCs w:val="32"/>
        </w:rPr>
        <w:t>.</w:t>
      </w:r>
      <w:r>
        <w:rPr>
          <w:rFonts w:hint="eastAsia"/>
          <w:color w:val="000000"/>
        </w:rPr>
        <w:t xml:space="preserve"> </w:t>
      </w:r>
      <w:r>
        <w:rPr>
          <w:rFonts w:hint="eastAsia" w:ascii="仿宋_GB2312" w:hAnsi="仿宋" w:eastAsia="仿宋_GB2312" w:cs="Times New Roman"/>
          <w:color w:val="000000"/>
          <w:sz w:val="32"/>
          <w:szCs w:val="32"/>
        </w:rPr>
        <w:t>债务发行费用支出预算数为</w:t>
      </w:r>
      <w:r>
        <w:rPr>
          <w:rFonts w:hint="eastAsia" w:ascii="仿宋_GB2312" w:hAnsi="仿宋" w:eastAsia="仿宋_GB2312" w:cs="Times New Roman"/>
          <w:color w:val="000000"/>
          <w:sz w:val="32"/>
          <w:szCs w:val="32"/>
          <w:lang w:val="en-US" w:eastAsia="zh-CN"/>
        </w:rPr>
        <w:t>23</w:t>
      </w:r>
      <w:r>
        <w:rPr>
          <w:rFonts w:hint="eastAsia" w:ascii="仿宋_GB2312" w:hAnsi="仿宋" w:eastAsia="仿宋_GB2312" w:cs="Times New Roman"/>
          <w:color w:val="000000"/>
          <w:sz w:val="32"/>
          <w:szCs w:val="32"/>
        </w:rPr>
        <w:t>万元，决算数为</w:t>
      </w:r>
      <w:r>
        <w:rPr>
          <w:rFonts w:hint="eastAsia" w:ascii="仿宋_GB2312" w:hAnsi="仿宋" w:eastAsia="仿宋_GB2312" w:cs="Times New Roman"/>
          <w:color w:val="000000"/>
          <w:sz w:val="32"/>
          <w:szCs w:val="32"/>
          <w:lang w:val="en-US" w:eastAsia="zh-CN"/>
        </w:rPr>
        <w:t>23</w:t>
      </w:r>
      <w:r>
        <w:rPr>
          <w:rFonts w:hint="eastAsia" w:ascii="仿宋_GB2312" w:hAnsi="仿宋" w:eastAsia="仿宋_GB2312" w:cs="Times New Roman"/>
          <w:color w:val="000000"/>
          <w:sz w:val="32"/>
          <w:szCs w:val="32"/>
        </w:rPr>
        <w:t>万元，完成预算的100%。</w:t>
      </w:r>
    </w:p>
    <w:p>
      <w:pPr>
        <w:pStyle w:val="4"/>
        <w:spacing w:before="0" w:beforeAutospacing="0" w:after="0" w:afterAutospacing="0" w:line="600" w:lineRule="exact"/>
        <w:ind w:firstLine="480" w:firstLineChars="150"/>
        <w:rPr>
          <w:rFonts w:hint="eastAsia" w:ascii="仿宋_GB2312" w:hAnsi="仿宋" w:eastAsia="仿宋_GB2312" w:cs="Times New Roman"/>
          <w:color w:val="FF0000"/>
          <w:sz w:val="32"/>
          <w:szCs w:val="32"/>
        </w:rPr>
      </w:pPr>
      <w:r>
        <w:rPr>
          <w:rFonts w:hint="eastAsia" w:ascii="仿宋_GB2312" w:hAnsi="仿宋" w:eastAsia="仿宋_GB2312" w:cs="Times New Roman"/>
          <w:sz w:val="32"/>
          <w:szCs w:val="32"/>
        </w:rPr>
        <w:tab/>
      </w:r>
      <w:r>
        <w:rPr>
          <w:rFonts w:hint="eastAsia" w:ascii="仿宋_GB2312" w:hAnsi="仿宋" w:eastAsia="仿宋_GB2312" w:cs="Times New Roman"/>
          <w:sz w:val="32"/>
          <w:szCs w:val="32"/>
        </w:rPr>
        <w:t>二、</w:t>
      </w:r>
      <w:r>
        <w:rPr>
          <w:rFonts w:hint="eastAsia" w:ascii="仿宋_GB2312" w:hAnsi="仿宋" w:eastAsia="仿宋_GB2312" w:cs="Times New Roman"/>
          <w:sz w:val="32"/>
          <w:szCs w:val="32"/>
          <w:lang w:eastAsia="zh-CN"/>
        </w:rPr>
        <w:t>烈山区</w:t>
      </w: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eastAsia="zh-CN"/>
        </w:rPr>
        <w:t>区</w:t>
      </w:r>
      <w:r>
        <w:rPr>
          <w:rFonts w:hint="eastAsia" w:ascii="仿宋_GB2312" w:hAnsi="仿宋" w:eastAsia="仿宋_GB2312" w:cs="Times New Roman"/>
          <w:sz w:val="32"/>
          <w:szCs w:val="32"/>
        </w:rPr>
        <w:t>本级政府性基金支出决算数</w:t>
      </w:r>
      <w:r>
        <w:rPr>
          <w:rFonts w:hint="eastAsia" w:ascii="仿宋_GB2312" w:hAnsi="仿宋" w:eastAsia="仿宋_GB2312" w:cs="Times New Roman"/>
          <w:sz w:val="32"/>
          <w:szCs w:val="32"/>
          <w:lang w:val="en-US" w:eastAsia="zh-CN"/>
        </w:rPr>
        <w:t>37009</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，加</w:t>
      </w:r>
      <w:r>
        <w:rPr>
          <w:rFonts w:hint="eastAsia" w:ascii="仿宋_GB2312" w:hAnsi="仿宋" w:eastAsia="仿宋_GB2312" w:cs="Times New Roman"/>
          <w:sz w:val="32"/>
          <w:szCs w:val="32"/>
        </w:rPr>
        <w:t>补助下级支出</w:t>
      </w:r>
      <w:r>
        <w:rPr>
          <w:rFonts w:hint="eastAsia" w:ascii="仿宋_GB2312" w:hAnsi="仿宋" w:eastAsia="仿宋_GB2312" w:cs="Times New Roman"/>
          <w:sz w:val="32"/>
          <w:szCs w:val="32"/>
          <w:lang w:val="en-US" w:eastAsia="zh-CN"/>
        </w:rPr>
        <w:t>400</w:t>
      </w:r>
      <w:r>
        <w:rPr>
          <w:rFonts w:hint="eastAsia" w:ascii="仿宋_GB2312" w:hAnsi="仿宋" w:eastAsia="仿宋_GB2312" w:cs="Times New Roman"/>
          <w:sz w:val="32"/>
          <w:szCs w:val="32"/>
        </w:rPr>
        <w:t>万元，调出资金</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万元，债务还本支出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万元，结转下年</w:t>
      </w:r>
      <w:r>
        <w:rPr>
          <w:rFonts w:hint="eastAsia" w:ascii="仿宋_GB2312" w:hAnsi="仿宋" w:eastAsia="仿宋_GB2312" w:cs="Times New Roman"/>
          <w:sz w:val="32"/>
          <w:szCs w:val="32"/>
          <w:lang w:val="en-US" w:eastAsia="zh-CN"/>
        </w:rPr>
        <w:t>4876</w:t>
      </w:r>
      <w:r>
        <w:rPr>
          <w:rFonts w:hint="eastAsia" w:ascii="仿宋_GB2312" w:hAnsi="仿宋" w:eastAsia="仿宋_GB2312" w:cs="Times New Roman"/>
          <w:sz w:val="32"/>
          <w:szCs w:val="32"/>
        </w:rPr>
        <w:t>,支出总计</w:t>
      </w:r>
      <w:r>
        <w:rPr>
          <w:rFonts w:hint="eastAsia" w:ascii="仿宋_GB2312" w:hAnsi="仿宋" w:eastAsia="仿宋_GB2312" w:cs="Times New Roman"/>
          <w:sz w:val="32"/>
          <w:szCs w:val="32"/>
          <w:lang w:val="en-US" w:eastAsia="zh-CN"/>
        </w:rPr>
        <w:t>46122</w:t>
      </w:r>
      <w:r>
        <w:rPr>
          <w:rFonts w:hint="eastAsia" w:ascii="仿宋_GB2312" w:hAnsi="仿宋" w:eastAsia="仿宋_GB2312" w:cs="Times New Roman"/>
          <w:sz w:val="32"/>
          <w:szCs w:val="32"/>
        </w:rPr>
        <w:t>万元。</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7"/>
        <w:gridCol w:w="4663"/>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7530"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烈山区2024年区本级政府性基金支出（项级）决算表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125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66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支出项目</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文化旅游体育与传媒支出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城乡社区支出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21208</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国有土地使用权出让收入安排的支出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21213</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城市基础设施配套费安排的支出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213</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农林水支出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21366</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大中型水库库区基金安排的支出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21372</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大中型水库移民后期扶持基金支出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资源勘探工业信息等支出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21598</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超长期特别国债安排的支出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22904</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其他政府性基金及对应专项债务收入安排的支出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22960</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彩票公益金安排的支出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债务付息支出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23204</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地方政府专项债务付息支出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债务发行费用支出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23304</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地方政府专项债务发行费用支出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bl>
    <w:p>
      <w:pPr/>
    </w:p>
    <w:p>
      <w:pPr/>
    </w:p>
    <w:p>
      <w:pPr/>
    </w:p>
    <w:p>
      <w:pPr/>
    </w:p>
    <w:p>
      <w:pPr/>
    </w:p>
    <w:p>
      <w:pPr/>
    </w:p>
    <w:p>
      <w:pPr/>
    </w:p>
    <w:p>
      <w:pPr/>
    </w:p>
    <w:p>
      <w:pPr/>
    </w:p>
    <w:tbl>
      <w:tblPr>
        <w:tblStyle w:val="8"/>
        <w:tblW w:w="7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0"/>
        <w:gridCol w:w="1125"/>
        <w:gridCol w:w="169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793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烈山区2024年区本级政府性基金对下转移支付决算表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37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695" w:type="dxa"/>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0" w:hRule="atLeast"/>
        </w:trPr>
        <w:tc>
          <w:tcPr>
            <w:tcW w:w="37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1.国有土地使用权出让权收入支出</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2.农业土地开发资金相关支出</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3.彩票公益金安排的支出</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372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100.0 </w:t>
            </w:r>
          </w:p>
        </w:tc>
      </w:tr>
    </w:tbl>
    <w:p>
      <w:pPr/>
    </w:p>
    <w:p>
      <w:pPr/>
    </w:p>
    <w:p>
      <w:pPr/>
    </w:p>
    <w:p>
      <w:pPr/>
    </w:p>
    <w:p>
      <w:pPr/>
    </w:p>
    <w:p>
      <w:pPr/>
    </w:p>
    <w:p>
      <w:pPr/>
    </w:p>
    <w:p>
      <w:pPr/>
    </w:p>
    <w:p>
      <w:pPr/>
    </w:p>
    <w:p>
      <w:pPr/>
    </w:p>
    <w:p>
      <w:pPr/>
    </w:p>
    <w:p>
      <w:pPr/>
    </w:p>
    <w:p>
      <w:pPr/>
    </w:p>
    <w:p>
      <w:pPr/>
    </w:p>
    <w:p>
      <w:pPr/>
    </w:p>
    <w:p>
      <w:pPr/>
    </w:p>
    <w:p>
      <w:pPr/>
    </w:p>
    <w:p>
      <w:pPr/>
    </w:p>
    <w:p>
      <w:pPr/>
    </w:p>
    <w:p>
      <w:pPr/>
    </w:p>
    <w:tbl>
      <w:tblPr>
        <w:tblStyle w:val="8"/>
        <w:tblW w:w="8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5"/>
        <w:gridCol w:w="6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8116"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烈山区2024年区本级政府性基金对下转移支付分地区决算表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4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7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区</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烈山镇</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宋疃镇</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古饶镇</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杨庄办</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bl>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5"/>
        <w:gridCol w:w="3015"/>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832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烈山区2024年政府专项债务限额余额决算表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2295"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01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2"/>
                <w:szCs w:val="22"/>
                <w:u w:val="none"/>
              </w:rPr>
            </w:pPr>
          </w:p>
        </w:tc>
        <w:tc>
          <w:tcPr>
            <w:tcW w:w="301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229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地     区</w:t>
            </w:r>
          </w:p>
        </w:tc>
        <w:tc>
          <w:tcPr>
            <w:tcW w:w="301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2024年债务限额</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2024年末债务余额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烈山区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327337 </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327337 </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spacing w:line="600" w:lineRule="exact"/>
        <w:jc w:val="center"/>
        <w:rPr>
          <w:rFonts w:hint="eastAsia" w:ascii="方正小标宋简体" w:hAnsi="黑体" w:eastAsia="方正小标宋简体" w:cs="Times New Roman"/>
          <w:bCs/>
          <w:color w:val="000000"/>
          <w:sz w:val="36"/>
          <w:szCs w:val="36"/>
        </w:rPr>
      </w:pPr>
    </w:p>
    <w:p>
      <w:pPr>
        <w:spacing w:line="600" w:lineRule="exact"/>
        <w:jc w:val="center"/>
        <w:rPr>
          <w:rFonts w:hint="eastAsia" w:ascii="方正小标宋简体" w:hAnsi="黑体" w:eastAsia="方正小标宋简体" w:cs="Times New Roman"/>
          <w:bCs/>
          <w:color w:val="000000"/>
          <w:sz w:val="36"/>
          <w:szCs w:val="36"/>
        </w:rPr>
      </w:pPr>
      <w:r>
        <w:rPr>
          <w:rFonts w:hint="eastAsia" w:ascii="方正小标宋简体" w:hAnsi="黑体" w:eastAsia="方正小标宋简体" w:cs="Times New Roman"/>
          <w:bCs/>
          <w:color w:val="000000"/>
          <w:sz w:val="36"/>
          <w:szCs w:val="36"/>
        </w:rPr>
        <w:t>关于</w:t>
      </w:r>
      <w:r>
        <w:rPr>
          <w:rFonts w:hint="eastAsia" w:ascii="方正小标宋简体" w:hAnsi="黑体" w:eastAsia="方正小标宋简体" w:cs="Times New Roman"/>
          <w:bCs/>
          <w:color w:val="000000"/>
          <w:sz w:val="36"/>
          <w:szCs w:val="36"/>
          <w:lang w:eastAsia="zh-CN"/>
        </w:rPr>
        <w:t>烈山区</w:t>
      </w:r>
      <w:r>
        <w:rPr>
          <w:rFonts w:hint="eastAsia" w:ascii="方正小标宋简体" w:hAnsi="黑体" w:eastAsia="方正小标宋简体" w:cs="Times New Roman"/>
          <w:bCs/>
          <w:color w:val="000000"/>
          <w:sz w:val="36"/>
          <w:szCs w:val="36"/>
        </w:rPr>
        <w:t>202</w:t>
      </w:r>
      <w:r>
        <w:rPr>
          <w:rFonts w:hint="eastAsia" w:ascii="方正小标宋简体" w:hAnsi="黑体" w:eastAsia="方正小标宋简体" w:cs="Times New Roman"/>
          <w:bCs/>
          <w:color w:val="000000"/>
          <w:sz w:val="36"/>
          <w:szCs w:val="36"/>
          <w:lang w:val="en-US" w:eastAsia="zh-CN"/>
        </w:rPr>
        <w:t>4</w:t>
      </w:r>
      <w:r>
        <w:rPr>
          <w:rFonts w:hint="eastAsia" w:ascii="方正小标宋简体" w:hAnsi="黑体" w:eastAsia="方正小标宋简体" w:cs="Times New Roman"/>
          <w:bCs/>
          <w:color w:val="000000"/>
          <w:sz w:val="36"/>
          <w:szCs w:val="36"/>
        </w:rPr>
        <w:t>年政府专项债务情况的说明</w:t>
      </w:r>
    </w:p>
    <w:p>
      <w:pPr>
        <w:spacing w:line="600" w:lineRule="exact"/>
        <w:ind w:firstLine="883" w:firstLineChars="200"/>
        <w:rPr>
          <w:rFonts w:hint="eastAsia" w:ascii="Times New Roman" w:hAnsi="Times New Roman" w:cs="Times New Roman"/>
          <w:b/>
          <w:bCs/>
          <w:color w:val="000000"/>
          <w:sz w:val="44"/>
          <w:szCs w:val="44"/>
        </w:rPr>
      </w:pPr>
    </w:p>
    <w:p>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截至202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年底，</w:t>
      </w:r>
      <w:r>
        <w:rPr>
          <w:rFonts w:hint="eastAsia" w:ascii="仿宋" w:hAnsi="仿宋" w:eastAsia="仿宋" w:cs="Times New Roman"/>
          <w:color w:val="000000"/>
          <w:sz w:val="32"/>
          <w:szCs w:val="32"/>
          <w:lang w:eastAsia="zh-CN"/>
        </w:rPr>
        <w:t>烈山区</w:t>
      </w:r>
      <w:r>
        <w:rPr>
          <w:rFonts w:ascii="仿宋" w:hAnsi="仿宋" w:eastAsia="仿宋" w:cs="Times New Roman"/>
          <w:color w:val="000000"/>
          <w:sz w:val="32"/>
          <w:szCs w:val="32"/>
        </w:rPr>
        <w:t>政府专项债务余额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元，专项债务限额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元，债务余额</w:t>
      </w:r>
      <w:r>
        <w:rPr>
          <w:rFonts w:hint="eastAsia" w:ascii="仿宋" w:hAnsi="仿宋" w:eastAsia="仿宋" w:cs="Times New Roman"/>
          <w:color w:val="000000"/>
          <w:sz w:val="32"/>
          <w:szCs w:val="32"/>
          <w:lang w:eastAsia="zh-CN"/>
        </w:rPr>
        <w:t>等</w:t>
      </w:r>
      <w:r>
        <w:rPr>
          <w:rFonts w:ascii="仿宋" w:hAnsi="仿宋" w:eastAsia="仿宋" w:cs="Times New Roman"/>
          <w:color w:val="000000"/>
          <w:sz w:val="32"/>
          <w:szCs w:val="32"/>
        </w:rPr>
        <w:t>于债务限额。</w:t>
      </w:r>
    </w:p>
    <w:p>
      <w:pPr>
        <w:spacing w:line="60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w:t>
      </w:r>
      <w:r>
        <w:rPr>
          <w:rFonts w:ascii="黑体" w:hAnsi="黑体" w:eastAsia="黑体" w:cs="Times New Roman"/>
          <w:color w:val="000000"/>
          <w:sz w:val="32"/>
          <w:szCs w:val="32"/>
        </w:rPr>
        <w:t>政府专项债务收支情况</w:t>
      </w:r>
    </w:p>
    <w:p>
      <w:pPr>
        <w:spacing w:line="600" w:lineRule="exact"/>
        <w:ind w:firstLine="640" w:firstLineChars="200"/>
        <w:rPr>
          <w:rFonts w:hint="eastAsia" w:ascii="仿宋" w:hAnsi="仿宋" w:eastAsia="仿宋"/>
          <w:color w:val="000000"/>
          <w:sz w:val="32"/>
          <w:szCs w:val="32"/>
        </w:rPr>
      </w:pPr>
      <w:r>
        <w:rPr>
          <w:rFonts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年，政府专项债务收入</w:t>
      </w:r>
      <w:r>
        <w:rPr>
          <w:rFonts w:hint="eastAsia" w:ascii="仿宋" w:hAnsi="仿宋" w:eastAsia="仿宋" w:cs="Times New Roman"/>
          <w:color w:val="000000"/>
          <w:sz w:val="32"/>
          <w:szCs w:val="32"/>
          <w:lang w:val="en-US" w:eastAsia="zh-CN"/>
        </w:rPr>
        <w:t>28537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r>
        <w:rPr>
          <w:rFonts w:ascii="仿宋" w:hAnsi="仿宋" w:eastAsia="仿宋"/>
          <w:color w:val="000000"/>
          <w:sz w:val="32"/>
          <w:szCs w:val="32"/>
        </w:rPr>
        <w:t>其中:一是根据</w:t>
      </w:r>
      <w:r>
        <w:rPr>
          <w:rFonts w:hint="eastAsia" w:ascii="仿宋" w:hAnsi="仿宋" w:eastAsia="仿宋"/>
          <w:color w:val="000000"/>
          <w:sz w:val="32"/>
          <w:szCs w:val="32"/>
        </w:rPr>
        <w:t>省财政厅</w:t>
      </w:r>
      <w:r>
        <w:rPr>
          <w:rFonts w:ascii="仿宋" w:hAnsi="仿宋" w:eastAsia="仿宋"/>
          <w:color w:val="000000"/>
          <w:sz w:val="32"/>
          <w:szCs w:val="32"/>
        </w:rPr>
        <w:t>下达我</w:t>
      </w:r>
      <w:r>
        <w:rPr>
          <w:rFonts w:hint="eastAsia" w:ascii="仿宋" w:hAnsi="仿宋" w:eastAsia="仿宋"/>
          <w:color w:val="000000"/>
          <w:sz w:val="32"/>
          <w:szCs w:val="32"/>
        </w:rPr>
        <w:t>县专项</w:t>
      </w:r>
      <w:r>
        <w:rPr>
          <w:rFonts w:ascii="仿宋" w:hAnsi="仿宋" w:eastAsia="仿宋"/>
          <w:color w:val="000000"/>
          <w:sz w:val="32"/>
          <w:szCs w:val="32"/>
        </w:rPr>
        <w:t>债券限额，发行的新增</w:t>
      </w:r>
      <w:r>
        <w:rPr>
          <w:rFonts w:hint="eastAsia" w:ascii="仿宋" w:hAnsi="仿宋" w:eastAsia="仿宋"/>
          <w:color w:val="000000"/>
          <w:sz w:val="32"/>
          <w:szCs w:val="32"/>
        </w:rPr>
        <w:t>专项</w:t>
      </w:r>
      <w:r>
        <w:rPr>
          <w:rFonts w:ascii="仿宋" w:hAnsi="仿宋" w:eastAsia="仿宋"/>
          <w:color w:val="000000"/>
          <w:sz w:val="32"/>
          <w:szCs w:val="32"/>
        </w:rPr>
        <w:t>债券收入</w:t>
      </w:r>
      <w:r>
        <w:rPr>
          <w:rFonts w:hint="eastAsia" w:ascii="仿宋" w:hAnsi="仿宋" w:eastAsia="仿宋"/>
          <w:color w:val="000000"/>
          <w:sz w:val="32"/>
          <w:szCs w:val="32"/>
          <w:lang w:val="en-US" w:eastAsia="zh-CN"/>
        </w:rPr>
        <w:t>24700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(补充财力1300万元)</w:t>
      </w:r>
      <w:r>
        <w:rPr>
          <w:rFonts w:hint="eastAsia" w:ascii="仿宋" w:hAnsi="仿宋" w:eastAsia="仿宋"/>
          <w:color w:val="000000"/>
          <w:sz w:val="32"/>
          <w:szCs w:val="32"/>
        </w:rPr>
        <w:t>；</w:t>
      </w:r>
      <w:r>
        <w:rPr>
          <w:rFonts w:ascii="仿宋" w:hAnsi="仿宋" w:eastAsia="仿宋"/>
          <w:color w:val="000000"/>
          <w:sz w:val="32"/>
          <w:szCs w:val="32"/>
        </w:rPr>
        <w:t>二是</w:t>
      </w:r>
      <w:r>
        <w:rPr>
          <w:rFonts w:hint="eastAsia" w:ascii="仿宋" w:hAnsi="仿宋" w:eastAsia="仿宋"/>
          <w:color w:val="000000"/>
          <w:sz w:val="32"/>
          <w:szCs w:val="32"/>
        </w:rPr>
        <w:t>专项</w:t>
      </w:r>
      <w:r>
        <w:rPr>
          <w:rFonts w:ascii="仿宋" w:hAnsi="仿宋" w:eastAsia="仿宋"/>
          <w:color w:val="000000"/>
          <w:sz w:val="32"/>
          <w:szCs w:val="32"/>
        </w:rPr>
        <w:t>债</w:t>
      </w:r>
      <w:r>
        <w:rPr>
          <w:rFonts w:hint="eastAsia" w:ascii="仿宋" w:hAnsi="仿宋" w:eastAsia="仿宋"/>
          <w:color w:val="000000"/>
          <w:sz w:val="32"/>
          <w:szCs w:val="32"/>
          <w:lang w:eastAsia="zh-CN"/>
        </w:rPr>
        <w:t>（置换）</w:t>
      </w:r>
      <w:r>
        <w:rPr>
          <w:rFonts w:ascii="仿宋" w:hAnsi="仿宋" w:eastAsia="仿宋"/>
          <w:color w:val="000000"/>
          <w:sz w:val="32"/>
          <w:szCs w:val="32"/>
        </w:rPr>
        <w:t>债券收入</w:t>
      </w:r>
      <w:r>
        <w:rPr>
          <w:rFonts w:hint="eastAsia" w:ascii="仿宋" w:hAnsi="仿宋" w:eastAsia="仿宋"/>
          <w:color w:val="000000"/>
          <w:sz w:val="32"/>
          <w:szCs w:val="32"/>
          <w:lang w:val="en-US" w:eastAsia="zh-CN"/>
        </w:rPr>
        <w:t>3837</w:t>
      </w:r>
      <w:r>
        <w:rPr>
          <w:rFonts w:hint="eastAsia" w:ascii="仿宋" w:hAnsi="仿宋" w:eastAsia="仿宋"/>
          <w:color w:val="000000"/>
          <w:sz w:val="32"/>
          <w:szCs w:val="32"/>
        </w:rPr>
        <w:t>万</w:t>
      </w:r>
      <w:r>
        <w:rPr>
          <w:rFonts w:ascii="仿宋" w:hAnsi="仿宋" w:eastAsia="仿宋"/>
          <w:color w:val="000000"/>
          <w:sz w:val="32"/>
          <w:szCs w:val="32"/>
        </w:rPr>
        <w:t>元</w:t>
      </w:r>
      <w:r>
        <w:rPr>
          <w:rFonts w:hint="eastAsia" w:ascii="仿宋" w:hAnsi="仿宋" w:eastAsia="仿宋"/>
          <w:color w:val="000000"/>
          <w:sz w:val="32"/>
          <w:szCs w:val="32"/>
        </w:rPr>
        <w:t>。</w:t>
      </w:r>
    </w:p>
    <w:p>
      <w:pPr>
        <w:spacing w:line="600" w:lineRule="exact"/>
        <w:ind w:firstLine="640" w:firstLineChars="200"/>
        <w:rPr>
          <w:rFonts w:hint="eastAsia" w:ascii="黑体" w:hAnsi="黑体" w:eastAsia="黑体" w:cs="Times New Roman"/>
          <w:color w:val="000000"/>
          <w:sz w:val="32"/>
          <w:szCs w:val="32"/>
        </w:rPr>
      </w:pPr>
      <w:r>
        <w:rPr>
          <w:rFonts w:ascii="黑体" w:hAnsi="黑体" w:eastAsia="黑体" w:cs="Times New Roman"/>
          <w:color w:val="000000"/>
          <w:sz w:val="32"/>
          <w:szCs w:val="32"/>
        </w:rPr>
        <w:t>二、政府专项债务限额余额情况</w:t>
      </w:r>
    </w:p>
    <w:p>
      <w:pPr>
        <w:spacing w:line="60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截至202</w:t>
      </w:r>
      <w:r>
        <w:rPr>
          <w:rFonts w:hint="eastAsia" w:ascii="仿宋" w:hAnsi="仿宋" w:eastAsia="仿宋" w:cs="Times New Roman"/>
          <w:color w:val="000000"/>
          <w:sz w:val="32"/>
          <w:szCs w:val="32"/>
          <w:lang w:val="en-US" w:eastAsia="zh-CN"/>
        </w:rPr>
        <w:t>4</w:t>
      </w:r>
      <w:r>
        <w:rPr>
          <w:rFonts w:ascii="仿宋" w:hAnsi="仿宋" w:eastAsia="仿宋" w:cs="Times New Roman"/>
          <w:color w:val="000000"/>
          <w:sz w:val="32"/>
          <w:szCs w:val="32"/>
        </w:rPr>
        <w:t>年底，政府专项债务余额限额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r>
        <w:rPr>
          <w:rFonts w:hint="eastAsia" w:ascii="仿宋" w:hAnsi="仿宋" w:eastAsia="仿宋" w:cs="Times New Roman"/>
          <w:color w:val="000000"/>
          <w:sz w:val="32"/>
          <w:szCs w:val="32"/>
        </w:rPr>
        <w:t>，</w:t>
      </w:r>
      <w:r>
        <w:rPr>
          <w:rFonts w:ascii="仿宋" w:hAnsi="仿宋" w:eastAsia="仿宋" w:cs="Times New Roman"/>
          <w:color w:val="000000"/>
          <w:sz w:val="32"/>
          <w:szCs w:val="32"/>
        </w:rPr>
        <w:t>政府专项债务余额</w:t>
      </w:r>
      <w:r>
        <w:rPr>
          <w:rFonts w:hint="eastAsia" w:ascii="仿宋" w:hAnsi="仿宋" w:eastAsia="仿宋" w:cs="Times New Roman"/>
          <w:color w:val="000000"/>
          <w:sz w:val="32"/>
          <w:szCs w:val="32"/>
          <w:lang w:val="en-US" w:eastAsia="zh-CN"/>
        </w:rPr>
        <w:t>327337</w:t>
      </w:r>
      <w:r>
        <w:rPr>
          <w:rFonts w:hint="eastAsia" w:ascii="仿宋" w:hAnsi="仿宋" w:eastAsia="仿宋" w:cs="Times New Roman"/>
          <w:color w:val="000000"/>
          <w:sz w:val="32"/>
          <w:szCs w:val="32"/>
        </w:rPr>
        <w:t>万</w:t>
      </w:r>
      <w:r>
        <w:rPr>
          <w:rFonts w:ascii="仿宋" w:hAnsi="仿宋" w:eastAsia="仿宋" w:cs="Times New Roman"/>
          <w:color w:val="000000"/>
          <w:sz w:val="32"/>
          <w:szCs w:val="32"/>
        </w:rPr>
        <w:t>元。</w:t>
      </w: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p>
      <w:pPr>
        <w:spacing w:line="600" w:lineRule="exact"/>
        <w:ind w:firstLine="640" w:firstLineChars="200"/>
        <w:rPr>
          <w:rFonts w:ascii="仿宋" w:hAnsi="仿宋" w:eastAsia="仿宋" w:cs="Times New Roman"/>
          <w:color w:val="000000"/>
          <w:sz w:val="32"/>
          <w:szCs w:val="32"/>
        </w:rPr>
      </w:pPr>
    </w:p>
    <w:tbl>
      <w:tblPr>
        <w:tblStyle w:val="8"/>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0"/>
        <w:gridCol w:w="1213"/>
        <w:gridCol w:w="1105"/>
        <w:gridCol w:w="1050"/>
        <w:gridCol w:w="1200"/>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13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烈山区2024年全区国有资本经营收入决算表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228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13"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0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82"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  入  项  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一、利润收入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国有资本经营预算收入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加：上级补助收入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359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上年结余收入</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156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收  入  合  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515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30.84%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20.60%</w:t>
            </w:r>
          </w:p>
        </w:tc>
      </w:tr>
    </w:tbl>
    <w:p>
      <w:pPr>
        <w:spacing w:line="600" w:lineRule="exact"/>
        <w:rPr>
          <w:rFonts w:ascii="仿宋" w:hAnsi="仿宋" w:eastAsia="仿宋" w:cs="Times New Roman"/>
          <w:color w:val="000000"/>
          <w:sz w:val="32"/>
          <w:szCs w:val="32"/>
        </w:rPr>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4"/>
        <w:gridCol w:w="927"/>
        <w:gridCol w:w="996"/>
        <w:gridCol w:w="791"/>
        <w:gridCol w:w="1022"/>
        <w:gridCol w:w="1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252"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烈山区2024年全区国有资本经营支出决算表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234"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27"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9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79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022"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282"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一、解决历史遗留问题及改革成本支出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国有企业退休人员社会化管理补助支出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19.2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二、国有企业资本金注入</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国有经济结构调整支出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公益性设施投资支出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其他国有企业资本金注入</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三、其他国有资本经营预算支出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国有资本经营预算支出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19.2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加：调出资金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结转下年</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支  出  合  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156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515 </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99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14.00%</w:t>
            </w:r>
          </w:p>
        </w:tc>
      </w:tr>
    </w:tbl>
    <w:p>
      <w:pPr/>
    </w:p>
    <w:p>
      <w:pPr/>
    </w:p>
    <w:p>
      <w:pPr/>
    </w:p>
    <w:p>
      <w:pPr/>
    </w:p>
    <w:p>
      <w:pPr/>
    </w:p>
    <w:p>
      <w:pPr/>
    </w:p>
    <w:p>
      <w:pPr/>
    </w:p>
    <w:tbl>
      <w:tblPr>
        <w:tblStyle w:val="8"/>
        <w:tblW w:w="82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1"/>
        <w:gridCol w:w="869"/>
        <w:gridCol w:w="908"/>
        <w:gridCol w:w="810"/>
        <w:gridCol w:w="886"/>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293"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烈山区2024年区本级国有资本经营收入决算表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511"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0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8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309"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  入  项  目</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1.电力企业利润收入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2.投资服务企业利润收入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3.建筑施工企业利润收入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4.房地产企业利润收入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5.转制科研院所利润收入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6.地质勘查企业利润收入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7.其他国有资本经营预算企业利润收入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二、股利、股息收入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8.国有控股公司股利、股息收入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三、产权转让收入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9.国有股权、股份转让收入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四、其他国有资本经营预算收入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国有资本经营预算收入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加：上级补助收入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359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上年结余收入</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收  入  合  计</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1670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515 </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30.84%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20.60%</w:t>
            </w:r>
          </w:p>
        </w:tc>
      </w:tr>
    </w:tbl>
    <w:p>
      <w:pPr/>
    </w:p>
    <w:p>
      <w:pPr/>
    </w:p>
    <w:p>
      <w:pPr/>
    </w:p>
    <w:p>
      <w:pPr/>
    </w:p>
    <w:tbl>
      <w:tblPr>
        <w:tblStyle w:val="8"/>
        <w:tblW w:w="8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8"/>
        <w:gridCol w:w="886"/>
        <w:gridCol w:w="1064"/>
        <w:gridCol w:w="845"/>
        <w:gridCol w:w="95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8416"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烈山区2024年区本级国有资本经营支出决算表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3548"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86"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064"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955" w:type="dxa"/>
            <w:tcBorders>
              <w:top w:val="nil"/>
              <w:left w:val="nil"/>
              <w:bottom w:val="nil"/>
              <w:right w:val="nil"/>
            </w:tcBorders>
            <w:shd w:val="clear" w:color="auto" w:fill="FFFFFF"/>
            <w:vAlign w:val="center"/>
          </w:tcPr>
          <w:p>
            <w:pPr>
              <w:rPr>
                <w:rFonts w:hint="eastAsia" w:ascii="宋体" w:hAnsi="宋体" w:eastAsia="宋体" w:cs="宋体"/>
                <w:i w:val="0"/>
                <w:iCs w:val="0"/>
                <w:color w:val="000000"/>
                <w:sz w:val="22"/>
                <w:szCs w:val="22"/>
                <w:u w:val="none"/>
              </w:rPr>
            </w:pPr>
          </w:p>
        </w:tc>
        <w:tc>
          <w:tcPr>
            <w:tcW w:w="1118"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预算数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调整预算数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决算数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为上年决算的％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一、解决历史遗留问题及改革成本支出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国有企业退休人员社会化管理补助支出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二、国有企业资本金注入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国有经济结构调整支出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公益性设施投资支出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其他国有企业资本金注入</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三、其他国有资本经营预算支出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国有资本经营预算支出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加：调出资金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结转下年</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i w:val="0"/>
                <w:iCs w:val="0"/>
                <w:color w:val="000000"/>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支  出  合  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156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515 </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99 </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19.22%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14.00%</w:t>
            </w:r>
          </w:p>
        </w:tc>
      </w:tr>
    </w:tbl>
    <w:p>
      <w:pPr/>
    </w:p>
    <w:p>
      <w:pPr/>
    </w:p>
    <w:p>
      <w:pPr/>
    </w:p>
    <w:p>
      <w:pPr/>
    </w:p>
    <w:p>
      <w:pPr/>
    </w:p>
    <w:p>
      <w:pPr/>
    </w:p>
    <w:p>
      <w:pPr/>
    </w:p>
    <w:p>
      <w:pPr>
        <w:jc w:val="center"/>
        <w:rPr>
          <w:rFonts w:hint="eastAsia" w:ascii="黑体" w:hAnsi="黑体" w:eastAsia="黑体"/>
          <w:sz w:val="36"/>
          <w:szCs w:val="36"/>
        </w:rPr>
      </w:pPr>
      <w:r>
        <w:rPr>
          <w:rFonts w:ascii="黑体" w:hAnsi="黑体" w:eastAsia="黑体"/>
          <w:sz w:val="36"/>
          <w:szCs w:val="36"/>
        </w:rPr>
        <w:t>关于</w:t>
      </w:r>
      <w:r>
        <w:rPr>
          <w:rFonts w:hint="eastAsia" w:ascii="黑体" w:hAnsi="黑体" w:eastAsia="黑体"/>
          <w:sz w:val="36"/>
          <w:szCs w:val="36"/>
          <w:lang w:eastAsia="zh-CN"/>
        </w:rPr>
        <w:t>烈山区</w:t>
      </w:r>
      <w:r>
        <w:rPr>
          <w:rFonts w:ascii="黑体" w:hAnsi="黑体" w:eastAsia="黑体"/>
          <w:sz w:val="36"/>
          <w:szCs w:val="36"/>
        </w:rPr>
        <w:t>202</w:t>
      </w:r>
      <w:r>
        <w:rPr>
          <w:rFonts w:hint="eastAsia" w:ascii="黑体" w:hAnsi="黑体" w:eastAsia="黑体"/>
          <w:sz w:val="36"/>
          <w:szCs w:val="36"/>
          <w:lang w:val="en-US" w:eastAsia="zh-CN"/>
        </w:rPr>
        <w:t>4</w:t>
      </w:r>
      <w:r>
        <w:rPr>
          <w:rFonts w:ascii="黑体" w:hAnsi="黑体" w:eastAsia="黑体"/>
          <w:sz w:val="36"/>
          <w:szCs w:val="36"/>
        </w:rPr>
        <w:t>年</w:t>
      </w:r>
      <w:r>
        <w:rPr>
          <w:rFonts w:hint="eastAsia" w:ascii="黑体" w:hAnsi="黑体" w:eastAsia="黑体"/>
          <w:sz w:val="36"/>
          <w:szCs w:val="36"/>
          <w:lang w:eastAsia="zh-CN"/>
        </w:rPr>
        <w:t>区</w:t>
      </w:r>
      <w:r>
        <w:rPr>
          <w:rFonts w:hint="eastAsia" w:ascii="黑体" w:hAnsi="黑体" w:eastAsia="黑体"/>
          <w:sz w:val="36"/>
          <w:szCs w:val="36"/>
        </w:rPr>
        <w:t>本</w:t>
      </w:r>
      <w:r>
        <w:rPr>
          <w:rFonts w:ascii="黑体" w:hAnsi="黑体" w:eastAsia="黑体"/>
          <w:sz w:val="36"/>
          <w:szCs w:val="36"/>
        </w:rPr>
        <w:t>级国有资本经营</w:t>
      </w:r>
      <w:r>
        <w:rPr>
          <w:rFonts w:hint="eastAsia" w:ascii="黑体" w:hAnsi="黑体" w:eastAsia="黑体"/>
          <w:sz w:val="36"/>
          <w:szCs w:val="36"/>
        </w:rPr>
        <w:t>收支</w:t>
      </w:r>
      <w:r>
        <w:rPr>
          <w:rFonts w:ascii="黑体" w:hAnsi="黑体" w:eastAsia="黑体"/>
          <w:sz w:val="36"/>
          <w:szCs w:val="36"/>
        </w:rPr>
        <w:t>决算</w:t>
      </w:r>
    </w:p>
    <w:p>
      <w:pPr>
        <w:jc w:val="center"/>
        <w:rPr>
          <w:rFonts w:hint="eastAsia" w:ascii="黑体" w:hAnsi="黑体" w:eastAsia="黑体"/>
          <w:sz w:val="36"/>
          <w:szCs w:val="36"/>
        </w:rPr>
      </w:pPr>
      <w:r>
        <w:rPr>
          <w:rFonts w:ascii="黑体" w:hAnsi="黑体" w:eastAsia="黑体"/>
          <w:sz w:val="36"/>
          <w:szCs w:val="36"/>
        </w:rPr>
        <w:t>情况的说明</w:t>
      </w:r>
    </w:p>
    <w:p>
      <w:pPr>
        <w:pStyle w:val="4"/>
        <w:spacing w:before="0" w:beforeAutospacing="0" w:after="0" w:afterAutospacing="0" w:line="560" w:lineRule="exact"/>
        <w:ind w:firstLine="646"/>
        <w:rPr>
          <w:rFonts w:hint="eastAsia" w:ascii="仿宋" w:hAnsi="仿宋" w:eastAsia="仿宋"/>
          <w:sz w:val="32"/>
          <w:szCs w:val="32"/>
        </w:rPr>
      </w:pPr>
    </w:p>
    <w:p>
      <w:pPr>
        <w:ind w:firstLine="960" w:firstLineChars="300"/>
        <w:jc w:val="left"/>
        <w:rPr>
          <w:rFonts w:hint="eastAsia" w:ascii="仿宋" w:hAnsi="仿宋" w:eastAsia="仿宋_GB2312" w:cs="宋体"/>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区</w:t>
      </w:r>
      <w:r>
        <w:rPr>
          <w:rFonts w:hint="eastAsia" w:ascii="仿宋_GB2312" w:hAnsi="仿宋" w:eastAsia="仿宋_GB2312"/>
          <w:sz w:val="32"/>
          <w:szCs w:val="32"/>
        </w:rPr>
        <w:t>本级国有资本经营收入预算数为</w:t>
      </w:r>
      <w:r>
        <w:rPr>
          <w:rFonts w:hint="eastAsia" w:ascii="仿宋_GB2312" w:hAnsi="仿宋" w:eastAsia="仿宋_GB2312"/>
          <w:sz w:val="32"/>
          <w:szCs w:val="32"/>
          <w:lang w:val="en-US" w:eastAsia="zh-CN"/>
        </w:rPr>
        <w:t>1670</w:t>
      </w:r>
      <w:r>
        <w:rPr>
          <w:rFonts w:hint="eastAsia" w:ascii="仿宋_GB2312" w:hAnsi="仿宋" w:eastAsia="仿宋_GB2312"/>
          <w:sz w:val="32"/>
          <w:szCs w:val="32"/>
        </w:rPr>
        <w:t>万元，</w:t>
      </w:r>
      <w:r>
        <w:rPr>
          <w:rFonts w:hint="eastAsia" w:ascii="仿宋_GB2312" w:hAnsi="仿宋" w:eastAsia="仿宋_GB2312" w:cs="Times New Roman"/>
          <w:sz w:val="32"/>
          <w:szCs w:val="32"/>
          <w:lang w:val="en-US" w:eastAsia="zh-CN"/>
        </w:rPr>
        <w:t>收入决算数为516万元，其中</w:t>
      </w:r>
      <w:r>
        <w:rPr>
          <w:rFonts w:hint="eastAsia" w:ascii="仿宋_GB2312" w:hAnsi="仿宋" w:eastAsia="仿宋_GB2312" w:cs="Times New Roman"/>
          <w:sz w:val="32"/>
          <w:szCs w:val="32"/>
        </w:rPr>
        <w:t>上级补助收入</w:t>
      </w:r>
      <w:r>
        <w:rPr>
          <w:rFonts w:hint="eastAsia" w:ascii="仿宋_GB2312" w:hAnsi="仿宋" w:eastAsia="仿宋_GB2312" w:cs="Times New Roman"/>
          <w:sz w:val="32"/>
          <w:szCs w:val="32"/>
          <w:lang w:val="en-US" w:eastAsia="zh-CN"/>
        </w:rPr>
        <w:t>359</w:t>
      </w:r>
      <w:r>
        <w:rPr>
          <w:rFonts w:hint="eastAsia" w:ascii="仿宋_GB2312" w:hAnsi="仿宋" w:eastAsia="仿宋_GB2312" w:cs="Times New Roman"/>
          <w:sz w:val="32"/>
          <w:szCs w:val="32"/>
        </w:rPr>
        <w:t>万元，上年结余收入</w:t>
      </w:r>
      <w:r>
        <w:rPr>
          <w:rFonts w:hint="eastAsia" w:ascii="仿宋_GB2312" w:hAnsi="仿宋" w:eastAsia="仿宋_GB2312" w:cs="Times New Roman"/>
          <w:sz w:val="32"/>
          <w:szCs w:val="32"/>
          <w:lang w:val="en-US" w:eastAsia="zh-CN"/>
        </w:rPr>
        <w:t>156</w:t>
      </w:r>
      <w:r>
        <w:rPr>
          <w:rFonts w:hint="eastAsia" w:ascii="仿宋_GB2312" w:hAnsi="仿宋" w:eastAsia="仿宋_GB2312" w:cs="Times New Roman"/>
          <w:sz w:val="32"/>
          <w:szCs w:val="32"/>
        </w:rPr>
        <w:t>万元；</w:t>
      </w:r>
      <w:r>
        <w:rPr>
          <w:rFonts w:hint="eastAsia" w:ascii="仿宋_GB2312" w:hAnsi="仿宋" w:eastAsia="仿宋_GB2312" w:cs="Times New Roman"/>
          <w:sz w:val="32"/>
          <w:szCs w:val="32"/>
          <w:lang w:eastAsia="zh-CN"/>
        </w:rPr>
        <w:t>区</w:t>
      </w:r>
      <w:r>
        <w:rPr>
          <w:rFonts w:hint="eastAsia" w:ascii="仿宋_GB2312" w:hAnsi="仿宋" w:eastAsia="仿宋_GB2312" w:cs="Times New Roman"/>
          <w:sz w:val="32"/>
          <w:szCs w:val="32"/>
        </w:rPr>
        <w:t>本级国有资本经营支出预算数为</w:t>
      </w:r>
      <w:r>
        <w:rPr>
          <w:rFonts w:hint="eastAsia" w:ascii="仿宋_GB2312" w:hAnsi="仿宋" w:eastAsia="仿宋_GB2312" w:cs="Times New Roman"/>
          <w:sz w:val="32"/>
          <w:szCs w:val="32"/>
          <w:lang w:val="en-US" w:eastAsia="zh-CN"/>
        </w:rPr>
        <w:t>515</w:t>
      </w:r>
      <w:r>
        <w:rPr>
          <w:rFonts w:hint="eastAsia" w:ascii="仿宋_GB2312" w:hAnsi="仿宋" w:eastAsia="仿宋_GB2312" w:cs="Times New Roman"/>
          <w:sz w:val="32"/>
          <w:szCs w:val="32"/>
        </w:rPr>
        <w:t>万元，决算数为</w:t>
      </w:r>
      <w:r>
        <w:rPr>
          <w:rFonts w:hint="eastAsia" w:ascii="仿宋_GB2312" w:hAnsi="仿宋" w:eastAsia="仿宋_GB2312" w:cs="Times New Roman"/>
          <w:sz w:val="32"/>
          <w:szCs w:val="32"/>
          <w:lang w:val="en-US" w:eastAsia="zh-CN"/>
        </w:rPr>
        <w:t>99</w:t>
      </w:r>
      <w:r>
        <w:rPr>
          <w:rFonts w:hint="eastAsia" w:ascii="仿宋_GB2312" w:hAnsi="仿宋" w:eastAsia="仿宋_GB2312" w:cs="Times New Roman"/>
          <w:sz w:val="32"/>
          <w:szCs w:val="32"/>
        </w:rPr>
        <w:t>万</w:t>
      </w:r>
      <w:r>
        <w:rPr>
          <w:rFonts w:hint="eastAsia" w:ascii="仿宋_GB2312" w:hAnsi="仿宋" w:eastAsia="仿宋_GB2312"/>
          <w:sz w:val="32"/>
          <w:szCs w:val="32"/>
        </w:rPr>
        <w:t>元，收支</w:t>
      </w:r>
      <w:r>
        <w:rPr>
          <w:rFonts w:hint="eastAsia" w:ascii="仿宋_GB2312" w:hAnsi="仿宋" w:eastAsia="仿宋_GB2312"/>
          <w:sz w:val="32"/>
          <w:szCs w:val="32"/>
          <w:lang w:eastAsia="zh-CN"/>
        </w:rPr>
        <w:t>结余</w:t>
      </w:r>
      <w:r>
        <w:rPr>
          <w:rFonts w:hint="eastAsia" w:ascii="仿宋_GB2312" w:hAnsi="仿宋" w:eastAsia="仿宋_GB2312"/>
          <w:sz w:val="32"/>
          <w:szCs w:val="32"/>
          <w:lang w:val="en-US" w:eastAsia="zh-CN"/>
        </w:rPr>
        <w:t>416万元，结转下年继续使用</w:t>
      </w:r>
      <w:r>
        <w:rPr>
          <w:rFonts w:hint="eastAsia" w:ascii="仿宋_GB2312" w:hAnsi="仿宋" w:eastAsia="仿宋_GB2312"/>
          <w:sz w:val="32"/>
          <w:szCs w:val="32"/>
        </w:rPr>
        <w:t>。</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8"/>
        <w:gridCol w:w="3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8007"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36"/>
                <w:szCs w:val="36"/>
                <w:u w:val="none"/>
              </w:rPr>
            </w:pPr>
            <w:r>
              <w:rPr>
                <w:rFonts w:hint="default" w:ascii="华文中宋" w:hAnsi="华文中宋" w:eastAsia="华文中宋" w:cs="华文中宋"/>
                <w:b/>
                <w:bCs/>
                <w:i w:val="0"/>
                <w:iCs w:val="0"/>
                <w:color w:val="000000"/>
                <w:kern w:val="0"/>
                <w:sz w:val="36"/>
                <w:szCs w:val="36"/>
                <w:u w:val="none"/>
                <w:lang w:val="en-US" w:eastAsia="zh-CN" w:bidi="ar"/>
              </w:rPr>
              <w:t>烈山区2024年区本级国有资本经营转移支付决算表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424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59"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国有企业退休人员社会化管理补助</w:t>
            </w: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007"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备注：本年我区本级无国有资本经营转移支付。</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6"/>
        <w:gridCol w:w="1056"/>
        <w:gridCol w:w="1271"/>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0" w:hRule="atLeast"/>
        </w:trPr>
        <w:tc>
          <w:tcPr>
            <w:tcW w:w="7830" w:type="dxa"/>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烈山区2024年区本级社会保险基金预算收入决算表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830" w:type="dxa"/>
            <w:gridSpan w:val="4"/>
            <w:tcBorders>
              <w:top w:val="nil"/>
              <w:left w:val="nil"/>
              <w:bottom w:val="single" w:color="000000" w:sz="4" w:space="0"/>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800"/>
              <w:jc w:val="left"/>
              <w:textAlignment w:val="top"/>
              <w:rPr>
                <w:rFonts w:ascii="黑体" w:hAnsi="宋体" w:eastAsia="黑体" w:cs="黑体"/>
                <w:i w:val="0"/>
                <w:iCs w:val="0"/>
                <w:color w:val="000000"/>
                <w:sz w:val="24"/>
                <w:szCs w:val="24"/>
                <w:u w:val="none"/>
              </w:rPr>
            </w:pPr>
            <w:r>
              <w:rPr>
                <w:rStyle w:val="12"/>
                <w:lang w:val="en-US" w:eastAsia="zh-CN" w:bidi="ar"/>
              </w:rPr>
              <w:t>收  入  项  目</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2024年预算数</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Style w:val="12"/>
                <w:lang w:val="en-US" w:eastAsia="zh-CN" w:bidi="ar"/>
              </w:rPr>
              <w:t>为预算的％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3"/>
                <w:lang w:val="en-US" w:eastAsia="zh-CN" w:bidi="ar"/>
              </w:rPr>
              <w:t>一、城镇企业职工基本养老保险基金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基本养老保险费收入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委托投资收益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转移收入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下级上解收入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二、城乡居民养老保险基金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转移收入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委托投资收益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集体补助收入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3"/>
                <w:lang w:val="en-US" w:eastAsia="zh-CN" w:bidi="ar"/>
              </w:rPr>
              <w:t>三、机关事业单位养老保险基金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基本养老保险费收入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转移收入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四、城镇职工基本医疗保险基金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基本医疗保险费收入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转移收入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下级上解收入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五、城乡居民基本医疗保险基金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缴费收入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3"/>
                <w:lang w:val="en-US" w:eastAsia="zh-CN" w:bidi="ar"/>
              </w:rPr>
              <w:t>六、工伤保险基金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工伤保险费收入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下级上解收入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3"/>
                <w:lang w:val="en-US" w:eastAsia="zh-CN" w:bidi="ar"/>
              </w:rPr>
              <w:t>七、失业保险基金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失业保险费收入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转移收入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下级上解收入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Style w:val="13"/>
                <w:lang w:val="en-US" w:eastAsia="zh-CN" w:bidi="ar"/>
              </w:rPr>
              <w:t>八、生育保险基金</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生育保险费收入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利息收入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其他收入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财政补贴收入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上级补助收入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Style w:val="14"/>
                <w:lang w:val="en-US" w:eastAsia="zh-CN" w:bidi="ar"/>
              </w:rPr>
              <w:t>下级上解收入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80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社会保险基金收入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8"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4"/>
                <w:lang w:val="en-US" w:eastAsia="zh-CN" w:bidi="ar"/>
              </w:rPr>
              <w:t>加：上年结转收入</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收  入  合  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bCs/>
                <w:i w:val="0"/>
                <w:iCs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bCs/>
                <w:i w:val="0"/>
                <w:iCs w:val="0"/>
                <w:color w:val="000000"/>
                <w:sz w:val="22"/>
                <w:szCs w:val="22"/>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416"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备注：本年我区本级无社会保险基金预算收入。</w:t>
            </w:r>
          </w:p>
        </w:tc>
        <w:tc>
          <w:tcPr>
            <w:tcW w:w="1056"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c>
          <w:tcPr>
            <w:tcW w:w="1271"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c>
          <w:tcPr>
            <w:tcW w:w="1087"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r>
    </w:tbl>
    <w:p>
      <w:pPr/>
    </w:p>
    <w:p>
      <w:pPr/>
    </w:p>
    <w:tbl>
      <w:tblPr>
        <w:tblStyle w:val="8"/>
        <w:tblW w:w="8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6"/>
        <w:gridCol w:w="1309"/>
        <w:gridCol w:w="1377"/>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8252" w:type="dxa"/>
            <w:gridSpan w:val="4"/>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烈山区2024年区本级社会保险基金支出决算表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252" w:type="dxa"/>
            <w:gridSpan w:val="4"/>
            <w:tcBorders>
              <w:top w:val="nil"/>
              <w:left w:val="nil"/>
              <w:bottom w:val="single" w:color="000000" w:sz="4" w:space="0"/>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  出  项  目</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2024年预算数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2024年决算数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为预算的％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一、城镇企业职工基本养老保险基金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养老金支出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丧葬抚恤支出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二、城乡居民养老保险基金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社会保险待遇支出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三.机关事业单位养老保险基金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基本养老金支出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四、城镇职工基本医疗保险基金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基本医疗保险待遇支出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五、城乡居民医疗保险基金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基本医疗保险待遇支出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大病保险支出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六、工伤保险基金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工伤保险待遇支出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劳动能力鉴定支出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工伤预防费用支出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七、失业保险基金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失业保险金支出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基本医疗保险费支出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丧葬抚恤补助支出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职业培训补贴支出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稳定岗位补贴支出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技能提升补贴支出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其他费用支出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转移支出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八、生育保险基金</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黑体" w:hAnsi="宋体" w:eastAsia="黑体" w:cs="黑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医疗费用支出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生育津贴支出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补助下级支出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right"/>
              <w:rPr>
                <w:rFonts w:hint="eastAsia" w:ascii="宋体" w:hAnsi="宋体" w:eastAsia="宋体" w:cs="宋体"/>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3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上解上级支出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800"/>
              <w:jc w:val="left"/>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社会保险基金支出</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加：结转下年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支  出  合  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黑体" w:hAnsi="宋体" w:eastAsia="黑体" w:cs="黑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366" w:type="dxa"/>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备注：本年我区本级无社会保险基金支出。</w:t>
            </w:r>
          </w:p>
        </w:tc>
        <w:tc>
          <w:tcPr>
            <w:tcW w:w="1309"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c>
          <w:tcPr>
            <w:tcW w:w="1377"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c>
          <w:tcPr>
            <w:tcW w:w="1200" w:type="dxa"/>
            <w:tcBorders>
              <w:top w:val="nil"/>
              <w:left w:val="nil"/>
              <w:bottom w:val="nil"/>
              <w:right w:val="nil"/>
            </w:tcBorders>
            <w:shd w:val="clear" w:color="auto" w:fill="auto"/>
            <w:vAlign w:val="bottom"/>
          </w:tcPr>
          <w:p>
            <w:pPr>
              <w:rPr>
                <w:rFonts w:hint="default" w:ascii="Times New Roman" w:hAnsi="Times New Roman" w:cs="Times New Roman"/>
                <w:i w:val="0"/>
                <w:iCs w:val="0"/>
                <w:color w:val="000000"/>
                <w:sz w:val="20"/>
                <w:szCs w:val="20"/>
                <w:u w:val="none"/>
              </w:rPr>
            </w:pPr>
          </w:p>
        </w:tc>
      </w:tr>
    </w:tbl>
    <w:p>
      <w:pPr/>
    </w:p>
    <w:p>
      <w:pPr/>
    </w:p>
    <w:p>
      <w:pPr/>
    </w:p>
    <w:p>
      <w:pPr/>
    </w:p>
    <w:p>
      <w:pPr/>
    </w:p>
    <w:p>
      <w:pPr/>
    </w:p>
    <w:p>
      <w:pPr/>
    </w:p>
    <w:p>
      <w:pPr/>
    </w:p>
    <w:p>
      <w:pPr/>
    </w:p>
    <w:p>
      <w:pPr/>
    </w:p>
    <w:p>
      <w:pPr/>
    </w:p>
    <w:p>
      <w:pPr/>
    </w:p>
    <w:p>
      <w:pPr>
        <w:pStyle w:val="4"/>
        <w:spacing w:before="0" w:beforeAutospacing="0" w:after="0" w:afterAutospacing="0"/>
        <w:jc w:val="center"/>
        <w:rPr>
          <w:rFonts w:hint="eastAsia" w:ascii="黑体" w:hAnsi="黑体" w:eastAsia="黑体"/>
          <w:sz w:val="36"/>
          <w:szCs w:val="36"/>
        </w:rPr>
      </w:pPr>
      <w:r>
        <w:rPr>
          <w:rFonts w:hint="eastAsia" w:ascii="黑体" w:hAnsi="黑体" w:eastAsia="黑体"/>
          <w:sz w:val="36"/>
          <w:szCs w:val="36"/>
        </w:rPr>
        <w:t>关于</w:t>
      </w:r>
      <w:r>
        <w:rPr>
          <w:rFonts w:hint="eastAsia" w:ascii="黑体" w:hAnsi="黑体" w:eastAsia="黑体"/>
          <w:sz w:val="36"/>
          <w:szCs w:val="36"/>
          <w:lang w:eastAsia="zh-CN"/>
        </w:rPr>
        <w:t>烈山区</w:t>
      </w:r>
      <w:r>
        <w:rPr>
          <w:rFonts w:hint="eastAsia" w:ascii="黑体" w:hAnsi="黑体" w:eastAsia="黑体"/>
          <w:sz w:val="36"/>
          <w:szCs w:val="36"/>
        </w:rPr>
        <w:t>202</w:t>
      </w:r>
      <w:r>
        <w:rPr>
          <w:rFonts w:hint="eastAsia" w:ascii="黑体" w:hAnsi="黑体" w:eastAsia="黑体"/>
          <w:sz w:val="36"/>
          <w:szCs w:val="36"/>
          <w:lang w:val="en-US" w:eastAsia="zh-CN"/>
        </w:rPr>
        <w:t>4</w:t>
      </w:r>
      <w:r>
        <w:rPr>
          <w:rFonts w:hint="eastAsia" w:ascii="黑体" w:hAnsi="黑体" w:eastAsia="黑体"/>
          <w:sz w:val="36"/>
          <w:szCs w:val="36"/>
        </w:rPr>
        <w:t>年</w:t>
      </w:r>
      <w:r>
        <w:rPr>
          <w:rFonts w:hint="eastAsia" w:ascii="黑体" w:hAnsi="黑体" w:eastAsia="黑体"/>
          <w:sz w:val="36"/>
          <w:szCs w:val="36"/>
          <w:lang w:eastAsia="zh-CN"/>
        </w:rPr>
        <w:t>区</w:t>
      </w:r>
      <w:r>
        <w:rPr>
          <w:rFonts w:hint="eastAsia" w:ascii="黑体" w:hAnsi="黑体" w:eastAsia="黑体"/>
          <w:sz w:val="36"/>
          <w:szCs w:val="36"/>
        </w:rPr>
        <w:t>本级社会保险基金收支决算</w:t>
      </w:r>
    </w:p>
    <w:p>
      <w:pPr>
        <w:pStyle w:val="4"/>
        <w:spacing w:before="0" w:beforeAutospacing="0" w:after="0" w:afterAutospacing="0"/>
        <w:jc w:val="center"/>
        <w:rPr>
          <w:rFonts w:ascii="黑体" w:hAnsi="黑体" w:eastAsia="黑体"/>
          <w:sz w:val="36"/>
          <w:szCs w:val="36"/>
        </w:rPr>
      </w:pPr>
      <w:r>
        <w:rPr>
          <w:rFonts w:hint="eastAsia" w:ascii="黑体" w:hAnsi="黑体" w:eastAsia="黑体"/>
          <w:sz w:val="36"/>
          <w:szCs w:val="36"/>
        </w:rPr>
        <w:t>情况的说明</w:t>
      </w:r>
    </w:p>
    <w:p>
      <w:pPr>
        <w:pStyle w:val="4"/>
        <w:spacing w:before="0" w:beforeAutospacing="0" w:after="0" w:afterAutospacing="0"/>
        <w:ind w:firstLine="640" w:firstLineChars="200"/>
        <w:rPr>
          <w:rFonts w:hint="eastAsia" w:ascii="仿宋" w:hAnsi="仿宋" w:eastAsia="仿宋"/>
          <w:sz w:val="32"/>
          <w:szCs w:val="32"/>
        </w:rPr>
      </w:pPr>
    </w:p>
    <w:p>
      <w:pPr>
        <w:pStyle w:val="4"/>
        <w:spacing w:before="0" w:beforeAutospacing="0" w:after="0" w:afterAutospacing="0"/>
        <w:ind w:firstLine="640" w:firstLineChars="200"/>
        <w:rPr>
          <w:rFonts w:hint="eastAsia" w:ascii="仿宋_GB2312" w:eastAsia="仿宋_GB231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区</w:t>
      </w:r>
      <w:r>
        <w:rPr>
          <w:rFonts w:hint="eastAsia" w:ascii="仿宋_GB2312" w:hAnsi="仿宋" w:eastAsia="仿宋_GB2312"/>
          <w:sz w:val="32"/>
          <w:szCs w:val="32"/>
        </w:rPr>
        <w:t>本级社保基金</w:t>
      </w:r>
      <w:r>
        <w:rPr>
          <w:rFonts w:hint="eastAsia" w:ascii="仿宋_GB2312" w:hAnsi="仿宋" w:eastAsia="仿宋_GB2312"/>
          <w:sz w:val="32"/>
          <w:szCs w:val="32"/>
          <w:lang w:eastAsia="zh-CN"/>
        </w:rPr>
        <w:t>预算收支</w:t>
      </w:r>
      <w:r>
        <w:rPr>
          <w:rFonts w:hint="eastAsia" w:ascii="仿宋_GB2312" w:hAnsi="仿宋" w:eastAsia="仿宋_GB2312"/>
          <w:sz w:val="32"/>
          <w:szCs w:val="32"/>
        </w:rPr>
        <w:t>决算</w:t>
      </w:r>
      <w:r>
        <w:rPr>
          <w:rFonts w:hint="eastAsia" w:ascii="仿宋_GB2312" w:hAnsi="仿宋" w:eastAsia="仿宋_GB2312"/>
          <w:sz w:val="32"/>
          <w:szCs w:val="32"/>
          <w:lang w:eastAsia="zh-CN"/>
        </w:rPr>
        <w:t>纳入淮北市财政统一管理，区财政决算无数据。</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adjustRightInd w:val="0"/>
        <w:spacing w:before="0" w:beforeAutospacing="0" w:after="0" w:afterAutospacing="0" w:line="600" w:lineRule="exact"/>
        <w:jc w:val="center"/>
        <w:rPr>
          <w:rFonts w:ascii="黑体" w:eastAsia="黑体"/>
          <w:sz w:val="44"/>
          <w:szCs w:val="44"/>
        </w:rPr>
      </w:pPr>
      <w:r>
        <w:rPr>
          <w:rFonts w:hint="eastAsia" w:ascii="黑体" w:eastAsia="黑体"/>
          <w:sz w:val="44"/>
          <w:szCs w:val="44"/>
        </w:rPr>
        <w:t>关于</w:t>
      </w:r>
      <w:r>
        <w:rPr>
          <w:rFonts w:hint="eastAsia" w:ascii="黑体" w:eastAsia="黑体"/>
          <w:sz w:val="44"/>
          <w:szCs w:val="44"/>
          <w:lang w:eastAsia="zh-CN"/>
        </w:rPr>
        <w:t>烈山区</w:t>
      </w:r>
      <w:r>
        <w:rPr>
          <w:rFonts w:hint="eastAsia" w:ascii="黑体" w:eastAsia="黑体"/>
          <w:sz w:val="44"/>
          <w:szCs w:val="44"/>
        </w:rPr>
        <w:t>202</w:t>
      </w:r>
      <w:r>
        <w:rPr>
          <w:rFonts w:hint="eastAsia" w:ascii="黑体" w:eastAsia="黑体"/>
          <w:sz w:val="44"/>
          <w:szCs w:val="44"/>
          <w:lang w:val="en-US" w:eastAsia="zh-CN"/>
        </w:rPr>
        <w:t>4</w:t>
      </w:r>
      <w:r>
        <w:rPr>
          <w:rFonts w:hint="eastAsia" w:ascii="黑体" w:eastAsia="黑体"/>
          <w:sz w:val="44"/>
          <w:szCs w:val="44"/>
        </w:rPr>
        <w:t>年</w:t>
      </w:r>
      <w:r>
        <w:rPr>
          <w:rFonts w:hint="eastAsia" w:ascii="黑体" w:eastAsia="黑体"/>
          <w:sz w:val="44"/>
          <w:szCs w:val="44"/>
          <w:lang w:eastAsia="zh-CN"/>
        </w:rPr>
        <w:t>区</w:t>
      </w:r>
      <w:r>
        <w:rPr>
          <w:rFonts w:hint="eastAsia" w:ascii="黑体" w:eastAsia="黑体"/>
          <w:sz w:val="44"/>
          <w:szCs w:val="44"/>
        </w:rPr>
        <w:t>本级预算绩效</w:t>
      </w:r>
    </w:p>
    <w:p>
      <w:pPr>
        <w:pStyle w:val="4"/>
        <w:adjustRightInd w:val="0"/>
        <w:spacing w:before="0" w:beforeAutospacing="0" w:after="0" w:afterAutospacing="0" w:line="600" w:lineRule="exact"/>
        <w:jc w:val="center"/>
        <w:rPr>
          <w:rFonts w:ascii="黑体" w:eastAsia="黑体"/>
          <w:sz w:val="32"/>
          <w:szCs w:val="32"/>
        </w:rPr>
      </w:pPr>
      <w:r>
        <w:rPr>
          <w:rFonts w:hint="eastAsia" w:ascii="黑体" w:eastAsia="黑体"/>
          <w:sz w:val="44"/>
          <w:szCs w:val="44"/>
        </w:rPr>
        <w:t>工作开展情况的说明</w:t>
      </w:r>
    </w:p>
    <w:p>
      <w:pPr>
        <w:pStyle w:val="4"/>
        <w:spacing w:line="360" w:lineRule="auto"/>
        <w:ind w:firstLine="640" w:firstLineChars="200"/>
        <w:rPr>
          <w:rFonts w:ascii="仿宋_GB2312"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eastAsia="仿宋_GB2312"/>
          <w:sz w:val="32"/>
          <w:szCs w:val="32"/>
        </w:rPr>
        <w:t>认真贯彻落实财政部、省财政厅</w:t>
      </w:r>
      <w:r>
        <w:rPr>
          <w:rFonts w:hint="eastAsia" w:ascii="仿宋_GB2312" w:eastAsia="仿宋_GB2312"/>
          <w:sz w:val="32"/>
          <w:szCs w:val="32"/>
          <w:lang w:eastAsia="zh-CN"/>
        </w:rPr>
        <w:t>、市财政局</w:t>
      </w:r>
      <w:r>
        <w:rPr>
          <w:rFonts w:hint="eastAsia" w:ascii="仿宋_GB2312" w:eastAsia="仿宋_GB2312"/>
          <w:sz w:val="32"/>
          <w:szCs w:val="32"/>
        </w:rPr>
        <w:t>预算绩效工作要求，不断完善预算绩效管理制度，深化预算绩效管理工作，形成了各级财政联动的工作格局，实现了“横向到边、纵向到底”的管理目标。</w:t>
      </w:r>
    </w:p>
    <w:p>
      <w:pPr>
        <w:pStyle w:val="4"/>
        <w:spacing w:line="580" w:lineRule="exact"/>
        <w:ind w:firstLine="472" w:firstLineChars="147"/>
        <w:jc w:val="both"/>
      </w:pPr>
      <w:r>
        <w:rPr>
          <w:rStyle w:val="6"/>
          <w:rFonts w:hint="eastAsia" w:ascii="楷体_GB2312" w:hAnsi="黑体" w:eastAsia="楷体_GB2312"/>
          <w:bCs w:val="0"/>
          <w:sz w:val="32"/>
          <w:szCs w:val="32"/>
        </w:rPr>
        <w:t>（一）严格执行制度，夯实工作基础。</w:t>
      </w:r>
      <w:r>
        <w:rPr>
          <w:rFonts w:hint="eastAsia" w:ascii="仿宋_GB2312" w:eastAsia="仿宋_GB2312"/>
          <w:sz w:val="32"/>
          <w:szCs w:val="32"/>
        </w:rPr>
        <w:t>认真执行《安徽省财政厅关于加强预算绩效管理工作的通知》、《安徽省财政厅关于印发县县财政管理绩效考核与激励暂行办法的通知》、《安徽省财政支出绩效评价指标框架》等文件，明确预算绩效管理工作目标、重点任务、工作责任、保障措施，进一步推动财政支出绩效管理工作的科学化、制度化、规范化。</w:t>
      </w:r>
      <w:r>
        <w:rPr>
          <w:rFonts w:hint="eastAsia"/>
        </w:rPr>
        <w:t xml:space="preserve">   </w:t>
      </w:r>
    </w:p>
    <w:p>
      <w:pPr>
        <w:pStyle w:val="4"/>
        <w:spacing w:line="580" w:lineRule="exact"/>
        <w:ind w:firstLine="472" w:firstLineChars="147"/>
        <w:jc w:val="both"/>
        <w:rPr>
          <w:rFonts w:hint="eastAsia" w:ascii="仿宋_GB2312" w:eastAsia="仿宋_GB2312"/>
          <w:sz w:val="32"/>
          <w:szCs w:val="32"/>
        </w:rPr>
      </w:pPr>
      <w:r>
        <w:rPr>
          <w:rFonts w:hint="eastAsia" w:ascii="仿宋_GB2312" w:eastAsia="仿宋_GB2312"/>
          <w:b/>
          <w:sz w:val="32"/>
          <w:szCs w:val="32"/>
        </w:rPr>
        <w:t>（二）强化组织领导，明确各方职责。</w:t>
      </w:r>
      <w:r>
        <w:rPr>
          <w:rFonts w:hint="eastAsia" w:ascii="仿宋_GB2312" w:eastAsia="仿宋_GB2312"/>
          <w:sz w:val="32"/>
          <w:szCs w:val="32"/>
          <w:lang w:eastAsia="zh-CN"/>
        </w:rPr>
        <w:t>区</w:t>
      </w:r>
      <w:r>
        <w:rPr>
          <w:rFonts w:hint="eastAsia" w:ascii="仿宋_GB2312" w:eastAsia="仿宋_GB2312"/>
          <w:sz w:val="32"/>
          <w:szCs w:val="32"/>
        </w:rPr>
        <w:t>本级调整完善预算支出绩效考评领导小组，由局长担任领导小组组长，预算、农业、经建、综合等相关科室负责人为成员。领导小组下设办公室，具体负责县级预算支出绩效考评的组织、协调等工作。同时财政部门成立相应组织机构，切实加强对预算支出绩效评价工作的推进。明确了由预算牵头抓总、各业务科室分别实施、结果汇总审核公示的绩效考评工作格局。</w:t>
      </w:r>
    </w:p>
    <w:p>
      <w:pPr>
        <w:pStyle w:val="4"/>
        <w:spacing w:line="580" w:lineRule="exact"/>
        <w:ind w:firstLine="472" w:firstLineChars="147"/>
        <w:jc w:val="both"/>
      </w:pPr>
      <w:r>
        <w:rPr>
          <w:rFonts w:hint="eastAsia" w:ascii="楷体_GB2312" w:eastAsia="楷体_GB2312"/>
          <w:b/>
          <w:sz w:val="32"/>
          <w:szCs w:val="32"/>
        </w:rPr>
        <w:t>（三）加强宣传培训，优化推进环境。</w:t>
      </w:r>
      <w:r>
        <w:rPr>
          <w:rFonts w:hint="eastAsia" w:ascii="仿宋_GB2312" w:eastAsia="仿宋_GB2312"/>
          <w:sz w:val="32"/>
          <w:szCs w:val="32"/>
        </w:rPr>
        <w:t>一是采取专题讲座方式，面对面进行宣传讲解，帮助提高认识，开拓思路。二是在财政局域网开设绩效评价专栏，发布相关绩效考评政策、文件、经验介绍和典型案例分析等，方便大家查阅学习。三是将绩效评价工作开展情况列入财政内部考核范围，在评先评优中实行一票否决，确保分解到科室的考评任务圆满完成。以上措施迅速提高了预算绩效管理工作的影响力，为绩效评价工作的持续深入推进营造了良好社会环境。</w:t>
      </w:r>
    </w:p>
    <w:p>
      <w:pPr>
        <w:pStyle w:val="4"/>
        <w:adjustRightInd w:val="0"/>
        <w:spacing w:before="0" w:beforeAutospacing="0" w:after="0" w:afterAutospacing="0" w:line="600" w:lineRule="exact"/>
        <w:ind w:firstLine="630" w:firstLineChars="196"/>
        <w:rPr>
          <w:rFonts w:ascii="仿宋_GB2312" w:eastAsia="仿宋_GB2312"/>
          <w:sz w:val="32"/>
          <w:szCs w:val="32"/>
        </w:rPr>
      </w:pPr>
      <w:r>
        <w:rPr>
          <w:rFonts w:hint="eastAsia" w:ascii="仿宋_GB2312" w:eastAsia="仿宋_GB2312"/>
          <w:b/>
          <w:sz w:val="32"/>
          <w:szCs w:val="32"/>
        </w:rPr>
        <w:t>（四）坚持规范操作，保证考评效果。</w:t>
      </w:r>
      <w:r>
        <w:rPr>
          <w:rFonts w:hint="eastAsia" w:ascii="仿宋_GB2312" w:eastAsia="仿宋_GB2312"/>
          <w:sz w:val="32"/>
          <w:szCs w:val="32"/>
        </w:rPr>
        <w:t>为保证预算支绩效考评工作扎实有序推进，采取了以下积极措施：一是提前确定财政重点考评项目。及早确定绩效考评项目，可以促使项目实施单位早准备、细安排，规范项目实施、加快资金拨付，更有利于达到实施绩效考评的初始目的，对加快预算支出进度的促进作用也很明显。因此，将实施绩效考评项目的确定时间提前到预算批复环节，即在批复部门预算的同时，明确绩效评价项目。二是严格评价程序和标准。坚持做到环节不少，程序严格，专业评价，公平公正。上报自评报告、下达反馈意见、落实整改措施、</w:t>
      </w:r>
      <w:r>
        <w:rPr>
          <w:rFonts w:hint="eastAsia" w:ascii="仿宋_GB2312" w:eastAsia="仿宋_GB2312"/>
          <w:color w:val="000000"/>
          <w:sz w:val="32"/>
          <w:szCs w:val="32"/>
        </w:rPr>
        <w:t>现场实地核查、提出考评意见、征求反馈意见、出具考评报告</w:t>
      </w:r>
      <w:r>
        <w:rPr>
          <w:rFonts w:hint="eastAsia" w:ascii="仿宋_GB2312" w:eastAsia="仿宋_GB2312"/>
          <w:sz w:val="32"/>
          <w:szCs w:val="32"/>
        </w:rPr>
        <w:t>等环节一个不能少，并严格按照方案确定的程序进行。注意绩效考评小组人员的合理搭配，坚持必须有专业人员参加，尊重专家意见。坚持公开操作，集体研究，努力保证评价结果的客观公正。</w:t>
      </w:r>
    </w:p>
    <w:p>
      <w:pPr>
        <w:pStyle w:val="4"/>
        <w:adjustRightInd w:val="0"/>
        <w:spacing w:before="0" w:beforeAutospacing="0" w:after="0" w:afterAutospacing="0" w:line="600" w:lineRule="exact"/>
        <w:ind w:firstLine="630" w:firstLineChars="196"/>
        <w:rPr>
          <w:rFonts w:ascii="仿宋_GB2312" w:hAnsi="仿宋" w:eastAsia="仿宋_GB2312" w:cs="仿宋"/>
          <w:sz w:val="32"/>
          <w:szCs w:val="32"/>
        </w:rPr>
      </w:pPr>
      <w:r>
        <w:rPr>
          <w:rStyle w:val="6"/>
          <w:rFonts w:hint="eastAsia" w:ascii="楷体_GB2312" w:eastAsia="楷体_GB2312"/>
          <w:bCs w:val="0"/>
          <w:sz w:val="32"/>
          <w:szCs w:val="32"/>
        </w:rPr>
        <w:t>（五）</w:t>
      </w:r>
      <w:r>
        <w:rPr>
          <w:rStyle w:val="6"/>
          <w:rFonts w:hint="eastAsia" w:ascii="楷体_GB2312" w:hAnsi="黑体" w:eastAsia="楷体_GB2312"/>
          <w:bCs w:val="0"/>
          <w:sz w:val="32"/>
          <w:szCs w:val="32"/>
        </w:rPr>
        <w:t>突出民生重点，强化绩效评价。</w:t>
      </w:r>
      <w:r>
        <w:rPr>
          <w:rFonts w:hint="eastAsia" w:ascii="仿宋_GB2312" w:hAnsi="仿宋" w:eastAsia="仿宋_GB2312" w:cs="仿宋"/>
          <w:sz w:val="32"/>
          <w:szCs w:val="32"/>
        </w:rPr>
        <w:t>根据省制定印发的民生工程绩效目标及绩效评价办法的工作要求，将33项民生工程全部纳入财政重点评价范围，并采用了第三方评价、财政监督等方式进行复查，建立了重点民生项目、资金和政策全方位、宽领域、网格式的绩效评价机制，对存在管理不规范等问题及时进行整改、督查督办，有力地促进了财政民生政策的落地生效。</w:t>
      </w:r>
    </w:p>
    <w:p>
      <w:pPr>
        <w:pStyle w:val="4"/>
        <w:adjustRightInd w:val="0"/>
        <w:spacing w:before="0" w:beforeAutospacing="0" w:after="0" w:afterAutospacing="0" w:line="600" w:lineRule="exact"/>
        <w:ind w:firstLine="630" w:firstLineChars="196"/>
        <w:rPr>
          <w:rFonts w:ascii="仿宋_GB2312" w:eastAsia="仿宋_GB2312"/>
          <w:sz w:val="32"/>
          <w:szCs w:val="32"/>
        </w:rPr>
      </w:pPr>
      <w:r>
        <w:rPr>
          <w:rFonts w:hint="eastAsia" w:ascii="仿宋_GB2312" w:eastAsia="仿宋_GB2312"/>
          <w:b/>
          <w:sz w:val="32"/>
          <w:szCs w:val="32"/>
        </w:rPr>
        <w:t>（六）注重结果运用，促进绩效提升。</w:t>
      </w:r>
      <w:r>
        <w:rPr>
          <w:rFonts w:hint="eastAsia" w:ascii="仿宋_GB2312" w:eastAsia="仿宋_GB2312"/>
          <w:sz w:val="32"/>
          <w:szCs w:val="32"/>
        </w:rPr>
        <w:t>围绕建立以结果为导向的资金分配机制目标，不断拓展绩效评价结果应用渠道。一是将评价结果与部门预算编制相结合。将绩效评价结果作为预算编制的重要参考依据，提高财政资金分配的科学性，强化部门的支出责任意识和绩效意识。二是将评价结果与强化管理相结合。通过对评价结果的分析，查找项目管理工作的薄弱环节，对存在的问题进行科学诊断，责成相关单位采取切实措施，加强项目监管，保证预期绩效目标实现。三是将评价结果与公众监督相结合。建立评价结果内部通报和外部公开制度，将涉及社会民生和经济发展的重大项目以及竞争性分配项目的评价结果，在一定范围内公开，以加强社会公众对财政资金使用效益的监督，促进财政预算支出绩效的提升。</w:t>
      </w:r>
    </w:p>
    <w:p>
      <w:pPr/>
    </w:p>
    <w:p>
      <w:pPr/>
    </w:p>
    <w:p>
      <w:pPr/>
    </w:p>
    <w:p>
      <w:pPr/>
    </w:p>
    <w:p>
      <w:pPr/>
    </w:p>
    <w:p>
      <w:pPr/>
    </w:p>
    <w:p>
      <w:pPr>
        <w:jc w:val="center"/>
        <w:rPr>
          <w:rFonts w:hint="eastAsia" w:cs="Arial"/>
          <w:b/>
          <w:bCs/>
          <w:color w:val="333333"/>
          <w:sz w:val="35"/>
          <w:szCs w:val="35"/>
        </w:rPr>
      </w:pPr>
      <w:r>
        <w:rPr>
          <w:rFonts w:hint="eastAsia" w:cs="Arial"/>
          <w:b/>
          <w:bCs/>
          <w:color w:val="333333"/>
          <w:sz w:val="35"/>
          <w:szCs w:val="35"/>
        </w:rPr>
        <w:t>关于</w:t>
      </w:r>
      <w:r>
        <w:rPr>
          <w:rFonts w:hint="eastAsia" w:cs="Arial"/>
          <w:b/>
          <w:bCs/>
          <w:color w:val="333333"/>
          <w:sz w:val="35"/>
          <w:szCs w:val="35"/>
          <w:lang w:eastAsia="zh-CN"/>
        </w:rPr>
        <w:t>烈山区</w:t>
      </w:r>
      <w:r>
        <w:rPr>
          <w:rFonts w:hint="eastAsia" w:cs="Arial"/>
          <w:b/>
          <w:bCs/>
          <w:color w:val="333333"/>
          <w:sz w:val="35"/>
          <w:szCs w:val="35"/>
        </w:rPr>
        <w:t>202</w:t>
      </w:r>
      <w:r>
        <w:rPr>
          <w:rFonts w:hint="eastAsia" w:cs="Arial"/>
          <w:b/>
          <w:bCs/>
          <w:color w:val="333333"/>
          <w:sz w:val="35"/>
          <w:szCs w:val="35"/>
          <w:lang w:val="en-US" w:eastAsia="zh-CN"/>
        </w:rPr>
        <w:t>4</w:t>
      </w:r>
      <w:r>
        <w:rPr>
          <w:rFonts w:hint="eastAsia" w:cs="Arial"/>
          <w:b/>
          <w:bCs/>
          <w:color w:val="333333"/>
          <w:sz w:val="35"/>
          <w:szCs w:val="35"/>
        </w:rPr>
        <w:t>年</w:t>
      </w:r>
      <w:r>
        <w:rPr>
          <w:rFonts w:hint="eastAsia" w:cs="Arial"/>
          <w:b/>
          <w:bCs/>
          <w:color w:val="333333"/>
          <w:sz w:val="35"/>
          <w:szCs w:val="35"/>
          <w:lang w:eastAsia="zh-CN"/>
        </w:rPr>
        <w:t>区</w:t>
      </w:r>
      <w:r>
        <w:rPr>
          <w:rFonts w:hint="eastAsia" w:cs="Arial"/>
          <w:b/>
          <w:bCs/>
          <w:color w:val="333333"/>
          <w:sz w:val="35"/>
          <w:szCs w:val="35"/>
        </w:rPr>
        <w:t>级重大政策和重点项目绩效执行结果的说明</w:t>
      </w:r>
    </w:p>
    <w:p>
      <w:pPr>
        <w:jc w:val="center"/>
        <w:rPr>
          <w:rFonts w:hint="eastAsia" w:cs="Arial"/>
          <w:b/>
          <w:bCs/>
          <w:color w:val="333333"/>
          <w:sz w:val="35"/>
          <w:szCs w:val="35"/>
        </w:rPr>
      </w:pPr>
    </w:p>
    <w:p>
      <w:pPr>
        <w:autoSpaceDE w:val="0"/>
        <w:adjustRightInd w:val="0"/>
        <w:snapToGrid w:val="0"/>
        <w:spacing w:line="560" w:lineRule="exact"/>
        <w:ind w:firstLine="640" w:firstLineChars="200"/>
        <w:jc w:val="left"/>
        <w:rPr>
          <w:rFonts w:ascii="宋体" w:hAnsi="宋体" w:cs="宋体"/>
          <w:color w:val="000000"/>
          <w:kern w:val="0"/>
          <w:sz w:val="24"/>
          <w:szCs w:val="24"/>
        </w:rPr>
      </w:pPr>
      <w:r>
        <w:rPr>
          <w:rFonts w:hint="eastAsia" w:ascii="仿宋_GB2312" w:hAnsi="宋体" w:eastAsia="仿宋_GB2312" w:cs="宋体"/>
          <w:color w:val="000000"/>
          <w:sz w:val="32"/>
          <w:szCs w:val="32"/>
        </w:rPr>
        <w:t>根据绩效管理工作计划安排，我局紧紧围绕市委、市政府，</w:t>
      </w:r>
      <w:r>
        <w:rPr>
          <w:rFonts w:hint="eastAsia" w:ascii="仿宋_GB2312" w:hAnsi="宋体" w:eastAsia="仿宋_GB2312" w:cs="宋体"/>
          <w:color w:val="000000"/>
          <w:sz w:val="32"/>
          <w:szCs w:val="32"/>
          <w:lang w:eastAsia="zh-CN"/>
        </w:rPr>
        <w:t>区</w:t>
      </w:r>
      <w:r>
        <w:rPr>
          <w:rFonts w:hint="eastAsia" w:ascii="仿宋_GB2312" w:hAnsi="宋体" w:eastAsia="仿宋_GB2312" w:cs="宋体"/>
          <w:color w:val="000000"/>
          <w:sz w:val="32"/>
          <w:szCs w:val="32"/>
        </w:rPr>
        <w:t>委、</w:t>
      </w:r>
      <w:r>
        <w:rPr>
          <w:rFonts w:hint="eastAsia" w:ascii="仿宋_GB2312" w:hAnsi="宋体" w:eastAsia="仿宋_GB2312" w:cs="宋体"/>
          <w:color w:val="000000"/>
          <w:sz w:val="32"/>
          <w:szCs w:val="32"/>
          <w:lang w:eastAsia="zh-CN"/>
        </w:rPr>
        <w:t>区</w:t>
      </w:r>
      <w:r>
        <w:rPr>
          <w:rFonts w:hint="eastAsia" w:ascii="仿宋_GB2312" w:hAnsi="宋体" w:eastAsia="仿宋_GB2312" w:cs="宋体"/>
          <w:color w:val="000000"/>
          <w:sz w:val="32"/>
          <w:szCs w:val="32"/>
        </w:rPr>
        <w:t>政府重大决策部署，重点项目进行财政绩效评价，其中包括民生工程项目，乡村振兴项目等，覆盖民生工程、支持实体经济发展等重点领域。重点项目绩效评价正在进行中，民生工程绩效评价以及乡村振兴衔接资金绩效评价已完成。我们</w:t>
      </w:r>
      <w:r>
        <w:rPr>
          <w:rFonts w:hint="eastAsia" w:ascii="仿宋_GB2312" w:hAnsi="宋体" w:eastAsia="仿宋_GB2312" w:cs="宋体"/>
          <w:color w:val="000000"/>
          <w:kern w:val="0"/>
          <w:sz w:val="32"/>
          <w:szCs w:val="32"/>
          <w:shd w:val="clear" w:color="auto" w:fill="FFFFFF"/>
        </w:rPr>
        <w:t>通过财政局门户网站主动向社会公开绩效执行结果，主动</w:t>
      </w:r>
      <w:r>
        <w:rPr>
          <w:rFonts w:hint="eastAsia" w:ascii="仿宋_GB2312" w:hAnsi="宋体" w:eastAsia="仿宋_GB2312" w:cs="宋体"/>
          <w:color w:val="000000"/>
          <w:sz w:val="32"/>
          <w:szCs w:val="32"/>
        </w:rPr>
        <w:t>接受人大监督和社会监督。</w:t>
      </w:r>
    </w:p>
    <w:p>
      <w:pPr>
        <w:rPr>
          <w:rFonts w:hint="eastAsia" w:cs="Arial"/>
          <w:b/>
          <w:bCs/>
          <w:color w:val="333333"/>
          <w:sz w:val="35"/>
          <w:szCs w:val="35"/>
        </w:rPr>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7"/>
        <w:gridCol w:w="1156"/>
        <w:gridCol w:w="772"/>
        <w:gridCol w:w="1268"/>
        <w:gridCol w:w="1255"/>
        <w:gridCol w:w="1187"/>
        <w:gridCol w:w="783"/>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2" w:hRule="atLeast"/>
        </w:trPr>
        <w:tc>
          <w:tcPr>
            <w:tcW w:w="856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烈山区</w:t>
            </w:r>
            <w:r>
              <w:rPr>
                <w:rStyle w:val="15"/>
                <w:rFonts w:eastAsia="宋体"/>
                <w:lang w:val="en-US" w:eastAsia="zh-CN" w:bidi="ar"/>
              </w:rPr>
              <w:t>2024</w:t>
            </w:r>
            <w:r>
              <w:rPr>
                <w:rFonts w:hint="eastAsia" w:ascii="宋体" w:hAnsi="宋体" w:eastAsia="宋体" w:cs="宋体"/>
                <w:b/>
                <w:bCs/>
                <w:i w:val="0"/>
                <w:iCs w:val="0"/>
                <w:color w:val="000000"/>
                <w:kern w:val="0"/>
                <w:sz w:val="24"/>
                <w:szCs w:val="24"/>
                <w:u w:val="none"/>
                <w:lang w:val="en-US" w:eastAsia="zh-CN" w:bidi="ar"/>
              </w:rPr>
              <w:t>年地方政府债券使用情况表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3" w:hRule="atLeast"/>
        </w:trPr>
        <w:tc>
          <w:tcPr>
            <w:tcW w:w="119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8"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项目名称</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项目编号</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项目领域</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项目主管部门</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项目实施单位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债券性质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债券规模</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发行时间（年/月）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烈山区新型城镇化建设项目</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34060420D000000018047</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供水</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淮北市烈山区住房和城乡建设局（地震局）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淮北市烈山区住房和城乡建设局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龙脊山旅游基础设施提升项目</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34060420D000000001200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淮北市烈山区文化旅游体育局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淮北市烈山区文化旅游体育局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淮北市烈山区乡村振兴二期</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34060422D000000047944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其他农村建设</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5"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烈山区全民健身中心（东部新城）建设项目</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34060422D000000047952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淮北市烈山区文化旅游体育局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淮北市烈山区文化旅游体育局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四季榴园游客中心及生态停车场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34060424ZW80000000001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淮北市烈山区财政局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淮北市烈山区财政局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其他项目收益专项债券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2024年度精品示范村——南庄村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34060424ZW90000000001</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2024年度精品示范村——华家湖社区</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34060424ZW90000000002</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2024年度精品示范村——草庙村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34060424ZW90000000003</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6"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2024年度精品示范村—秦楼村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34060424ZW90000000004</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农村人居环境整治</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淮北市烈山区农业农村水利局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一般债券</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1" w:hRule="atLeast"/>
        </w:trPr>
        <w:tc>
          <w:tcPr>
            <w:tcW w:w="856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注：本表反映上一年度新增地方政府债券资金使用情况表，由县级以上地方各级财政部门在同级人民代表大会常务委员会批准决算后二十日内公开。</w:t>
            </w:r>
          </w:p>
        </w:tc>
      </w:tr>
    </w:tbl>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tbl>
      <w:tblPr>
        <w:tblStyle w:val="8"/>
        <w:tblW w:w="80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820"/>
        <w:gridCol w:w="3267"/>
        <w:gridCol w:w="1623"/>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trPr>
        <w:tc>
          <w:tcPr>
            <w:tcW w:w="804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烈山区</w:t>
            </w:r>
            <w:r>
              <w:rPr>
                <w:rFonts w:ascii="Calibri" w:hAnsi="Calibri" w:eastAsia="宋体" w:cs="Calibri"/>
                <w:b/>
                <w:bCs/>
                <w:i w:val="0"/>
                <w:iCs w:val="0"/>
                <w:color w:val="000000"/>
                <w:kern w:val="0"/>
                <w:sz w:val="24"/>
                <w:szCs w:val="24"/>
                <w:u w:val="none"/>
                <w:lang w:val="en-US" w:eastAsia="zh-CN" w:bidi="ar"/>
              </w:rPr>
              <w:t>2024</w:t>
            </w:r>
            <w:r>
              <w:rPr>
                <w:rFonts w:hint="eastAsia" w:ascii="宋体" w:hAnsi="宋体" w:eastAsia="宋体" w:cs="宋体"/>
                <w:b/>
                <w:bCs/>
                <w:i w:val="0"/>
                <w:iCs w:val="0"/>
                <w:color w:val="000000"/>
                <w:kern w:val="0"/>
                <w:sz w:val="24"/>
                <w:szCs w:val="24"/>
                <w:u w:val="none"/>
                <w:lang w:val="en-US" w:eastAsia="zh-CN" w:bidi="ar"/>
              </w:rPr>
              <w:t>年地方政府债务发行及还本付息情况表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6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2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32"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项目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本地区</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一、2023年末地方政府债务余额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341155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42355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二、2023年地方政府债务限额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三、2024年地方政府债务发行决算数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34596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新增一般债券发行额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再融资一般债券发行额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新增专项债券发行额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再融资专项债券发行额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置换一般债券发行额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置换专项债券发行额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国际金融组织和外国政府贷款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四、2024年地方政府债务还本决算数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五、2024年地方政府债务付息决算数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六、2024年末地方政府债务余额决算数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37438200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37438200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93"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七、2024年地方政府债务限额</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w:t>
            </w:r>
          </w:p>
        </w:tc>
        <w:tc>
          <w:tcPr>
            <w:tcW w:w="326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06"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82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326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专项债务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048"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注：本表由区级以上地方各级财政部门在同级人民代表大会常务委员会批准决算后二十日内公开，反映上一年度本地区、本级地方政府债务限额及余额决算数。</w:t>
            </w:r>
          </w:p>
        </w:tc>
      </w:tr>
    </w:tbl>
    <w:p>
      <w:pPr/>
    </w:p>
    <w:p>
      <w:pPr/>
    </w:p>
    <w:p>
      <w:pPr/>
    </w:p>
    <w:p>
      <w:pPr/>
    </w:p>
    <w:p>
      <w:pPr/>
    </w:p>
    <w:p>
      <w:pPr/>
    </w:p>
    <w:p>
      <w:pPr/>
    </w:p>
    <w:p>
      <w:pPr/>
    </w:p>
    <w:p>
      <w:pPr/>
    </w:p>
    <w:p>
      <w:pP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libri">
    <w:panose1 w:val="020F0502020204030204"/>
    <w:charset w:val="00"/>
    <w:family w:val="decorative"/>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00784531">
    <w:nsid w:val="A6F09493"/>
    <w:multiLevelType w:val="singleLevel"/>
    <w:tmpl w:val="A6F09493"/>
    <w:lvl w:ilvl="0" w:tentative="1">
      <w:start w:val="1"/>
      <w:numFmt w:val="chineseCounting"/>
      <w:suff w:val="nothing"/>
      <w:lvlText w:val="%1、"/>
      <w:lvlJc w:val="left"/>
      <w:rPr>
        <w:rFonts w:hint="eastAsia"/>
      </w:rPr>
    </w:lvl>
  </w:abstractNum>
  <w:abstractNum w:abstractNumId="2106719683">
    <w:nsid w:val="7D91FDC3"/>
    <w:multiLevelType w:val="singleLevel"/>
    <w:tmpl w:val="7D91FDC3"/>
    <w:lvl w:ilvl="0" w:tentative="1">
      <w:start w:val="1"/>
      <w:numFmt w:val="chineseCounting"/>
      <w:suff w:val="nothing"/>
      <w:lvlText w:val="%1、"/>
      <w:lvlJc w:val="left"/>
      <w:rPr>
        <w:rFonts w:hint="eastAsia"/>
      </w:rPr>
    </w:lvl>
  </w:abstractNum>
  <w:abstractNum w:abstractNumId="3565621832">
    <w:nsid w:val="D4871248"/>
    <w:multiLevelType w:val="singleLevel"/>
    <w:tmpl w:val="D4871248"/>
    <w:lvl w:ilvl="0" w:tentative="1">
      <w:start w:val="1"/>
      <w:numFmt w:val="decimal"/>
      <w:suff w:val="nothing"/>
      <w:lvlText w:val="%1．"/>
      <w:lvlJc w:val="left"/>
      <w:pPr>
        <w:ind w:left="0" w:firstLine="400"/>
      </w:pPr>
      <w:rPr>
        <w:rFonts w:hint="default"/>
      </w:rPr>
    </w:lvl>
  </w:abstractNum>
  <w:num w:numId="1">
    <w:abstractNumId w:val="3565621832"/>
  </w:num>
  <w:num w:numId="2">
    <w:abstractNumId w:val="2800784531"/>
  </w:num>
  <w:num w:numId="3">
    <w:abstractNumId w:val="21067196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45BA4"/>
    <w:rsid w:val="03BD5AE4"/>
    <w:rsid w:val="03C85BD1"/>
    <w:rsid w:val="0458580D"/>
    <w:rsid w:val="091C32AD"/>
    <w:rsid w:val="09410F65"/>
    <w:rsid w:val="0A081A83"/>
    <w:rsid w:val="0B212DFC"/>
    <w:rsid w:val="0F07055B"/>
    <w:rsid w:val="0FD91EF8"/>
    <w:rsid w:val="12633CFA"/>
    <w:rsid w:val="13AC16D1"/>
    <w:rsid w:val="13FF5CA5"/>
    <w:rsid w:val="167A5AB7"/>
    <w:rsid w:val="1702234F"/>
    <w:rsid w:val="17C70888"/>
    <w:rsid w:val="189F35B2"/>
    <w:rsid w:val="1E05035C"/>
    <w:rsid w:val="210A4734"/>
    <w:rsid w:val="212A1E87"/>
    <w:rsid w:val="22521696"/>
    <w:rsid w:val="24822706"/>
    <w:rsid w:val="249B37C8"/>
    <w:rsid w:val="24F627AC"/>
    <w:rsid w:val="26AC3A6A"/>
    <w:rsid w:val="276B56D3"/>
    <w:rsid w:val="288129C2"/>
    <w:rsid w:val="2F8A246F"/>
    <w:rsid w:val="315E3BB3"/>
    <w:rsid w:val="328B4E7C"/>
    <w:rsid w:val="33437814"/>
    <w:rsid w:val="340C5B48"/>
    <w:rsid w:val="343B642D"/>
    <w:rsid w:val="396C7089"/>
    <w:rsid w:val="3C345BA4"/>
    <w:rsid w:val="3D7F382F"/>
    <w:rsid w:val="3FD029F0"/>
    <w:rsid w:val="41A2189A"/>
    <w:rsid w:val="435D635D"/>
    <w:rsid w:val="45F4643C"/>
    <w:rsid w:val="470B6133"/>
    <w:rsid w:val="4BDE7972"/>
    <w:rsid w:val="4CF80F08"/>
    <w:rsid w:val="4E3C4E24"/>
    <w:rsid w:val="4F1F277C"/>
    <w:rsid w:val="528F19C6"/>
    <w:rsid w:val="52976ACD"/>
    <w:rsid w:val="533B56AA"/>
    <w:rsid w:val="53AA2830"/>
    <w:rsid w:val="56BE6D1E"/>
    <w:rsid w:val="57FD3876"/>
    <w:rsid w:val="5E873DAB"/>
    <w:rsid w:val="60945F86"/>
    <w:rsid w:val="61424EA8"/>
    <w:rsid w:val="615755BD"/>
    <w:rsid w:val="61970898"/>
    <w:rsid w:val="647372DB"/>
    <w:rsid w:val="653346BC"/>
    <w:rsid w:val="69FA5E67"/>
    <w:rsid w:val="6C47110C"/>
    <w:rsid w:val="6CB00A5F"/>
    <w:rsid w:val="724265FE"/>
    <w:rsid w:val="72AC3A77"/>
    <w:rsid w:val="744228E5"/>
    <w:rsid w:val="76047BAD"/>
    <w:rsid w:val="76BB591A"/>
    <w:rsid w:val="77C41863"/>
    <w:rsid w:val="781E0F73"/>
    <w:rsid w:val="7AD324E9"/>
    <w:rsid w:val="7E8F04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qFormat/>
    <w:uiPriority w:val="0"/>
  </w:style>
  <w:style w:type="character" w:customStyle="1" w:styleId="9">
    <w:name w:val="font01"/>
    <w:basedOn w:val="5"/>
    <w:qFormat/>
    <w:uiPriority w:val="0"/>
    <w:rPr>
      <w:rFonts w:hint="eastAsia" w:ascii="宋体" w:hAnsi="宋体" w:eastAsia="宋体" w:cs="宋体"/>
      <w:color w:val="000000"/>
      <w:sz w:val="22"/>
      <w:szCs w:val="22"/>
      <w:u w:val="none"/>
    </w:rPr>
  </w:style>
  <w:style w:type="paragraph" w:customStyle="1" w:styleId="10">
    <w:name w:val="Table Text"/>
    <w:basedOn w:val="1"/>
    <w:semiHidden/>
    <w:qFormat/>
    <w:uiPriority w:val="0"/>
    <w:rPr>
      <w:rFonts w:ascii="宋体" w:hAnsi="宋体" w:eastAsia="宋体" w:cs="宋体"/>
      <w:sz w:val="19"/>
      <w:szCs w:val="19"/>
      <w:lang w:val="en-US" w:eastAsia="en-US" w:bidi="ar-SA"/>
    </w:rPr>
  </w:style>
  <w:style w:type="character" w:customStyle="1" w:styleId="11">
    <w:name w:val="font11"/>
    <w:basedOn w:val="5"/>
    <w:qFormat/>
    <w:uiPriority w:val="0"/>
    <w:rPr>
      <w:rFonts w:hint="eastAsia" w:ascii="宋体" w:hAnsi="宋体" w:eastAsia="宋体" w:cs="宋体"/>
      <w:color w:val="000000"/>
      <w:sz w:val="44"/>
      <w:szCs w:val="44"/>
      <w:u w:val="none"/>
    </w:rPr>
  </w:style>
  <w:style w:type="character" w:customStyle="1" w:styleId="12">
    <w:name w:val="font61"/>
    <w:basedOn w:val="5"/>
    <w:uiPriority w:val="0"/>
    <w:rPr>
      <w:rFonts w:hint="eastAsia" w:ascii="黑体" w:hAnsi="宋体" w:eastAsia="黑体" w:cs="黑体"/>
      <w:color w:val="000000"/>
      <w:sz w:val="24"/>
      <w:szCs w:val="24"/>
      <w:u w:val="none"/>
    </w:rPr>
  </w:style>
  <w:style w:type="character" w:customStyle="1" w:styleId="13">
    <w:name w:val="font71"/>
    <w:basedOn w:val="5"/>
    <w:uiPriority w:val="0"/>
    <w:rPr>
      <w:rFonts w:hint="eastAsia" w:ascii="黑体" w:hAnsi="宋体" w:eastAsia="黑体" w:cs="黑体"/>
      <w:color w:val="000000"/>
      <w:sz w:val="22"/>
      <w:szCs w:val="22"/>
      <w:u w:val="none"/>
    </w:rPr>
  </w:style>
  <w:style w:type="character" w:customStyle="1" w:styleId="14">
    <w:name w:val="font91"/>
    <w:basedOn w:val="5"/>
    <w:uiPriority w:val="0"/>
    <w:rPr>
      <w:rFonts w:hint="eastAsia" w:ascii="宋体" w:hAnsi="宋体" w:eastAsia="宋体" w:cs="宋体"/>
      <w:color w:val="000000"/>
      <w:sz w:val="22"/>
      <w:szCs w:val="22"/>
      <w:u w:val="none"/>
    </w:rPr>
  </w:style>
  <w:style w:type="character" w:customStyle="1" w:styleId="15">
    <w:name w:val="font31"/>
    <w:basedOn w:val="5"/>
    <w:uiPriority w:val="0"/>
    <w:rPr>
      <w:rFonts w:ascii="Calibri" w:hAnsi="Calibri" w:cs="Calibri"/>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18659</Words>
  <Characters>23780</Characters>
  <Lines>0</Lines>
  <Paragraphs>0</Paragraphs>
  <ScaleCrop>false</ScaleCrop>
  <LinksUpToDate>false</LinksUpToDate>
  <CharactersWithSpaces>28672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2025-08-14T01:00:00Z</dcterms:created>
  <dc:creator>拯救蚂蚁</dc:creator>
  <cp:lastModifiedBy>张飞</cp:lastModifiedBy>
  <dcterms:modified xsi:type="dcterms:W3CDTF">2025-10-17T08:25:14Z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A5149223FF9746FCB473846F767BB759_11</vt:lpwstr>
  </property>
  <property fmtid="{D5CDD505-2E9C-101B-9397-08002B2CF9AE}" pid="4" name="KSOTemplateDocerSaveRecord">
    <vt:lpwstr>eyJoZGlkIjoiY2RmYjU4ZDY3Yjk5MTQxZGI1MTZhOThjNzk0YjM4NWIiLCJ1c2VySWQiOiI3NDc2MDIwNDYifQ==</vt:lpwstr>
  </property>
</Properties>
</file>