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D8412">
      <w:pPr>
        <w:rPr>
          <w:rFonts w:ascii="仿宋_GB2312" w:hAnsi="仿宋_GB2312" w:eastAsia="仿宋_GB2312" w:cs="仿宋_GB2312"/>
          <w:sz w:val="36"/>
          <w:szCs w:val="36"/>
        </w:rPr>
      </w:pPr>
    </w:p>
    <w:p w14:paraId="74CBE6DA">
      <w:pPr>
        <w:rPr>
          <w:rFonts w:ascii="仿宋_GB2312" w:hAnsi="仿宋_GB2312" w:eastAsia="仿宋_GB2312" w:cs="仿宋_GB2312"/>
          <w:sz w:val="36"/>
          <w:szCs w:val="36"/>
        </w:rPr>
      </w:pPr>
    </w:p>
    <w:p w14:paraId="71CE5598">
      <w:pPr>
        <w:rPr>
          <w:rFonts w:ascii="仿宋_GB2312" w:hAnsi="仿宋_GB2312" w:eastAsia="仿宋_GB2312" w:cs="仿宋_GB2312"/>
          <w:sz w:val="36"/>
          <w:szCs w:val="36"/>
        </w:rPr>
      </w:pPr>
    </w:p>
    <w:p w14:paraId="33320430">
      <w:pPr>
        <w:rPr>
          <w:rFonts w:ascii="仿宋_GB2312" w:hAnsi="仿宋_GB2312" w:eastAsia="仿宋_GB2312" w:cs="仿宋_GB2312"/>
          <w:sz w:val="36"/>
          <w:szCs w:val="36"/>
        </w:rPr>
      </w:pPr>
    </w:p>
    <w:p w14:paraId="4DCE9FE3">
      <w:pPr>
        <w:rPr>
          <w:rFonts w:hint="eastAsia" w:ascii="仿宋_GB2312" w:hAnsi="仿宋_GB2312" w:eastAsia="仿宋_GB2312" w:cs="仿宋_GB2312"/>
          <w:sz w:val="36"/>
          <w:szCs w:val="36"/>
        </w:rPr>
      </w:pPr>
    </w:p>
    <w:p w14:paraId="5775DF72">
      <w:pPr>
        <w:bidi w:val="0"/>
        <w:jc w:val="center"/>
        <w:rPr>
          <w:rFonts w:hint="eastAsia"/>
          <w:sz w:val="72"/>
          <w:szCs w:val="72"/>
        </w:rPr>
      </w:pPr>
      <w:r>
        <w:rPr>
          <w:rFonts w:hint="eastAsia" w:ascii="方正小标宋_GBK" w:eastAsia="方正小标宋_GBK"/>
          <w:bCs/>
          <w:sz w:val="72"/>
          <w:szCs w:val="72"/>
        </w:rPr>
        <w:t>建设项目环境影响报告表</w:t>
      </w:r>
    </w:p>
    <w:p w14:paraId="08373C9A">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2BB89635">
      <w:pPr>
        <w:adjustRightInd w:val="0"/>
        <w:snapToGrid w:val="0"/>
        <w:spacing w:line="288" w:lineRule="auto"/>
        <w:jc w:val="center"/>
        <w:outlineLvl w:val="9"/>
        <w:rPr>
          <w:rFonts w:ascii="华文仿宋" w:hAnsi="华文仿宋" w:eastAsia="华文仿宋" w:cs="华文仿宋"/>
          <w:color w:val="000000"/>
          <w:kern w:val="44"/>
          <w:sz w:val="44"/>
          <w:szCs w:val="44"/>
        </w:rPr>
      </w:pPr>
    </w:p>
    <w:p w14:paraId="252D4A29">
      <w:pPr>
        <w:jc w:val="center"/>
        <w:rPr>
          <w:rFonts w:eastAsia="仿宋"/>
          <w:sz w:val="52"/>
          <w:szCs w:val="52"/>
        </w:rPr>
      </w:pPr>
    </w:p>
    <w:p w14:paraId="0D23D932">
      <w:pPr>
        <w:ind w:firstLine="1040"/>
        <w:rPr>
          <w:rFonts w:eastAsia="仿宋"/>
          <w:sz w:val="44"/>
          <w:szCs w:val="44"/>
        </w:rPr>
      </w:pPr>
    </w:p>
    <w:p w14:paraId="3B70490B">
      <w:pPr>
        <w:ind w:firstLine="1040"/>
        <w:rPr>
          <w:rFonts w:eastAsia="仿宋"/>
          <w:sz w:val="44"/>
          <w:szCs w:val="44"/>
        </w:rPr>
      </w:pPr>
    </w:p>
    <w:p w14:paraId="5CBEA72C">
      <w:pPr>
        <w:ind w:firstLine="1040"/>
        <w:rPr>
          <w:rFonts w:eastAsia="仿宋"/>
          <w:sz w:val="44"/>
          <w:szCs w:val="44"/>
        </w:rPr>
      </w:pPr>
    </w:p>
    <w:p w14:paraId="14792259">
      <w:pPr>
        <w:ind w:firstLine="1040"/>
        <w:rPr>
          <w:rFonts w:eastAsia="仿宋"/>
          <w:sz w:val="44"/>
          <w:szCs w:val="44"/>
        </w:rPr>
      </w:pPr>
    </w:p>
    <w:p w14:paraId="77D0015A">
      <w:pPr>
        <w:adjustRightInd w:val="0"/>
        <w:snapToGrid w:val="0"/>
        <w:spacing w:line="288" w:lineRule="auto"/>
        <w:ind w:firstLine="360" w:firstLineChars="100"/>
        <w:rPr>
          <w:rFonts w:hint="eastAsia" w:ascii="仿宋_GB2312" w:eastAsia="仿宋_GB2312"/>
          <w:sz w:val="36"/>
          <w:szCs w:val="36"/>
          <w:u w:val="single"/>
        </w:rPr>
      </w:pPr>
      <w:bookmarkStart w:id="0" w:name="_Hlk57884087"/>
      <w:r>
        <w:rPr>
          <w:rFonts w:hint="eastAsia" w:ascii="仿宋_GB2312" w:eastAsia="仿宋_GB2312"/>
          <w:sz w:val="36"/>
          <w:szCs w:val="36"/>
        </w:rPr>
        <w:t>项目名称：</w:t>
      </w:r>
      <w:r>
        <w:rPr>
          <w:rFonts w:hint="eastAsia" w:ascii="仿宋_GB2312" w:eastAsia="仿宋_GB2312"/>
          <w:sz w:val="36"/>
          <w:szCs w:val="36"/>
          <w:u w:val="single"/>
          <w:lang w:val="en-US" w:eastAsia="zh-CN"/>
        </w:rPr>
        <w:t xml:space="preserve">    浓缩机生产线数字化改造项目</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p>
    <w:p w14:paraId="35A89DB6">
      <w:pPr>
        <w:adjustRightInd w:val="0"/>
        <w:snapToGrid w:val="0"/>
        <w:spacing w:line="288" w:lineRule="auto"/>
        <w:ind w:firstLine="360" w:firstLineChars="100"/>
        <w:rPr>
          <w:rFonts w:hint="eastAsia" w:ascii="仿宋_GB2312" w:eastAsia="仿宋_GB2312"/>
          <w:sz w:val="36"/>
          <w:szCs w:val="36"/>
          <w:u w:val="single"/>
          <w:lang w:eastAsia="zh-CN"/>
        </w:rPr>
      </w:pPr>
      <w:r>
        <w:rPr>
          <w:rFonts w:hint="eastAsia" w:ascii="仿宋_GB2312" w:eastAsia="仿宋_GB2312"/>
          <w:sz w:val="36"/>
          <w:szCs w:val="36"/>
        </w:rPr>
        <w:t>建设单位：</w:t>
      </w:r>
      <w:r>
        <w:rPr>
          <w:rFonts w:ascii="仿宋_GB2312" w:eastAsia="仿宋_GB2312"/>
          <w:sz w:val="36"/>
          <w:szCs w:val="36"/>
          <w:u w:val="single"/>
        </w:rPr>
        <w:t xml:space="preserve">  </w:t>
      </w:r>
      <w:r>
        <w:rPr>
          <w:rFonts w:hint="eastAsia" w:ascii="仿宋_GB2312" w:eastAsia="仿宋_GB2312"/>
          <w:sz w:val="36"/>
          <w:szCs w:val="36"/>
          <w:u w:val="single"/>
          <w:lang w:eastAsia="zh-CN"/>
        </w:rPr>
        <w:t>淮北市协力重型机器有限责任公司</w:t>
      </w:r>
      <w:r>
        <w:rPr>
          <w:rFonts w:ascii="仿宋_GB2312" w:eastAsia="仿宋_GB2312"/>
          <w:sz w:val="36"/>
          <w:szCs w:val="36"/>
          <w:u w:val="single"/>
        </w:rPr>
        <w:t xml:space="preserve">  </w:t>
      </w:r>
    </w:p>
    <w:p w14:paraId="35036EB7">
      <w:pPr>
        <w:adjustRightInd w:val="0"/>
        <w:snapToGrid w:val="0"/>
        <w:spacing w:line="288" w:lineRule="auto"/>
        <w:ind w:firstLine="360" w:firstLineChars="100"/>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二〇二五年九月</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14:paraId="1A5D3EF8">
      <w:pPr>
        <w:adjustRightInd w:val="0"/>
        <w:snapToGrid w:val="0"/>
        <w:spacing w:line="288" w:lineRule="auto"/>
        <w:ind w:firstLine="1040"/>
        <w:rPr>
          <w:rFonts w:ascii="仿宋_GB2312" w:eastAsia="仿宋_GB2312"/>
          <w:sz w:val="36"/>
          <w:szCs w:val="36"/>
          <w:u w:val="single"/>
        </w:rPr>
      </w:pPr>
    </w:p>
    <w:p w14:paraId="03C2032A">
      <w:pPr>
        <w:adjustRightInd w:val="0"/>
        <w:snapToGrid w:val="0"/>
        <w:spacing w:line="288" w:lineRule="auto"/>
        <w:ind w:firstLine="1040"/>
        <w:rPr>
          <w:rFonts w:ascii="仿宋_GB2312" w:eastAsia="仿宋_GB2312"/>
          <w:sz w:val="36"/>
          <w:szCs w:val="36"/>
        </w:rPr>
      </w:pPr>
    </w:p>
    <w:p w14:paraId="42EAD9FD">
      <w:pPr>
        <w:adjustRightInd w:val="0"/>
        <w:snapToGrid w:val="0"/>
        <w:spacing w:line="288" w:lineRule="auto"/>
        <w:ind w:firstLine="1040"/>
        <w:rPr>
          <w:rFonts w:ascii="仿宋_GB2312" w:eastAsia="仿宋_GB2312"/>
          <w:sz w:val="36"/>
          <w:szCs w:val="36"/>
        </w:rPr>
      </w:pPr>
    </w:p>
    <w:p w14:paraId="622C3623">
      <w:pPr>
        <w:adjustRightInd w:val="0"/>
        <w:snapToGrid w:val="0"/>
        <w:spacing w:line="288" w:lineRule="auto"/>
        <w:ind w:firstLine="1040"/>
        <w:rPr>
          <w:rFonts w:hint="eastAsia" w:ascii="仿宋_GB2312" w:eastAsia="仿宋_GB2312"/>
          <w:sz w:val="36"/>
          <w:szCs w:val="36"/>
        </w:rPr>
      </w:pPr>
    </w:p>
    <w:p w14:paraId="3AC47AE3">
      <w:pPr>
        <w:adjustRightInd w:val="0"/>
        <w:snapToGrid w:val="0"/>
        <w:spacing w:line="288" w:lineRule="auto"/>
        <w:ind w:firstLine="1040"/>
        <w:rPr>
          <w:rFonts w:hint="eastAsia" w:ascii="仿宋_GB2312" w:eastAsia="仿宋_GB2312"/>
          <w:sz w:val="36"/>
          <w:szCs w:val="36"/>
        </w:rPr>
      </w:pPr>
    </w:p>
    <w:bookmarkEnd w:id="0"/>
    <w:p w14:paraId="117D0998">
      <w:pPr>
        <w:adjustRightInd w:val="0"/>
        <w:snapToGrid w:val="0"/>
        <w:spacing w:line="288" w:lineRule="auto"/>
        <w:jc w:val="center"/>
        <w:rPr>
          <w:rFonts w:hint="eastAsia" w:ascii="楷体_GB2312" w:eastAsia="楷体_GB2312"/>
          <w:sz w:val="36"/>
          <w:szCs w:val="36"/>
        </w:rPr>
        <w:sectPr>
          <w:headerReference r:id="rId3" w:type="default"/>
          <w:footerReference r:id="rId4" w:type="default"/>
          <w:footerReference r:id="rId5" w:type="even"/>
          <w:pgSz w:w="11906" w:h="16838"/>
          <w:pgMar w:top="1440" w:right="1800" w:bottom="1440" w:left="1800"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eastAsia" w:ascii="楷体_GB2312" w:eastAsia="楷体_GB2312"/>
          <w:sz w:val="36"/>
          <w:szCs w:val="36"/>
        </w:rPr>
        <w:t>中华人民共和国生态环境部制</w:t>
      </w:r>
    </w:p>
    <w:p w14:paraId="66553421">
      <w:pPr>
        <w:adjustRightInd w:val="0"/>
        <w:snapToGrid w:val="0"/>
        <w:spacing w:line="288" w:lineRule="auto"/>
        <w:jc w:val="center"/>
        <w:rPr>
          <w:rFonts w:hint="eastAsia" w:ascii="楷体_GB2312" w:eastAsia="楷体_GB2312"/>
          <w:sz w:val="36"/>
          <w:szCs w:val="36"/>
        </w:rPr>
        <w:sectPr>
          <w:pgSz w:w="11906" w:h="16838"/>
          <w:pgMar w:top="1440" w:right="1800" w:bottom="1440" w:left="1800"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3F532957">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2"/>
          <w:szCs w:val="32"/>
        </w:rPr>
      </w:pPr>
      <w:r>
        <w:rPr>
          <w:rFonts w:hint="eastAsia"/>
          <w:b w:val="0"/>
          <w:bCs w:val="0"/>
          <w:snapToGrid w:val="0"/>
          <w:sz w:val="32"/>
          <w:szCs w:val="32"/>
        </w:rPr>
        <w:t>一、建设项目基本情况</w:t>
      </w:r>
    </w:p>
    <w:tbl>
      <w:tblPr>
        <w:tblStyle w:val="15"/>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73"/>
        <w:gridCol w:w="1447"/>
        <w:gridCol w:w="1999"/>
        <w:gridCol w:w="1676"/>
        <w:gridCol w:w="3175"/>
      </w:tblGrid>
      <w:tr w14:paraId="1C322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4E38702C">
            <w:pPr>
              <w:adjustRightInd w:val="0"/>
              <w:snapToGrid w:val="0"/>
              <w:jc w:val="center"/>
              <w:rPr>
                <w:rFonts w:ascii="宋体" w:hAnsi="宋体" w:cs="宋体"/>
                <w:sz w:val="24"/>
                <w:szCs w:val="24"/>
              </w:rPr>
            </w:pPr>
            <w:r>
              <w:rPr>
                <w:rFonts w:hint="eastAsia" w:ascii="宋体" w:hAnsi="宋体" w:cs="宋体"/>
                <w:sz w:val="24"/>
                <w:szCs w:val="24"/>
              </w:rPr>
              <w:t>建设项目名称</w:t>
            </w:r>
          </w:p>
        </w:tc>
        <w:tc>
          <w:tcPr>
            <w:tcW w:w="6850" w:type="dxa"/>
            <w:gridSpan w:val="3"/>
            <w:noWrap w:val="0"/>
            <w:tcMar>
              <w:top w:w="57" w:type="dxa"/>
              <w:left w:w="113" w:type="dxa"/>
              <w:bottom w:w="57" w:type="dxa"/>
              <w:right w:w="113" w:type="dxa"/>
            </w:tcMar>
            <w:vAlign w:val="center"/>
          </w:tcPr>
          <w:p w14:paraId="24E74EAC">
            <w:pPr>
              <w:adjustRightInd w:val="0"/>
              <w:snapToGrid w:val="0"/>
              <w:jc w:val="center"/>
              <w:rPr>
                <w:rFonts w:hint="eastAsia" w:ascii="宋体" w:hAnsi="宋体" w:eastAsia="宋体" w:cs="宋体"/>
                <w:sz w:val="24"/>
                <w:szCs w:val="24"/>
                <w:lang w:eastAsia="zh-CN"/>
              </w:rPr>
            </w:pPr>
            <w:r>
              <w:rPr>
                <w:rFonts w:hint="eastAsia" w:ascii="宋体" w:hAnsi="宋体" w:cs="宋体"/>
                <w:sz w:val="24"/>
                <w:szCs w:val="24"/>
                <w:lang w:eastAsia="zh-CN"/>
              </w:rPr>
              <w:t>浓缩机生产线数字化改造项目</w:t>
            </w:r>
          </w:p>
        </w:tc>
      </w:tr>
      <w:tr w14:paraId="736CCE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24636173">
            <w:pPr>
              <w:adjustRightInd w:val="0"/>
              <w:snapToGrid w:val="0"/>
              <w:jc w:val="center"/>
              <w:rPr>
                <w:rFonts w:ascii="宋体" w:hAnsi="宋体" w:cs="宋体"/>
                <w:sz w:val="24"/>
                <w:szCs w:val="24"/>
              </w:rPr>
            </w:pPr>
            <w:r>
              <w:rPr>
                <w:rFonts w:hint="eastAsia" w:ascii="宋体" w:hAnsi="宋体" w:cs="宋体"/>
                <w:sz w:val="24"/>
                <w:szCs w:val="24"/>
              </w:rPr>
              <w:t>项目代码</w:t>
            </w:r>
          </w:p>
        </w:tc>
        <w:tc>
          <w:tcPr>
            <w:tcW w:w="6850" w:type="dxa"/>
            <w:gridSpan w:val="3"/>
            <w:noWrap w:val="0"/>
            <w:tcMar>
              <w:top w:w="57" w:type="dxa"/>
              <w:left w:w="113" w:type="dxa"/>
              <w:bottom w:w="57" w:type="dxa"/>
              <w:right w:w="113" w:type="dxa"/>
            </w:tcMar>
            <w:vAlign w:val="center"/>
          </w:tcPr>
          <w:p w14:paraId="511A9585">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无</w:t>
            </w:r>
          </w:p>
        </w:tc>
      </w:tr>
      <w:tr w14:paraId="582C3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37A7528E">
            <w:pPr>
              <w:adjustRightInd w:val="0"/>
              <w:snapToGrid w:val="0"/>
              <w:jc w:val="center"/>
              <w:rPr>
                <w:rFonts w:hint="eastAsia" w:ascii="宋体" w:hAnsi="宋体" w:cs="宋体"/>
                <w:sz w:val="24"/>
                <w:szCs w:val="24"/>
              </w:rPr>
            </w:pPr>
            <w:r>
              <w:rPr>
                <w:rFonts w:hint="eastAsia" w:ascii="宋体" w:hAnsi="宋体" w:cs="宋体"/>
                <w:sz w:val="24"/>
                <w:szCs w:val="24"/>
              </w:rPr>
              <w:t>建设单位联系人</w:t>
            </w:r>
          </w:p>
        </w:tc>
        <w:tc>
          <w:tcPr>
            <w:tcW w:w="1999" w:type="dxa"/>
            <w:noWrap w:val="0"/>
            <w:tcMar>
              <w:top w:w="57" w:type="dxa"/>
              <w:left w:w="113" w:type="dxa"/>
              <w:bottom w:w="57" w:type="dxa"/>
              <w:right w:w="113" w:type="dxa"/>
            </w:tcMar>
            <w:vAlign w:val="center"/>
          </w:tcPr>
          <w:p w14:paraId="1C24D04D">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赵顺利</w:t>
            </w:r>
          </w:p>
        </w:tc>
        <w:tc>
          <w:tcPr>
            <w:tcW w:w="1676" w:type="dxa"/>
            <w:noWrap w:val="0"/>
            <w:tcMar>
              <w:top w:w="57" w:type="dxa"/>
              <w:left w:w="113" w:type="dxa"/>
              <w:bottom w:w="57" w:type="dxa"/>
              <w:right w:w="113" w:type="dxa"/>
            </w:tcMar>
            <w:vAlign w:val="center"/>
          </w:tcPr>
          <w:p w14:paraId="317DBA83">
            <w:pPr>
              <w:adjustRightInd w:val="0"/>
              <w:snapToGrid w:val="0"/>
              <w:jc w:val="center"/>
              <w:rPr>
                <w:rFonts w:ascii="宋体" w:hAnsi="宋体" w:cs="宋体"/>
                <w:sz w:val="24"/>
                <w:szCs w:val="24"/>
              </w:rPr>
            </w:pPr>
            <w:r>
              <w:rPr>
                <w:rFonts w:hint="eastAsia" w:ascii="宋体" w:hAnsi="宋体" w:cs="宋体"/>
                <w:sz w:val="24"/>
                <w:szCs w:val="24"/>
              </w:rPr>
              <w:t>联系方式</w:t>
            </w:r>
          </w:p>
        </w:tc>
        <w:tc>
          <w:tcPr>
            <w:tcW w:w="3175" w:type="dxa"/>
            <w:noWrap w:val="0"/>
            <w:tcMar>
              <w:top w:w="57" w:type="dxa"/>
              <w:left w:w="113" w:type="dxa"/>
              <w:bottom w:w="57" w:type="dxa"/>
              <w:right w:w="113" w:type="dxa"/>
            </w:tcMar>
            <w:vAlign w:val="center"/>
          </w:tcPr>
          <w:p w14:paraId="44C0BCED">
            <w:pPr>
              <w:adjustRightInd w:val="0"/>
              <w:snapToGrid w:val="0"/>
              <w:jc w:val="center"/>
              <w:rPr>
                <w:rFonts w:hint="default" w:ascii="宋体" w:hAnsi="宋体" w:eastAsia="宋体" w:cs="宋体"/>
                <w:sz w:val="24"/>
                <w:szCs w:val="24"/>
                <w:lang w:val="en-US" w:eastAsia="zh-CN"/>
              </w:rPr>
            </w:pPr>
            <w:r>
              <w:rPr>
                <w:rFonts w:hint="eastAsia"/>
                <w:color w:val="000000"/>
                <w:kern w:val="0"/>
                <w:sz w:val="24"/>
                <w:lang w:val="en-US" w:eastAsia="zh-CN"/>
              </w:rPr>
              <w:t>13966110901</w:t>
            </w:r>
          </w:p>
        </w:tc>
      </w:tr>
      <w:tr w14:paraId="6592B5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29809D6A">
            <w:pPr>
              <w:adjustRightInd w:val="0"/>
              <w:snapToGrid w:val="0"/>
              <w:jc w:val="center"/>
              <w:rPr>
                <w:rFonts w:ascii="宋体" w:hAnsi="宋体" w:cs="宋体"/>
                <w:sz w:val="24"/>
                <w:szCs w:val="24"/>
              </w:rPr>
            </w:pPr>
            <w:r>
              <w:rPr>
                <w:rFonts w:hint="eastAsia" w:ascii="宋体" w:hAnsi="宋体" w:cs="宋体"/>
                <w:sz w:val="24"/>
                <w:szCs w:val="24"/>
              </w:rPr>
              <w:t>建设地点</w:t>
            </w:r>
          </w:p>
        </w:tc>
        <w:tc>
          <w:tcPr>
            <w:tcW w:w="6850" w:type="dxa"/>
            <w:gridSpan w:val="3"/>
            <w:noWrap w:val="0"/>
            <w:tcMar>
              <w:top w:w="57" w:type="dxa"/>
              <w:left w:w="113" w:type="dxa"/>
              <w:bottom w:w="57" w:type="dxa"/>
              <w:right w:w="113" w:type="dxa"/>
            </w:tcMar>
            <w:vAlign w:val="center"/>
          </w:tcPr>
          <w:p w14:paraId="2B400FD5">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u w:val="none"/>
                <w:lang w:eastAsia="zh-CN"/>
              </w:rPr>
              <w:t>安徽省淮北市烈山区新蔡镇新蔡工业园琪嘉路5号</w:t>
            </w:r>
          </w:p>
        </w:tc>
      </w:tr>
      <w:tr w14:paraId="5DCDF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52CE802E">
            <w:pPr>
              <w:adjustRightInd w:val="0"/>
              <w:snapToGrid w:val="0"/>
              <w:jc w:val="center"/>
              <w:rPr>
                <w:rFonts w:ascii="宋体" w:hAnsi="宋体" w:cs="宋体"/>
                <w:sz w:val="24"/>
                <w:szCs w:val="24"/>
              </w:rPr>
            </w:pPr>
            <w:r>
              <w:rPr>
                <w:rFonts w:hint="eastAsia" w:ascii="宋体" w:hAnsi="宋体" w:cs="宋体"/>
                <w:sz w:val="24"/>
                <w:szCs w:val="24"/>
              </w:rPr>
              <w:t>地理坐标</w:t>
            </w:r>
          </w:p>
        </w:tc>
        <w:tc>
          <w:tcPr>
            <w:tcW w:w="6850" w:type="dxa"/>
            <w:gridSpan w:val="3"/>
            <w:noWrap w:val="0"/>
            <w:tcMar>
              <w:top w:w="57" w:type="dxa"/>
              <w:left w:w="113" w:type="dxa"/>
              <w:bottom w:w="57" w:type="dxa"/>
              <w:right w:w="113" w:type="dxa"/>
            </w:tcMar>
            <w:vAlign w:val="center"/>
          </w:tcPr>
          <w:p w14:paraId="14195BD6">
            <w:pPr>
              <w:adjustRightInd w:val="0"/>
              <w:snapToGrid w:val="0"/>
              <w:jc w:val="center"/>
              <w:rPr>
                <w:rFonts w:hint="eastAsia"/>
                <w:color w:val="000000"/>
                <w:kern w:val="0"/>
                <w:sz w:val="24"/>
                <w:lang w:val="en-US" w:eastAsia="zh-CN"/>
              </w:rPr>
            </w:pPr>
            <w:r>
              <w:rPr>
                <w:rFonts w:hint="eastAsia"/>
                <w:color w:val="000000"/>
                <w:kern w:val="0"/>
                <w:sz w:val="24"/>
                <w:lang w:val="en-US" w:eastAsia="zh-CN"/>
              </w:rPr>
              <w:t>（</w:t>
            </w:r>
            <w:r>
              <w:rPr>
                <w:rFonts w:hint="eastAsia"/>
                <w:color w:val="000000"/>
                <w:kern w:val="0"/>
                <w:sz w:val="24"/>
                <w:u w:val="single"/>
                <w:lang w:val="en-US" w:eastAsia="zh-CN"/>
              </w:rPr>
              <w:t xml:space="preserve"> 116 </w:t>
            </w:r>
            <w:r>
              <w:rPr>
                <w:rFonts w:hint="eastAsia"/>
                <w:color w:val="000000"/>
                <w:kern w:val="0"/>
                <w:sz w:val="24"/>
                <w:lang w:val="en-US" w:eastAsia="zh-CN"/>
              </w:rPr>
              <w:t>度</w:t>
            </w:r>
            <w:r>
              <w:rPr>
                <w:rFonts w:hint="eastAsia"/>
                <w:color w:val="000000"/>
                <w:kern w:val="0"/>
                <w:sz w:val="24"/>
                <w:u w:val="single"/>
                <w:lang w:val="en-US" w:eastAsia="zh-CN"/>
              </w:rPr>
              <w:t xml:space="preserve"> 51 </w:t>
            </w:r>
            <w:r>
              <w:rPr>
                <w:rFonts w:hint="eastAsia"/>
                <w:color w:val="000000"/>
                <w:kern w:val="0"/>
                <w:sz w:val="24"/>
                <w:lang w:val="en-US" w:eastAsia="zh-CN"/>
              </w:rPr>
              <w:t>分</w:t>
            </w:r>
            <w:r>
              <w:rPr>
                <w:rFonts w:hint="eastAsia"/>
                <w:color w:val="000000"/>
                <w:kern w:val="0"/>
                <w:sz w:val="24"/>
                <w:u w:val="single"/>
                <w:lang w:val="en-US" w:eastAsia="zh-CN"/>
              </w:rPr>
              <w:t xml:space="preserve"> 10.296 </w:t>
            </w:r>
            <w:r>
              <w:rPr>
                <w:rFonts w:hint="eastAsia"/>
                <w:color w:val="000000"/>
                <w:kern w:val="0"/>
                <w:sz w:val="24"/>
                <w:lang w:val="en-US" w:eastAsia="zh-CN"/>
              </w:rPr>
              <w:t>秒，</w:t>
            </w:r>
            <w:r>
              <w:rPr>
                <w:rFonts w:hint="eastAsia"/>
                <w:color w:val="000000"/>
                <w:kern w:val="0"/>
                <w:sz w:val="24"/>
                <w:u w:val="single"/>
                <w:lang w:val="en-US" w:eastAsia="zh-CN"/>
              </w:rPr>
              <w:t xml:space="preserve"> 33 </w:t>
            </w:r>
            <w:r>
              <w:rPr>
                <w:rFonts w:hint="eastAsia"/>
                <w:color w:val="000000"/>
                <w:kern w:val="0"/>
                <w:sz w:val="24"/>
                <w:lang w:val="en-US" w:eastAsia="zh-CN"/>
              </w:rPr>
              <w:t>度</w:t>
            </w:r>
            <w:r>
              <w:rPr>
                <w:rFonts w:hint="eastAsia"/>
                <w:color w:val="000000"/>
                <w:kern w:val="0"/>
                <w:sz w:val="24"/>
                <w:u w:val="single"/>
                <w:lang w:val="en-US" w:eastAsia="zh-CN"/>
              </w:rPr>
              <w:t xml:space="preserve"> 53 </w:t>
            </w:r>
            <w:r>
              <w:rPr>
                <w:rFonts w:hint="eastAsia"/>
                <w:color w:val="000000"/>
                <w:kern w:val="0"/>
                <w:sz w:val="24"/>
                <w:lang w:val="en-US" w:eastAsia="zh-CN"/>
              </w:rPr>
              <w:t>分</w:t>
            </w:r>
            <w:r>
              <w:rPr>
                <w:rFonts w:hint="eastAsia"/>
                <w:color w:val="000000"/>
                <w:kern w:val="0"/>
                <w:sz w:val="24"/>
                <w:u w:val="single"/>
                <w:lang w:val="en-US" w:eastAsia="zh-CN"/>
              </w:rPr>
              <w:t xml:space="preserve"> 15.716 </w:t>
            </w:r>
            <w:r>
              <w:rPr>
                <w:rFonts w:hint="eastAsia"/>
                <w:color w:val="000000"/>
                <w:kern w:val="0"/>
                <w:sz w:val="24"/>
                <w:lang w:val="en-US" w:eastAsia="zh-CN"/>
              </w:rPr>
              <w:t>秒</w:t>
            </w:r>
          </w:p>
          <w:p w14:paraId="65C77CBA">
            <w:pPr>
              <w:adjustRightInd w:val="0"/>
              <w:snapToGrid w:val="0"/>
              <w:jc w:val="center"/>
              <w:rPr>
                <w:rFonts w:hint="eastAsia" w:ascii="宋体" w:hAnsi="宋体" w:cs="宋体"/>
                <w:sz w:val="24"/>
                <w:szCs w:val="24"/>
              </w:rPr>
            </w:pPr>
            <w:r>
              <w:rPr>
                <w:rFonts w:hint="eastAsia"/>
                <w:color w:val="000000"/>
                <w:kern w:val="0"/>
                <w:sz w:val="24"/>
                <w:lang w:val="en-US" w:eastAsia="zh-CN"/>
              </w:rPr>
              <w:t>116.85286，33.887699）</w:t>
            </w:r>
          </w:p>
        </w:tc>
      </w:tr>
      <w:tr w14:paraId="5CC28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20" w:type="dxa"/>
            <w:gridSpan w:val="2"/>
            <w:noWrap w:val="0"/>
            <w:tcMar>
              <w:top w:w="57" w:type="dxa"/>
              <w:left w:w="113" w:type="dxa"/>
              <w:bottom w:w="57" w:type="dxa"/>
              <w:right w:w="113" w:type="dxa"/>
            </w:tcMar>
            <w:vAlign w:val="center"/>
          </w:tcPr>
          <w:p w14:paraId="1DF8572A">
            <w:pPr>
              <w:adjustRightInd w:val="0"/>
              <w:snapToGrid w:val="0"/>
              <w:jc w:val="center"/>
              <w:rPr>
                <w:rFonts w:hint="eastAsia"/>
                <w:color w:val="000000"/>
                <w:kern w:val="0"/>
                <w:sz w:val="24"/>
                <w:lang w:val="en-US" w:eastAsia="zh-CN"/>
              </w:rPr>
            </w:pPr>
            <w:r>
              <w:rPr>
                <w:rFonts w:hint="eastAsia"/>
                <w:color w:val="000000"/>
                <w:kern w:val="0"/>
                <w:sz w:val="24"/>
                <w:lang w:val="en-US" w:eastAsia="zh-CN"/>
              </w:rPr>
              <w:t>国民经济</w:t>
            </w:r>
          </w:p>
          <w:p w14:paraId="4B855581">
            <w:pPr>
              <w:adjustRightInd w:val="0"/>
              <w:snapToGrid w:val="0"/>
              <w:jc w:val="center"/>
              <w:rPr>
                <w:rFonts w:hint="eastAsia"/>
                <w:color w:val="000000"/>
                <w:kern w:val="0"/>
                <w:sz w:val="24"/>
                <w:lang w:val="en-US" w:eastAsia="zh-CN"/>
              </w:rPr>
            </w:pPr>
            <w:r>
              <w:rPr>
                <w:rFonts w:hint="eastAsia"/>
                <w:color w:val="000000"/>
                <w:kern w:val="0"/>
                <w:sz w:val="24"/>
                <w:lang w:val="en-US" w:eastAsia="zh-CN"/>
              </w:rPr>
              <w:t>行业类别</w:t>
            </w:r>
          </w:p>
        </w:tc>
        <w:tc>
          <w:tcPr>
            <w:tcW w:w="1999" w:type="dxa"/>
            <w:noWrap w:val="0"/>
            <w:tcMar>
              <w:top w:w="57" w:type="dxa"/>
              <w:left w:w="113" w:type="dxa"/>
              <w:bottom w:w="57" w:type="dxa"/>
              <w:right w:w="113" w:type="dxa"/>
            </w:tcMar>
            <w:vAlign w:val="center"/>
          </w:tcPr>
          <w:p w14:paraId="66BF6D24">
            <w:pPr>
              <w:adjustRightInd w:val="0"/>
              <w:snapToGrid w:val="0"/>
              <w:jc w:val="center"/>
              <w:rPr>
                <w:rFonts w:hint="eastAsia"/>
                <w:color w:val="000000"/>
                <w:kern w:val="0"/>
                <w:sz w:val="24"/>
                <w:lang w:val="en-US" w:eastAsia="zh-CN"/>
              </w:rPr>
            </w:pPr>
            <w:r>
              <w:rPr>
                <w:rFonts w:hint="eastAsia"/>
                <w:color w:val="000000"/>
                <w:kern w:val="0"/>
                <w:sz w:val="24"/>
                <w:lang w:val="en-US" w:eastAsia="zh-CN"/>
              </w:rPr>
              <w:t>[C3511]矿山机械制造</w:t>
            </w:r>
          </w:p>
        </w:tc>
        <w:tc>
          <w:tcPr>
            <w:tcW w:w="1676" w:type="dxa"/>
            <w:noWrap w:val="0"/>
            <w:tcMar>
              <w:top w:w="57" w:type="dxa"/>
              <w:left w:w="113" w:type="dxa"/>
              <w:bottom w:w="57" w:type="dxa"/>
              <w:right w:w="113" w:type="dxa"/>
            </w:tcMar>
            <w:vAlign w:val="center"/>
          </w:tcPr>
          <w:p w14:paraId="54970296">
            <w:pPr>
              <w:adjustRightInd w:val="0"/>
              <w:snapToGrid w:val="0"/>
              <w:jc w:val="center"/>
              <w:rPr>
                <w:rFonts w:hint="eastAsia"/>
                <w:color w:val="000000"/>
                <w:kern w:val="0"/>
                <w:sz w:val="24"/>
                <w:lang w:val="en-US" w:eastAsia="zh-CN"/>
              </w:rPr>
            </w:pPr>
            <w:bookmarkStart w:id="1" w:name="_Hlk49843745"/>
            <w:r>
              <w:rPr>
                <w:rFonts w:hint="eastAsia"/>
                <w:color w:val="000000"/>
                <w:kern w:val="0"/>
                <w:sz w:val="24"/>
                <w:lang w:val="en-US" w:eastAsia="zh-CN"/>
              </w:rPr>
              <w:t>建设项目</w:t>
            </w:r>
          </w:p>
          <w:p w14:paraId="62C6D9E9">
            <w:pPr>
              <w:adjustRightInd w:val="0"/>
              <w:snapToGrid w:val="0"/>
              <w:jc w:val="center"/>
              <w:rPr>
                <w:rFonts w:hint="eastAsia"/>
                <w:color w:val="000000"/>
                <w:kern w:val="0"/>
                <w:sz w:val="24"/>
                <w:lang w:val="en-US" w:eastAsia="zh-CN"/>
              </w:rPr>
            </w:pPr>
            <w:r>
              <w:rPr>
                <w:rFonts w:hint="eastAsia"/>
                <w:color w:val="000000"/>
                <w:kern w:val="0"/>
                <w:sz w:val="24"/>
                <w:lang w:val="en-US" w:eastAsia="zh-CN"/>
              </w:rPr>
              <w:t>行业类别</w:t>
            </w:r>
            <w:bookmarkEnd w:id="1"/>
          </w:p>
        </w:tc>
        <w:tc>
          <w:tcPr>
            <w:tcW w:w="3175" w:type="dxa"/>
            <w:noWrap w:val="0"/>
            <w:tcMar>
              <w:top w:w="57" w:type="dxa"/>
              <w:left w:w="113" w:type="dxa"/>
              <w:bottom w:w="57" w:type="dxa"/>
              <w:right w:w="113" w:type="dxa"/>
            </w:tcMar>
            <w:vAlign w:val="center"/>
          </w:tcPr>
          <w:p w14:paraId="6F069DD5">
            <w:pPr>
              <w:adjustRightInd w:val="0"/>
              <w:snapToGrid w:val="0"/>
              <w:jc w:val="center"/>
              <w:rPr>
                <w:rFonts w:hint="eastAsia"/>
                <w:color w:val="000000"/>
                <w:kern w:val="0"/>
                <w:sz w:val="24"/>
                <w:lang w:val="en-US" w:eastAsia="zh-CN"/>
              </w:rPr>
            </w:pPr>
            <w:r>
              <w:rPr>
                <w:rFonts w:hint="eastAsia"/>
                <w:color w:val="000000"/>
                <w:kern w:val="0"/>
                <w:sz w:val="24"/>
                <w:lang w:val="en-US" w:eastAsia="zh-CN"/>
              </w:rPr>
              <w:t>三十二、专用设备制造业 35-70 采矿、冶金、建筑专</w:t>
            </w:r>
          </w:p>
          <w:p w14:paraId="04AAAA7A">
            <w:pPr>
              <w:adjustRightInd w:val="0"/>
              <w:snapToGrid w:val="0"/>
              <w:jc w:val="center"/>
              <w:rPr>
                <w:rFonts w:hint="default"/>
                <w:color w:val="000000"/>
                <w:kern w:val="0"/>
                <w:sz w:val="24"/>
                <w:lang w:val="en-US" w:eastAsia="zh-CN"/>
              </w:rPr>
            </w:pPr>
            <w:r>
              <w:rPr>
                <w:rFonts w:hint="eastAsia"/>
                <w:color w:val="000000"/>
                <w:kern w:val="0"/>
                <w:sz w:val="24"/>
                <w:lang w:val="en-US" w:eastAsia="zh-CN"/>
              </w:rPr>
              <w:t>用设备制造 351</w:t>
            </w:r>
          </w:p>
        </w:tc>
      </w:tr>
      <w:tr w14:paraId="37633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20" w:type="dxa"/>
            <w:gridSpan w:val="2"/>
            <w:noWrap w:val="0"/>
            <w:tcMar>
              <w:top w:w="57" w:type="dxa"/>
              <w:left w:w="113" w:type="dxa"/>
              <w:bottom w:w="57" w:type="dxa"/>
              <w:right w:w="113" w:type="dxa"/>
            </w:tcMar>
            <w:vAlign w:val="center"/>
          </w:tcPr>
          <w:p w14:paraId="5E3FE46F">
            <w:pPr>
              <w:adjustRightInd w:val="0"/>
              <w:snapToGrid w:val="0"/>
              <w:jc w:val="center"/>
              <w:rPr>
                <w:rFonts w:ascii="宋体" w:hAnsi="宋体" w:cs="宋体"/>
                <w:sz w:val="24"/>
                <w:szCs w:val="24"/>
              </w:rPr>
            </w:pPr>
            <w:r>
              <w:rPr>
                <w:rFonts w:hint="eastAsia" w:ascii="宋体" w:hAnsi="宋体" w:cs="宋体"/>
                <w:sz w:val="24"/>
                <w:szCs w:val="24"/>
              </w:rPr>
              <w:t>建设性质</w:t>
            </w:r>
          </w:p>
        </w:tc>
        <w:tc>
          <w:tcPr>
            <w:tcW w:w="1999" w:type="dxa"/>
            <w:noWrap w:val="0"/>
            <w:tcMar>
              <w:top w:w="57" w:type="dxa"/>
              <w:left w:w="113" w:type="dxa"/>
              <w:bottom w:w="57" w:type="dxa"/>
              <w:right w:w="113" w:type="dxa"/>
            </w:tcMar>
            <w:vAlign w:val="center"/>
          </w:tcPr>
          <w:p w14:paraId="16154ED5">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新建（迁建）</w:t>
            </w:r>
          </w:p>
          <w:p w14:paraId="409F286E">
            <w:pPr>
              <w:jc w:val="left"/>
              <w:rPr>
                <w:rFonts w:hint="eastAsia"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改建</w:t>
            </w:r>
          </w:p>
          <w:p w14:paraId="19DDA5D8">
            <w:pPr>
              <w:jc w:val="left"/>
              <w:rPr>
                <w:rFonts w:hint="eastAsia"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扩建</w:t>
            </w:r>
          </w:p>
          <w:p w14:paraId="1D929888">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技术改造</w:t>
            </w:r>
          </w:p>
        </w:tc>
        <w:tc>
          <w:tcPr>
            <w:tcW w:w="1676" w:type="dxa"/>
            <w:noWrap w:val="0"/>
            <w:tcMar>
              <w:top w:w="57" w:type="dxa"/>
              <w:left w:w="113" w:type="dxa"/>
              <w:bottom w:w="57" w:type="dxa"/>
              <w:right w:w="113" w:type="dxa"/>
            </w:tcMar>
            <w:vAlign w:val="center"/>
          </w:tcPr>
          <w:p w14:paraId="5FD50536">
            <w:pPr>
              <w:adjustRightInd w:val="0"/>
              <w:snapToGrid w:val="0"/>
              <w:jc w:val="center"/>
              <w:rPr>
                <w:rFonts w:hint="eastAsia" w:ascii="宋体" w:hAnsi="宋体" w:cs="宋体"/>
                <w:sz w:val="24"/>
                <w:szCs w:val="24"/>
              </w:rPr>
            </w:pPr>
            <w:r>
              <w:rPr>
                <w:rFonts w:hint="eastAsia" w:ascii="宋体" w:hAnsi="宋体" w:cs="宋体"/>
                <w:sz w:val="24"/>
                <w:szCs w:val="24"/>
              </w:rPr>
              <w:t>建设项目</w:t>
            </w:r>
          </w:p>
          <w:p w14:paraId="0EB41BDD">
            <w:pPr>
              <w:adjustRightInd w:val="0"/>
              <w:snapToGrid w:val="0"/>
              <w:jc w:val="center"/>
              <w:rPr>
                <w:rFonts w:ascii="宋体" w:hAnsi="宋体" w:cs="宋体"/>
                <w:sz w:val="24"/>
                <w:szCs w:val="24"/>
              </w:rPr>
            </w:pPr>
            <w:r>
              <w:rPr>
                <w:rFonts w:hint="eastAsia" w:ascii="宋体" w:hAnsi="宋体" w:cs="宋体"/>
                <w:sz w:val="24"/>
                <w:szCs w:val="24"/>
              </w:rPr>
              <w:t>申报情形</w:t>
            </w:r>
          </w:p>
        </w:tc>
        <w:tc>
          <w:tcPr>
            <w:tcW w:w="3175" w:type="dxa"/>
            <w:noWrap w:val="0"/>
            <w:tcMar>
              <w:top w:w="57" w:type="dxa"/>
              <w:left w:w="113" w:type="dxa"/>
              <w:bottom w:w="57" w:type="dxa"/>
              <w:right w:w="113" w:type="dxa"/>
            </w:tcMar>
            <w:vAlign w:val="center"/>
          </w:tcPr>
          <w:p w14:paraId="6EB21517">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首次申报项目</w:t>
            </w:r>
            <w:r>
              <w:rPr>
                <w:rFonts w:ascii="宋体" w:hAnsi="宋体" w:cs="宋体"/>
                <w:sz w:val="24"/>
                <w:szCs w:val="24"/>
              </w:rPr>
              <w:t xml:space="preserve">             </w:t>
            </w:r>
          </w:p>
          <w:p w14:paraId="56340934">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不予批准后再次申报项目</w:t>
            </w:r>
          </w:p>
          <w:p w14:paraId="2102F621">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超五年重新审核项目</w:t>
            </w:r>
            <w:r>
              <w:rPr>
                <w:rFonts w:ascii="宋体" w:hAnsi="宋体" w:cs="宋体"/>
                <w:sz w:val="24"/>
                <w:szCs w:val="24"/>
              </w:rPr>
              <w:t xml:space="preserve">     </w:t>
            </w:r>
          </w:p>
          <w:p w14:paraId="21E19814">
            <w:pPr>
              <w:jc w:val="left"/>
              <w:rPr>
                <w:rFonts w:ascii="宋体" w:hAnsi="宋体" w:cs="宋体"/>
                <w:sz w:val="24"/>
                <w:szCs w:val="24"/>
              </w:rPr>
            </w:pPr>
            <w:r>
              <w:rPr>
                <w:rFonts w:hint="eastAsia" w:ascii="宋体" w:hAnsi="宋体" w:cs="宋体"/>
                <w:sz w:val="24"/>
                <w:szCs w:val="24"/>
              </w:rPr>
              <w:t>□重大变动重新报批项目</w:t>
            </w:r>
          </w:p>
        </w:tc>
      </w:tr>
      <w:tr w14:paraId="5EFCD6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20" w:type="dxa"/>
            <w:gridSpan w:val="2"/>
            <w:noWrap w:val="0"/>
            <w:tcMar>
              <w:top w:w="57" w:type="dxa"/>
              <w:left w:w="113" w:type="dxa"/>
              <w:bottom w:w="57" w:type="dxa"/>
              <w:right w:w="113" w:type="dxa"/>
            </w:tcMar>
            <w:vAlign w:val="center"/>
          </w:tcPr>
          <w:p w14:paraId="5B12A7EA">
            <w:pPr>
              <w:adjustRightInd w:val="0"/>
              <w:snapToGrid w:val="0"/>
              <w:jc w:val="center"/>
              <w:rPr>
                <w:rFonts w:hint="eastAsia"/>
                <w:color w:val="000000"/>
                <w:kern w:val="0"/>
                <w:sz w:val="24"/>
                <w:lang w:val="en-US" w:eastAsia="zh-CN"/>
              </w:rPr>
            </w:pPr>
            <w:r>
              <w:rPr>
                <w:rFonts w:hint="eastAsia"/>
                <w:color w:val="000000"/>
                <w:kern w:val="0"/>
                <w:sz w:val="24"/>
                <w:lang w:val="en-US" w:eastAsia="zh-CN"/>
              </w:rPr>
              <w:t>项目审批（核准/</w:t>
            </w:r>
          </w:p>
          <w:p w14:paraId="0606458E">
            <w:pPr>
              <w:adjustRightInd w:val="0"/>
              <w:snapToGrid w:val="0"/>
              <w:jc w:val="center"/>
              <w:rPr>
                <w:rFonts w:hint="eastAsia"/>
                <w:color w:val="000000"/>
                <w:kern w:val="0"/>
                <w:sz w:val="24"/>
                <w:lang w:val="en-US" w:eastAsia="zh-CN"/>
              </w:rPr>
            </w:pPr>
            <w:r>
              <w:rPr>
                <w:rFonts w:hint="eastAsia"/>
                <w:color w:val="000000"/>
                <w:kern w:val="0"/>
                <w:sz w:val="24"/>
                <w:lang w:val="en-US" w:eastAsia="zh-CN"/>
              </w:rPr>
              <w:t>备案）部门（选填）</w:t>
            </w:r>
          </w:p>
        </w:tc>
        <w:tc>
          <w:tcPr>
            <w:tcW w:w="1999" w:type="dxa"/>
            <w:noWrap w:val="0"/>
            <w:tcMar>
              <w:top w:w="57" w:type="dxa"/>
              <w:left w:w="113" w:type="dxa"/>
              <w:bottom w:w="57" w:type="dxa"/>
              <w:right w:w="113" w:type="dxa"/>
            </w:tcMar>
            <w:vAlign w:val="center"/>
          </w:tcPr>
          <w:p w14:paraId="5B6B697C">
            <w:pPr>
              <w:adjustRightInd w:val="0"/>
              <w:snapToGrid w:val="0"/>
              <w:jc w:val="center"/>
              <w:rPr>
                <w:rFonts w:hint="default"/>
                <w:color w:val="000000"/>
                <w:kern w:val="0"/>
                <w:sz w:val="24"/>
                <w:lang w:val="en-US" w:eastAsia="zh-CN"/>
              </w:rPr>
            </w:pPr>
            <w:r>
              <w:rPr>
                <w:rFonts w:hint="eastAsia"/>
                <w:color w:val="000000"/>
                <w:kern w:val="0"/>
                <w:sz w:val="24"/>
                <w:lang w:val="en-US" w:eastAsia="zh-CN"/>
              </w:rPr>
              <w:t>安徽淮北烈山经济开发区管委会</w:t>
            </w:r>
          </w:p>
        </w:tc>
        <w:tc>
          <w:tcPr>
            <w:tcW w:w="1676" w:type="dxa"/>
            <w:noWrap w:val="0"/>
            <w:tcMar>
              <w:top w:w="57" w:type="dxa"/>
              <w:left w:w="113" w:type="dxa"/>
              <w:bottom w:w="57" w:type="dxa"/>
              <w:right w:w="113" w:type="dxa"/>
            </w:tcMar>
            <w:vAlign w:val="center"/>
          </w:tcPr>
          <w:p w14:paraId="653B64DE">
            <w:pPr>
              <w:adjustRightInd w:val="0"/>
              <w:snapToGrid w:val="0"/>
              <w:jc w:val="center"/>
              <w:rPr>
                <w:rFonts w:hint="eastAsia"/>
                <w:color w:val="000000"/>
                <w:kern w:val="0"/>
                <w:sz w:val="24"/>
                <w:lang w:val="en-US" w:eastAsia="zh-CN"/>
              </w:rPr>
            </w:pPr>
            <w:r>
              <w:rPr>
                <w:rFonts w:hint="eastAsia"/>
                <w:color w:val="000000"/>
                <w:kern w:val="0"/>
                <w:sz w:val="24"/>
                <w:lang w:val="en-US" w:eastAsia="zh-CN"/>
              </w:rPr>
              <w:t>项目审批（核准/备案）文号（选填）</w:t>
            </w:r>
          </w:p>
        </w:tc>
        <w:tc>
          <w:tcPr>
            <w:tcW w:w="3175" w:type="dxa"/>
            <w:noWrap w:val="0"/>
            <w:tcMar>
              <w:top w:w="57" w:type="dxa"/>
              <w:left w:w="113" w:type="dxa"/>
              <w:bottom w:w="57" w:type="dxa"/>
              <w:right w:w="113" w:type="dxa"/>
            </w:tcMar>
            <w:vAlign w:val="center"/>
          </w:tcPr>
          <w:p w14:paraId="132CA63E">
            <w:pPr>
              <w:adjustRightInd w:val="0"/>
              <w:snapToGrid w:val="0"/>
              <w:jc w:val="center"/>
              <w:rPr>
                <w:rFonts w:hint="eastAsia"/>
                <w:color w:val="000000"/>
                <w:kern w:val="0"/>
                <w:sz w:val="24"/>
                <w:lang w:val="en-US" w:eastAsia="zh-CN"/>
              </w:rPr>
            </w:pPr>
            <w:r>
              <w:rPr>
                <w:rFonts w:hint="eastAsia"/>
                <w:color w:val="000000"/>
                <w:kern w:val="0"/>
                <w:sz w:val="24"/>
                <w:lang w:val="en-US" w:eastAsia="zh-CN"/>
              </w:rPr>
              <w:t>烈经开备2025【6】号</w:t>
            </w:r>
          </w:p>
        </w:tc>
      </w:tr>
      <w:tr w14:paraId="2676CE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61BFB354">
            <w:pPr>
              <w:adjustRightInd w:val="0"/>
              <w:snapToGrid w:val="0"/>
              <w:jc w:val="center"/>
              <w:rPr>
                <w:rFonts w:hint="eastAsia"/>
                <w:color w:val="000000"/>
                <w:kern w:val="0"/>
                <w:sz w:val="24"/>
                <w:lang w:val="en-US" w:eastAsia="zh-CN"/>
              </w:rPr>
            </w:pPr>
            <w:r>
              <w:rPr>
                <w:rFonts w:hint="eastAsia"/>
                <w:color w:val="000000"/>
                <w:kern w:val="0"/>
                <w:sz w:val="24"/>
                <w:lang w:val="en-US" w:eastAsia="zh-CN"/>
              </w:rPr>
              <w:t>总投资（万元）</w:t>
            </w:r>
          </w:p>
        </w:tc>
        <w:tc>
          <w:tcPr>
            <w:tcW w:w="1999" w:type="dxa"/>
            <w:noWrap w:val="0"/>
            <w:tcMar>
              <w:top w:w="57" w:type="dxa"/>
              <w:left w:w="113" w:type="dxa"/>
              <w:bottom w:w="57" w:type="dxa"/>
              <w:right w:w="113" w:type="dxa"/>
            </w:tcMar>
            <w:vAlign w:val="center"/>
          </w:tcPr>
          <w:p w14:paraId="20CF13A6">
            <w:pPr>
              <w:adjustRightInd w:val="0"/>
              <w:snapToGrid w:val="0"/>
              <w:jc w:val="center"/>
              <w:rPr>
                <w:rFonts w:hint="default"/>
                <w:color w:val="000000"/>
                <w:kern w:val="0"/>
                <w:sz w:val="24"/>
                <w:lang w:val="en-US" w:eastAsia="zh-CN"/>
              </w:rPr>
            </w:pPr>
            <w:r>
              <w:rPr>
                <w:rFonts w:hint="eastAsia"/>
                <w:color w:val="000000"/>
                <w:kern w:val="0"/>
                <w:sz w:val="24"/>
                <w:lang w:val="en-US" w:eastAsia="zh-CN"/>
              </w:rPr>
              <w:t>700</w:t>
            </w:r>
          </w:p>
        </w:tc>
        <w:tc>
          <w:tcPr>
            <w:tcW w:w="1676" w:type="dxa"/>
            <w:noWrap w:val="0"/>
            <w:tcMar>
              <w:top w:w="57" w:type="dxa"/>
              <w:left w:w="113" w:type="dxa"/>
              <w:bottom w:w="57" w:type="dxa"/>
              <w:right w:w="113" w:type="dxa"/>
            </w:tcMar>
            <w:vAlign w:val="center"/>
          </w:tcPr>
          <w:p w14:paraId="63630DBF">
            <w:pPr>
              <w:adjustRightInd w:val="0"/>
              <w:snapToGrid w:val="0"/>
              <w:jc w:val="center"/>
              <w:rPr>
                <w:rFonts w:hint="eastAsia"/>
                <w:color w:val="000000"/>
                <w:kern w:val="0"/>
                <w:sz w:val="24"/>
                <w:lang w:val="en-US" w:eastAsia="zh-CN"/>
              </w:rPr>
            </w:pPr>
            <w:r>
              <w:rPr>
                <w:rFonts w:hint="eastAsia"/>
                <w:color w:val="000000"/>
                <w:kern w:val="0"/>
                <w:sz w:val="24"/>
                <w:lang w:val="en-US" w:eastAsia="zh-CN"/>
              </w:rPr>
              <w:t>环保投资（万元）</w:t>
            </w:r>
          </w:p>
        </w:tc>
        <w:tc>
          <w:tcPr>
            <w:tcW w:w="3175" w:type="dxa"/>
            <w:noWrap w:val="0"/>
            <w:tcMar>
              <w:top w:w="57" w:type="dxa"/>
              <w:left w:w="113" w:type="dxa"/>
              <w:bottom w:w="57" w:type="dxa"/>
              <w:right w:w="113" w:type="dxa"/>
            </w:tcMar>
            <w:vAlign w:val="center"/>
          </w:tcPr>
          <w:p w14:paraId="6FE28BF0">
            <w:pPr>
              <w:adjustRightInd w:val="0"/>
              <w:snapToGrid w:val="0"/>
              <w:jc w:val="center"/>
              <w:rPr>
                <w:rFonts w:hint="default"/>
                <w:color w:val="000000"/>
                <w:kern w:val="0"/>
                <w:sz w:val="24"/>
                <w:lang w:val="en-US" w:eastAsia="zh-CN"/>
              </w:rPr>
            </w:pPr>
            <w:r>
              <w:rPr>
                <w:rFonts w:hint="eastAsia"/>
                <w:color w:val="000000"/>
                <w:kern w:val="0"/>
                <w:sz w:val="24"/>
                <w:lang w:val="en-US" w:eastAsia="zh-CN"/>
              </w:rPr>
              <w:t>15</w:t>
            </w:r>
          </w:p>
        </w:tc>
      </w:tr>
      <w:tr w14:paraId="4DC6C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606BB28A">
            <w:pPr>
              <w:adjustRightInd w:val="0"/>
              <w:snapToGrid w:val="0"/>
              <w:jc w:val="center"/>
              <w:rPr>
                <w:rFonts w:hint="eastAsia"/>
                <w:color w:val="000000"/>
                <w:kern w:val="0"/>
                <w:sz w:val="24"/>
                <w:lang w:val="en-US" w:eastAsia="zh-CN"/>
              </w:rPr>
            </w:pPr>
            <w:r>
              <w:rPr>
                <w:rFonts w:hint="eastAsia"/>
                <w:color w:val="000000"/>
                <w:kern w:val="0"/>
                <w:sz w:val="24"/>
                <w:lang w:val="en-US" w:eastAsia="zh-CN"/>
              </w:rPr>
              <w:t>环保投资占比（%）</w:t>
            </w:r>
          </w:p>
        </w:tc>
        <w:tc>
          <w:tcPr>
            <w:tcW w:w="1999" w:type="dxa"/>
            <w:noWrap w:val="0"/>
            <w:tcMar>
              <w:top w:w="57" w:type="dxa"/>
              <w:left w:w="113" w:type="dxa"/>
              <w:bottom w:w="57" w:type="dxa"/>
              <w:right w:w="113" w:type="dxa"/>
            </w:tcMar>
            <w:vAlign w:val="center"/>
          </w:tcPr>
          <w:p w14:paraId="1ABFD101">
            <w:pPr>
              <w:adjustRightInd w:val="0"/>
              <w:snapToGrid w:val="0"/>
              <w:jc w:val="center"/>
              <w:rPr>
                <w:rFonts w:hint="default"/>
                <w:color w:val="000000"/>
                <w:kern w:val="0"/>
                <w:sz w:val="24"/>
                <w:lang w:val="en-US" w:eastAsia="zh-CN"/>
              </w:rPr>
            </w:pPr>
            <w:r>
              <w:rPr>
                <w:rFonts w:hint="eastAsia"/>
                <w:color w:val="000000"/>
                <w:kern w:val="0"/>
                <w:sz w:val="24"/>
                <w:lang w:val="en-US" w:eastAsia="zh-CN"/>
              </w:rPr>
              <w:t>2.14</w:t>
            </w:r>
          </w:p>
        </w:tc>
        <w:tc>
          <w:tcPr>
            <w:tcW w:w="1676" w:type="dxa"/>
            <w:noWrap w:val="0"/>
            <w:tcMar>
              <w:top w:w="57" w:type="dxa"/>
              <w:left w:w="113" w:type="dxa"/>
              <w:bottom w:w="57" w:type="dxa"/>
              <w:right w:w="113" w:type="dxa"/>
            </w:tcMar>
            <w:vAlign w:val="center"/>
          </w:tcPr>
          <w:p w14:paraId="3C339B86">
            <w:pPr>
              <w:adjustRightInd w:val="0"/>
              <w:snapToGrid w:val="0"/>
              <w:jc w:val="center"/>
              <w:rPr>
                <w:rFonts w:hint="eastAsia"/>
                <w:color w:val="000000"/>
                <w:kern w:val="0"/>
                <w:sz w:val="24"/>
                <w:lang w:val="en-US" w:eastAsia="zh-CN"/>
              </w:rPr>
            </w:pPr>
            <w:r>
              <w:rPr>
                <w:rFonts w:hint="eastAsia"/>
                <w:color w:val="000000"/>
                <w:kern w:val="0"/>
                <w:sz w:val="24"/>
                <w:lang w:val="en-US" w:eastAsia="zh-CN"/>
              </w:rPr>
              <w:t>施工工期</w:t>
            </w:r>
          </w:p>
        </w:tc>
        <w:tc>
          <w:tcPr>
            <w:tcW w:w="3175" w:type="dxa"/>
            <w:noWrap w:val="0"/>
            <w:tcMar>
              <w:top w:w="57" w:type="dxa"/>
              <w:left w:w="113" w:type="dxa"/>
              <w:bottom w:w="57" w:type="dxa"/>
              <w:right w:w="113" w:type="dxa"/>
            </w:tcMar>
            <w:vAlign w:val="center"/>
          </w:tcPr>
          <w:p w14:paraId="77FDA48B">
            <w:pPr>
              <w:adjustRightInd w:val="0"/>
              <w:snapToGrid w:val="0"/>
              <w:jc w:val="center"/>
              <w:rPr>
                <w:rFonts w:hint="default"/>
                <w:color w:val="000000"/>
                <w:kern w:val="0"/>
                <w:sz w:val="24"/>
                <w:lang w:val="en-US" w:eastAsia="zh-CN"/>
              </w:rPr>
            </w:pPr>
            <w:r>
              <w:rPr>
                <w:rFonts w:hint="eastAsia"/>
                <w:color w:val="000000"/>
                <w:kern w:val="0"/>
                <w:sz w:val="24"/>
                <w:lang w:val="en-US" w:eastAsia="zh-CN"/>
              </w:rPr>
              <w:t>3个月</w:t>
            </w:r>
          </w:p>
        </w:tc>
      </w:tr>
      <w:tr w14:paraId="67F6B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3460D3AB">
            <w:pPr>
              <w:adjustRightInd w:val="0"/>
              <w:snapToGrid w:val="0"/>
              <w:jc w:val="center"/>
              <w:rPr>
                <w:rFonts w:hint="eastAsia" w:ascii="宋体" w:hAnsi="宋体" w:cs="宋体"/>
                <w:sz w:val="24"/>
                <w:szCs w:val="24"/>
              </w:rPr>
            </w:pPr>
            <w:r>
              <w:rPr>
                <w:rFonts w:hint="eastAsia" w:ascii="宋体" w:hAnsi="宋体" w:cs="宋体"/>
                <w:sz w:val="24"/>
                <w:szCs w:val="24"/>
              </w:rPr>
              <w:t>是否开工建设</w:t>
            </w:r>
          </w:p>
        </w:tc>
        <w:tc>
          <w:tcPr>
            <w:tcW w:w="1999" w:type="dxa"/>
            <w:noWrap w:val="0"/>
            <w:tcMar>
              <w:top w:w="57" w:type="dxa"/>
              <w:left w:w="113" w:type="dxa"/>
              <w:bottom w:w="57" w:type="dxa"/>
              <w:right w:w="113" w:type="dxa"/>
            </w:tcMar>
            <w:vAlign w:val="center"/>
          </w:tcPr>
          <w:p w14:paraId="2AC9B588">
            <w:pPr>
              <w:adjustRightInd w:val="0"/>
              <w:snapToGrid w:val="0"/>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否</w:t>
            </w:r>
          </w:p>
          <w:p w14:paraId="0BF16A08">
            <w:pPr>
              <w:adjustRightInd w:val="0"/>
              <w:snapToGrid w:val="0"/>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是：</w:t>
            </w:r>
            <w:r>
              <w:rPr>
                <w:rFonts w:hint="eastAsia" w:ascii="宋体" w:hAnsi="宋体" w:cs="宋体"/>
                <w:sz w:val="24"/>
                <w:szCs w:val="24"/>
                <w:u w:val="single"/>
              </w:rPr>
              <w:t xml:space="preserve">             </w:t>
            </w:r>
          </w:p>
        </w:tc>
        <w:tc>
          <w:tcPr>
            <w:tcW w:w="1676" w:type="dxa"/>
            <w:noWrap w:val="0"/>
            <w:tcMar>
              <w:top w:w="57" w:type="dxa"/>
              <w:left w:w="113" w:type="dxa"/>
              <w:bottom w:w="57" w:type="dxa"/>
              <w:right w:w="113" w:type="dxa"/>
            </w:tcMar>
            <w:vAlign w:val="center"/>
          </w:tcPr>
          <w:p w14:paraId="67E2DB19">
            <w:pPr>
              <w:adjustRightInd w:val="0"/>
              <w:snapToGrid w:val="0"/>
              <w:jc w:val="center"/>
              <w:rPr>
                <w:rFonts w:ascii="宋体" w:hAnsi="宋体" w:cs="宋体"/>
                <w:spacing w:val="-6"/>
                <w:sz w:val="24"/>
                <w:szCs w:val="24"/>
              </w:rPr>
            </w:pPr>
            <w:r>
              <w:rPr>
                <w:rFonts w:hint="eastAsia" w:ascii="宋体" w:hAnsi="宋体" w:cs="宋体"/>
                <w:spacing w:val="-6"/>
                <w:sz w:val="24"/>
                <w:szCs w:val="24"/>
              </w:rPr>
              <w:t>用地（用海）</w:t>
            </w:r>
          </w:p>
          <w:p w14:paraId="0CBCACF3">
            <w:pPr>
              <w:adjustRightInd w:val="0"/>
              <w:snapToGrid w:val="0"/>
              <w:jc w:val="center"/>
              <w:rPr>
                <w:rFonts w:hint="eastAsia" w:ascii="宋体" w:hAnsi="宋体" w:cs="宋体"/>
                <w:sz w:val="24"/>
                <w:szCs w:val="24"/>
              </w:rPr>
            </w:pPr>
            <w:r>
              <w:rPr>
                <w:rFonts w:hint="eastAsia" w:ascii="宋体" w:hAnsi="宋体" w:cs="宋体"/>
                <w:spacing w:val="-6"/>
                <w:sz w:val="24"/>
                <w:szCs w:val="24"/>
              </w:rPr>
              <w:t>面积（</w:t>
            </w:r>
            <w:r>
              <w:rPr>
                <w:rFonts w:ascii="宋体" w:hAnsi="宋体" w:cs="宋体"/>
                <w:spacing w:val="-6"/>
                <w:sz w:val="24"/>
                <w:szCs w:val="24"/>
              </w:rPr>
              <w:t>m</w:t>
            </w:r>
            <w:r>
              <w:rPr>
                <w:rFonts w:ascii="宋体" w:hAnsi="宋体" w:cs="宋体"/>
                <w:spacing w:val="-6"/>
                <w:sz w:val="24"/>
                <w:szCs w:val="24"/>
                <w:vertAlign w:val="superscript"/>
              </w:rPr>
              <w:t>2</w:t>
            </w:r>
            <w:r>
              <w:rPr>
                <w:rFonts w:hint="eastAsia" w:ascii="宋体" w:hAnsi="宋体" w:cs="宋体"/>
                <w:spacing w:val="-6"/>
                <w:sz w:val="24"/>
                <w:szCs w:val="24"/>
              </w:rPr>
              <w:t>）</w:t>
            </w:r>
          </w:p>
        </w:tc>
        <w:tc>
          <w:tcPr>
            <w:tcW w:w="3175" w:type="dxa"/>
            <w:noWrap w:val="0"/>
            <w:tcMar>
              <w:top w:w="57" w:type="dxa"/>
              <w:left w:w="113" w:type="dxa"/>
              <w:bottom w:w="57" w:type="dxa"/>
              <w:right w:w="113" w:type="dxa"/>
            </w:tcMar>
            <w:vAlign w:val="center"/>
          </w:tcPr>
          <w:p w14:paraId="3DFE5C87">
            <w:pPr>
              <w:adjustRightInd w:val="0"/>
              <w:snapToGrid w:val="0"/>
              <w:jc w:val="center"/>
              <w:rPr>
                <w:rFonts w:hint="default" w:ascii="宋体" w:hAnsi="宋体" w:eastAsia="宋体" w:cs="宋体"/>
                <w:sz w:val="24"/>
                <w:szCs w:val="24"/>
                <w:lang w:val="en-US" w:eastAsia="zh-CN"/>
              </w:rPr>
            </w:pPr>
            <w:r>
              <w:rPr>
                <w:rFonts w:hint="eastAsia"/>
                <w:color w:val="000000"/>
                <w:kern w:val="0"/>
                <w:sz w:val="24"/>
                <w:lang w:val="en-US" w:eastAsia="zh-CN"/>
              </w:rPr>
              <w:t>24200</w:t>
            </w:r>
          </w:p>
        </w:tc>
      </w:tr>
      <w:tr w14:paraId="35D38F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020" w:type="dxa"/>
            <w:gridSpan w:val="2"/>
            <w:noWrap w:val="0"/>
            <w:tcMar>
              <w:top w:w="57" w:type="dxa"/>
              <w:left w:w="113" w:type="dxa"/>
              <w:bottom w:w="57" w:type="dxa"/>
              <w:right w:w="113" w:type="dxa"/>
            </w:tcMar>
            <w:vAlign w:val="center"/>
          </w:tcPr>
          <w:p w14:paraId="4619322E">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专项评价设置情况</w:t>
            </w:r>
          </w:p>
        </w:tc>
        <w:tc>
          <w:tcPr>
            <w:tcW w:w="6850" w:type="dxa"/>
            <w:gridSpan w:val="3"/>
            <w:shd w:val="clear" w:color="auto" w:fill="auto"/>
            <w:noWrap w:val="0"/>
            <w:tcMar>
              <w:top w:w="57" w:type="dxa"/>
              <w:left w:w="113" w:type="dxa"/>
              <w:bottom w:w="57" w:type="dxa"/>
              <w:right w:w="113" w:type="dxa"/>
            </w:tcMar>
            <w:vAlign w:val="center"/>
          </w:tcPr>
          <w:p w14:paraId="4B669B2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eastAsia="宋体"/>
                <w:lang w:val="en-US" w:eastAsia="zh-CN"/>
              </w:rPr>
            </w:pPr>
            <w:r>
              <w:rPr>
                <w:rFonts w:hint="eastAsia"/>
                <w:lang w:val="en-US" w:eastAsia="zh-CN"/>
              </w:rPr>
              <w:t>无。具体判别见下表。</w:t>
            </w:r>
          </w:p>
          <w:tbl>
            <w:tblPr>
              <w:tblStyle w:val="16"/>
              <w:tblW w:w="6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10"/>
              <w:gridCol w:w="3570"/>
              <w:gridCol w:w="1844"/>
            </w:tblGrid>
            <w:tr w14:paraId="5A43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210" w:type="dxa"/>
                  <w:vAlign w:val="center"/>
                </w:tcPr>
                <w:p w14:paraId="0FDCF398">
                  <w:pPr>
                    <w:autoSpaceDE w:val="0"/>
                    <w:autoSpaceDN w:val="0"/>
                    <w:adjustRightInd w:val="0"/>
                    <w:snapToGrid w:val="0"/>
                    <w:jc w:val="center"/>
                    <w:rPr>
                      <w:rFonts w:hint="default" w:ascii="宋体" w:hAnsi="宋体" w:eastAsia="宋体" w:cs="宋体"/>
                      <w:b/>
                      <w:bCs/>
                      <w:kern w:val="0"/>
                      <w:sz w:val="22"/>
                      <w:szCs w:val="22"/>
                      <w:vertAlign w:val="baseline"/>
                      <w:lang w:val="en-US" w:eastAsia="zh-CN"/>
                    </w:rPr>
                  </w:pPr>
                  <w:r>
                    <w:rPr>
                      <w:rFonts w:hint="default" w:ascii="宋体" w:hAnsi="宋体" w:eastAsia="宋体" w:cs="宋体"/>
                      <w:b/>
                      <w:bCs/>
                      <w:kern w:val="0"/>
                      <w:sz w:val="22"/>
                      <w:szCs w:val="22"/>
                      <w:vertAlign w:val="baseline"/>
                      <w:lang w:val="en-US" w:eastAsia="zh-CN"/>
                    </w:rPr>
                    <w:t>专项评价的类别</w:t>
                  </w:r>
                </w:p>
              </w:tc>
              <w:tc>
                <w:tcPr>
                  <w:tcW w:w="3570" w:type="dxa"/>
                  <w:vAlign w:val="center"/>
                </w:tcPr>
                <w:p w14:paraId="510537F4">
                  <w:pPr>
                    <w:autoSpaceDE w:val="0"/>
                    <w:autoSpaceDN w:val="0"/>
                    <w:adjustRightInd w:val="0"/>
                    <w:snapToGrid w:val="0"/>
                    <w:jc w:val="center"/>
                    <w:rPr>
                      <w:rFonts w:hint="default" w:ascii="宋体" w:hAnsi="宋体" w:eastAsia="宋体" w:cs="宋体"/>
                      <w:b/>
                      <w:bCs/>
                      <w:kern w:val="0"/>
                      <w:sz w:val="22"/>
                      <w:szCs w:val="22"/>
                      <w:vertAlign w:val="baseline"/>
                      <w:lang w:val="en-US" w:eastAsia="zh-CN"/>
                    </w:rPr>
                  </w:pPr>
                  <w:r>
                    <w:rPr>
                      <w:rFonts w:hint="default" w:ascii="宋体" w:hAnsi="宋体" w:eastAsia="宋体" w:cs="宋体"/>
                      <w:b/>
                      <w:bCs/>
                      <w:kern w:val="0"/>
                      <w:sz w:val="22"/>
                      <w:szCs w:val="22"/>
                      <w:vertAlign w:val="baseline"/>
                      <w:lang w:val="en-US" w:eastAsia="zh-CN"/>
                    </w:rPr>
                    <w:t>设置原则</w:t>
                  </w:r>
                </w:p>
              </w:tc>
              <w:tc>
                <w:tcPr>
                  <w:tcW w:w="1844" w:type="dxa"/>
                  <w:vAlign w:val="center"/>
                </w:tcPr>
                <w:p w14:paraId="4D2F1E9D">
                  <w:pPr>
                    <w:autoSpaceDE w:val="0"/>
                    <w:autoSpaceDN w:val="0"/>
                    <w:adjustRightInd w:val="0"/>
                    <w:snapToGrid w:val="0"/>
                    <w:jc w:val="center"/>
                    <w:rPr>
                      <w:rFonts w:hint="default" w:ascii="宋体" w:hAnsi="宋体" w:eastAsia="宋体" w:cs="宋体"/>
                      <w:b/>
                      <w:bCs/>
                      <w:kern w:val="0"/>
                      <w:sz w:val="22"/>
                      <w:szCs w:val="22"/>
                      <w:vertAlign w:val="baseline"/>
                      <w:lang w:val="en-US" w:eastAsia="zh-CN"/>
                    </w:rPr>
                  </w:pPr>
                  <w:r>
                    <w:rPr>
                      <w:rFonts w:hint="eastAsia" w:ascii="宋体" w:hAnsi="宋体" w:cs="宋体"/>
                      <w:b/>
                      <w:bCs/>
                      <w:kern w:val="0"/>
                      <w:sz w:val="22"/>
                      <w:szCs w:val="22"/>
                      <w:vertAlign w:val="baseline"/>
                      <w:lang w:val="en-US" w:eastAsia="zh-CN"/>
                    </w:rPr>
                    <w:t>本项目情况</w:t>
                  </w:r>
                </w:p>
              </w:tc>
            </w:tr>
            <w:tr w14:paraId="3E8A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210" w:type="dxa"/>
                  <w:vAlign w:val="center"/>
                </w:tcPr>
                <w:p w14:paraId="45674DC2">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大气</w:t>
                  </w:r>
                </w:p>
              </w:tc>
              <w:tc>
                <w:tcPr>
                  <w:tcW w:w="3570" w:type="dxa"/>
                  <w:vAlign w:val="center"/>
                </w:tcPr>
                <w:p w14:paraId="6B5FB89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排放废气含有毒有害污染物</w:t>
                  </w:r>
                  <w:r>
                    <w:rPr>
                      <w:rFonts w:hint="default" w:ascii="Times New Roman" w:hAnsi="Times New Roman" w:eastAsia="宋体" w:cs="Times New Roman"/>
                      <w:sz w:val="22"/>
                      <w:szCs w:val="22"/>
                      <w:vertAlign w:val="superscript"/>
                      <w:lang w:val="en-US" w:eastAsia="zh-CN"/>
                    </w:rPr>
                    <w:t>1</w:t>
                  </w:r>
                  <w:r>
                    <w:rPr>
                      <w:rFonts w:hint="default" w:ascii="Times New Roman" w:hAnsi="Times New Roman" w:eastAsia="宋体" w:cs="Times New Roman"/>
                      <w:sz w:val="22"/>
                      <w:szCs w:val="22"/>
                      <w:lang w:val="en-US" w:eastAsia="zh-CN"/>
                    </w:rPr>
                    <w:t>、二噁英、苯并[a]芘、氰化物、氯气且厂界外500米范围内有环境空气保护目标</w:t>
                  </w:r>
                  <w:r>
                    <w:rPr>
                      <w:rFonts w:hint="default" w:ascii="Times New Roman" w:hAnsi="Times New Roman" w:eastAsia="宋体" w:cs="Times New Roman"/>
                      <w:sz w:val="22"/>
                      <w:szCs w:val="22"/>
                      <w:vertAlign w:val="superscript"/>
                      <w:lang w:val="en-US" w:eastAsia="zh-CN"/>
                    </w:rPr>
                    <w:t>2</w:t>
                  </w:r>
                  <w:r>
                    <w:rPr>
                      <w:rFonts w:hint="default" w:ascii="Times New Roman" w:hAnsi="Times New Roman" w:eastAsia="宋体" w:cs="Times New Roman"/>
                      <w:sz w:val="22"/>
                      <w:szCs w:val="22"/>
                      <w:lang w:val="en-US" w:eastAsia="zh-CN"/>
                    </w:rPr>
                    <w:t>的建设项目</w:t>
                  </w:r>
                </w:p>
              </w:tc>
              <w:tc>
                <w:tcPr>
                  <w:tcW w:w="1844" w:type="dxa"/>
                  <w:vAlign w:val="center"/>
                </w:tcPr>
                <w:p w14:paraId="64519EC2">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废气</w:t>
                  </w:r>
                  <w:r>
                    <w:rPr>
                      <w:rFonts w:hint="eastAsia" w:ascii="Times New Roman" w:hAnsi="Times New Roman" w:eastAsia="宋体" w:cs="Times New Roman"/>
                      <w:sz w:val="22"/>
                      <w:szCs w:val="22"/>
                      <w:lang w:val="en-US" w:eastAsia="zh-CN"/>
                    </w:rPr>
                    <w:t>不涉及有</w:t>
                  </w:r>
                  <w:r>
                    <w:rPr>
                      <w:rFonts w:hint="default" w:ascii="Times New Roman" w:hAnsi="Times New Roman" w:eastAsia="宋体" w:cs="Times New Roman"/>
                      <w:sz w:val="22"/>
                      <w:szCs w:val="22"/>
                      <w:lang w:val="en-US" w:eastAsia="zh-CN"/>
                    </w:rPr>
                    <w:t>毒有害污染物、二噁英、苯并[a]芘、氰化物、氯气</w:t>
                  </w:r>
                </w:p>
              </w:tc>
            </w:tr>
            <w:tr w14:paraId="5D94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210" w:type="dxa"/>
                  <w:vAlign w:val="center"/>
                </w:tcPr>
                <w:p w14:paraId="13D0FBB5">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地表水</w:t>
                  </w:r>
                </w:p>
              </w:tc>
              <w:tc>
                <w:tcPr>
                  <w:tcW w:w="3570" w:type="dxa"/>
                  <w:vAlign w:val="center"/>
                </w:tcPr>
                <w:p w14:paraId="26E948F0">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新增工业废水直排建设项目（槽罐车外送污水处理厂的除外）；新增废水直排的污水集中处理厂</w:t>
                  </w:r>
                </w:p>
              </w:tc>
              <w:tc>
                <w:tcPr>
                  <w:tcW w:w="1844" w:type="dxa"/>
                  <w:vAlign w:val="center"/>
                </w:tcPr>
                <w:p w14:paraId="72000828">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不涉及工业废水直接排放</w:t>
                  </w:r>
                </w:p>
              </w:tc>
            </w:tr>
            <w:tr w14:paraId="31B1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210" w:type="dxa"/>
                  <w:vAlign w:val="center"/>
                </w:tcPr>
                <w:p w14:paraId="4F56FE15">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环境风险</w:t>
                  </w:r>
                </w:p>
              </w:tc>
              <w:tc>
                <w:tcPr>
                  <w:tcW w:w="3570" w:type="dxa"/>
                  <w:vAlign w:val="center"/>
                </w:tcPr>
                <w:p w14:paraId="25ABB16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有毒有害和易燃易爆危险物质存储量超过临界量</w:t>
                  </w:r>
                  <w:r>
                    <w:rPr>
                      <w:rFonts w:hint="default" w:ascii="Times New Roman" w:hAnsi="Times New Roman" w:eastAsia="宋体" w:cs="Times New Roman"/>
                      <w:sz w:val="22"/>
                      <w:szCs w:val="22"/>
                      <w:vertAlign w:val="superscript"/>
                      <w:lang w:val="en-US" w:eastAsia="zh-CN"/>
                    </w:rPr>
                    <w:t>3</w:t>
                  </w:r>
                  <w:r>
                    <w:rPr>
                      <w:rFonts w:hint="default" w:ascii="Times New Roman" w:hAnsi="Times New Roman" w:eastAsia="宋体" w:cs="Times New Roman"/>
                      <w:sz w:val="22"/>
                      <w:szCs w:val="22"/>
                      <w:lang w:val="en-US" w:eastAsia="zh-CN"/>
                    </w:rPr>
                    <w:t>的建设项目</w:t>
                  </w:r>
                </w:p>
              </w:tc>
              <w:tc>
                <w:tcPr>
                  <w:tcW w:w="1844" w:type="dxa"/>
                  <w:vAlign w:val="center"/>
                </w:tcPr>
                <w:p w14:paraId="002D0037">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危险物质存储量未超过临界量</w:t>
                  </w:r>
                </w:p>
              </w:tc>
            </w:tr>
            <w:tr w14:paraId="366F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210" w:type="dxa"/>
                  <w:vAlign w:val="center"/>
                </w:tcPr>
                <w:p w14:paraId="210ED82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生态</w:t>
                  </w:r>
                </w:p>
              </w:tc>
              <w:tc>
                <w:tcPr>
                  <w:tcW w:w="3570" w:type="dxa"/>
                  <w:vAlign w:val="center"/>
                </w:tcPr>
                <w:p w14:paraId="4880290B">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取水口下游500米范围内有重要水生生物的自然产卵场、索饵场、越冬场和洄游通道的新增河道取水的污染类建设项目</w:t>
                  </w:r>
                </w:p>
              </w:tc>
              <w:tc>
                <w:tcPr>
                  <w:tcW w:w="1844" w:type="dxa"/>
                  <w:vAlign w:val="center"/>
                </w:tcPr>
                <w:p w14:paraId="3420B31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不涉及取水口</w:t>
                  </w:r>
                </w:p>
              </w:tc>
            </w:tr>
            <w:tr w14:paraId="5C7B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210" w:type="dxa"/>
                  <w:vAlign w:val="center"/>
                </w:tcPr>
                <w:p w14:paraId="52974F42">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海洋</w:t>
                  </w:r>
                </w:p>
              </w:tc>
              <w:tc>
                <w:tcPr>
                  <w:tcW w:w="3570" w:type="dxa"/>
                  <w:vAlign w:val="center"/>
                </w:tcPr>
                <w:p w14:paraId="74C46FB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直接向海排放污染物的海洋工程建设项目</w:t>
                  </w:r>
                </w:p>
              </w:tc>
              <w:tc>
                <w:tcPr>
                  <w:tcW w:w="1844" w:type="dxa"/>
                  <w:vAlign w:val="center"/>
                </w:tcPr>
                <w:p w14:paraId="77F8C13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不涉及海洋工程</w:t>
                  </w:r>
                </w:p>
              </w:tc>
            </w:tr>
          </w:tbl>
          <w:p w14:paraId="6CECD26E">
            <w:pPr>
              <w:bidi w:val="0"/>
              <w:rPr>
                <w:b w:val="0"/>
                <w:bCs w:val="0"/>
                <w:sz w:val="21"/>
                <w:szCs w:val="21"/>
              </w:rPr>
            </w:pPr>
            <w:r>
              <w:rPr>
                <w:rFonts w:hint="eastAsia"/>
                <w:b w:val="0"/>
                <w:bCs w:val="0"/>
                <w:sz w:val="21"/>
                <w:szCs w:val="21"/>
                <w:lang w:val="en-US" w:eastAsia="zh-CN"/>
              </w:rPr>
              <w:t xml:space="preserve">注：1.废气中有毒有害污染物指纳入《有毒有害大气污染物名录》的污染物（不包括无排放标准的污染物）。 </w:t>
            </w:r>
          </w:p>
          <w:p w14:paraId="043B9CDE">
            <w:pPr>
              <w:bidi w:val="0"/>
              <w:ind w:firstLine="420" w:firstLineChars="200"/>
              <w:rPr>
                <w:b w:val="0"/>
                <w:bCs w:val="0"/>
                <w:sz w:val="21"/>
                <w:szCs w:val="21"/>
              </w:rPr>
            </w:pPr>
            <w:r>
              <w:rPr>
                <w:rFonts w:hint="eastAsia"/>
                <w:b w:val="0"/>
                <w:bCs w:val="0"/>
                <w:sz w:val="21"/>
                <w:szCs w:val="21"/>
                <w:lang w:val="en-US" w:eastAsia="zh-CN"/>
              </w:rPr>
              <w:t xml:space="preserve">2.环境空气保护目标指自然保护区、风景名胜区、居住区、文化区和农村地区中人群较集中的区域。 </w:t>
            </w:r>
          </w:p>
          <w:p w14:paraId="79831889">
            <w:pPr>
              <w:bidi w:val="0"/>
              <w:ind w:firstLine="420" w:firstLineChars="200"/>
              <w:rPr>
                <w:rFonts w:hint="default" w:ascii="宋体" w:hAnsi="宋体" w:eastAsia="宋体" w:cs="宋体"/>
                <w:kern w:val="0"/>
                <w:sz w:val="24"/>
                <w:szCs w:val="24"/>
                <w:lang w:val="en-US" w:eastAsia="zh-CN" w:bidi="ar-SA"/>
              </w:rPr>
            </w:pPr>
            <w:r>
              <w:rPr>
                <w:rFonts w:hint="eastAsia"/>
                <w:b w:val="0"/>
                <w:bCs w:val="0"/>
                <w:sz w:val="21"/>
                <w:szCs w:val="21"/>
                <w:lang w:val="en-US" w:eastAsia="zh-CN"/>
              </w:rPr>
              <w:t>3.临界量及其计算方法可参考《建设项目环境风险评价技术导则》（HJ 169）附录 B、附录 C。</w:t>
            </w:r>
          </w:p>
        </w:tc>
      </w:tr>
      <w:tr w14:paraId="40FE7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020" w:type="dxa"/>
            <w:gridSpan w:val="2"/>
            <w:noWrap w:val="0"/>
            <w:tcMar>
              <w:top w:w="57" w:type="dxa"/>
              <w:left w:w="113" w:type="dxa"/>
              <w:bottom w:w="57" w:type="dxa"/>
              <w:right w:w="113" w:type="dxa"/>
            </w:tcMar>
            <w:vAlign w:val="center"/>
          </w:tcPr>
          <w:p w14:paraId="7E76810E">
            <w:pPr>
              <w:autoSpaceDE w:val="0"/>
              <w:autoSpaceDN w:val="0"/>
              <w:adjustRightInd w:val="0"/>
              <w:snapToGrid w:val="0"/>
              <w:jc w:val="center"/>
              <w:rPr>
                <w:rFonts w:hint="eastAsia" w:ascii="宋体" w:hAnsi="宋体" w:cs="宋体"/>
                <w:kern w:val="0"/>
                <w:sz w:val="24"/>
                <w:szCs w:val="24"/>
              </w:rPr>
            </w:pPr>
            <w:r>
              <w:rPr>
                <w:rFonts w:hint="eastAsia" w:ascii="宋体" w:hAnsi="宋体" w:cs="宋体"/>
                <w:sz w:val="24"/>
                <w:szCs w:val="24"/>
              </w:rPr>
              <w:t>规划情况</w:t>
            </w:r>
          </w:p>
        </w:tc>
        <w:tc>
          <w:tcPr>
            <w:tcW w:w="6850" w:type="dxa"/>
            <w:gridSpan w:val="3"/>
            <w:noWrap w:val="0"/>
            <w:tcMar>
              <w:top w:w="57" w:type="dxa"/>
              <w:left w:w="113" w:type="dxa"/>
              <w:bottom w:w="57" w:type="dxa"/>
              <w:right w:w="113" w:type="dxa"/>
            </w:tcMar>
            <w:vAlign w:val="center"/>
          </w:tcPr>
          <w:p w14:paraId="7F9A77C1">
            <w:pPr>
              <w:adjustRightInd w:val="0"/>
              <w:snapToGrid w:val="0"/>
              <w:jc w:val="center"/>
              <w:rPr>
                <w:rFonts w:hint="eastAsia"/>
                <w:color w:val="000000"/>
                <w:kern w:val="0"/>
                <w:sz w:val="24"/>
                <w:lang w:val="en-US" w:eastAsia="zh-CN"/>
              </w:rPr>
            </w:pPr>
            <w:r>
              <w:rPr>
                <w:rFonts w:hint="eastAsia"/>
                <w:color w:val="000000"/>
                <w:kern w:val="0"/>
                <w:sz w:val="24"/>
                <w:lang w:val="en-US" w:eastAsia="zh-CN"/>
              </w:rPr>
              <w:t>安徽淮北烈山经济开发区产业发展规划（2020-2030年）</w:t>
            </w:r>
          </w:p>
        </w:tc>
      </w:tr>
      <w:tr w14:paraId="0958C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020" w:type="dxa"/>
            <w:gridSpan w:val="2"/>
            <w:noWrap w:val="0"/>
            <w:tcMar>
              <w:top w:w="57" w:type="dxa"/>
              <w:left w:w="113" w:type="dxa"/>
              <w:bottom w:w="57" w:type="dxa"/>
              <w:right w:w="113" w:type="dxa"/>
            </w:tcMar>
            <w:vAlign w:val="center"/>
          </w:tcPr>
          <w:p w14:paraId="28737272">
            <w:pPr>
              <w:adjustRightInd w:val="0"/>
              <w:snapToGrid w:val="0"/>
              <w:jc w:val="center"/>
              <w:rPr>
                <w:rFonts w:ascii="宋体" w:hAnsi="宋体" w:cs="宋体"/>
                <w:sz w:val="24"/>
                <w:szCs w:val="24"/>
              </w:rPr>
            </w:pPr>
            <w:r>
              <w:rPr>
                <w:rFonts w:hint="eastAsia" w:ascii="宋体" w:hAnsi="宋体" w:cs="宋体"/>
                <w:sz w:val="24"/>
                <w:szCs w:val="24"/>
              </w:rPr>
              <w:t>规划环境影响</w:t>
            </w:r>
          </w:p>
          <w:p w14:paraId="29E7474F">
            <w:pPr>
              <w:adjustRightInd w:val="0"/>
              <w:snapToGrid w:val="0"/>
              <w:jc w:val="center"/>
              <w:rPr>
                <w:rFonts w:hint="eastAsia" w:ascii="宋体" w:hAnsi="宋体" w:cs="宋体"/>
                <w:kern w:val="0"/>
                <w:sz w:val="24"/>
                <w:szCs w:val="24"/>
              </w:rPr>
            </w:pPr>
            <w:r>
              <w:rPr>
                <w:rFonts w:hint="eastAsia" w:ascii="宋体" w:hAnsi="宋体" w:cs="宋体"/>
                <w:sz w:val="24"/>
                <w:szCs w:val="24"/>
              </w:rPr>
              <w:t>评价情况</w:t>
            </w:r>
          </w:p>
        </w:tc>
        <w:tc>
          <w:tcPr>
            <w:tcW w:w="6850" w:type="dxa"/>
            <w:gridSpan w:val="3"/>
            <w:noWrap w:val="0"/>
            <w:tcMar>
              <w:top w:w="57" w:type="dxa"/>
              <w:left w:w="113" w:type="dxa"/>
              <w:bottom w:w="57" w:type="dxa"/>
              <w:right w:w="113" w:type="dxa"/>
            </w:tcMar>
            <w:vAlign w:val="center"/>
          </w:tcPr>
          <w:p w14:paraId="4AB91614">
            <w:pPr>
              <w:adjustRightInd w:val="0"/>
              <w:snapToGrid w:val="0"/>
              <w:spacing w:line="360" w:lineRule="auto"/>
              <w:ind w:firstLine="480" w:firstLineChars="200"/>
              <w:jc w:val="left"/>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规划环评文件：《安徽淮北烈山经济开发区产业发展规划（2020-2030年）环境影响报告书》</w:t>
            </w:r>
          </w:p>
          <w:p w14:paraId="006BA887">
            <w:pPr>
              <w:adjustRightInd w:val="0"/>
              <w:snapToGrid w:val="0"/>
              <w:spacing w:line="360" w:lineRule="auto"/>
              <w:ind w:firstLine="480" w:firstLineChars="200"/>
              <w:jc w:val="left"/>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召集审查机关：安徽省生态环境厅</w:t>
            </w:r>
          </w:p>
          <w:p w14:paraId="123C1D64">
            <w:pPr>
              <w:adjustRightInd w:val="0"/>
              <w:snapToGrid w:val="0"/>
              <w:spacing w:line="360" w:lineRule="auto"/>
              <w:ind w:firstLine="480" w:firstLineChars="200"/>
              <w:jc w:val="left"/>
              <w:rPr>
                <w:rFonts w:hint="default"/>
                <w:color w:val="000000"/>
                <w:kern w:val="0"/>
                <w:sz w:val="24"/>
                <w:lang w:val="en-US" w:eastAsia="zh-CN"/>
              </w:rPr>
            </w:pPr>
            <w:r>
              <w:rPr>
                <w:rFonts w:hint="eastAsia" w:ascii="Times New Roman" w:hAnsi="Times New Roman" w:eastAsia="宋体" w:cs="Times New Roman"/>
                <w:color w:val="000000"/>
                <w:kern w:val="0"/>
                <w:sz w:val="24"/>
                <w:lang w:val="en-US" w:eastAsia="zh-CN"/>
              </w:rPr>
              <w:t>审查文件名称：《安徽淮北烈山经济开发区产业发展规划（2020-2030年）环境影响报告书审查意见》（皖环函〔2021〕521号）</w:t>
            </w:r>
          </w:p>
        </w:tc>
      </w:tr>
      <w:tr w14:paraId="7F2B91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20" w:type="dxa"/>
            <w:gridSpan w:val="2"/>
            <w:noWrap w:val="0"/>
            <w:tcMar>
              <w:top w:w="57" w:type="dxa"/>
              <w:left w:w="113" w:type="dxa"/>
              <w:bottom w:w="57" w:type="dxa"/>
              <w:right w:w="113" w:type="dxa"/>
            </w:tcMar>
            <w:vAlign w:val="center"/>
          </w:tcPr>
          <w:p w14:paraId="4B02CEC5">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规划及规划环境影响评价符合性分析</w:t>
            </w:r>
          </w:p>
        </w:tc>
        <w:tc>
          <w:tcPr>
            <w:tcW w:w="6850" w:type="dxa"/>
            <w:gridSpan w:val="3"/>
            <w:noWrap w:val="0"/>
            <w:tcMar>
              <w:top w:w="57" w:type="dxa"/>
              <w:left w:w="113" w:type="dxa"/>
              <w:bottom w:w="57" w:type="dxa"/>
              <w:right w:w="113" w:type="dxa"/>
            </w:tcMar>
            <w:vAlign w:val="center"/>
          </w:tcPr>
          <w:p w14:paraId="6D1FD9B9">
            <w:pPr>
              <w:adjustRightInd w:val="0"/>
              <w:snapToGrid w:val="0"/>
              <w:spacing w:line="360" w:lineRule="auto"/>
              <w:jc w:val="left"/>
              <w:rPr>
                <w:rFonts w:hint="eastAsia"/>
                <w:b/>
                <w:bCs/>
                <w:color w:val="000000"/>
                <w:kern w:val="0"/>
                <w:sz w:val="24"/>
                <w:lang w:val="en-US" w:eastAsia="zh-CN"/>
              </w:rPr>
            </w:pPr>
            <w:r>
              <w:rPr>
                <w:rFonts w:hint="eastAsia"/>
                <w:b/>
                <w:bCs/>
                <w:color w:val="000000"/>
                <w:kern w:val="0"/>
                <w:sz w:val="24"/>
                <w:lang w:val="en-US" w:eastAsia="zh-CN"/>
              </w:rPr>
              <w:t>1、与《安徽淮北烈山经济开发区产业发展规划（2020-2030年）》相符性分析</w:t>
            </w:r>
          </w:p>
          <w:p w14:paraId="61095931">
            <w:pPr>
              <w:adjustRightInd w:val="0"/>
              <w:snapToGrid w:val="0"/>
              <w:spacing w:line="360" w:lineRule="auto"/>
              <w:ind w:firstLine="480" w:firstLineChars="200"/>
              <w:jc w:val="left"/>
              <w:rPr>
                <w:rFonts w:hint="default"/>
                <w:color w:val="000000"/>
                <w:kern w:val="0"/>
                <w:sz w:val="24"/>
                <w:lang w:val="en-US" w:eastAsia="zh-CN"/>
              </w:rPr>
            </w:pPr>
            <w:r>
              <w:rPr>
                <w:rFonts w:hint="default"/>
                <w:color w:val="000000"/>
                <w:kern w:val="0"/>
                <w:sz w:val="24"/>
                <w:lang w:val="en-US" w:eastAsia="zh-CN"/>
              </w:rPr>
              <w:t>根据《安徽淮北烈山经济开发区产业发展规划（2020-2030年）》</w:t>
            </w:r>
            <w:r>
              <w:rPr>
                <w:rFonts w:hint="eastAsia"/>
                <w:color w:val="000000"/>
                <w:kern w:val="0"/>
                <w:sz w:val="24"/>
                <w:lang w:val="en-US" w:eastAsia="zh-CN"/>
              </w:rPr>
              <w:t>文件</w:t>
            </w:r>
            <w:r>
              <w:rPr>
                <w:rFonts w:hint="default"/>
                <w:color w:val="000000"/>
                <w:kern w:val="0"/>
                <w:sz w:val="24"/>
                <w:lang w:val="en-US" w:eastAsia="zh-CN"/>
              </w:rPr>
              <w:t>，烈山经济开发区主导产业为电子信息、装备制造、新能源。禁止新建化学制浆造纸企业和印染、制革、化工、电镀、酿造等污染严重的小型企业，严格限制新建印染、制革、化工、电镀、酿造等大中型项目或者其他污染严重的项目。</w:t>
            </w:r>
          </w:p>
          <w:p w14:paraId="116204AA">
            <w:pPr>
              <w:adjustRightInd w:val="0"/>
              <w:snapToGrid w:val="0"/>
              <w:spacing w:line="360" w:lineRule="auto"/>
              <w:ind w:firstLine="480" w:firstLineChars="200"/>
              <w:jc w:val="left"/>
              <w:rPr>
                <w:rFonts w:hint="default"/>
                <w:color w:val="000000"/>
                <w:kern w:val="0"/>
                <w:sz w:val="24"/>
                <w:lang w:val="en-US" w:eastAsia="zh-CN"/>
              </w:rPr>
            </w:pPr>
            <w:r>
              <w:rPr>
                <w:rFonts w:hint="eastAsia"/>
                <w:color w:val="000000"/>
                <w:kern w:val="0"/>
                <w:sz w:val="24"/>
                <w:lang w:val="en-US" w:eastAsia="zh-CN"/>
              </w:rPr>
              <w:t>建设单位</w:t>
            </w:r>
            <w:r>
              <w:rPr>
                <w:rFonts w:hint="default"/>
                <w:color w:val="000000"/>
                <w:kern w:val="0"/>
                <w:sz w:val="24"/>
                <w:lang w:val="en-US" w:eastAsia="zh-CN"/>
              </w:rPr>
              <w:t>位于</w:t>
            </w:r>
            <w:r>
              <w:rPr>
                <w:rFonts w:hint="eastAsia"/>
                <w:color w:val="000000"/>
                <w:kern w:val="0"/>
                <w:sz w:val="24"/>
                <w:lang w:val="en-US" w:eastAsia="zh-CN"/>
              </w:rPr>
              <w:t>开发区内</w:t>
            </w:r>
            <w:r>
              <w:rPr>
                <w:rFonts w:hint="default"/>
                <w:color w:val="000000"/>
                <w:kern w:val="0"/>
                <w:sz w:val="24"/>
                <w:lang w:val="en-US" w:eastAsia="zh-CN"/>
              </w:rPr>
              <w:t>，</w:t>
            </w:r>
            <w:r>
              <w:rPr>
                <w:rFonts w:hint="eastAsia"/>
                <w:color w:val="000000"/>
                <w:kern w:val="0"/>
                <w:sz w:val="24"/>
                <w:lang w:val="en-US" w:eastAsia="zh-CN"/>
              </w:rPr>
              <w:t>本项目产品浓缩机、振动筛等产品主要用于矿山开采洗选等，对照《国民经济行业分类》（GB/T 4754-2017），</w:t>
            </w:r>
            <w:r>
              <w:rPr>
                <w:rFonts w:hint="default"/>
                <w:color w:val="000000"/>
                <w:kern w:val="0"/>
                <w:sz w:val="24"/>
                <w:lang w:val="en-US" w:eastAsia="zh-CN"/>
              </w:rPr>
              <w:t>属于C35</w:t>
            </w:r>
            <w:r>
              <w:rPr>
                <w:rFonts w:hint="eastAsia"/>
                <w:color w:val="000000"/>
                <w:kern w:val="0"/>
                <w:sz w:val="24"/>
                <w:lang w:val="en-US" w:eastAsia="zh-CN"/>
              </w:rPr>
              <w:t>1</w:t>
            </w:r>
            <w:r>
              <w:rPr>
                <w:rFonts w:hint="default"/>
                <w:color w:val="000000"/>
                <w:kern w:val="0"/>
                <w:sz w:val="24"/>
                <w:lang w:val="en-US" w:eastAsia="zh-CN"/>
              </w:rPr>
              <w:t>1矿山机械制造，</w:t>
            </w:r>
            <w:r>
              <w:rPr>
                <w:rFonts w:hint="eastAsia"/>
                <w:color w:val="000000"/>
                <w:kern w:val="0"/>
                <w:sz w:val="24"/>
                <w:lang w:val="en-US" w:eastAsia="zh-CN"/>
              </w:rPr>
              <w:t>是</w:t>
            </w:r>
            <w:r>
              <w:rPr>
                <w:rFonts w:hint="default"/>
                <w:color w:val="000000"/>
                <w:kern w:val="0"/>
                <w:sz w:val="24"/>
                <w:lang w:val="en-US" w:eastAsia="zh-CN"/>
              </w:rPr>
              <w:t>《安徽淮北烈山经济开发区产业发展规划（2020-2030年）》所列的</w:t>
            </w:r>
            <w:r>
              <w:rPr>
                <w:rFonts w:hint="eastAsia"/>
                <w:color w:val="000000"/>
                <w:kern w:val="0"/>
                <w:sz w:val="24"/>
                <w:lang w:val="en-US" w:eastAsia="zh-CN"/>
              </w:rPr>
              <w:t>主导产业</w:t>
            </w:r>
            <w:r>
              <w:rPr>
                <w:rFonts w:hint="default"/>
                <w:color w:val="000000"/>
                <w:kern w:val="0"/>
                <w:sz w:val="24"/>
                <w:lang w:val="en-US" w:eastAsia="zh-CN"/>
              </w:rPr>
              <w:t>。因此，本项目符合《安徽淮北烈山经济开发区产业发展规划（2020-2030年）》。</w:t>
            </w:r>
          </w:p>
          <w:p w14:paraId="2B2BE42D">
            <w:pPr>
              <w:adjustRightInd w:val="0"/>
              <w:snapToGrid w:val="0"/>
              <w:spacing w:line="360" w:lineRule="auto"/>
              <w:jc w:val="left"/>
              <w:rPr>
                <w:rFonts w:hint="default"/>
                <w:b/>
                <w:bCs/>
                <w:color w:val="000000"/>
                <w:kern w:val="0"/>
                <w:sz w:val="24"/>
                <w:lang w:val="en-US" w:eastAsia="zh-CN"/>
              </w:rPr>
            </w:pPr>
            <w:r>
              <w:rPr>
                <w:rFonts w:hint="eastAsia"/>
                <w:b/>
                <w:bCs/>
                <w:color w:val="000000"/>
                <w:kern w:val="0"/>
                <w:sz w:val="24"/>
                <w:lang w:val="en-US" w:eastAsia="zh-CN"/>
              </w:rPr>
              <w:t>2、</w:t>
            </w:r>
            <w:r>
              <w:rPr>
                <w:rFonts w:hint="default"/>
                <w:b/>
                <w:bCs/>
                <w:color w:val="000000"/>
                <w:kern w:val="0"/>
                <w:sz w:val="24"/>
                <w:lang w:val="en-US" w:eastAsia="zh-CN"/>
              </w:rPr>
              <w:t>与《安徽淮北烈山经济开发区产业发展规划（2020-2030年）环境影响报告书》及其审查意见相符性分析</w:t>
            </w:r>
          </w:p>
          <w:p w14:paraId="445CECB8">
            <w:pPr>
              <w:adjustRightInd w:val="0"/>
              <w:snapToGrid w:val="0"/>
              <w:spacing w:line="360" w:lineRule="auto"/>
              <w:ind w:firstLine="480" w:firstLineChars="200"/>
              <w:jc w:val="left"/>
              <w:rPr>
                <w:rFonts w:hint="default"/>
                <w:color w:val="000000"/>
                <w:kern w:val="0"/>
                <w:sz w:val="24"/>
                <w:lang w:val="en-US" w:eastAsia="zh-CN"/>
              </w:rPr>
            </w:pPr>
            <w:r>
              <w:rPr>
                <w:rFonts w:hint="eastAsia"/>
                <w:color w:val="000000"/>
                <w:kern w:val="0"/>
                <w:sz w:val="24"/>
                <w:lang w:val="en-US" w:eastAsia="zh-CN"/>
              </w:rPr>
              <w:t>安徽淮北烈山经济开发区管委会于2021年6月委托安徽皖欣环境科技有限公司编制了《</w:t>
            </w:r>
            <w:r>
              <w:rPr>
                <w:rFonts w:hint="default"/>
                <w:color w:val="000000"/>
                <w:kern w:val="0"/>
                <w:sz w:val="24"/>
                <w:lang w:val="en-US" w:eastAsia="zh-CN"/>
              </w:rPr>
              <w:t>安徽淮北烈山经济开发区产业发展规划（2020-2030年）环境影响报告书</w:t>
            </w:r>
            <w:r>
              <w:rPr>
                <w:rFonts w:hint="eastAsia"/>
                <w:color w:val="000000"/>
                <w:kern w:val="0"/>
                <w:sz w:val="24"/>
                <w:lang w:val="en-US" w:eastAsia="zh-CN"/>
              </w:rPr>
              <w:t>》，同年</w:t>
            </w:r>
            <w:r>
              <w:rPr>
                <w:rFonts w:hint="default"/>
                <w:color w:val="000000"/>
                <w:kern w:val="0"/>
                <w:sz w:val="24"/>
                <w:lang w:val="en-US" w:eastAsia="zh-CN"/>
              </w:rPr>
              <w:t>7月，安徽省生态环境厅</w:t>
            </w:r>
            <w:r>
              <w:rPr>
                <w:rFonts w:hint="eastAsia"/>
                <w:color w:val="000000"/>
                <w:kern w:val="0"/>
                <w:sz w:val="24"/>
                <w:lang w:val="en-US" w:eastAsia="zh-CN"/>
              </w:rPr>
              <w:t>对该报告进行了审查，出具了</w:t>
            </w:r>
            <w:r>
              <w:rPr>
                <w:rFonts w:hint="default"/>
                <w:color w:val="000000"/>
                <w:kern w:val="0"/>
                <w:sz w:val="24"/>
                <w:lang w:val="en-US" w:eastAsia="zh-CN"/>
              </w:rPr>
              <w:t>《安徽淮北烈山经济开发区产业发展规划（2020-2030年）环境影响报告书审查意见》</w:t>
            </w:r>
            <w:r>
              <w:rPr>
                <w:rFonts w:hint="eastAsia"/>
                <w:color w:val="000000"/>
                <w:kern w:val="0"/>
                <w:sz w:val="24"/>
                <w:lang w:val="en-US" w:eastAsia="zh-CN"/>
              </w:rPr>
              <w:t>（</w:t>
            </w:r>
            <w:r>
              <w:rPr>
                <w:rFonts w:hint="default"/>
                <w:color w:val="000000"/>
                <w:kern w:val="0"/>
                <w:sz w:val="24"/>
                <w:lang w:val="en-US" w:eastAsia="zh-CN"/>
              </w:rPr>
              <w:t>皖环函〔2021〕521号</w:t>
            </w:r>
            <w:r>
              <w:rPr>
                <w:rFonts w:hint="eastAsia"/>
                <w:color w:val="000000"/>
                <w:kern w:val="0"/>
                <w:sz w:val="24"/>
                <w:lang w:val="en-US" w:eastAsia="zh-CN"/>
              </w:rPr>
              <w:t>）</w:t>
            </w:r>
            <w:r>
              <w:rPr>
                <w:rFonts w:hint="default"/>
                <w:color w:val="000000"/>
                <w:kern w:val="0"/>
                <w:sz w:val="24"/>
                <w:lang w:val="en-US" w:eastAsia="zh-CN"/>
              </w:rPr>
              <w:t>的函</w:t>
            </w:r>
            <w:r>
              <w:rPr>
                <w:rFonts w:hint="eastAsia"/>
                <w:color w:val="000000"/>
                <w:kern w:val="0"/>
                <w:sz w:val="24"/>
                <w:lang w:val="en-US" w:eastAsia="zh-CN"/>
              </w:rPr>
              <w:t>。</w:t>
            </w:r>
            <w:r>
              <w:rPr>
                <w:rFonts w:hint="default"/>
                <w:color w:val="000000"/>
                <w:kern w:val="0"/>
                <w:sz w:val="24"/>
                <w:lang w:val="en-US" w:eastAsia="zh-CN"/>
              </w:rPr>
              <w:t>对照《安徽淮北烈山经济开发区产业发展规划（2020-2030年）环境影响报告书》及其审查意见，本项目与之相符性</w:t>
            </w:r>
            <w:r>
              <w:rPr>
                <w:rFonts w:hint="eastAsia"/>
                <w:color w:val="000000"/>
                <w:kern w:val="0"/>
                <w:sz w:val="24"/>
                <w:lang w:val="en-US" w:eastAsia="zh-CN"/>
              </w:rPr>
              <w:t>分析见下表。</w:t>
            </w:r>
          </w:p>
          <w:p w14:paraId="4E68241D">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color w:val="000000"/>
                <w:kern w:val="0"/>
                <w:sz w:val="24"/>
                <w:lang w:val="en-US" w:eastAsia="zh-CN"/>
              </w:rPr>
            </w:pPr>
            <w:r>
              <w:rPr>
                <w:rFonts w:hint="eastAsia" w:ascii="宋体" w:hAnsi="宋体" w:eastAsia="宋体" w:cs="宋体"/>
                <w:b/>
                <w:bCs/>
                <w:kern w:val="0"/>
                <w:sz w:val="22"/>
                <w:szCs w:val="22"/>
                <w:lang w:val="en-US" w:eastAsia="zh-CN"/>
              </w:rPr>
              <w:t>表1-</w:t>
            </w:r>
            <w:r>
              <w:rPr>
                <w:rFonts w:hint="eastAsia" w:ascii="宋体" w:hAnsi="宋体" w:cs="宋体"/>
                <w:b/>
                <w:bCs/>
                <w:kern w:val="0"/>
                <w:sz w:val="22"/>
                <w:szCs w:val="22"/>
                <w:lang w:val="en-US" w:eastAsia="zh-CN"/>
              </w:rPr>
              <w:t>1</w:t>
            </w:r>
            <w:r>
              <w:rPr>
                <w:rFonts w:hint="eastAsia" w:ascii="宋体" w:hAnsi="宋体" w:eastAsia="宋体" w:cs="宋体"/>
                <w:b/>
                <w:bCs/>
                <w:kern w:val="0"/>
                <w:sz w:val="22"/>
                <w:szCs w:val="22"/>
                <w:lang w:val="en-US" w:eastAsia="zh-CN"/>
              </w:rPr>
              <w:t xml:space="preserve">  与规划环评及其审查意见相符性分析一览表</w:t>
            </w:r>
          </w:p>
          <w:tbl>
            <w:tblPr>
              <w:tblStyle w:val="15"/>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6"/>
              <w:gridCol w:w="3576"/>
              <w:gridCol w:w="1904"/>
              <w:gridCol w:w="611"/>
            </w:tblGrid>
            <w:tr w14:paraId="47F1A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6" w:type="dxa"/>
                  <w:noWrap w:val="0"/>
                  <w:vAlign w:val="center"/>
                </w:tcPr>
                <w:p w14:paraId="724A0DAD">
                  <w:pPr>
                    <w:autoSpaceDE w:val="0"/>
                    <w:autoSpaceDN w:val="0"/>
                    <w:adjustRightInd w:val="0"/>
                    <w:snapToGrid w:val="0"/>
                    <w:spacing w:line="240" w:lineRule="auto"/>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序号</w:t>
                  </w:r>
                </w:p>
              </w:tc>
              <w:tc>
                <w:tcPr>
                  <w:tcW w:w="3578" w:type="dxa"/>
                  <w:noWrap w:val="0"/>
                  <w:vAlign w:val="center"/>
                </w:tcPr>
                <w:p w14:paraId="6333DDCB">
                  <w:pPr>
                    <w:autoSpaceDE w:val="0"/>
                    <w:autoSpaceDN w:val="0"/>
                    <w:adjustRightInd w:val="0"/>
                    <w:snapToGrid w:val="0"/>
                    <w:spacing w:line="240" w:lineRule="auto"/>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规划环评及其审查意见</w:t>
                  </w:r>
                </w:p>
              </w:tc>
              <w:tc>
                <w:tcPr>
                  <w:tcW w:w="1905" w:type="dxa"/>
                  <w:noWrap w:val="0"/>
                  <w:vAlign w:val="center"/>
                </w:tcPr>
                <w:p w14:paraId="02C51FD7">
                  <w:pPr>
                    <w:autoSpaceDE w:val="0"/>
                    <w:autoSpaceDN w:val="0"/>
                    <w:adjustRightInd w:val="0"/>
                    <w:snapToGrid w:val="0"/>
                    <w:spacing w:line="240" w:lineRule="auto"/>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本项目情况</w:t>
                  </w:r>
                </w:p>
              </w:tc>
              <w:tc>
                <w:tcPr>
                  <w:tcW w:w="611" w:type="dxa"/>
                  <w:noWrap w:val="0"/>
                  <w:vAlign w:val="center"/>
                </w:tcPr>
                <w:p w14:paraId="09F0EE30">
                  <w:pPr>
                    <w:autoSpaceDE w:val="0"/>
                    <w:autoSpaceDN w:val="0"/>
                    <w:adjustRightInd w:val="0"/>
                    <w:snapToGrid w:val="0"/>
                    <w:spacing w:line="240" w:lineRule="auto"/>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相符性</w:t>
                  </w:r>
                </w:p>
              </w:tc>
            </w:tr>
            <w:tr w14:paraId="53478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6" w:type="dxa"/>
                  <w:noWrap w:val="0"/>
                  <w:vAlign w:val="center"/>
                </w:tcPr>
                <w:p w14:paraId="24E22AA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1</w:t>
                  </w:r>
                </w:p>
              </w:tc>
              <w:tc>
                <w:tcPr>
                  <w:tcW w:w="3578" w:type="dxa"/>
                  <w:noWrap w:val="0"/>
                  <w:vAlign w:val="center"/>
                </w:tcPr>
                <w:p w14:paraId="6D8A147C">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b/>
                      <w:bCs/>
                      <w:sz w:val="22"/>
                      <w:szCs w:val="22"/>
                      <w:lang w:val="en-US" w:eastAsia="zh-CN"/>
                    </w:rPr>
                    <w:t>本轮主导产业定位研究</w:t>
                  </w:r>
                  <w:r>
                    <w:rPr>
                      <w:rFonts w:hint="eastAsia" w:ascii="Times New Roman" w:hAnsi="Times New Roman" w:eastAsia="宋体" w:cs="Times New Roman"/>
                      <w:b/>
                      <w:bCs/>
                      <w:sz w:val="22"/>
                      <w:szCs w:val="22"/>
                      <w:lang w:val="en-US" w:eastAsia="zh-CN"/>
                    </w:rPr>
                    <w:t>：</w:t>
                  </w:r>
                </w:p>
                <w:p w14:paraId="58E0CAC5">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装备制造：发展包括C33金属制品业C331结构性金属制品制造；C34通用设备制造业中的C342金属加工机械制造、C345轴承、齿轮和传动部件制造、C348通用零部件制造、C349其他通用设备制造业；C35专业设备制造业中的C351采矿、冶金、建筑专用设备制造、C358医疗仪器设备及器械制造；C38电气机械和器材制造业中的381电机制造、C382输配电及控制设备制造、C389其他电气机械和器材制造等。</w:t>
                  </w:r>
                </w:p>
              </w:tc>
              <w:tc>
                <w:tcPr>
                  <w:tcW w:w="1905" w:type="dxa"/>
                  <w:noWrap w:val="0"/>
                  <w:vAlign w:val="center"/>
                </w:tcPr>
                <w:p w14:paraId="5245611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本项目</w:t>
                  </w:r>
                  <w:r>
                    <w:rPr>
                      <w:rFonts w:hint="eastAsia" w:ascii="Times New Roman" w:hAnsi="Times New Roman" w:eastAsia="宋体" w:cs="Times New Roman"/>
                      <w:sz w:val="22"/>
                      <w:szCs w:val="22"/>
                      <w:lang w:val="en-US" w:eastAsia="zh-CN"/>
                    </w:rPr>
                    <w:t>属于</w:t>
                  </w:r>
                  <w:r>
                    <w:rPr>
                      <w:rFonts w:hint="default" w:ascii="Times New Roman" w:hAnsi="Times New Roman" w:eastAsia="宋体" w:cs="Times New Roman"/>
                      <w:sz w:val="22"/>
                      <w:szCs w:val="22"/>
                      <w:lang w:val="en-US" w:eastAsia="zh-CN"/>
                    </w:rPr>
                    <w:t>C35</w:t>
                  </w:r>
                  <w:r>
                    <w:rPr>
                      <w:rFonts w:hint="eastAsia" w:cs="Times New Roman"/>
                      <w:sz w:val="22"/>
                      <w:szCs w:val="22"/>
                      <w:lang w:val="en-US" w:eastAsia="zh-CN"/>
                    </w:rPr>
                    <w:t>1</w:t>
                  </w:r>
                  <w:r>
                    <w:rPr>
                      <w:rFonts w:hint="default" w:ascii="Times New Roman" w:hAnsi="Times New Roman" w:eastAsia="宋体" w:cs="Times New Roman"/>
                      <w:sz w:val="22"/>
                      <w:szCs w:val="22"/>
                      <w:lang w:val="en-US" w:eastAsia="zh-CN"/>
                    </w:rPr>
                    <w:t>1矿山机械制造</w:t>
                  </w:r>
                  <w:r>
                    <w:rPr>
                      <w:rFonts w:hint="eastAsia" w:ascii="Times New Roman" w:hAnsi="Times New Roman" w:eastAsia="宋体" w:cs="Times New Roman"/>
                      <w:sz w:val="22"/>
                      <w:szCs w:val="22"/>
                      <w:lang w:val="en-US" w:eastAsia="zh-CN"/>
                    </w:rPr>
                    <w:t>，是开发区主导产业。</w:t>
                  </w:r>
                </w:p>
              </w:tc>
              <w:tc>
                <w:tcPr>
                  <w:tcW w:w="611" w:type="dxa"/>
                  <w:noWrap w:val="0"/>
                  <w:vAlign w:val="center"/>
                </w:tcPr>
                <w:p w14:paraId="2F5E20D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08166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6" w:type="dxa"/>
                  <w:noWrap w:val="0"/>
                  <w:vAlign w:val="center"/>
                </w:tcPr>
                <w:p w14:paraId="71AF9745">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2</w:t>
                  </w:r>
                </w:p>
              </w:tc>
              <w:tc>
                <w:tcPr>
                  <w:tcW w:w="3578" w:type="dxa"/>
                  <w:noWrap w:val="0"/>
                  <w:vAlign w:val="center"/>
                </w:tcPr>
                <w:p w14:paraId="4CC34727">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严守环境质量底线，落实区域环境质量管控措施。应加快制定区域大气达标计划，严格执行主要污染物总量控制制度，在区域大气环境质量稳定达标前，严格限制主要大气污染物排放量大的项目入园，重点关注涉VOCs排放企业</w:t>
                  </w:r>
                </w:p>
              </w:tc>
              <w:tc>
                <w:tcPr>
                  <w:tcW w:w="1905" w:type="dxa"/>
                  <w:noWrap w:val="0"/>
                  <w:vAlign w:val="center"/>
                </w:tcPr>
                <w:p w14:paraId="35AF15F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本项目是技改而非新入园项目，不是</w:t>
                  </w:r>
                  <w:r>
                    <w:rPr>
                      <w:rFonts w:hint="default" w:ascii="Times New Roman" w:hAnsi="Times New Roman" w:eastAsia="宋体" w:cs="Times New Roman"/>
                      <w:sz w:val="22"/>
                      <w:szCs w:val="22"/>
                      <w:lang w:val="en-US" w:eastAsia="zh-CN"/>
                    </w:rPr>
                    <w:t>大气污染物排放量大的项目</w:t>
                  </w:r>
                  <w:r>
                    <w:rPr>
                      <w:rFonts w:hint="eastAsia" w:cs="Times New Roman"/>
                      <w:sz w:val="22"/>
                      <w:szCs w:val="22"/>
                      <w:lang w:val="en-US" w:eastAsia="zh-CN"/>
                    </w:rPr>
                    <w:t>，VOCs执行倍量替代。</w:t>
                  </w:r>
                </w:p>
              </w:tc>
              <w:tc>
                <w:tcPr>
                  <w:tcW w:w="611" w:type="dxa"/>
                  <w:noWrap w:val="0"/>
                  <w:vAlign w:val="center"/>
                </w:tcPr>
                <w:p w14:paraId="5C9C392B">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符合</w:t>
                  </w:r>
                </w:p>
              </w:tc>
            </w:tr>
            <w:tr w14:paraId="7E395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6" w:type="dxa"/>
                  <w:noWrap w:val="0"/>
                  <w:vAlign w:val="center"/>
                </w:tcPr>
                <w:p w14:paraId="63CD7465">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w:t>
                  </w:r>
                </w:p>
              </w:tc>
              <w:tc>
                <w:tcPr>
                  <w:tcW w:w="3578" w:type="dxa"/>
                  <w:noWrap w:val="0"/>
                  <w:vAlign w:val="center"/>
                </w:tcPr>
                <w:p w14:paraId="09473330">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现有不符合开发区发展定位、国土空间规划布局和生态环境保护要求的企业，应逐步升级改造、搬迁至合规园区或淘汰，按要求对搬迁退出地块开展场地污染调查</w:t>
                  </w:r>
                  <w:r>
                    <w:rPr>
                      <w:rFonts w:hint="eastAsia" w:ascii="Times New Roman" w:hAnsi="Times New Roman" w:eastAsia="宋体" w:cs="Times New Roman"/>
                      <w:sz w:val="22"/>
                      <w:szCs w:val="22"/>
                      <w:lang w:val="en-US" w:eastAsia="zh-CN"/>
                    </w:rPr>
                    <w:t>，</w:t>
                  </w:r>
                  <w:r>
                    <w:rPr>
                      <w:rFonts w:hint="default" w:ascii="Times New Roman" w:hAnsi="Times New Roman" w:eastAsia="宋体" w:cs="Times New Roman"/>
                      <w:sz w:val="22"/>
                      <w:szCs w:val="22"/>
                      <w:lang w:val="en-US" w:eastAsia="zh-CN"/>
                    </w:rPr>
                    <w:t>确保产业发展与区域生态环境保护、人居环境质量保障相协调</w:t>
                  </w:r>
                </w:p>
              </w:tc>
              <w:tc>
                <w:tcPr>
                  <w:tcW w:w="1905" w:type="dxa"/>
                  <w:noWrap w:val="0"/>
                  <w:vAlign w:val="center"/>
                </w:tcPr>
                <w:p w14:paraId="295F3DD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本项目</w:t>
                  </w:r>
                  <w:r>
                    <w:rPr>
                      <w:rFonts w:hint="default" w:ascii="Times New Roman" w:hAnsi="Times New Roman" w:eastAsia="宋体" w:cs="Times New Roman"/>
                      <w:sz w:val="22"/>
                      <w:szCs w:val="22"/>
                      <w:lang w:val="en-US" w:eastAsia="zh-CN"/>
                    </w:rPr>
                    <w:t>符合开发区发展定位、国土空间规划布局和生态环境保护要求</w:t>
                  </w:r>
                  <w:r>
                    <w:rPr>
                      <w:rFonts w:hint="eastAsia" w:cs="Times New Roman"/>
                      <w:sz w:val="22"/>
                      <w:szCs w:val="22"/>
                      <w:lang w:val="en-US" w:eastAsia="zh-CN"/>
                    </w:rPr>
                    <w:t>。</w:t>
                  </w:r>
                </w:p>
              </w:tc>
              <w:tc>
                <w:tcPr>
                  <w:tcW w:w="611" w:type="dxa"/>
                  <w:noWrap w:val="0"/>
                  <w:vAlign w:val="center"/>
                </w:tcPr>
                <w:p w14:paraId="265A25B8">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符合</w:t>
                  </w:r>
                </w:p>
              </w:tc>
            </w:tr>
            <w:tr w14:paraId="4ACB0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6" w:type="dxa"/>
                  <w:noWrap w:val="0"/>
                  <w:vAlign w:val="center"/>
                </w:tcPr>
                <w:p w14:paraId="5E74647B">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4</w:t>
                  </w:r>
                </w:p>
              </w:tc>
              <w:tc>
                <w:tcPr>
                  <w:tcW w:w="3578" w:type="dxa"/>
                  <w:noWrap w:val="0"/>
                  <w:vAlign w:val="center"/>
                </w:tcPr>
                <w:p w14:paraId="550762B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结合区域供水、排水和供气</w:t>
                  </w:r>
                  <w:r>
                    <w:rPr>
                      <w:rFonts w:hint="eastAsia" w:ascii="Times New Roman" w:hAnsi="Times New Roman" w:eastAsia="宋体" w:cs="Times New Roman"/>
                      <w:sz w:val="22"/>
                      <w:szCs w:val="22"/>
                      <w:lang w:val="en-US" w:eastAsia="zh-CN"/>
                    </w:rPr>
                    <w:t>（</w:t>
                  </w:r>
                  <w:r>
                    <w:rPr>
                      <w:rFonts w:hint="default" w:ascii="Times New Roman" w:hAnsi="Times New Roman" w:eastAsia="宋体" w:cs="Times New Roman"/>
                      <w:sz w:val="22"/>
                      <w:szCs w:val="22"/>
                      <w:lang w:val="en-US" w:eastAsia="zh-CN"/>
                    </w:rPr>
                    <w:t>供热</w:t>
                  </w:r>
                  <w:r>
                    <w:rPr>
                      <w:rFonts w:hint="eastAsia" w:ascii="Times New Roman" w:hAnsi="Times New Roman" w:eastAsia="宋体" w:cs="Times New Roman"/>
                      <w:sz w:val="22"/>
                      <w:szCs w:val="22"/>
                      <w:lang w:val="en-US" w:eastAsia="zh-CN"/>
                    </w:rPr>
                    <w:t>）</w:t>
                  </w:r>
                  <w:r>
                    <w:rPr>
                      <w:rFonts w:hint="default" w:ascii="Times New Roman" w:hAnsi="Times New Roman" w:eastAsia="宋体" w:cs="Times New Roman"/>
                      <w:sz w:val="22"/>
                      <w:szCs w:val="22"/>
                      <w:lang w:val="en-US" w:eastAsia="zh-CN"/>
                    </w:rPr>
                    <w:t>等规划，合理确定开发规模、强度和时序，在依托的污水处理厂未达到相应处理能力之前，严格限制污水排放量大的项目建设</w:t>
                  </w:r>
                  <w:r>
                    <w:rPr>
                      <w:rFonts w:hint="eastAsia" w:ascii="Times New Roman" w:hAnsi="Times New Roman" w:eastAsia="宋体" w:cs="Times New Roman"/>
                      <w:sz w:val="22"/>
                      <w:szCs w:val="22"/>
                      <w:lang w:val="en-US" w:eastAsia="zh-CN"/>
                    </w:rPr>
                    <w:t>，</w:t>
                  </w:r>
                  <w:r>
                    <w:rPr>
                      <w:rFonts w:hint="default" w:ascii="Times New Roman" w:hAnsi="Times New Roman" w:eastAsia="宋体" w:cs="Times New Roman"/>
                      <w:sz w:val="22"/>
                      <w:szCs w:val="22"/>
                      <w:lang w:val="en-US" w:eastAsia="zh-CN"/>
                    </w:rPr>
                    <w:t>并按计划关闭公共供水管网覆盖范围内地下水自备井，严格落实地下水开采相关管控要求</w:t>
                  </w:r>
                </w:p>
              </w:tc>
              <w:tc>
                <w:tcPr>
                  <w:tcW w:w="1905" w:type="dxa"/>
                  <w:noWrap w:val="0"/>
                  <w:vAlign w:val="center"/>
                </w:tcPr>
                <w:p w14:paraId="3D1894F7">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本项目</w:t>
                  </w:r>
                  <w:r>
                    <w:rPr>
                      <w:rFonts w:hint="default" w:ascii="Times New Roman" w:hAnsi="Times New Roman" w:eastAsia="宋体" w:cs="Times New Roman"/>
                      <w:sz w:val="22"/>
                      <w:szCs w:val="22"/>
                      <w:lang w:val="en-US" w:eastAsia="zh-CN"/>
                    </w:rPr>
                    <w:t>依托的污水处理厂</w:t>
                  </w:r>
                  <w:r>
                    <w:rPr>
                      <w:rFonts w:hint="eastAsia" w:cs="Times New Roman"/>
                      <w:sz w:val="22"/>
                      <w:szCs w:val="22"/>
                      <w:lang w:val="en-US" w:eastAsia="zh-CN"/>
                    </w:rPr>
                    <w:t>处理能力满足要求，不涉及</w:t>
                  </w:r>
                  <w:r>
                    <w:rPr>
                      <w:rFonts w:hint="default" w:ascii="Times New Roman" w:hAnsi="Times New Roman" w:eastAsia="宋体" w:cs="Times New Roman"/>
                      <w:sz w:val="22"/>
                      <w:szCs w:val="22"/>
                      <w:lang w:val="en-US" w:eastAsia="zh-CN"/>
                    </w:rPr>
                    <w:t>地下水</w:t>
                  </w:r>
                  <w:r>
                    <w:rPr>
                      <w:rFonts w:hint="eastAsia" w:cs="Times New Roman"/>
                      <w:sz w:val="22"/>
                      <w:szCs w:val="22"/>
                      <w:lang w:val="en-US" w:eastAsia="zh-CN"/>
                    </w:rPr>
                    <w:t>开采。</w:t>
                  </w:r>
                </w:p>
              </w:tc>
              <w:tc>
                <w:tcPr>
                  <w:tcW w:w="611" w:type="dxa"/>
                  <w:noWrap w:val="0"/>
                  <w:vAlign w:val="center"/>
                </w:tcPr>
                <w:p w14:paraId="0B7D3D0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符合</w:t>
                  </w:r>
                </w:p>
              </w:tc>
            </w:tr>
            <w:tr w14:paraId="36739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6" w:type="dxa"/>
                  <w:noWrap w:val="0"/>
                  <w:vAlign w:val="center"/>
                </w:tcPr>
                <w:p w14:paraId="5B69D53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5</w:t>
                  </w:r>
                </w:p>
              </w:tc>
              <w:tc>
                <w:tcPr>
                  <w:tcW w:w="3578" w:type="dxa"/>
                  <w:noWrap w:val="0"/>
                  <w:vAlign w:val="center"/>
                </w:tcPr>
                <w:p w14:paraId="0B7224B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根据国家和区域发展战略，结合区域生态环境质量现状、省市</w:t>
                  </w:r>
                  <w:r>
                    <w:rPr>
                      <w:rFonts w:hint="eastAsia" w:ascii="Times New Roman" w:hAnsi="Times New Roman" w:eastAsia="宋体" w:cs="Times New Roman"/>
                      <w:sz w:val="22"/>
                      <w:szCs w:val="22"/>
                      <w:lang w:val="en-US" w:eastAsia="zh-CN"/>
                    </w:rPr>
                    <w:t>“</w:t>
                  </w:r>
                  <w:r>
                    <w:rPr>
                      <w:rFonts w:hint="default" w:ascii="Times New Roman" w:hAnsi="Times New Roman" w:eastAsia="宋体" w:cs="Times New Roman"/>
                      <w:sz w:val="22"/>
                      <w:szCs w:val="22"/>
                      <w:lang w:val="en-US" w:eastAsia="zh-CN"/>
                    </w:rPr>
                    <w:t>三线一单</w:t>
                  </w:r>
                  <w:r>
                    <w:rPr>
                      <w:rFonts w:hint="eastAsia" w:ascii="Times New Roman" w:hAnsi="Times New Roman" w:eastAsia="宋体" w:cs="Times New Roman"/>
                      <w:sz w:val="22"/>
                      <w:szCs w:val="22"/>
                      <w:lang w:val="en-US" w:eastAsia="zh-CN"/>
                    </w:rPr>
                    <w:t>”</w:t>
                  </w:r>
                  <w:r>
                    <w:rPr>
                      <w:rFonts w:hint="default" w:ascii="Times New Roman" w:hAnsi="Times New Roman" w:eastAsia="宋体" w:cs="Times New Roman"/>
                      <w:sz w:val="22"/>
                      <w:szCs w:val="22"/>
                      <w:lang w:val="en-US" w:eastAsia="zh-CN"/>
                    </w:rPr>
                    <w:t>成果，严格落实《报告书》生态环境准入要求，禁止与规划主导产业不相关的</w:t>
                  </w:r>
                  <w:r>
                    <w:rPr>
                      <w:rFonts w:hint="eastAsia" w:ascii="Times New Roman" w:hAnsi="Times New Roman" w:eastAsia="宋体" w:cs="Times New Roman"/>
                      <w:sz w:val="22"/>
                      <w:szCs w:val="22"/>
                      <w:lang w:val="en-US" w:eastAsia="zh-CN"/>
                    </w:rPr>
                    <w:t>“两高”</w:t>
                  </w:r>
                  <w:r>
                    <w:rPr>
                      <w:rFonts w:hint="default" w:ascii="Times New Roman" w:hAnsi="Times New Roman" w:eastAsia="宋体" w:cs="Times New Roman"/>
                      <w:sz w:val="22"/>
                      <w:szCs w:val="22"/>
                      <w:lang w:val="en-US" w:eastAsia="zh-CN"/>
                    </w:rPr>
                    <w:t>项目入区，引进项目的生产工艺、设备、自动化水平，以及单位产品能耗、污染物排放等均需达到国内同行业先进水平</w:t>
                  </w:r>
                </w:p>
              </w:tc>
              <w:tc>
                <w:tcPr>
                  <w:tcW w:w="1905" w:type="dxa"/>
                  <w:noWrap w:val="0"/>
                  <w:vAlign w:val="center"/>
                </w:tcPr>
                <w:p w14:paraId="5D7F02D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本项目属于园区主导产业，不是“两高”项目。</w:t>
                  </w:r>
                </w:p>
              </w:tc>
              <w:tc>
                <w:tcPr>
                  <w:tcW w:w="611" w:type="dxa"/>
                  <w:noWrap w:val="0"/>
                  <w:vAlign w:val="center"/>
                </w:tcPr>
                <w:p w14:paraId="281FD5E5">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符合</w:t>
                  </w:r>
                </w:p>
              </w:tc>
            </w:tr>
            <w:tr w14:paraId="2D494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6" w:type="dxa"/>
                  <w:noWrap w:val="0"/>
                  <w:vAlign w:val="center"/>
                </w:tcPr>
                <w:p w14:paraId="2CEA709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6</w:t>
                  </w:r>
                </w:p>
              </w:tc>
              <w:tc>
                <w:tcPr>
                  <w:tcW w:w="3578" w:type="dxa"/>
                  <w:noWrap w:val="0"/>
                  <w:vAlign w:val="center"/>
                </w:tcPr>
                <w:p w14:paraId="673C748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完善环境监测体系，强化环境风险防控。健全区域风险防范体系，强化开发区环境监测与预警能力建设、环境风险应急与防范措施、突发环境事件响应与管理等，加强开发区内重大环境风险源的管控，定期开展环境应急演练。加强日常环境监管，落实区域环境管理要求。强化开发区环境管理队伍建设</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严格落实环境影响评价和排污许可制度，督促现有入园企业及时完成竣工环境保护设施验收。适时开展规划环境影响跟踪评价</w:t>
                  </w:r>
                </w:p>
              </w:tc>
              <w:tc>
                <w:tcPr>
                  <w:tcW w:w="1905" w:type="dxa"/>
                  <w:noWrap w:val="0"/>
                  <w:vAlign w:val="center"/>
                </w:tcPr>
                <w:p w14:paraId="63D3E027">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建设单位适时修订突发环境事件应急预案</w:t>
                  </w:r>
                  <w:r>
                    <w:rPr>
                      <w:rFonts w:hint="default" w:ascii="Times New Roman" w:hAnsi="Times New Roman" w:eastAsia="宋体" w:cs="Times New Roman"/>
                      <w:sz w:val="22"/>
                      <w:szCs w:val="22"/>
                      <w:lang w:val="en-US" w:eastAsia="zh-CN"/>
                    </w:rPr>
                    <w:t>，定期开展环境应急演练</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及时完成竣工环境保护设施验收。</w:t>
                  </w:r>
                </w:p>
              </w:tc>
              <w:tc>
                <w:tcPr>
                  <w:tcW w:w="611" w:type="dxa"/>
                  <w:noWrap w:val="0"/>
                  <w:vAlign w:val="center"/>
                </w:tcPr>
                <w:p w14:paraId="14D508F8">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符合</w:t>
                  </w:r>
                </w:p>
              </w:tc>
            </w:tr>
          </w:tbl>
          <w:p w14:paraId="171C655F">
            <w:pPr>
              <w:adjustRightInd w:val="0"/>
              <w:snapToGrid w:val="0"/>
              <w:spacing w:line="360" w:lineRule="auto"/>
              <w:jc w:val="left"/>
              <w:rPr>
                <w:rFonts w:hint="default"/>
                <w:color w:val="000000"/>
                <w:kern w:val="0"/>
                <w:sz w:val="24"/>
                <w:lang w:val="en-US" w:eastAsia="zh-CN"/>
              </w:rPr>
            </w:pPr>
          </w:p>
        </w:tc>
      </w:tr>
      <w:tr w14:paraId="3F804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73" w:type="dxa"/>
            <w:noWrap w:val="0"/>
            <w:tcMar>
              <w:top w:w="57" w:type="dxa"/>
              <w:left w:w="113" w:type="dxa"/>
              <w:bottom w:w="57" w:type="dxa"/>
              <w:right w:w="113" w:type="dxa"/>
            </w:tcMar>
            <w:vAlign w:val="center"/>
          </w:tcPr>
          <w:p w14:paraId="41ADA78E">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其他符合性分析</w:t>
            </w:r>
          </w:p>
        </w:tc>
        <w:tc>
          <w:tcPr>
            <w:tcW w:w="8297" w:type="dxa"/>
            <w:gridSpan w:val="4"/>
            <w:noWrap w:val="0"/>
            <w:tcMar>
              <w:top w:w="57" w:type="dxa"/>
              <w:left w:w="113" w:type="dxa"/>
              <w:bottom w:w="57" w:type="dxa"/>
              <w:right w:w="113" w:type="dxa"/>
            </w:tcMar>
            <w:vAlign w:val="center"/>
          </w:tcPr>
          <w:p w14:paraId="14931FCA">
            <w:pPr>
              <w:autoSpaceDE w:val="0"/>
              <w:autoSpaceDN w:val="0"/>
              <w:adjustRightInd w:val="0"/>
              <w:snapToGrid w:val="0"/>
              <w:spacing w:line="360" w:lineRule="auto"/>
              <w:jc w:val="both"/>
              <w:rPr>
                <w:rFonts w:hint="eastAsia" w:ascii="宋体" w:hAnsi="宋体" w:eastAsia="宋体" w:cs="宋体"/>
                <w:b/>
                <w:bCs/>
                <w:kern w:val="0"/>
                <w:sz w:val="28"/>
                <w:szCs w:val="28"/>
                <w:lang w:val="en-US" w:eastAsia="zh-CN"/>
              </w:rPr>
            </w:pPr>
            <w:r>
              <w:rPr>
                <w:rFonts w:hint="eastAsia" w:ascii="宋体" w:hAnsi="宋体" w:cs="宋体"/>
                <w:b/>
                <w:bCs/>
                <w:kern w:val="0"/>
                <w:sz w:val="28"/>
                <w:szCs w:val="28"/>
                <w:lang w:val="en-US" w:eastAsia="zh-CN"/>
              </w:rPr>
              <w:t>1</w:t>
            </w:r>
            <w:r>
              <w:rPr>
                <w:rFonts w:hint="eastAsia" w:ascii="宋体" w:hAnsi="宋体" w:cs="宋体"/>
                <w:b/>
                <w:bCs/>
                <w:kern w:val="0"/>
                <w:sz w:val="28"/>
                <w:szCs w:val="28"/>
              </w:rPr>
              <w:t>、产业政策相符性</w:t>
            </w:r>
            <w:r>
              <w:rPr>
                <w:rFonts w:hint="eastAsia" w:ascii="宋体" w:hAnsi="宋体" w:cs="宋体"/>
                <w:b/>
                <w:bCs/>
                <w:kern w:val="0"/>
                <w:sz w:val="28"/>
                <w:szCs w:val="28"/>
                <w:lang w:val="en-US" w:eastAsia="zh-CN"/>
              </w:rPr>
              <w:t>分析</w:t>
            </w:r>
          </w:p>
          <w:p w14:paraId="0D72208D">
            <w:pPr>
              <w:autoSpaceDE w:val="0"/>
              <w:autoSpaceDN w:val="0"/>
              <w:adjustRightInd w:val="0"/>
              <w:snapToGrid w:val="0"/>
              <w:spacing w:line="360" w:lineRule="auto"/>
              <w:ind w:firstLine="480" w:firstLineChars="200"/>
              <w:jc w:val="both"/>
              <w:rPr>
                <w:rFonts w:hint="eastAsia" w:ascii="宋体" w:hAnsi="宋体" w:cs="宋体"/>
                <w:kern w:val="0"/>
                <w:sz w:val="24"/>
                <w:szCs w:val="24"/>
              </w:rPr>
            </w:pPr>
            <w:r>
              <w:rPr>
                <w:rFonts w:hint="eastAsia"/>
                <w:color w:val="000000"/>
                <w:kern w:val="0"/>
                <w:sz w:val="24"/>
                <w:lang w:val="en-US" w:eastAsia="zh-CN"/>
              </w:rPr>
              <w:t>本项目属于《国民经济行业分类》（GB/T 4754-2017）中的</w:t>
            </w:r>
            <w:r>
              <w:rPr>
                <w:rFonts w:hint="default"/>
                <w:color w:val="000000"/>
                <w:kern w:val="0"/>
                <w:sz w:val="24"/>
                <w:lang w:val="en-US" w:eastAsia="zh-CN"/>
              </w:rPr>
              <w:t>C35</w:t>
            </w:r>
            <w:r>
              <w:rPr>
                <w:rFonts w:hint="eastAsia"/>
                <w:color w:val="000000"/>
                <w:kern w:val="0"/>
                <w:sz w:val="24"/>
                <w:lang w:val="en-US" w:eastAsia="zh-CN"/>
              </w:rPr>
              <w:t>1</w:t>
            </w:r>
            <w:r>
              <w:rPr>
                <w:rFonts w:hint="default"/>
                <w:color w:val="000000"/>
                <w:kern w:val="0"/>
                <w:sz w:val="24"/>
                <w:lang w:val="en-US" w:eastAsia="zh-CN"/>
              </w:rPr>
              <w:t>1矿山机械制造</w:t>
            </w:r>
            <w:r>
              <w:rPr>
                <w:rFonts w:hint="eastAsia"/>
                <w:color w:val="000000"/>
                <w:kern w:val="0"/>
                <w:sz w:val="24"/>
                <w:lang w:val="en-US" w:eastAsia="zh-CN"/>
              </w:rPr>
              <w:t>，对照中华人民共和国国家发展和改革委员会《产业结构调整指导目录（2024年本）》文件，本项目不属于限制类和淘汰类项目，视为允许类建设项目。本项目不属于《市场准入负面清单（2025年版）》中禁止准入类项目，本项目产品不在《环境保护综合名录（2021年版）》文件中“高污染、高环境风险”产品名录内，项目符合相关法律法规和政策规定</w:t>
            </w:r>
            <w:r>
              <w:rPr>
                <w:rFonts w:hint="eastAsia" w:ascii="宋体" w:hAnsi="宋体" w:cs="宋体"/>
                <w:kern w:val="0"/>
                <w:sz w:val="24"/>
                <w:szCs w:val="24"/>
              </w:rPr>
              <w:t>。</w:t>
            </w:r>
          </w:p>
          <w:p w14:paraId="06FACE3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对照生态环境部《关于加强高耗能、高排放建设项目生态环境源头防控的指导意见》（环环评〔2021〕45号）及《安徽省“两高”项目管理目录（试行）》（皖节能〔2022〕2号），本项目不属于“两高”项目。</w:t>
            </w:r>
          </w:p>
          <w:p w14:paraId="1858A77C">
            <w:pPr>
              <w:autoSpaceDE w:val="0"/>
              <w:autoSpaceDN w:val="0"/>
              <w:adjustRightInd w:val="0"/>
              <w:snapToGrid w:val="0"/>
              <w:spacing w:line="360" w:lineRule="auto"/>
              <w:ind w:firstLine="480" w:firstLineChars="200"/>
              <w:jc w:val="both"/>
              <w:rPr>
                <w:rFonts w:hint="eastAsia" w:ascii="宋体" w:hAnsi="宋体" w:cs="宋体"/>
                <w:kern w:val="0"/>
                <w:sz w:val="24"/>
                <w:szCs w:val="24"/>
                <w:lang w:eastAsia="zh-CN"/>
              </w:rPr>
            </w:pPr>
            <w:r>
              <w:rPr>
                <w:rFonts w:hint="eastAsia"/>
                <w:color w:val="000000"/>
                <w:kern w:val="0"/>
                <w:sz w:val="24"/>
                <w:lang w:val="en-US" w:eastAsia="zh-CN"/>
              </w:rPr>
              <w:t>因此，本项目的建设符合国家和安徽省的相关产业政策</w:t>
            </w:r>
            <w:r>
              <w:rPr>
                <w:rFonts w:hint="eastAsia" w:ascii="宋体" w:hAnsi="宋体" w:cs="宋体"/>
                <w:kern w:val="0"/>
                <w:sz w:val="24"/>
                <w:szCs w:val="24"/>
                <w:lang w:eastAsia="zh-CN"/>
              </w:rPr>
              <w:t>。</w:t>
            </w:r>
          </w:p>
          <w:p w14:paraId="2AC5D5C2">
            <w:pPr>
              <w:autoSpaceDE w:val="0"/>
              <w:autoSpaceDN w:val="0"/>
              <w:adjustRightInd w:val="0"/>
              <w:snapToGrid w:val="0"/>
              <w:spacing w:line="360" w:lineRule="auto"/>
              <w:jc w:val="both"/>
              <w:rPr>
                <w:rFonts w:hint="eastAsia" w:ascii="宋体" w:hAnsi="宋体" w:cs="宋体"/>
                <w:b/>
                <w:bCs/>
                <w:kern w:val="0"/>
                <w:sz w:val="28"/>
                <w:szCs w:val="28"/>
              </w:rPr>
            </w:pPr>
            <w:r>
              <w:rPr>
                <w:rFonts w:hint="eastAsia" w:ascii="宋体" w:hAnsi="宋体" w:cs="宋体"/>
                <w:b/>
                <w:bCs/>
                <w:kern w:val="0"/>
                <w:sz w:val="28"/>
                <w:szCs w:val="28"/>
                <w:lang w:val="en-US" w:eastAsia="zh-CN"/>
              </w:rPr>
              <w:t>2</w:t>
            </w:r>
            <w:r>
              <w:rPr>
                <w:rFonts w:hint="eastAsia" w:ascii="宋体" w:hAnsi="宋体" w:cs="宋体"/>
                <w:b/>
                <w:bCs/>
                <w:kern w:val="0"/>
                <w:sz w:val="28"/>
                <w:szCs w:val="28"/>
              </w:rPr>
              <w:t>、选址可行性分析</w:t>
            </w:r>
          </w:p>
          <w:p w14:paraId="22833A71">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（1）选址合理性</w:t>
            </w:r>
          </w:p>
          <w:p w14:paraId="4F76E0CC">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本项目位于淮北市烈山经济开发区内，根据</w:t>
            </w:r>
            <w:r>
              <w:rPr>
                <w:rFonts w:hint="default"/>
                <w:color w:val="000000"/>
                <w:kern w:val="0"/>
                <w:sz w:val="24"/>
                <w:lang w:val="en-US" w:eastAsia="zh-CN"/>
              </w:rPr>
              <w:t>《安徽淮北烈山经济开发区产业发展规划（2020-2030年）》</w:t>
            </w:r>
            <w:r>
              <w:rPr>
                <w:rFonts w:hint="eastAsia"/>
                <w:color w:val="000000"/>
                <w:kern w:val="0"/>
                <w:sz w:val="24"/>
                <w:lang w:val="en-US" w:eastAsia="zh-CN"/>
              </w:rPr>
              <w:t>及建设单位提供的土地使用证（详见附件3），本项目所在位置为工业用地，且本项目已取得烈山管委会的备案（详见附件2）。</w:t>
            </w:r>
          </w:p>
          <w:p w14:paraId="0A84EED7">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因此，项目选址符合当地土地利用规划要求。</w:t>
            </w:r>
          </w:p>
          <w:p w14:paraId="3020CB41">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（2）与周边环境相容性</w:t>
            </w:r>
          </w:p>
          <w:p w14:paraId="35982AAC">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项目位于淮北市烈山区经济开发区内，排放的污染物主要为生产过程中产生的颗粒物和有机废气。项目周边500m范围内无自然保护区、风景旅游点和文物古迹等需要特殊保护的环境敏感对象，项目区周围无制约本项目发展因素，本项目能够与周边环境相容。</w:t>
            </w:r>
          </w:p>
          <w:p w14:paraId="526C2D99">
            <w:pPr>
              <w:autoSpaceDE w:val="0"/>
              <w:autoSpaceDN w:val="0"/>
              <w:adjustRightInd w:val="0"/>
              <w:snapToGrid w:val="0"/>
              <w:spacing w:line="360" w:lineRule="auto"/>
              <w:ind w:firstLine="480" w:firstLineChars="200"/>
              <w:jc w:val="both"/>
              <w:rPr>
                <w:rFonts w:hint="eastAsia" w:ascii="宋体" w:hAnsi="宋体" w:cs="宋体"/>
                <w:kern w:val="0"/>
                <w:sz w:val="24"/>
                <w:szCs w:val="24"/>
                <w:lang w:eastAsia="zh-CN"/>
              </w:rPr>
            </w:pPr>
            <w:r>
              <w:rPr>
                <w:rFonts w:hint="eastAsia"/>
                <w:color w:val="000000"/>
                <w:kern w:val="0"/>
                <w:sz w:val="24"/>
                <w:lang w:val="en-US" w:eastAsia="zh-CN"/>
              </w:rPr>
              <w:t>综上所述，本项目位置可以与周边环境相容，选址可行</w:t>
            </w:r>
            <w:r>
              <w:rPr>
                <w:rFonts w:hint="eastAsia" w:ascii="宋体" w:hAnsi="宋体" w:cs="宋体"/>
                <w:kern w:val="0"/>
                <w:sz w:val="24"/>
                <w:szCs w:val="24"/>
              </w:rPr>
              <w:t>。</w:t>
            </w:r>
          </w:p>
          <w:p w14:paraId="38BFEF67">
            <w:pPr>
              <w:autoSpaceDE w:val="0"/>
              <w:autoSpaceDN w:val="0"/>
              <w:adjustRightInd w:val="0"/>
              <w:snapToGrid w:val="0"/>
              <w:spacing w:line="360" w:lineRule="auto"/>
              <w:jc w:val="both"/>
              <w:rPr>
                <w:rFonts w:hint="eastAsia" w:ascii="宋体" w:hAnsi="宋体" w:cs="宋体"/>
                <w:b/>
                <w:bCs/>
                <w:kern w:val="0"/>
                <w:sz w:val="28"/>
                <w:szCs w:val="28"/>
              </w:rPr>
            </w:pPr>
            <w:r>
              <w:rPr>
                <w:rFonts w:hint="eastAsia" w:ascii="宋体" w:hAnsi="宋体" w:cs="宋体"/>
                <w:b/>
                <w:bCs/>
                <w:kern w:val="0"/>
                <w:sz w:val="28"/>
                <w:szCs w:val="28"/>
                <w:lang w:val="en-US" w:eastAsia="zh-CN"/>
              </w:rPr>
              <w:t>3</w:t>
            </w:r>
            <w:r>
              <w:rPr>
                <w:rFonts w:hint="eastAsia" w:ascii="宋体" w:hAnsi="宋体" w:cs="宋体"/>
                <w:b/>
                <w:bCs/>
                <w:kern w:val="0"/>
                <w:sz w:val="28"/>
                <w:szCs w:val="28"/>
              </w:rPr>
              <w:t>、与</w:t>
            </w:r>
            <w:r>
              <w:rPr>
                <w:rFonts w:hint="eastAsia" w:ascii="宋体" w:hAnsi="宋体" w:cs="宋体"/>
                <w:b/>
                <w:bCs/>
                <w:kern w:val="0"/>
                <w:sz w:val="28"/>
                <w:szCs w:val="28"/>
                <w:lang w:eastAsia="zh-CN"/>
              </w:rPr>
              <w:t>“</w:t>
            </w:r>
            <w:r>
              <w:rPr>
                <w:rFonts w:hint="eastAsia" w:ascii="宋体" w:hAnsi="宋体" w:cs="宋体"/>
                <w:b/>
                <w:bCs/>
                <w:kern w:val="0"/>
                <w:sz w:val="28"/>
                <w:szCs w:val="28"/>
              </w:rPr>
              <w:t>三线一单”及生态环境分区管控要求对照分析</w:t>
            </w:r>
          </w:p>
          <w:p w14:paraId="1A87E5C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2020年6月29日，安徽省人民政府发布了《关于加快实施“三线一单”生态环境分区管控的通知》（皖政秘〔2020〕124号），2022年1月10日，安徽省生态环境厅发布了《安徽省“三线一单”生态环境分区管控管理办法（暂行）》（皖环发〔2022〕5号）文件，文件要求“在建设项目环评中，做好与“三线一单”生态环境分区管控相符性分析，充分论证是否符合生态环境准入清单要求，对不符合的依法不予审批”。2024年7月6日生态环境部发布了《关于印发〈生态环境分区管控管理暂行规定〉的通知》（环环评〔2024〕41号）文件，文件要求“建设项目开展环评工作初期，应分析与生态环境分区管控要求的符合性，对不满足要求的，应进一步论证其生态环境可行性，优化调整项目建设内容或重新选址”。</w:t>
            </w:r>
          </w:p>
          <w:p w14:paraId="6CC841B8">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本项目与“三线一单”及生态环境分区管控要求的符合性分析如下。</w:t>
            </w:r>
          </w:p>
          <w:p w14:paraId="4AC32393">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color w:val="000000"/>
                <w:kern w:val="0"/>
                <w:sz w:val="24"/>
                <w:lang w:val="en-US" w:eastAsia="zh-CN"/>
              </w:rPr>
            </w:pPr>
            <w:r>
              <w:rPr>
                <w:rFonts w:hint="eastAsia" w:ascii="宋体" w:hAnsi="宋体" w:eastAsia="宋体" w:cs="宋体"/>
                <w:b/>
                <w:bCs/>
                <w:kern w:val="0"/>
                <w:sz w:val="22"/>
                <w:szCs w:val="22"/>
                <w:lang w:val="en-US" w:eastAsia="zh-CN"/>
              </w:rPr>
              <w:t>表1-</w:t>
            </w:r>
            <w:r>
              <w:rPr>
                <w:rFonts w:hint="eastAsia" w:ascii="宋体" w:hAnsi="宋体" w:cs="宋体"/>
                <w:b/>
                <w:bCs/>
                <w:kern w:val="0"/>
                <w:sz w:val="22"/>
                <w:szCs w:val="22"/>
                <w:lang w:val="en-US" w:eastAsia="zh-CN"/>
              </w:rPr>
              <w:t>2</w:t>
            </w:r>
            <w:r>
              <w:rPr>
                <w:rFonts w:hint="eastAsia" w:ascii="宋体" w:hAnsi="宋体" w:eastAsia="宋体" w:cs="宋体"/>
                <w:b/>
                <w:bCs/>
                <w:kern w:val="0"/>
                <w:sz w:val="22"/>
                <w:szCs w:val="22"/>
                <w:lang w:val="en-US" w:eastAsia="zh-CN"/>
              </w:rPr>
              <w:t xml:space="preserve">  与“三线一单”及生态环境分区管控要求相符性分析一览表</w:t>
            </w:r>
          </w:p>
          <w:tbl>
            <w:tblPr>
              <w:tblStyle w:val="15"/>
              <w:tblW w:w="816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489"/>
              <w:gridCol w:w="660"/>
              <w:gridCol w:w="5016"/>
              <w:gridCol w:w="1524"/>
              <w:gridCol w:w="474"/>
            </w:tblGrid>
            <w:tr w14:paraId="73C32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6165" w:type="dxa"/>
                  <w:gridSpan w:val="3"/>
                  <w:noWrap w:val="0"/>
                  <w:vAlign w:val="center"/>
                </w:tcPr>
                <w:p w14:paraId="1F11658F">
                  <w:pPr>
                    <w:autoSpaceDE w:val="0"/>
                    <w:autoSpaceDN w:val="0"/>
                    <w:adjustRightInd w:val="0"/>
                    <w:snapToGrid w:val="0"/>
                    <w:spacing w:line="240" w:lineRule="auto"/>
                    <w:jc w:val="center"/>
                    <w:rPr>
                      <w:rFonts w:hint="default" w:ascii="Times New Roman" w:hAnsi="Times New Roman" w:eastAsia="宋体" w:cs="Times New Roman"/>
                      <w:b/>
                      <w:bCs/>
                      <w:sz w:val="22"/>
                      <w:szCs w:val="22"/>
                      <w:lang w:val="en-US" w:eastAsia="zh-CN"/>
                    </w:rPr>
                  </w:pPr>
                  <w:r>
                    <w:rPr>
                      <w:rFonts w:hint="eastAsia" w:ascii="Times New Roman" w:hAnsi="Times New Roman" w:eastAsia="宋体" w:cs="Times New Roman"/>
                      <w:b/>
                      <w:bCs/>
                      <w:sz w:val="22"/>
                      <w:szCs w:val="22"/>
                      <w:lang w:val="en-US" w:eastAsia="zh-CN"/>
                    </w:rPr>
                    <w:t>政策内容</w:t>
                  </w:r>
                </w:p>
              </w:tc>
              <w:tc>
                <w:tcPr>
                  <w:tcW w:w="1524" w:type="dxa"/>
                  <w:noWrap w:val="0"/>
                  <w:vAlign w:val="center"/>
                </w:tcPr>
                <w:p w14:paraId="3613DAEA">
                  <w:pPr>
                    <w:autoSpaceDE w:val="0"/>
                    <w:autoSpaceDN w:val="0"/>
                    <w:adjustRightInd w:val="0"/>
                    <w:snapToGrid w:val="0"/>
                    <w:spacing w:line="240" w:lineRule="auto"/>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本项目情况</w:t>
                  </w:r>
                </w:p>
              </w:tc>
              <w:tc>
                <w:tcPr>
                  <w:tcW w:w="474" w:type="dxa"/>
                  <w:noWrap w:val="0"/>
                  <w:vAlign w:val="center"/>
                </w:tcPr>
                <w:p w14:paraId="39793303">
                  <w:pPr>
                    <w:autoSpaceDE w:val="0"/>
                    <w:autoSpaceDN w:val="0"/>
                    <w:adjustRightInd w:val="0"/>
                    <w:snapToGrid w:val="0"/>
                    <w:spacing w:line="240" w:lineRule="auto"/>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相符性</w:t>
                  </w:r>
                </w:p>
              </w:tc>
            </w:tr>
            <w:tr w14:paraId="18698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restart"/>
                  <w:noWrap w:val="0"/>
                  <w:vAlign w:val="center"/>
                </w:tcPr>
                <w:p w14:paraId="3AAC7F12">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三线一单</w:t>
                  </w:r>
                </w:p>
              </w:tc>
              <w:tc>
                <w:tcPr>
                  <w:tcW w:w="660" w:type="dxa"/>
                  <w:noWrap w:val="0"/>
                  <w:vAlign w:val="center"/>
                </w:tcPr>
                <w:p w14:paraId="5F93D03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生态保护红线</w:t>
                  </w:r>
                </w:p>
              </w:tc>
              <w:tc>
                <w:tcPr>
                  <w:tcW w:w="5016" w:type="dxa"/>
                  <w:noWrap w:val="0"/>
                  <w:vAlign w:val="center"/>
                </w:tcPr>
                <w:p w14:paraId="5E02340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淮北市生态保护红线区面积为33.89km</w:t>
                  </w:r>
                  <w:r>
                    <w:rPr>
                      <w:rFonts w:hint="default" w:ascii="Times New Roman" w:hAnsi="Times New Roman" w:eastAsia="宋体" w:cs="Times New Roman"/>
                      <w:sz w:val="22"/>
                      <w:szCs w:val="22"/>
                      <w:vertAlign w:val="superscript"/>
                      <w:lang w:val="en-US" w:eastAsia="zh-CN"/>
                    </w:rPr>
                    <w:t>2</w:t>
                  </w:r>
                  <w:r>
                    <w:rPr>
                      <w:rFonts w:hint="eastAsia" w:ascii="Times New Roman" w:hAnsi="Times New Roman" w:eastAsia="宋体" w:cs="Times New Roman"/>
                      <w:sz w:val="22"/>
                      <w:szCs w:val="22"/>
                      <w:lang w:val="en-US" w:eastAsia="zh-CN"/>
                    </w:rPr>
                    <w:t>，其中烈山区</w:t>
                  </w:r>
                  <w:r>
                    <w:rPr>
                      <w:rFonts w:hint="default" w:ascii="Times New Roman" w:hAnsi="Times New Roman" w:eastAsia="宋体" w:cs="Times New Roman"/>
                      <w:sz w:val="22"/>
                      <w:szCs w:val="22"/>
                      <w:lang w:val="en-US" w:eastAsia="zh-CN"/>
                    </w:rPr>
                    <w:t>生态保护红线区面积为</w:t>
                  </w:r>
                  <w:r>
                    <w:rPr>
                      <w:rFonts w:hint="eastAsia" w:ascii="Times New Roman" w:hAnsi="Times New Roman" w:eastAsia="宋体" w:cs="Times New Roman"/>
                      <w:sz w:val="22"/>
                      <w:szCs w:val="22"/>
                      <w:lang w:val="en-US" w:eastAsia="zh-CN"/>
                    </w:rPr>
                    <w:t>13.21</w:t>
                  </w:r>
                  <w:r>
                    <w:rPr>
                      <w:rFonts w:hint="default" w:ascii="Times New Roman" w:hAnsi="Times New Roman" w:eastAsia="宋体" w:cs="Times New Roman"/>
                      <w:sz w:val="22"/>
                      <w:szCs w:val="22"/>
                      <w:lang w:val="en-US" w:eastAsia="zh-CN"/>
                    </w:rPr>
                    <w:t>km</w:t>
                  </w:r>
                  <w:r>
                    <w:rPr>
                      <w:rFonts w:hint="default" w:ascii="Times New Roman" w:hAnsi="Times New Roman" w:eastAsia="宋体" w:cs="Times New Roman"/>
                      <w:sz w:val="22"/>
                      <w:szCs w:val="22"/>
                      <w:vertAlign w:val="superscript"/>
                      <w:lang w:val="en-US" w:eastAsia="zh-CN"/>
                    </w:rPr>
                    <w:t>2</w:t>
                  </w:r>
                  <w:r>
                    <w:rPr>
                      <w:rFonts w:hint="eastAsia" w:ascii="Times New Roman" w:hAnsi="Times New Roman" w:eastAsia="宋体" w:cs="Times New Roman"/>
                      <w:sz w:val="22"/>
                      <w:szCs w:val="22"/>
                      <w:lang w:val="en-US" w:eastAsia="zh-CN"/>
                    </w:rPr>
                    <w:t>。</w:t>
                  </w:r>
                </w:p>
              </w:tc>
              <w:tc>
                <w:tcPr>
                  <w:tcW w:w="1524" w:type="dxa"/>
                  <w:noWrap w:val="0"/>
                  <w:vAlign w:val="center"/>
                </w:tcPr>
                <w:p w14:paraId="48DA1042">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不涉及</w:t>
                  </w:r>
                </w:p>
              </w:tc>
              <w:tc>
                <w:tcPr>
                  <w:tcW w:w="474" w:type="dxa"/>
                  <w:noWrap w:val="0"/>
                  <w:vAlign w:val="center"/>
                </w:tcPr>
                <w:p w14:paraId="45C3802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732DF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2573657F">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restart"/>
                  <w:noWrap w:val="0"/>
                  <w:vAlign w:val="center"/>
                </w:tcPr>
                <w:p w14:paraId="35A549F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环境质量底线</w:t>
                  </w:r>
                </w:p>
              </w:tc>
              <w:tc>
                <w:tcPr>
                  <w:tcW w:w="5016" w:type="dxa"/>
                  <w:noWrap w:val="0"/>
                  <w:vAlign w:val="center"/>
                </w:tcPr>
                <w:p w14:paraId="6C82FBB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大气环境质量底线</w:t>
                  </w:r>
                  <w:r>
                    <w:rPr>
                      <w:rFonts w:hint="eastAsia" w:ascii="Times New Roman" w:hAnsi="Times New Roman" w:eastAsia="宋体" w:cs="Times New Roman"/>
                      <w:sz w:val="22"/>
                      <w:szCs w:val="22"/>
                      <w:lang w:val="en-US" w:eastAsia="zh-CN"/>
                    </w:rPr>
                    <w:t>：淮北市、杜集区、烈山区、濉溪县、相山区2025年PM</w:t>
                  </w:r>
                  <w:r>
                    <w:rPr>
                      <w:rFonts w:hint="eastAsia" w:ascii="Times New Roman" w:hAnsi="Times New Roman" w:eastAsia="宋体" w:cs="Times New Roman"/>
                      <w:sz w:val="22"/>
                      <w:szCs w:val="22"/>
                      <w:vertAlign w:val="subscript"/>
                      <w:lang w:val="en-US" w:eastAsia="zh-CN"/>
                    </w:rPr>
                    <w:t>2.5</w:t>
                  </w:r>
                  <w:r>
                    <w:rPr>
                      <w:rFonts w:hint="eastAsia" w:ascii="Times New Roman" w:hAnsi="Times New Roman" w:eastAsia="宋体" w:cs="Times New Roman"/>
                      <w:sz w:val="22"/>
                      <w:szCs w:val="22"/>
                      <w:lang w:val="en-US" w:eastAsia="zh-CN"/>
                    </w:rPr>
                    <w:t>年均浓度≤39（μg/m</w:t>
                  </w:r>
                  <w:r>
                    <w:rPr>
                      <w:rFonts w:hint="eastAsia" w:ascii="Times New Roman" w:hAnsi="Times New Roman" w:eastAsia="宋体" w:cs="Times New Roman"/>
                      <w:sz w:val="22"/>
                      <w:szCs w:val="22"/>
                      <w:vertAlign w:val="superscript"/>
                      <w:lang w:val="en-US" w:eastAsia="zh-CN"/>
                    </w:rPr>
                    <w:t>3</w:t>
                  </w:r>
                  <w:r>
                    <w:rPr>
                      <w:rFonts w:hint="eastAsia" w:ascii="Times New Roman" w:hAnsi="Times New Roman" w:eastAsia="宋体" w:cs="Times New Roman"/>
                      <w:sz w:val="22"/>
                      <w:szCs w:val="22"/>
                      <w:lang w:val="en-US" w:eastAsia="zh-CN"/>
                    </w:rPr>
                    <w:t>），2035年PM</w:t>
                  </w:r>
                  <w:r>
                    <w:rPr>
                      <w:rFonts w:hint="eastAsia" w:ascii="Times New Roman" w:hAnsi="Times New Roman" w:eastAsia="宋体" w:cs="Times New Roman"/>
                      <w:sz w:val="22"/>
                      <w:szCs w:val="22"/>
                      <w:vertAlign w:val="subscript"/>
                      <w:lang w:val="en-US" w:eastAsia="zh-CN"/>
                    </w:rPr>
                    <w:t>2.5</w:t>
                  </w:r>
                  <w:r>
                    <w:rPr>
                      <w:rFonts w:hint="eastAsia" w:ascii="Times New Roman" w:hAnsi="Times New Roman" w:eastAsia="宋体" w:cs="Times New Roman"/>
                      <w:sz w:val="22"/>
                      <w:szCs w:val="22"/>
                      <w:lang w:val="en-US" w:eastAsia="zh-CN"/>
                    </w:rPr>
                    <w:t>年均浓度≤35（μg/m</w:t>
                  </w:r>
                  <w:r>
                    <w:rPr>
                      <w:rFonts w:hint="eastAsia" w:ascii="Times New Roman" w:hAnsi="Times New Roman" w:eastAsia="宋体" w:cs="Times New Roman"/>
                      <w:sz w:val="22"/>
                      <w:szCs w:val="22"/>
                      <w:vertAlign w:val="superscript"/>
                      <w:lang w:val="en-US" w:eastAsia="zh-CN"/>
                    </w:rPr>
                    <w:t>3</w:t>
                  </w:r>
                  <w:r>
                    <w:rPr>
                      <w:rFonts w:hint="eastAsia" w:ascii="Times New Roman" w:hAnsi="Times New Roman" w:eastAsia="宋体" w:cs="Times New Roman"/>
                      <w:sz w:val="22"/>
                      <w:szCs w:val="22"/>
                      <w:lang w:val="en-US" w:eastAsia="zh-CN"/>
                    </w:rPr>
                    <w:t>）</w:t>
                  </w:r>
                </w:p>
              </w:tc>
              <w:tc>
                <w:tcPr>
                  <w:tcW w:w="1524" w:type="dxa"/>
                  <w:noWrap w:val="0"/>
                  <w:vAlign w:val="center"/>
                </w:tcPr>
                <w:p w14:paraId="27BAA90C">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本项目排放大气污染物均可达标排放，</w:t>
                  </w:r>
                  <w:r>
                    <w:rPr>
                      <w:rFonts w:hint="eastAsia" w:ascii="Times New Roman" w:hAnsi="Times New Roman" w:eastAsia="宋体" w:cs="Times New Roman"/>
                      <w:sz w:val="22"/>
                      <w:szCs w:val="22"/>
                      <w:lang w:val="en-US" w:eastAsia="zh-CN"/>
                    </w:rPr>
                    <w:t>排放总量执行倍量替代</w:t>
                  </w:r>
                  <w:r>
                    <w:rPr>
                      <w:rFonts w:hint="default" w:ascii="Times New Roman" w:hAnsi="Times New Roman" w:eastAsia="宋体" w:cs="Times New Roman"/>
                      <w:sz w:val="22"/>
                      <w:szCs w:val="22"/>
                      <w:lang w:val="en-US" w:eastAsia="zh-CN"/>
                    </w:rPr>
                    <w:t>，不会</w:t>
                  </w:r>
                  <w:r>
                    <w:rPr>
                      <w:rFonts w:hint="eastAsia" w:ascii="Times New Roman" w:hAnsi="Times New Roman" w:eastAsia="宋体" w:cs="Times New Roman"/>
                      <w:sz w:val="22"/>
                      <w:szCs w:val="22"/>
                      <w:lang w:val="en-US" w:eastAsia="zh-CN"/>
                    </w:rPr>
                    <w:t>影响</w:t>
                  </w:r>
                  <w:r>
                    <w:rPr>
                      <w:rFonts w:hint="default" w:ascii="Times New Roman" w:hAnsi="Times New Roman" w:eastAsia="宋体" w:cs="Times New Roman"/>
                      <w:sz w:val="22"/>
                      <w:szCs w:val="22"/>
                      <w:lang w:val="en-US" w:eastAsia="zh-CN"/>
                    </w:rPr>
                    <w:t>大气环境质量底线</w:t>
                  </w:r>
                  <w:r>
                    <w:rPr>
                      <w:rFonts w:hint="eastAsia" w:ascii="Times New Roman" w:hAnsi="Times New Roman" w:eastAsia="宋体" w:cs="Times New Roman"/>
                      <w:sz w:val="22"/>
                      <w:szCs w:val="22"/>
                      <w:lang w:val="en-US" w:eastAsia="zh-CN"/>
                    </w:rPr>
                    <w:t>目标</w:t>
                  </w:r>
                  <w:r>
                    <w:rPr>
                      <w:rFonts w:hint="default" w:ascii="Times New Roman" w:hAnsi="Times New Roman" w:eastAsia="宋体" w:cs="Times New Roman"/>
                      <w:sz w:val="22"/>
                      <w:szCs w:val="22"/>
                      <w:lang w:val="en-US" w:eastAsia="zh-CN"/>
                    </w:rPr>
                    <w:t>。</w:t>
                  </w:r>
                </w:p>
              </w:tc>
              <w:tc>
                <w:tcPr>
                  <w:tcW w:w="474" w:type="dxa"/>
                  <w:noWrap w:val="0"/>
                  <w:vAlign w:val="center"/>
                </w:tcPr>
                <w:p w14:paraId="71D46DD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100DA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06747B3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79E489A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5016" w:type="dxa"/>
                  <w:noWrap w:val="0"/>
                  <w:vAlign w:val="center"/>
                </w:tcPr>
                <w:p w14:paraId="6AD3CED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水环境质量底线</w:t>
                  </w:r>
                  <w:r>
                    <w:rPr>
                      <w:rFonts w:hint="eastAsia" w:ascii="Times New Roman" w:hAnsi="Times New Roman" w:eastAsia="宋体" w:cs="Times New Roman"/>
                      <w:sz w:val="22"/>
                      <w:szCs w:val="22"/>
                      <w:lang w:val="en-US" w:eastAsia="zh-CN"/>
                    </w:rPr>
                    <w:t>：共有4个国控断面，其中李大桥闸、符离闸、后常桥3个断面2025年水质目标为Ⅲ，东坪集断面2025年水质目标为Ⅳ。</w:t>
                  </w:r>
                </w:p>
              </w:tc>
              <w:tc>
                <w:tcPr>
                  <w:tcW w:w="1524" w:type="dxa"/>
                  <w:noWrap w:val="0"/>
                  <w:vAlign w:val="center"/>
                </w:tcPr>
                <w:p w14:paraId="53A69007">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本项目废水通过预处理后排入淮北经济开发区新区污水处理厂进行深度处理，最后达标排放至新濉河，不会</w:t>
                  </w:r>
                  <w:r>
                    <w:rPr>
                      <w:rFonts w:hint="eastAsia" w:ascii="Times New Roman" w:hAnsi="Times New Roman" w:eastAsia="宋体" w:cs="Times New Roman"/>
                      <w:sz w:val="22"/>
                      <w:szCs w:val="22"/>
                      <w:lang w:val="en-US" w:eastAsia="zh-CN"/>
                    </w:rPr>
                    <w:t>影响</w:t>
                  </w:r>
                  <w:r>
                    <w:rPr>
                      <w:rFonts w:hint="default" w:ascii="Times New Roman" w:hAnsi="Times New Roman" w:eastAsia="宋体" w:cs="Times New Roman"/>
                      <w:sz w:val="22"/>
                      <w:szCs w:val="22"/>
                      <w:lang w:val="en-US" w:eastAsia="zh-CN"/>
                    </w:rPr>
                    <w:t>周边水环境质量底线</w:t>
                  </w:r>
                  <w:r>
                    <w:rPr>
                      <w:rFonts w:hint="eastAsia" w:ascii="Times New Roman" w:hAnsi="Times New Roman" w:eastAsia="宋体" w:cs="Times New Roman"/>
                      <w:sz w:val="22"/>
                      <w:szCs w:val="22"/>
                      <w:lang w:val="en-US" w:eastAsia="zh-CN"/>
                    </w:rPr>
                    <w:t>目标</w:t>
                  </w:r>
                  <w:r>
                    <w:rPr>
                      <w:rFonts w:hint="default" w:ascii="Times New Roman" w:hAnsi="Times New Roman" w:eastAsia="宋体" w:cs="Times New Roman"/>
                      <w:sz w:val="22"/>
                      <w:szCs w:val="22"/>
                      <w:lang w:val="en-US" w:eastAsia="zh-CN"/>
                    </w:rPr>
                    <w:t>。</w:t>
                  </w:r>
                </w:p>
              </w:tc>
              <w:tc>
                <w:tcPr>
                  <w:tcW w:w="474" w:type="dxa"/>
                  <w:noWrap w:val="0"/>
                  <w:vAlign w:val="center"/>
                </w:tcPr>
                <w:p w14:paraId="33DD4675">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1124B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57DBAC9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660" w:type="dxa"/>
                  <w:vMerge w:val="continue"/>
                  <w:noWrap w:val="0"/>
                  <w:vAlign w:val="center"/>
                </w:tcPr>
                <w:p w14:paraId="339F40E9">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5016" w:type="dxa"/>
                  <w:noWrap w:val="0"/>
                  <w:vAlign w:val="center"/>
                </w:tcPr>
                <w:p w14:paraId="0B4BE56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土壤环境质量底线</w:t>
                  </w:r>
                  <w:r>
                    <w:rPr>
                      <w:rFonts w:hint="eastAsia" w:ascii="Times New Roman" w:hAnsi="Times New Roman" w:eastAsia="宋体" w:cs="Times New Roman"/>
                      <w:sz w:val="22"/>
                      <w:szCs w:val="22"/>
                      <w:lang w:val="en-US" w:eastAsia="zh-CN"/>
                    </w:rPr>
                    <w:t>：到2025年，淮北市土壤环境质量总体保持稳定，局部稳中向好，受污染地块安全利用水平得到巩固，受污染耕地安全利用率93%。到2035年，淮北市土壤环境质量持续向好，农用地和建设用地土壤环境安全得到有效保障，土壤环境风险得到全面管控。</w:t>
                  </w:r>
                </w:p>
              </w:tc>
              <w:tc>
                <w:tcPr>
                  <w:tcW w:w="1524" w:type="dxa"/>
                  <w:noWrap w:val="0"/>
                  <w:vAlign w:val="center"/>
                </w:tcPr>
                <w:p w14:paraId="066F59E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本项目通过</w:t>
                  </w:r>
                  <w:r>
                    <w:rPr>
                      <w:rFonts w:hint="default" w:ascii="Times New Roman" w:hAnsi="Times New Roman" w:eastAsia="宋体" w:cs="Times New Roman"/>
                      <w:sz w:val="22"/>
                      <w:szCs w:val="22"/>
                      <w:lang w:val="en-US" w:eastAsia="zh-CN"/>
                    </w:rPr>
                    <w:t>采取重点防渗</w:t>
                  </w:r>
                  <w:r>
                    <w:rPr>
                      <w:rFonts w:hint="eastAsia" w:ascii="Times New Roman" w:hAnsi="Times New Roman" w:eastAsia="宋体" w:cs="Times New Roman"/>
                      <w:sz w:val="22"/>
                      <w:szCs w:val="22"/>
                      <w:lang w:val="en-US" w:eastAsia="zh-CN"/>
                    </w:rPr>
                    <w:t>等</w:t>
                  </w:r>
                  <w:r>
                    <w:rPr>
                      <w:rFonts w:hint="default" w:ascii="Times New Roman" w:hAnsi="Times New Roman" w:eastAsia="宋体" w:cs="Times New Roman"/>
                      <w:sz w:val="22"/>
                      <w:szCs w:val="22"/>
                      <w:lang w:val="en-US" w:eastAsia="zh-CN"/>
                    </w:rPr>
                    <w:t>措施，可以有效降低土壤污染的风险，不会</w:t>
                  </w:r>
                  <w:r>
                    <w:rPr>
                      <w:rFonts w:hint="eastAsia" w:ascii="Times New Roman" w:hAnsi="Times New Roman" w:eastAsia="宋体" w:cs="Times New Roman"/>
                      <w:sz w:val="22"/>
                      <w:szCs w:val="22"/>
                      <w:lang w:val="en-US" w:eastAsia="zh-CN"/>
                    </w:rPr>
                    <w:t>影响</w:t>
                  </w:r>
                  <w:r>
                    <w:rPr>
                      <w:rFonts w:hint="default" w:ascii="Times New Roman" w:hAnsi="Times New Roman" w:eastAsia="宋体" w:cs="Times New Roman"/>
                      <w:sz w:val="22"/>
                      <w:szCs w:val="22"/>
                      <w:lang w:val="en-US" w:eastAsia="zh-CN"/>
                    </w:rPr>
                    <w:t>土壤环境质量底线</w:t>
                  </w:r>
                  <w:r>
                    <w:rPr>
                      <w:rFonts w:hint="eastAsia" w:ascii="Times New Roman" w:hAnsi="Times New Roman" w:eastAsia="宋体" w:cs="Times New Roman"/>
                      <w:sz w:val="22"/>
                      <w:szCs w:val="22"/>
                      <w:lang w:val="en-US" w:eastAsia="zh-CN"/>
                    </w:rPr>
                    <w:t>目标。</w:t>
                  </w:r>
                </w:p>
              </w:tc>
              <w:tc>
                <w:tcPr>
                  <w:tcW w:w="474" w:type="dxa"/>
                  <w:noWrap w:val="0"/>
                  <w:vAlign w:val="center"/>
                </w:tcPr>
                <w:p w14:paraId="15B11C4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47008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6573494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restart"/>
                  <w:noWrap w:val="0"/>
                  <w:vAlign w:val="center"/>
                </w:tcPr>
                <w:p w14:paraId="4AE826B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资源利用上线</w:t>
                  </w:r>
                </w:p>
              </w:tc>
              <w:tc>
                <w:tcPr>
                  <w:tcW w:w="5016" w:type="dxa"/>
                  <w:noWrap w:val="0"/>
                  <w:vAlign w:val="center"/>
                </w:tcPr>
                <w:p w14:paraId="5C4EDE7B">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煤炭资源利用上线</w:t>
                  </w:r>
                  <w:r>
                    <w:rPr>
                      <w:rFonts w:hint="eastAsia" w:ascii="Times New Roman" w:hAnsi="Times New Roman" w:eastAsia="宋体" w:cs="Times New Roman"/>
                      <w:sz w:val="22"/>
                      <w:szCs w:val="22"/>
                      <w:lang w:val="en-US" w:eastAsia="zh-CN"/>
                    </w:rPr>
                    <w:t>：到2025年，燃煤发电机组平均供电煤耗降至295克标煤/千瓦时，散煤基本清零，煤炭消费总量控制目标完成省下达任务。</w:t>
                  </w:r>
                </w:p>
              </w:tc>
              <w:tc>
                <w:tcPr>
                  <w:tcW w:w="1524" w:type="dxa"/>
                  <w:noWrap w:val="0"/>
                  <w:vAlign w:val="center"/>
                </w:tcPr>
                <w:p w14:paraId="181C08F9">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w:t>
                  </w:r>
                  <w:r>
                    <w:rPr>
                      <w:rFonts w:hint="eastAsia" w:ascii="Times New Roman" w:hAnsi="Times New Roman" w:eastAsia="宋体" w:cs="Times New Roman"/>
                      <w:sz w:val="22"/>
                      <w:szCs w:val="22"/>
                      <w:lang w:val="en-US" w:eastAsia="zh-CN"/>
                    </w:rPr>
                    <w:t>不涉及使用煤炭。</w:t>
                  </w:r>
                </w:p>
              </w:tc>
              <w:tc>
                <w:tcPr>
                  <w:tcW w:w="474" w:type="dxa"/>
                  <w:noWrap w:val="0"/>
                  <w:vAlign w:val="center"/>
                </w:tcPr>
                <w:p w14:paraId="767D795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13ED6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14A23F6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011F554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5016" w:type="dxa"/>
                  <w:noWrap w:val="0"/>
                  <w:vAlign w:val="center"/>
                </w:tcPr>
                <w:p w14:paraId="567D57B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水资源利用上线</w:t>
                  </w:r>
                  <w:r>
                    <w:rPr>
                      <w:rFonts w:hint="eastAsia" w:ascii="Times New Roman" w:hAnsi="Times New Roman" w:eastAsia="宋体" w:cs="Times New Roman"/>
                      <w:sz w:val="22"/>
                      <w:szCs w:val="22"/>
                      <w:lang w:val="en-US" w:eastAsia="zh-CN"/>
                    </w:rPr>
                    <w:t>：至2025年，淮北市用水总量控制在5.2亿m</w:t>
                  </w:r>
                  <w:r>
                    <w:rPr>
                      <w:rFonts w:hint="eastAsia" w:ascii="Times New Roman" w:hAnsi="Times New Roman" w:eastAsia="宋体" w:cs="Times New Roman"/>
                      <w:sz w:val="22"/>
                      <w:szCs w:val="22"/>
                      <w:vertAlign w:val="superscript"/>
                      <w:lang w:val="en-US" w:eastAsia="zh-CN"/>
                    </w:rPr>
                    <w:t>3</w:t>
                  </w:r>
                  <w:r>
                    <w:rPr>
                      <w:rFonts w:hint="eastAsia" w:ascii="Times New Roman" w:hAnsi="Times New Roman" w:eastAsia="宋体" w:cs="Times New Roman"/>
                      <w:sz w:val="22"/>
                      <w:szCs w:val="22"/>
                      <w:lang w:val="en-US" w:eastAsia="zh-CN"/>
                    </w:rPr>
                    <w:t>以内，十四五期间万元GDP用水量、万元工业增加值用水量较2020年分别下降14%、15%，农业灌溉水有效利用系数达到0.67。</w:t>
                  </w:r>
                </w:p>
              </w:tc>
              <w:tc>
                <w:tcPr>
                  <w:tcW w:w="1524" w:type="dxa"/>
                  <w:noWrap w:val="0"/>
                  <w:vAlign w:val="center"/>
                </w:tcPr>
                <w:p w14:paraId="60B2DFE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本项目需使用一定水资源，用水主要来自市政给水管网提供，</w:t>
                  </w:r>
                  <w:r>
                    <w:rPr>
                      <w:rFonts w:hint="eastAsia" w:ascii="Times New Roman" w:hAnsi="Times New Roman" w:eastAsia="宋体" w:cs="Times New Roman"/>
                      <w:sz w:val="22"/>
                      <w:szCs w:val="22"/>
                      <w:lang w:val="en-US" w:eastAsia="zh-CN"/>
                    </w:rPr>
                    <w:t>不会影响</w:t>
                  </w:r>
                  <w:r>
                    <w:rPr>
                      <w:rFonts w:hint="default" w:ascii="Times New Roman" w:hAnsi="Times New Roman" w:eastAsia="宋体" w:cs="Times New Roman"/>
                      <w:sz w:val="22"/>
                      <w:szCs w:val="22"/>
                      <w:lang w:val="en-US" w:eastAsia="zh-CN"/>
                    </w:rPr>
                    <w:t>水资源利用上线</w:t>
                  </w:r>
                  <w:r>
                    <w:rPr>
                      <w:rFonts w:hint="eastAsia" w:ascii="Times New Roman" w:hAnsi="Times New Roman" w:eastAsia="宋体" w:cs="Times New Roman"/>
                      <w:sz w:val="22"/>
                      <w:szCs w:val="22"/>
                      <w:lang w:val="en-US" w:eastAsia="zh-CN"/>
                    </w:rPr>
                    <w:t>目标。</w:t>
                  </w:r>
                </w:p>
              </w:tc>
              <w:tc>
                <w:tcPr>
                  <w:tcW w:w="474" w:type="dxa"/>
                  <w:noWrap w:val="0"/>
                  <w:vAlign w:val="center"/>
                </w:tcPr>
                <w:p w14:paraId="1122AE1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62554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5B13FBCC">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660" w:type="dxa"/>
                  <w:vMerge w:val="continue"/>
                  <w:noWrap w:val="0"/>
                  <w:vAlign w:val="center"/>
                </w:tcPr>
                <w:p w14:paraId="51666237">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5016" w:type="dxa"/>
                  <w:noWrap w:val="0"/>
                  <w:vAlign w:val="center"/>
                </w:tcPr>
                <w:p w14:paraId="53D4C6C1">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土地资源利用上线</w:t>
                  </w:r>
                  <w:r>
                    <w:rPr>
                      <w:rFonts w:hint="eastAsia" w:ascii="Times New Roman" w:hAnsi="Times New Roman" w:eastAsia="宋体" w:cs="Times New Roman"/>
                      <w:sz w:val="22"/>
                      <w:szCs w:val="22"/>
                      <w:lang w:val="en-US" w:eastAsia="zh-CN"/>
                    </w:rPr>
                    <w:t>：至2025年，淮北市耕地保有量不低于1637.74平方公里，永久基本农田保护面积不低于1449.37平方公里。</w:t>
                  </w:r>
                </w:p>
              </w:tc>
              <w:tc>
                <w:tcPr>
                  <w:tcW w:w="1524" w:type="dxa"/>
                  <w:noWrap w:val="0"/>
                  <w:vAlign w:val="center"/>
                </w:tcPr>
                <w:p w14:paraId="21D8BEB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本项目用地性质为工业用地，</w:t>
                  </w:r>
                  <w:r>
                    <w:rPr>
                      <w:rFonts w:hint="eastAsia" w:ascii="Times New Roman" w:hAnsi="Times New Roman" w:eastAsia="宋体" w:cs="Times New Roman"/>
                      <w:sz w:val="22"/>
                      <w:szCs w:val="22"/>
                      <w:lang w:val="en-US" w:eastAsia="zh-CN"/>
                    </w:rPr>
                    <w:t>不会影响</w:t>
                  </w:r>
                  <w:r>
                    <w:rPr>
                      <w:rFonts w:hint="default" w:ascii="Times New Roman" w:hAnsi="Times New Roman" w:eastAsia="宋体" w:cs="Times New Roman"/>
                      <w:sz w:val="22"/>
                      <w:szCs w:val="22"/>
                      <w:lang w:val="en-US" w:eastAsia="zh-CN"/>
                    </w:rPr>
                    <w:t>土地资源利用</w:t>
                  </w:r>
                  <w:r>
                    <w:rPr>
                      <w:rFonts w:hint="eastAsia" w:ascii="Times New Roman" w:hAnsi="Times New Roman" w:eastAsia="宋体" w:cs="Times New Roman"/>
                      <w:sz w:val="22"/>
                      <w:szCs w:val="22"/>
                      <w:lang w:val="en-US" w:eastAsia="zh-CN"/>
                    </w:rPr>
                    <w:t>上线目标。</w:t>
                  </w:r>
                </w:p>
              </w:tc>
              <w:tc>
                <w:tcPr>
                  <w:tcW w:w="474" w:type="dxa"/>
                  <w:noWrap w:val="0"/>
                  <w:vAlign w:val="center"/>
                </w:tcPr>
                <w:p w14:paraId="2D452DE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77EBF2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4DD92BC6">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restart"/>
                  <w:noWrap w:val="0"/>
                  <w:vAlign w:val="center"/>
                </w:tcPr>
                <w:p w14:paraId="2DDDBC2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生态环境准入清单</w:t>
                  </w:r>
                </w:p>
              </w:tc>
              <w:tc>
                <w:tcPr>
                  <w:tcW w:w="5016" w:type="dxa"/>
                  <w:noWrap w:val="0"/>
                  <w:vAlign w:val="center"/>
                </w:tcPr>
                <w:p w14:paraId="003DEC17">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污染物排放管控</w:t>
                  </w:r>
                  <w:r>
                    <w:rPr>
                      <w:rFonts w:hint="eastAsia" w:ascii="Times New Roman" w:hAnsi="Times New Roman" w:eastAsia="宋体" w:cs="Times New Roman"/>
                      <w:sz w:val="22"/>
                      <w:szCs w:val="22"/>
                      <w:lang w:val="en-US" w:eastAsia="zh-CN"/>
                    </w:rPr>
                    <w:t>：（1）污水集中处理率100%；（2）废水达标排放率100%；（3）工业固废综合利用率100%；（4）单位工业增加值化学需氧量排放量≤1吨/亿元；（5）单位工业增加值二氧化硫排放量≤1吨/亿元。</w:t>
                  </w:r>
                </w:p>
              </w:tc>
              <w:tc>
                <w:tcPr>
                  <w:tcW w:w="1524" w:type="dxa"/>
                  <w:noWrap w:val="0"/>
                  <w:vAlign w:val="center"/>
                </w:tcPr>
                <w:p w14:paraId="04E672A4">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本项目污水集中处理率、废水达标排放率、工业固废综合利用率均满足</w:t>
                  </w:r>
                  <w:r>
                    <w:rPr>
                      <w:rFonts w:hint="default" w:ascii="Times New Roman" w:hAnsi="Times New Roman" w:eastAsia="宋体" w:cs="Times New Roman"/>
                      <w:sz w:val="22"/>
                      <w:szCs w:val="22"/>
                      <w:lang w:val="en-US" w:eastAsia="zh-CN"/>
                    </w:rPr>
                    <w:t>污染物排放管控</w:t>
                  </w:r>
                  <w:r>
                    <w:rPr>
                      <w:rFonts w:hint="eastAsia" w:ascii="Times New Roman" w:hAnsi="Times New Roman" w:eastAsia="宋体" w:cs="Times New Roman"/>
                      <w:sz w:val="22"/>
                      <w:szCs w:val="22"/>
                      <w:lang w:val="en-US" w:eastAsia="zh-CN"/>
                    </w:rPr>
                    <w:t>要求。</w:t>
                  </w:r>
                </w:p>
              </w:tc>
              <w:tc>
                <w:tcPr>
                  <w:tcW w:w="474" w:type="dxa"/>
                  <w:noWrap w:val="0"/>
                  <w:vAlign w:val="center"/>
                </w:tcPr>
                <w:p w14:paraId="35EEE2E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190E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1BE09015">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6AFCEFC7">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5016" w:type="dxa"/>
                  <w:noWrap w:val="0"/>
                  <w:vAlign w:val="center"/>
                </w:tcPr>
                <w:p w14:paraId="010330B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环境风险防控</w:t>
                  </w:r>
                  <w:r>
                    <w:rPr>
                      <w:rFonts w:hint="eastAsia" w:ascii="Times New Roman" w:hAnsi="Times New Roman" w:eastAsia="宋体" w:cs="Times New Roman"/>
                      <w:sz w:val="22"/>
                      <w:szCs w:val="22"/>
                      <w:lang w:val="en-US" w:eastAsia="zh-CN"/>
                    </w:rPr>
                    <w:t>：（1）危险废物安全处置率100%；（2）对开发区存在的环境风险进行分析，提出一整套风险防范措施和建议；（3）逐步建立废物的交换转让制度，建立废物交换市场和交换信息平台，建立废物利用企业认证制度，（4）鼓励资源综合利用。按照“资源化、减量化、无害化”原则，对危险废物和一般固废进行“分类收集、分质处理”原则分别进行处置，危险废物应送到有资质的危险废物处置中心进行安全处置</w:t>
                  </w:r>
                </w:p>
              </w:tc>
              <w:tc>
                <w:tcPr>
                  <w:tcW w:w="1524" w:type="dxa"/>
                  <w:noWrap w:val="0"/>
                  <w:vAlign w:val="center"/>
                </w:tcPr>
                <w:p w14:paraId="216B8C83">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本项目落实环评文件提出的措施，可以满足</w:t>
                  </w:r>
                  <w:r>
                    <w:rPr>
                      <w:rFonts w:hint="default" w:ascii="Times New Roman" w:hAnsi="Times New Roman" w:eastAsia="宋体" w:cs="Times New Roman"/>
                      <w:sz w:val="22"/>
                      <w:szCs w:val="22"/>
                      <w:lang w:val="en-US" w:eastAsia="zh-CN"/>
                    </w:rPr>
                    <w:t>环境风险防控</w:t>
                  </w:r>
                  <w:r>
                    <w:rPr>
                      <w:rFonts w:hint="eastAsia" w:ascii="Times New Roman" w:hAnsi="Times New Roman" w:eastAsia="宋体" w:cs="Times New Roman"/>
                      <w:sz w:val="22"/>
                      <w:szCs w:val="22"/>
                      <w:lang w:val="en-US" w:eastAsia="zh-CN"/>
                    </w:rPr>
                    <w:t>要求。</w:t>
                  </w:r>
                </w:p>
              </w:tc>
              <w:tc>
                <w:tcPr>
                  <w:tcW w:w="474" w:type="dxa"/>
                  <w:noWrap w:val="0"/>
                  <w:vAlign w:val="center"/>
                </w:tcPr>
                <w:p w14:paraId="69CCE75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2774C9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343D1AF9">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093B0A7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5016" w:type="dxa"/>
                  <w:noWrap w:val="0"/>
                  <w:vAlign w:val="center"/>
                </w:tcPr>
                <w:p w14:paraId="2D882A19">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资源开发利用效率要求</w:t>
                  </w:r>
                  <w:r>
                    <w:rPr>
                      <w:rFonts w:hint="eastAsia" w:ascii="Times New Roman" w:hAnsi="Times New Roman" w:eastAsia="宋体" w:cs="Times New Roman"/>
                      <w:sz w:val="22"/>
                      <w:szCs w:val="22"/>
                      <w:lang w:val="en-US" w:eastAsia="zh-CN"/>
                    </w:rPr>
                    <w:t>：（1）单位工业增加值废水产生量≤8吨/万元，（2）单位工业增加值新鲜水耗≤10吨/万元，（3）工业用水重复利用率≥80%，（4）单位工业增加值能耗（标煤）≤0.5吨标煤/万元</w:t>
                  </w:r>
                </w:p>
              </w:tc>
              <w:tc>
                <w:tcPr>
                  <w:tcW w:w="1524" w:type="dxa"/>
                  <w:noWrap w:val="0"/>
                  <w:vAlign w:val="center"/>
                </w:tcPr>
                <w:p w14:paraId="260D3348">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本项目为技改项目，已取得管委会备案文件。</w:t>
                  </w:r>
                </w:p>
              </w:tc>
              <w:tc>
                <w:tcPr>
                  <w:tcW w:w="474" w:type="dxa"/>
                  <w:noWrap w:val="0"/>
                  <w:vAlign w:val="center"/>
                </w:tcPr>
                <w:p w14:paraId="4097685E">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6A453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6D0A4C3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7CBD671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5016" w:type="dxa"/>
                  <w:noWrap w:val="0"/>
                  <w:vAlign w:val="center"/>
                </w:tcPr>
                <w:p w14:paraId="417E5E0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产业准入要求</w:t>
                  </w:r>
                  <w:r>
                    <w:rPr>
                      <w:rFonts w:hint="eastAsia" w:ascii="Times New Roman" w:hAnsi="Times New Roman" w:eastAsia="宋体" w:cs="Times New Roman"/>
                      <w:sz w:val="22"/>
                      <w:szCs w:val="22"/>
                      <w:lang w:val="en-US" w:eastAsia="zh-CN"/>
                    </w:rPr>
                    <w:t>：鼓励入园项目：</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1</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与规划主导产业结构相符合的工业项目。</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2</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与开发区主导产业相配套低污染、低能耗、低水耗的企业。①开发区基础设施建设项目。鼓励开发区基础设施项目建设，也应积极招商引资，大力改善开发区投资环境，促进区域经济发展。②规模效益好、能源资源消耗少、排污小的企业鼓励发展其它规模效益好、能源资源消耗少、排污小的企业。包括清洁生产型企业、高新技术型企业和节水节能型企业。</w:t>
                  </w:r>
                </w:p>
                <w:p w14:paraId="4BD1E6A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限制发展项目：</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1</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开发区实行集中供热后，尚需要自行建设燃煤锅炉的企业。</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2</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与规划区主导产业和优先进入行业不符合，低污染、低能耗、低水耗、对周边企业影响、环境质量影响不大的建设项目；</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3</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与规划区主导产业和优先进入行业相配套，但高污染、高能耗、高水耗、对环境影响较大的建设项目。</w:t>
                  </w:r>
                </w:p>
                <w:p w14:paraId="12AE2735">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禁止发展项目：</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1</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国家明令禁止建设或投资的、不符合《产业结构调整指导目录》要求的建设项目不得进入开发区。</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2</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规模效益差、能源资源消耗大、环境影响严重的企业，严格控制高污染、高能耗、高水耗项目的进入。</w:t>
                  </w:r>
                </w:p>
              </w:tc>
              <w:tc>
                <w:tcPr>
                  <w:tcW w:w="1524" w:type="dxa"/>
                  <w:noWrap w:val="0"/>
                  <w:vAlign w:val="center"/>
                </w:tcPr>
                <w:p w14:paraId="7F3E3B48">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本项目属于C3511矿山机械制造，是开发区主导产业。</w:t>
                  </w:r>
                </w:p>
              </w:tc>
              <w:tc>
                <w:tcPr>
                  <w:tcW w:w="474" w:type="dxa"/>
                  <w:noWrap w:val="0"/>
                  <w:vAlign w:val="center"/>
                </w:tcPr>
                <w:p w14:paraId="6FA2FC15">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114142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restart"/>
                  <w:noWrap w:val="0"/>
                  <w:vAlign w:val="center"/>
                </w:tcPr>
                <w:p w14:paraId="26B9BAE5">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生态环境分区管控</w:t>
                  </w:r>
                </w:p>
              </w:tc>
              <w:tc>
                <w:tcPr>
                  <w:tcW w:w="660" w:type="dxa"/>
                  <w:vMerge w:val="restart"/>
                  <w:noWrap w:val="0"/>
                  <w:vAlign w:val="center"/>
                </w:tcPr>
                <w:p w14:paraId="5624C51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生态空间</w:t>
                  </w:r>
                </w:p>
              </w:tc>
              <w:tc>
                <w:tcPr>
                  <w:tcW w:w="5016" w:type="dxa"/>
                  <w:noWrap w:val="0"/>
                  <w:vAlign w:val="center"/>
                </w:tcPr>
                <w:p w14:paraId="14D31482">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生态保护红线：依据自然资源部、生态环境部、国家林业和草原局印发的《关于加强生态保护红线管理的通知（试行）》，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1）管护巡护、保护执法、科学研究、调查监测、测绘导航、防灾减灾救灾、军事国防、疫情防控等活动及相关的必要设施修筑；（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33D996DE">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经依法批准的考古调查发掘、古生物化石调查发掘、标本采集和文物保护活动；（4）按规定对人工商品林进行抚育采伐，或以提升森林质量、优化栖息地、建设生物防火隔离带等为目的的树种更新，依法开展的竹林采伐经营；（5）部破坏生态功能的适度参观旅游、科普宣教及符合相关规划的配套性服务设施和相关的必要公共设施建设及维护；（6）</w:t>
                  </w:r>
                  <w:r>
                    <w:rPr>
                      <w:rFonts w:hint="eastAsia" w:ascii="Times New Roman" w:hAnsi="Times New Roman" w:eastAsia="宋体" w:cs="Times New Roman"/>
                      <w:sz w:val="22"/>
                      <w:szCs w:val="22"/>
                      <w:lang w:val="en-US" w:eastAsia="zh-CN"/>
                    </w:rPr>
                    <w:tab/>
                  </w:r>
                  <w:r>
                    <w:rPr>
                      <w:rFonts w:hint="eastAsia" w:ascii="Times New Roman" w:hAnsi="Times New Roman" w:eastAsia="宋体" w:cs="Times New Roman"/>
                      <w:sz w:val="22"/>
                      <w:szCs w:val="22"/>
                      <w:lang w:val="en-US" w:eastAsia="zh-CN"/>
                    </w:rPr>
                    <w:t>必须且无法避让、符合县级以上国土空间规划的线性基础设施、通讯和防洪、供水设施建设和船舶航行、航道疏浚清淤等活动；已有的合法水利、交通运输等设施运行维护改造；（7）地质调查与矿产资源勘查开采；（8）依据县级以上国土空间规划和生态保护修复专项规划开展的生态修复；（9）根据我国相关法律法规和与邻国签署的国界管理制度协定（条约）开展的边界边境通视道清理以及界务工程的修建、维护和拆除工作。（10）法律法规规定允许的其他人为活动。</w:t>
                  </w:r>
                </w:p>
              </w:tc>
              <w:tc>
                <w:tcPr>
                  <w:tcW w:w="1524" w:type="dxa"/>
                  <w:vMerge w:val="restart"/>
                  <w:noWrap w:val="0"/>
                  <w:vAlign w:val="center"/>
                </w:tcPr>
                <w:p w14:paraId="5D2AE1C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本项目不涉及生态保护红线，不涉及生态空间管控区域</w:t>
                  </w:r>
                </w:p>
              </w:tc>
              <w:tc>
                <w:tcPr>
                  <w:tcW w:w="474" w:type="dxa"/>
                  <w:vMerge w:val="restart"/>
                  <w:noWrap w:val="0"/>
                  <w:vAlign w:val="center"/>
                </w:tcPr>
                <w:p w14:paraId="5E47786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6D93B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5DA8615D">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5410B8CD">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5016" w:type="dxa"/>
                  <w:noWrap w:val="0"/>
                  <w:vAlign w:val="center"/>
                </w:tcPr>
                <w:p w14:paraId="15C41D36">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一般生态空间：对一般生态空间内的国家公园、自然保护区、风景名胜区、森林公园、地质公园、世界自然遗产、湿地公园、饮用水水源保护区、天然林、生态公益林等各类保护地的管理，按照法律、法规和规章等要求执行。</w:t>
                  </w:r>
                </w:p>
              </w:tc>
              <w:tc>
                <w:tcPr>
                  <w:tcW w:w="1524" w:type="dxa"/>
                  <w:vMerge w:val="continue"/>
                  <w:noWrap w:val="0"/>
                  <w:vAlign w:val="center"/>
                </w:tcPr>
                <w:p w14:paraId="26656628">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474" w:type="dxa"/>
                  <w:vMerge w:val="continue"/>
                  <w:noWrap w:val="0"/>
                  <w:vAlign w:val="center"/>
                </w:tcPr>
                <w:p w14:paraId="75F9E7A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r>
            <w:tr w14:paraId="4BB4C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6CE92B0D">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noWrap w:val="0"/>
                  <w:vAlign w:val="center"/>
                </w:tcPr>
                <w:p w14:paraId="27DC401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水环境管控分区</w:t>
                  </w:r>
                </w:p>
              </w:tc>
              <w:tc>
                <w:tcPr>
                  <w:tcW w:w="5016" w:type="dxa"/>
                  <w:noWrap w:val="0"/>
                  <w:vAlign w:val="center"/>
                </w:tcPr>
                <w:p w14:paraId="7320B56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水环境重点管控区：依据《中华人民共和国水污染防治法》《水污染防治行动计划》《安徽省水污染防治工作方案》及淮北市水污染防治工作方案对重点管控区实施管控；依据淮北市相关开发区规划、规划环评及审查意见相关要求对开发区实施管控；落实《安徽省“十四五”生态环境保护规划》《安徽省“十四五”节能减排实施方案》《淮北市“十四五”生态环境保护规划》《淮北市“十四五”水生态环境保护专项规划》《淮北市“十四五”节能减排方案》《淮北市水污染防治工作方案》等要求；新建、改建和扩建项目水污染物实施“等量替代”。</w:t>
                  </w:r>
                </w:p>
              </w:tc>
              <w:tc>
                <w:tcPr>
                  <w:tcW w:w="1524" w:type="dxa"/>
                  <w:noWrap w:val="0"/>
                  <w:vAlign w:val="center"/>
                </w:tcPr>
                <w:p w14:paraId="442278D0">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本项目位于水环境重点管控区</w:t>
                  </w:r>
                  <w:r>
                    <w:rPr>
                      <w:rFonts w:hint="eastAsia" w:cs="Times New Roman"/>
                      <w:sz w:val="22"/>
                      <w:szCs w:val="22"/>
                      <w:lang w:val="en-US" w:eastAsia="zh-CN"/>
                    </w:rPr>
                    <w:t>。食堂废水经过隔油池处理后与生活污水一同进入化粪池预处理，然后通过污水管网排入淮北经济开发区新区污水处理厂进行深度处理，最后达标排放。</w:t>
                  </w:r>
                  <w:r>
                    <w:rPr>
                      <w:rFonts w:hint="eastAsia" w:ascii="Times New Roman" w:hAnsi="Times New Roman" w:eastAsia="宋体" w:cs="Times New Roman"/>
                      <w:sz w:val="22"/>
                      <w:szCs w:val="22"/>
                      <w:lang w:val="en-US" w:eastAsia="zh-CN"/>
                    </w:rPr>
                    <w:t>水污染物</w:t>
                  </w:r>
                  <w:r>
                    <w:rPr>
                      <w:rFonts w:hint="eastAsia" w:cs="Times New Roman"/>
                      <w:sz w:val="22"/>
                      <w:szCs w:val="22"/>
                      <w:lang w:val="en-US" w:eastAsia="zh-CN"/>
                    </w:rPr>
                    <w:t>总量纳入淮北经济开发区新区污水处理厂，无需单独申请总量。</w:t>
                  </w:r>
                </w:p>
              </w:tc>
              <w:tc>
                <w:tcPr>
                  <w:tcW w:w="474" w:type="dxa"/>
                  <w:noWrap w:val="0"/>
                  <w:vAlign w:val="center"/>
                </w:tcPr>
                <w:p w14:paraId="2ABE8C69">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38643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0751CB1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noWrap w:val="0"/>
                  <w:vAlign w:val="center"/>
                </w:tcPr>
                <w:p w14:paraId="1F9E32AD">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大气环境管控分区</w:t>
                  </w:r>
                </w:p>
              </w:tc>
              <w:tc>
                <w:tcPr>
                  <w:tcW w:w="5016" w:type="dxa"/>
                  <w:noWrap w:val="0"/>
                  <w:vAlign w:val="center"/>
                </w:tcPr>
                <w:p w14:paraId="64EB658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大气环境重点管控区：落实《安徽省大气污染防治条例》《安徽省碳达峰实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深入打好污染防治攻坚战行动方案》《淮北市“十四五”节能减排实施方案》要求；严格目标实施计划，加强环境监管，促进生态环境质量好转；新建、改建和扩建项目大气污染物实施“倍量替代”，执行特别排放标准的行业实施提标升级改造。</w:t>
                  </w:r>
                </w:p>
              </w:tc>
              <w:tc>
                <w:tcPr>
                  <w:tcW w:w="1524" w:type="dxa"/>
                  <w:noWrap w:val="0"/>
                  <w:vAlign w:val="center"/>
                </w:tcPr>
                <w:p w14:paraId="103D5B1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本项目位于大气环境重点管控区</w:t>
                  </w:r>
                  <w:r>
                    <w:rPr>
                      <w:rFonts w:hint="eastAsia" w:cs="Times New Roman"/>
                      <w:sz w:val="22"/>
                      <w:szCs w:val="22"/>
                      <w:lang w:val="en-US" w:eastAsia="zh-CN"/>
                    </w:rPr>
                    <w:t>，新增大气污染物</w:t>
                  </w:r>
                  <w:r>
                    <w:rPr>
                      <w:rFonts w:hint="eastAsia" w:ascii="Times New Roman" w:hAnsi="Times New Roman" w:eastAsia="宋体" w:cs="Times New Roman"/>
                      <w:sz w:val="22"/>
                      <w:szCs w:val="22"/>
                      <w:lang w:val="en-US" w:eastAsia="zh-CN"/>
                    </w:rPr>
                    <w:t>实施“倍量替代”</w:t>
                  </w:r>
                </w:p>
              </w:tc>
              <w:tc>
                <w:tcPr>
                  <w:tcW w:w="474" w:type="dxa"/>
                  <w:noWrap w:val="0"/>
                  <w:vAlign w:val="center"/>
                </w:tcPr>
                <w:p w14:paraId="127BAEB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25885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2CA505F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noWrap w:val="0"/>
                  <w:vAlign w:val="center"/>
                </w:tcPr>
                <w:p w14:paraId="741BE7C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土壤环境风险管控分区</w:t>
                  </w:r>
                </w:p>
              </w:tc>
              <w:tc>
                <w:tcPr>
                  <w:tcW w:w="5016" w:type="dxa"/>
                  <w:noWrap w:val="0"/>
                  <w:vAlign w:val="center"/>
                </w:tcPr>
                <w:p w14:paraId="794BBD4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土壤环境风险一般管控区：依据《中华人民共和国土壤污染防治法》《土壤污染防治行动计划》《安徽省土壤污染防治工作方案》《安徽省“十四五”环境保护规划》《安徽省“十四五”土壤、地下水和农村生态环境保护规划》《安徽省重金属污染防控工作方案》《安徽省“十四五”危险废物工业固体废物污染环境防治规划》《安徽省土壤污染防治工作方案》《淮北市“十四五”土壤（地下水）和农村生态环境保护规划》等要求对一般管控区实施管控。</w:t>
                  </w:r>
                </w:p>
              </w:tc>
              <w:tc>
                <w:tcPr>
                  <w:tcW w:w="1524" w:type="dxa"/>
                  <w:noWrap w:val="0"/>
                  <w:vAlign w:val="center"/>
                </w:tcPr>
                <w:p w14:paraId="0EEE32D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本项目位于土壤环境风险一般管控区</w:t>
                  </w:r>
                  <w:r>
                    <w:rPr>
                      <w:rFonts w:hint="eastAsia" w:cs="Times New Roman"/>
                      <w:sz w:val="22"/>
                      <w:szCs w:val="22"/>
                      <w:lang w:val="en-US" w:eastAsia="zh-CN"/>
                    </w:rPr>
                    <w:t>，按照分区防渗要求采取重点防渗措施、一般防渗措施，</w:t>
                  </w:r>
                  <w:r>
                    <w:rPr>
                      <w:rFonts w:hint="eastAsia" w:ascii="Times New Roman" w:hAnsi="Times New Roman" w:eastAsia="宋体" w:cs="Times New Roman"/>
                      <w:sz w:val="22"/>
                      <w:szCs w:val="22"/>
                      <w:lang w:val="en-US" w:eastAsia="zh-CN"/>
                    </w:rPr>
                    <w:t>防止土壤污染风险。</w:t>
                  </w:r>
                </w:p>
              </w:tc>
              <w:tc>
                <w:tcPr>
                  <w:tcW w:w="474" w:type="dxa"/>
                  <w:noWrap w:val="0"/>
                  <w:vAlign w:val="center"/>
                </w:tcPr>
                <w:p w14:paraId="4843AE5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487C7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20C1AD67">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noWrap w:val="0"/>
                  <w:vAlign w:val="center"/>
                </w:tcPr>
                <w:p w14:paraId="4B5E651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煤炭资源管控分区</w:t>
                  </w:r>
                </w:p>
              </w:tc>
              <w:tc>
                <w:tcPr>
                  <w:tcW w:w="5016" w:type="dxa"/>
                  <w:noWrap w:val="0"/>
                  <w:vAlign w:val="center"/>
                </w:tcPr>
                <w:p w14:paraId="0D954E22">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一般管控区：落实《安徽省“十四五”节能减排实施方案》《淮北市生态环境保护“十四五”规划》《淮北市“十四五”节能减排实施方案》要求。</w:t>
                  </w:r>
                </w:p>
              </w:tc>
              <w:tc>
                <w:tcPr>
                  <w:tcW w:w="1524" w:type="dxa"/>
                  <w:noWrap w:val="0"/>
                  <w:vAlign w:val="center"/>
                </w:tcPr>
                <w:p w14:paraId="37278860">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本项目属于一般管控区</w:t>
                  </w:r>
                  <w:r>
                    <w:rPr>
                      <w:rFonts w:hint="eastAsia" w:cs="Times New Roman"/>
                      <w:sz w:val="22"/>
                      <w:szCs w:val="22"/>
                      <w:lang w:val="en-US" w:eastAsia="zh-CN"/>
                    </w:rPr>
                    <w:t>，不涉及煤炭使用。</w:t>
                  </w:r>
                </w:p>
              </w:tc>
              <w:tc>
                <w:tcPr>
                  <w:tcW w:w="474" w:type="dxa"/>
                  <w:noWrap w:val="0"/>
                  <w:vAlign w:val="center"/>
                </w:tcPr>
                <w:p w14:paraId="0ED463D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70A28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1495" w:hRule="atLeast"/>
                <w:jc w:val="center"/>
              </w:trPr>
              <w:tc>
                <w:tcPr>
                  <w:tcW w:w="489" w:type="dxa"/>
                  <w:vMerge w:val="continue"/>
                  <w:noWrap w:val="0"/>
                  <w:vAlign w:val="center"/>
                </w:tcPr>
                <w:p w14:paraId="6B7D8D2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noWrap w:val="0"/>
                  <w:vAlign w:val="center"/>
                </w:tcPr>
                <w:p w14:paraId="1216448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水资源管控分区</w:t>
                  </w:r>
                </w:p>
              </w:tc>
              <w:tc>
                <w:tcPr>
                  <w:tcW w:w="5016" w:type="dxa"/>
                  <w:noWrap w:val="0"/>
                  <w:vAlign w:val="center"/>
                </w:tcPr>
                <w:p w14:paraId="4A94872B">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落实《安徽省2025年用水总量和用水效率控制指标的函》《淮北市水利发展“十四五”规划》《淮北市“十四五”节能减排实施方案》《关于落实淮北市“十四五”用水总量和强度双控目标的通知》等要求。</w:t>
                  </w:r>
                </w:p>
              </w:tc>
              <w:tc>
                <w:tcPr>
                  <w:tcW w:w="1524" w:type="dxa"/>
                  <w:noWrap w:val="0"/>
                  <w:vAlign w:val="center"/>
                </w:tcPr>
                <w:p w14:paraId="4976C5F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本项目使用一定水资源，用水来自市政给水管网提供</w:t>
                  </w:r>
                </w:p>
              </w:tc>
              <w:tc>
                <w:tcPr>
                  <w:tcW w:w="474" w:type="dxa"/>
                  <w:noWrap w:val="0"/>
                  <w:vAlign w:val="center"/>
                </w:tcPr>
                <w:p w14:paraId="51BF2303">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0F7CA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1225" w:hRule="atLeast"/>
                <w:jc w:val="center"/>
              </w:trPr>
              <w:tc>
                <w:tcPr>
                  <w:tcW w:w="489" w:type="dxa"/>
                  <w:vMerge w:val="continue"/>
                  <w:noWrap w:val="0"/>
                  <w:vAlign w:val="center"/>
                </w:tcPr>
                <w:p w14:paraId="300EF1A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noWrap w:val="0"/>
                  <w:vAlign w:val="center"/>
                </w:tcPr>
                <w:p w14:paraId="32DE013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土地资源管控分区</w:t>
                  </w:r>
                </w:p>
              </w:tc>
              <w:tc>
                <w:tcPr>
                  <w:tcW w:w="5016" w:type="dxa"/>
                  <w:noWrap w:val="0"/>
                  <w:vAlign w:val="center"/>
                </w:tcPr>
                <w:p w14:paraId="21211AB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落实《淮北市国土空间总体规划》（2021-2035年）等要求。</w:t>
                  </w:r>
                </w:p>
              </w:tc>
              <w:tc>
                <w:tcPr>
                  <w:tcW w:w="1524" w:type="dxa"/>
                  <w:noWrap w:val="0"/>
                  <w:vAlign w:val="center"/>
                </w:tcPr>
                <w:p w14:paraId="2E0E86B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本项目用地符合</w:t>
                  </w:r>
                  <w:r>
                    <w:rPr>
                      <w:rFonts w:hint="eastAsia" w:ascii="Times New Roman" w:hAnsi="Times New Roman" w:eastAsia="宋体" w:cs="Times New Roman"/>
                      <w:sz w:val="22"/>
                      <w:szCs w:val="22"/>
                      <w:lang w:val="en-US" w:eastAsia="zh-CN"/>
                    </w:rPr>
                    <w:t>《淮北市国土空间总体规划》</w:t>
                  </w:r>
                </w:p>
              </w:tc>
              <w:tc>
                <w:tcPr>
                  <w:tcW w:w="474" w:type="dxa"/>
                  <w:noWrap w:val="0"/>
                  <w:vAlign w:val="center"/>
                </w:tcPr>
                <w:p w14:paraId="0598EBB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bl>
          <w:p w14:paraId="60291D31">
            <w:pPr>
              <w:bidi w:val="0"/>
              <w:rPr>
                <w:rFonts w:hint="eastAsia"/>
                <w:lang w:eastAsia="zh-CN"/>
              </w:rPr>
            </w:pPr>
          </w:p>
          <w:p w14:paraId="7BC794D3">
            <w:pPr>
              <w:autoSpaceDE w:val="0"/>
              <w:autoSpaceDN w:val="0"/>
              <w:adjustRightInd w:val="0"/>
              <w:snapToGrid w:val="0"/>
              <w:spacing w:line="360" w:lineRule="auto"/>
              <w:jc w:val="both"/>
              <w:rPr>
                <w:rFonts w:hint="eastAsia" w:cs="宋体"/>
                <w:b/>
                <w:bCs/>
                <w:sz w:val="24"/>
                <w:szCs w:val="24"/>
              </w:rPr>
            </w:pPr>
            <w:r>
              <w:rPr>
                <w:rFonts w:hint="eastAsia" w:ascii="宋体" w:hAnsi="宋体" w:cs="宋体"/>
                <w:b/>
                <w:bCs/>
                <w:kern w:val="0"/>
                <w:sz w:val="28"/>
                <w:szCs w:val="28"/>
                <w:lang w:val="en-US" w:eastAsia="zh-CN"/>
              </w:rPr>
              <w:t>4、与其他环保相关政策相符性分析</w:t>
            </w:r>
          </w:p>
          <w:p w14:paraId="420F8C4C">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（1）与《关于印发〈重点行业挥发性有机物综合治理方案〉的通知》（环大气〔2019〕53号）的相符性分析</w:t>
            </w:r>
          </w:p>
          <w:p w14:paraId="12D79C18">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ascii="宋体" w:hAnsi="宋体" w:cs="宋体"/>
                <w:b/>
                <w:bCs/>
                <w:kern w:val="0"/>
                <w:sz w:val="22"/>
                <w:szCs w:val="22"/>
                <w:lang w:val="en-US" w:eastAsia="zh-CN"/>
              </w:rPr>
            </w:pPr>
            <w:r>
              <w:rPr>
                <w:rFonts w:hint="eastAsia" w:ascii="宋体" w:hAnsi="宋体" w:eastAsia="宋体" w:cs="宋体"/>
                <w:b/>
                <w:bCs/>
                <w:kern w:val="0"/>
                <w:sz w:val="22"/>
                <w:szCs w:val="22"/>
                <w:lang w:val="en-US" w:eastAsia="zh-CN"/>
              </w:rPr>
              <w:t>表1-</w:t>
            </w:r>
            <w:r>
              <w:rPr>
                <w:rFonts w:hint="eastAsia" w:ascii="宋体" w:hAnsi="宋体" w:cs="宋体"/>
                <w:b/>
                <w:bCs/>
                <w:kern w:val="0"/>
                <w:sz w:val="22"/>
                <w:szCs w:val="22"/>
                <w:lang w:val="en-US" w:eastAsia="zh-CN"/>
              </w:rPr>
              <w:t>3</w:t>
            </w:r>
            <w:r>
              <w:rPr>
                <w:rFonts w:hint="eastAsia" w:ascii="宋体" w:hAnsi="宋体" w:eastAsia="宋体" w:cs="宋体"/>
                <w:b/>
                <w:bCs/>
                <w:kern w:val="0"/>
                <w:sz w:val="22"/>
                <w:szCs w:val="22"/>
                <w:lang w:val="en-US" w:eastAsia="zh-CN"/>
              </w:rPr>
              <w:t xml:space="preserve">  与环大气〔2019〕53号相符性分析一览表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547"/>
              <w:gridCol w:w="1692"/>
              <w:gridCol w:w="648"/>
            </w:tblGrid>
            <w:tr w14:paraId="4CFC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547" w:type="dxa"/>
                  <w:vAlign w:val="center"/>
                </w:tcPr>
                <w:p w14:paraId="1435CE69">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eastAsia="zh-CN"/>
                    </w:rPr>
                    <w:t>文件相关内容</w:t>
                  </w:r>
                </w:p>
              </w:tc>
              <w:tc>
                <w:tcPr>
                  <w:tcW w:w="1692" w:type="dxa"/>
                  <w:vAlign w:val="center"/>
                </w:tcPr>
                <w:p w14:paraId="20297A0A">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本项目情况</w:t>
                  </w:r>
                </w:p>
              </w:tc>
              <w:tc>
                <w:tcPr>
                  <w:tcW w:w="648" w:type="dxa"/>
                  <w:vAlign w:val="center"/>
                </w:tcPr>
                <w:p w14:paraId="0D593772">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相符性</w:t>
                  </w:r>
                </w:p>
              </w:tc>
            </w:tr>
            <w:tr w14:paraId="0E6F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547" w:type="dxa"/>
                  <w:vAlign w:val="center"/>
                </w:tcPr>
                <w:p w14:paraId="714570F5">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化工行业要推广使用低</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无</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VOC</w:t>
                  </w:r>
                  <w:r>
                    <w:rPr>
                      <w:rFonts w:hint="eastAsia" w:cs="Times New Roman"/>
                      <w:sz w:val="22"/>
                      <w:szCs w:val="22"/>
                      <w:lang w:val="en-US" w:eastAsia="zh-CN"/>
                    </w:rPr>
                    <w:t>s</w:t>
                  </w:r>
                  <w:r>
                    <w:rPr>
                      <w:rFonts w:hint="eastAsia" w:ascii="Times New Roman" w:hAnsi="Times New Roman" w:eastAsia="宋体" w:cs="Times New Roman"/>
                      <w:sz w:val="22"/>
                      <w:szCs w:val="22"/>
                      <w:lang w:val="en-US" w:eastAsia="zh-CN"/>
                    </w:rPr>
                    <w:t>含量、低反应活性的原辅材料，加快对芳香烃、含卤素有机化合物的绿色替代。企业应大力推广使用低VOC</w:t>
                  </w:r>
                  <w:r>
                    <w:rPr>
                      <w:rFonts w:hint="eastAsia" w:cs="Times New Roman"/>
                      <w:sz w:val="22"/>
                      <w:szCs w:val="22"/>
                      <w:lang w:val="en-US" w:eastAsia="zh-CN"/>
                    </w:rPr>
                    <w:t>s</w:t>
                  </w:r>
                  <w:r>
                    <w:rPr>
                      <w:rFonts w:hint="eastAsia" w:ascii="Times New Roman" w:hAnsi="Times New Roman" w:eastAsia="宋体" w:cs="Times New Roman"/>
                      <w:sz w:val="22"/>
                      <w:szCs w:val="22"/>
                      <w:lang w:val="en-US" w:eastAsia="zh-CN"/>
                    </w:rPr>
                    <w:t>含量木器涂料、车辆涂料、机械设备涂料、集装箱涂料以及建筑物和构筑物防护涂料等，在技术成熟的行业，推广使用低VOC</w:t>
                  </w:r>
                  <w:r>
                    <w:rPr>
                      <w:rFonts w:hint="eastAsia" w:cs="Times New Roman"/>
                      <w:sz w:val="22"/>
                      <w:szCs w:val="22"/>
                      <w:lang w:val="en-US" w:eastAsia="zh-CN"/>
                    </w:rPr>
                    <w:t>s</w:t>
                  </w:r>
                  <w:r>
                    <w:rPr>
                      <w:rFonts w:hint="eastAsia" w:ascii="Times New Roman" w:hAnsi="Times New Roman" w:eastAsia="宋体" w:cs="Times New Roman"/>
                      <w:sz w:val="22"/>
                      <w:szCs w:val="22"/>
                      <w:lang w:val="en-US" w:eastAsia="zh-CN"/>
                    </w:rPr>
                    <w:t>含量油墨和胶粘剂，重点区域到2020年年底前基本完成。鼓励加快低VOCs含量涂料、油墨、胶粘剂等研发和生产</w:t>
                  </w:r>
                </w:p>
              </w:tc>
              <w:tc>
                <w:tcPr>
                  <w:tcW w:w="1692" w:type="dxa"/>
                  <w:vAlign w:val="center"/>
                </w:tcPr>
                <w:p w14:paraId="595C5D8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本项目使用的</w:t>
                  </w:r>
                  <w:r>
                    <w:rPr>
                      <w:rFonts w:hint="eastAsia" w:cs="Times New Roman"/>
                      <w:sz w:val="22"/>
                      <w:szCs w:val="22"/>
                      <w:lang w:val="en-US" w:eastAsia="zh-CN"/>
                    </w:rPr>
                    <w:t>油漆符合《低挥发性有机化合物含量涂料产品技术要求》（GBT38597-2020），因为本项目产品的特殊工作环境，经过协会论证（详见附件11），暂时无法使用</w:t>
                  </w:r>
                  <w:r>
                    <w:rPr>
                      <w:rFonts w:hint="eastAsia" w:ascii="Times New Roman" w:hAnsi="Times New Roman" w:eastAsia="宋体" w:cs="Times New Roman"/>
                      <w:sz w:val="22"/>
                      <w:szCs w:val="22"/>
                      <w:lang w:val="en-US" w:eastAsia="zh-CN"/>
                    </w:rPr>
                    <w:t>水性、粉末</w:t>
                  </w:r>
                  <w:r>
                    <w:rPr>
                      <w:rFonts w:hint="eastAsia" w:cs="Times New Roman"/>
                      <w:sz w:val="22"/>
                      <w:szCs w:val="22"/>
                      <w:lang w:val="en-US" w:eastAsia="zh-CN"/>
                    </w:rPr>
                    <w:t>等</w:t>
                  </w:r>
                  <w:r>
                    <w:rPr>
                      <w:rFonts w:hint="eastAsia" w:ascii="Times New Roman" w:hAnsi="Times New Roman" w:eastAsia="宋体" w:cs="Times New Roman"/>
                      <w:sz w:val="22"/>
                      <w:szCs w:val="22"/>
                      <w:lang w:val="en-US" w:eastAsia="zh-CN"/>
                    </w:rPr>
                    <w:t>低VOCs含量的涂料</w:t>
                  </w:r>
                  <w:r>
                    <w:rPr>
                      <w:rFonts w:hint="eastAsia" w:cs="Times New Roman"/>
                      <w:sz w:val="22"/>
                      <w:szCs w:val="22"/>
                      <w:lang w:val="en-US" w:eastAsia="zh-CN"/>
                    </w:rPr>
                    <w:t>进行替代。</w:t>
                  </w:r>
                </w:p>
              </w:tc>
              <w:tc>
                <w:tcPr>
                  <w:tcW w:w="648" w:type="dxa"/>
                  <w:vAlign w:val="center"/>
                </w:tcPr>
                <w:p w14:paraId="7D38BA92">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664F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547" w:type="dxa"/>
                  <w:vAlign w:val="center"/>
                </w:tcPr>
                <w:p w14:paraId="2C187651">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全面加强无组织排放控制。重点对含VOCs物料</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包括含VOCs原辅材料、含VOCs产品、含VOCs废料以及有机聚合物材料等</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储存、转移和输送、设备与管线组件泄漏、敞开液面逸散以及工艺过程等五类排放源实施管控，通过采取设备与场所密闭、工艺改进、废气有效收集等措施，削减VOCs无组织排放</w:t>
                  </w:r>
                  <w:r>
                    <w:rPr>
                      <w:rFonts w:hint="eastAsia" w:cs="Times New Roman"/>
                      <w:sz w:val="22"/>
                      <w:szCs w:val="22"/>
                      <w:lang w:val="en-US" w:eastAsia="zh-C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692" w:type="dxa"/>
                  <w:vAlign w:val="center"/>
                </w:tcPr>
                <w:p w14:paraId="493AF93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刷漆晾干</w:t>
                  </w:r>
                  <w:r>
                    <w:rPr>
                      <w:rFonts w:hint="eastAsia" w:ascii="Times New Roman" w:hAnsi="Times New Roman" w:eastAsia="宋体" w:cs="Times New Roman"/>
                      <w:sz w:val="22"/>
                      <w:szCs w:val="22"/>
                      <w:lang w:val="en-US" w:eastAsia="zh-CN"/>
                    </w:rPr>
                    <w:t>废气采取</w:t>
                  </w:r>
                  <w:r>
                    <w:rPr>
                      <w:rFonts w:hint="eastAsia" w:cs="Times New Roman"/>
                      <w:sz w:val="22"/>
                      <w:szCs w:val="22"/>
                      <w:lang w:val="en-US" w:eastAsia="zh-CN"/>
                    </w:rPr>
                    <w:t>空间</w:t>
                  </w:r>
                  <w:r>
                    <w:rPr>
                      <w:rFonts w:hint="eastAsia" w:ascii="Times New Roman" w:hAnsi="Times New Roman" w:eastAsia="宋体" w:cs="Times New Roman"/>
                      <w:sz w:val="22"/>
                      <w:szCs w:val="22"/>
                      <w:lang w:val="en-US" w:eastAsia="zh-CN"/>
                    </w:rPr>
                    <w:t>封闭</w:t>
                  </w:r>
                  <w:r>
                    <w:rPr>
                      <w:rFonts w:hint="eastAsia" w:cs="Times New Roman"/>
                      <w:sz w:val="22"/>
                      <w:szCs w:val="22"/>
                      <w:lang w:val="en-US" w:eastAsia="zh-CN"/>
                    </w:rPr>
                    <w:t>+管道负压收集，</w:t>
                  </w:r>
                  <w:r>
                    <w:rPr>
                      <w:rFonts w:hint="eastAsia" w:ascii="Times New Roman" w:hAnsi="Times New Roman" w:eastAsia="宋体" w:cs="Times New Roman"/>
                      <w:sz w:val="22"/>
                      <w:szCs w:val="22"/>
                      <w:lang w:val="en-US" w:eastAsia="zh-CN"/>
                    </w:rPr>
                    <w:t>经</w:t>
                  </w:r>
                  <w:r>
                    <w:rPr>
                      <w:rFonts w:hint="eastAsia" w:cs="Times New Roman"/>
                      <w:sz w:val="22"/>
                      <w:szCs w:val="22"/>
                      <w:lang w:val="en-US" w:eastAsia="zh-CN"/>
                    </w:rPr>
                    <w:t>过滤棉和</w:t>
                  </w:r>
                  <w:r>
                    <w:rPr>
                      <w:rFonts w:hint="eastAsia" w:ascii="Times New Roman" w:hAnsi="Times New Roman" w:eastAsia="宋体" w:cs="Times New Roman"/>
                      <w:sz w:val="22"/>
                      <w:szCs w:val="22"/>
                      <w:lang w:val="en-US" w:eastAsia="zh-CN"/>
                    </w:rPr>
                    <w:t>二级活性炭吸附处理后，尾气通过15m高排气筒排放</w:t>
                  </w:r>
                  <w:r>
                    <w:rPr>
                      <w:rFonts w:hint="eastAsia" w:cs="Times New Roman"/>
                      <w:sz w:val="22"/>
                      <w:szCs w:val="22"/>
                      <w:lang w:val="en-US" w:eastAsia="zh-CN"/>
                    </w:rPr>
                    <w:t>。</w:t>
                  </w:r>
                </w:p>
              </w:tc>
              <w:tc>
                <w:tcPr>
                  <w:tcW w:w="648" w:type="dxa"/>
                  <w:vAlign w:val="center"/>
                </w:tcPr>
                <w:p w14:paraId="2765633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0B02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547" w:type="dxa"/>
                  <w:vAlign w:val="center"/>
                </w:tcPr>
                <w:p w14:paraId="64861AE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692" w:type="dxa"/>
                  <w:vAlign w:val="center"/>
                </w:tcPr>
                <w:p w14:paraId="0BC4EED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w:t>
                  </w:r>
                  <w:r>
                    <w:rPr>
                      <w:rFonts w:hint="eastAsia" w:cs="Times New Roman"/>
                      <w:sz w:val="22"/>
                      <w:szCs w:val="22"/>
                      <w:lang w:val="en-US" w:eastAsia="zh-CN"/>
                    </w:rPr>
                    <w:t>刷漆晾干</w:t>
                  </w:r>
                  <w:r>
                    <w:rPr>
                      <w:rFonts w:hint="eastAsia" w:ascii="Times New Roman" w:hAnsi="Times New Roman" w:eastAsia="宋体" w:cs="Times New Roman"/>
                      <w:sz w:val="22"/>
                      <w:szCs w:val="22"/>
                      <w:lang w:val="en-US" w:eastAsia="zh-CN"/>
                    </w:rPr>
                    <w:t>废气采取</w:t>
                  </w:r>
                  <w:r>
                    <w:rPr>
                      <w:rFonts w:hint="eastAsia" w:cs="Times New Roman"/>
                      <w:sz w:val="22"/>
                      <w:szCs w:val="22"/>
                      <w:lang w:val="en-US" w:eastAsia="zh-CN"/>
                    </w:rPr>
                    <w:t>刷漆房</w:t>
                  </w:r>
                  <w:r>
                    <w:rPr>
                      <w:rFonts w:hint="eastAsia" w:ascii="Times New Roman" w:hAnsi="Times New Roman" w:eastAsia="宋体" w:cs="Times New Roman"/>
                      <w:sz w:val="22"/>
                      <w:szCs w:val="22"/>
                      <w:lang w:val="en-US" w:eastAsia="zh-CN"/>
                    </w:rPr>
                    <w:t>封闭</w:t>
                  </w:r>
                  <w:r>
                    <w:rPr>
                      <w:rFonts w:hint="eastAsia" w:cs="Times New Roman"/>
                      <w:sz w:val="22"/>
                      <w:szCs w:val="22"/>
                      <w:lang w:val="en-US" w:eastAsia="zh-CN"/>
                    </w:rPr>
                    <w:t>+管道负压收集，</w:t>
                  </w:r>
                  <w:r>
                    <w:rPr>
                      <w:rFonts w:hint="eastAsia" w:ascii="Times New Roman" w:hAnsi="Times New Roman" w:eastAsia="宋体" w:cs="Times New Roman"/>
                      <w:sz w:val="22"/>
                      <w:szCs w:val="22"/>
                      <w:lang w:val="en-US" w:eastAsia="zh-CN"/>
                    </w:rPr>
                    <w:t>经</w:t>
                  </w:r>
                  <w:r>
                    <w:rPr>
                      <w:rFonts w:hint="eastAsia" w:cs="Times New Roman"/>
                      <w:sz w:val="22"/>
                      <w:szCs w:val="22"/>
                      <w:lang w:val="en-US" w:eastAsia="zh-CN"/>
                    </w:rPr>
                    <w:t>过滤棉和</w:t>
                  </w:r>
                  <w:r>
                    <w:rPr>
                      <w:rFonts w:hint="eastAsia" w:ascii="Times New Roman" w:hAnsi="Times New Roman" w:eastAsia="宋体" w:cs="Times New Roman"/>
                      <w:sz w:val="22"/>
                      <w:szCs w:val="22"/>
                      <w:lang w:val="en-US" w:eastAsia="zh-CN"/>
                    </w:rPr>
                    <w:t>二级活性炭吸附处理</w:t>
                  </w:r>
                  <w:r>
                    <w:rPr>
                      <w:rFonts w:hint="eastAsia" w:cs="Times New Roman"/>
                      <w:sz w:val="22"/>
                      <w:szCs w:val="22"/>
                      <w:lang w:val="en-US" w:eastAsia="zh-CN"/>
                    </w:rPr>
                    <w:t>。</w:t>
                  </w:r>
                </w:p>
              </w:tc>
              <w:tc>
                <w:tcPr>
                  <w:tcW w:w="648" w:type="dxa"/>
                  <w:vAlign w:val="center"/>
                </w:tcPr>
                <w:p w14:paraId="34C2753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091F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547" w:type="dxa"/>
                  <w:vAlign w:val="center"/>
                </w:tcPr>
                <w:p w14:paraId="5D10492B">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工业涂装VOCs综合治理。加大汽车、家具、集装箱、电子产品、工程机械等行业VOCs治理力度，重点区域应结合本地产业特征，加快实施其他行业涂装VOCs综合治理。强化源头控制，加快使用粉末、水性、高固体分、辐射固化等低VOCs含量的涂料替代溶剂型涂料。重点区域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1692" w:type="dxa"/>
                  <w:vAlign w:val="center"/>
                </w:tcPr>
                <w:p w14:paraId="20AB3B85">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本项目使用的</w:t>
                  </w:r>
                  <w:r>
                    <w:rPr>
                      <w:rFonts w:hint="eastAsia" w:cs="Times New Roman"/>
                      <w:sz w:val="22"/>
                      <w:szCs w:val="22"/>
                      <w:lang w:val="en-US" w:eastAsia="zh-CN"/>
                    </w:rPr>
                    <w:t>油漆符合《低挥发性有机化合物含量涂料产品技术要求》（GBT38597-2020），经过协会论证，暂时无法使用</w:t>
                  </w:r>
                  <w:r>
                    <w:rPr>
                      <w:rFonts w:hint="eastAsia" w:ascii="Times New Roman" w:hAnsi="Times New Roman" w:eastAsia="宋体" w:cs="Times New Roman"/>
                      <w:sz w:val="22"/>
                      <w:szCs w:val="22"/>
                      <w:lang w:val="en-US" w:eastAsia="zh-CN"/>
                    </w:rPr>
                    <w:t>水性、粉末</w:t>
                  </w:r>
                  <w:r>
                    <w:rPr>
                      <w:rFonts w:hint="eastAsia" w:cs="Times New Roman"/>
                      <w:sz w:val="22"/>
                      <w:szCs w:val="22"/>
                      <w:lang w:val="en-US" w:eastAsia="zh-CN"/>
                    </w:rPr>
                    <w:t>等</w:t>
                  </w:r>
                  <w:r>
                    <w:rPr>
                      <w:rFonts w:hint="eastAsia" w:ascii="Times New Roman" w:hAnsi="Times New Roman" w:eastAsia="宋体" w:cs="Times New Roman"/>
                      <w:sz w:val="22"/>
                      <w:szCs w:val="22"/>
                      <w:lang w:val="en-US" w:eastAsia="zh-CN"/>
                    </w:rPr>
                    <w:t>低VOCs含量的涂料</w:t>
                  </w:r>
                  <w:r>
                    <w:rPr>
                      <w:rFonts w:hint="eastAsia" w:cs="Times New Roman"/>
                      <w:sz w:val="22"/>
                      <w:szCs w:val="22"/>
                      <w:lang w:val="en-US" w:eastAsia="zh-CN"/>
                    </w:rPr>
                    <w:t>进行替代。</w:t>
                  </w:r>
                </w:p>
              </w:tc>
              <w:tc>
                <w:tcPr>
                  <w:tcW w:w="648" w:type="dxa"/>
                  <w:vAlign w:val="center"/>
                </w:tcPr>
                <w:p w14:paraId="618B0CD8">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1EAB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547" w:type="dxa"/>
                  <w:vAlign w:val="center"/>
                </w:tcPr>
                <w:p w14:paraId="5574CE34">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　加快推广紧凑式涂装工艺、先进涂装技术和设备。汽车制造整车生产推广使用</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三涂一烘</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两涂一烘</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或免中涂等紧凑型工艺、静电喷涂技术、自动化喷涂设备。汽车金属零配件企业鼓励采用粉末静电喷涂技术。集装箱制造一次打砂工序钢板处理采用辊涂工艺。木质家具推广使用高效的往复式喷涂箱、机械手和静电喷涂技术。板式家具采用喷涂工艺的，推广使用粉末静电喷涂技术；采用溶剂型、辐射固化涂料的，推广使用辊涂、淋涂等工艺。工程机械制造要提高室内涂装比例，鼓励采用自动喷涂、静电喷涂等技术。电子产品制造推广使用静电喷涂等技术。</w:t>
                  </w:r>
                </w:p>
              </w:tc>
              <w:tc>
                <w:tcPr>
                  <w:tcW w:w="1692" w:type="dxa"/>
                  <w:vAlign w:val="center"/>
                </w:tcPr>
                <w:p w14:paraId="2885BE7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本项目产品尺寸较大，暂时无法采用</w:t>
                  </w:r>
                  <w:r>
                    <w:rPr>
                      <w:rFonts w:hint="default" w:ascii="Times New Roman" w:hAnsi="Times New Roman" w:eastAsia="宋体" w:cs="Times New Roman"/>
                      <w:sz w:val="22"/>
                      <w:szCs w:val="22"/>
                      <w:lang w:val="en-US" w:eastAsia="zh-CN"/>
                    </w:rPr>
                    <w:t>自动喷涂、静电喷涂等技术</w:t>
                  </w:r>
                  <w:r>
                    <w:rPr>
                      <w:rFonts w:hint="eastAsia" w:cs="Times New Roman"/>
                      <w:sz w:val="22"/>
                      <w:szCs w:val="22"/>
                      <w:lang w:val="en-US" w:eastAsia="zh-CN"/>
                    </w:rPr>
                    <w:t>。</w:t>
                  </w:r>
                </w:p>
              </w:tc>
              <w:tc>
                <w:tcPr>
                  <w:tcW w:w="648" w:type="dxa"/>
                  <w:vAlign w:val="center"/>
                </w:tcPr>
                <w:p w14:paraId="2D08846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20DE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547" w:type="dxa"/>
                  <w:vAlign w:val="center"/>
                </w:tcPr>
                <w:p w14:paraId="463B194B">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　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tc>
              <w:tc>
                <w:tcPr>
                  <w:tcW w:w="1692" w:type="dxa"/>
                  <w:vAlign w:val="center"/>
                </w:tcPr>
                <w:p w14:paraId="29059404">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油漆涂料在油漆桶内密闭存储，</w:t>
                  </w:r>
                  <w:r>
                    <w:rPr>
                      <w:rFonts w:hint="default" w:ascii="Times New Roman" w:hAnsi="Times New Roman" w:eastAsia="宋体" w:cs="Times New Roman"/>
                      <w:sz w:val="22"/>
                      <w:szCs w:val="22"/>
                      <w:lang w:val="en-US" w:eastAsia="zh-CN"/>
                    </w:rPr>
                    <w:t>调配、使用</w:t>
                  </w:r>
                  <w:r>
                    <w:rPr>
                      <w:rFonts w:hint="eastAsia" w:cs="Times New Roman"/>
                      <w:sz w:val="22"/>
                      <w:szCs w:val="22"/>
                      <w:lang w:val="en-US" w:eastAsia="zh-CN"/>
                    </w:rPr>
                    <w:t>、晾干</w:t>
                  </w:r>
                  <w:r>
                    <w:rPr>
                      <w:rFonts w:hint="default" w:ascii="Times New Roman" w:hAnsi="Times New Roman" w:eastAsia="宋体" w:cs="Times New Roman"/>
                      <w:sz w:val="22"/>
                      <w:szCs w:val="22"/>
                      <w:lang w:val="en-US" w:eastAsia="zh-CN"/>
                    </w:rPr>
                    <w:t>等过程</w:t>
                  </w:r>
                  <w:r>
                    <w:rPr>
                      <w:rFonts w:hint="eastAsia" w:cs="Times New Roman"/>
                      <w:sz w:val="22"/>
                      <w:szCs w:val="22"/>
                      <w:lang w:val="en-US" w:eastAsia="zh-CN"/>
                    </w:rPr>
                    <w:t>均</w:t>
                  </w:r>
                  <w:r>
                    <w:rPr>
                      <w:rFonts w:hint="default" w:ascii="Times New Roman" w:hAnsi="Times New Roman" w:eastAsia="宋体" w:cs="Times New Roman"/>
                      <w:sz w:val="22"/>
                      <w:szCs w:val="22"/>
                      <w:lang w:val="en-US" w:eastAsia="zh-CN"/>
                    </w:rPr>
                    <w:t>在密闭空间内操作</w:t>
                  </w:r>
                  <w:r>
                    <w:rPr>
                      <w:rFonts w:hint="eastAsia" w:cs="Times New Roman"/>
                      <w:sz w:val="22"/>
                      <w:szCs w:val="22"/>
                      <w:lang w:val="en-US" w:eastAsia="zh-CN"/>
                    </w:rPr>
                    <w:t>，产生的废气通过过滤棉和</w:t>
                  </w:r>
                  <w:r>
                    <w:rPr>
                      <w:rFonts w:hint="eastAsia" w:ascii="Times New Roman" w:hAnsi="Times New Roman" w:eastAsia="宋体" w:cs="Times New Roman"/>
                      <w:sz w:val="22"/>
                      <w:szCs w:val="22"/>
                      <w:lang w:val="en-US" w:eastAsia="zh-CN"/>
                    </w:rPr>
                    <w:t>二级活性炭吸附处理</w:t>
                  </w:r>
                  <w:r>
                    <w:rPr>
                      <w:rFonts w:hint="eastAsia" w:cs="Times New Roman"/>
                      <w:sz w:val="22"/>
                      <w:szCs w:val="22"/>
                      <w:lang w:val="en-US" w:eastAsia="zh-CN"/>
                    </w:rPr>
                    <w:t>。</w:t>
                  </w:r>
                </w:p>
              </w:tc>
              <w:tc>
                <w:tcPr>
                  <w:tcW w:w="648" w:type="dxa"/>
                  <w:vAlign w:val="center"/>
                </w:tcPr>
                <w:p w14:paraId="40ED47C3">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7420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547" w:type="dxa"/>
                  <w:vAlign w:val="center"/>
                </w:tcPr>
                <w:p w14:paraId="2DD136D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　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1692" w:type="dxa"/>
                  <w:vAlign w:val="center"/>
                </w:tcPr>
                <w:p w14:paraId="7A0B131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刷漆晾干废气采用过滤棉和</w:t>
                  </w:r>
                  <w:r>
                    <w:rPr>
                      <w:rFonts w:hint="eastAsia" w:ascii="Times New Roman" w:hAnsi="Times New Roman" w:eastAsia="宋体" w:cs="Times New Roman"/>
                      <w:sz w:val="22"/>
                      <w:szCs w:val="22"/>
                      <w:lang w:val="en-US" w:eastAsia="zh-CN"/>
                    </w:rPr>
                    <w:t>二级活性炭吸附处理</w:t>
                  </w:r>
                  <w:r>
                    <w:rPr>
                      <w:rFonts w:hint="eastAsia" w:cs="Times New Roman"/>
                      <w:sz w:val="22"/>
                      <w:szCs w:val="22"/>
                      <w:lang w:val="en-US" w:eastAsia="zh-CN"/>
                    </w:rPr>
                    <w:t>。</w:t>
                  </w:r>
                </w:p>
              </w:tc>
              <w:tc>
                <w:tcPr>
                  <w:tcW w:w="648" w:type="dxa"/>
                  <w:vAlign w:val="center"/>
                </w:tcPr>
                <w:p w14:paraId="7E15A9E3">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bl>
          <w:p w14:paraId="4989998C">
            <w:pPr>
              <w:bidi w:val="0"/>
              <w:rPr>
                <w:rFonts w:hint="eastAsia"/>
                <w:lang w:val="en-US" w:eastAsia="zh-CN"/>
              </w:rPr>
            </w:pPr>
          </w:p>
          <w:p w14:paraId="50756A8B">
            <w:pPr>
              <w:autoSpaceDE w:val="0"/>
              <w:autoSpaceDN w:val="0"/>
              <w:adjustRightInd w:val="0"/>
              <w:snapToGrid w:val="0"/>
              <w:spacing w:line="360" w:lineRule="auto"/>
              <w:ind w:firstLine="480" w:firstLineChars="200"/>
              <w:jc w:val="both"/>
              <w:rPr>
                <w:rFonts w:hint="default" w:ascii="宋体" w:hAnsi="宋体" w:cs="宋体"/>
                <w:kern w:val="0"/>
                <w:sz w:val="24"/>
                <w:szCs w:val="24"/>
                <w:lang w:val="en-US" w:eastAsia="zh-CN"/>
              </w:rPr>
            </w:pPr>
            <w:r>
              <w:rPr>
                <w:rFonts w:hint="eastAsia"/>
                <w:color w:val="000000"/>
                <w:kern w:val="0"/>
                <w:sz w:val="24"/>
                <w:lang w:val="en-US" w:eastAsia="zh-CN"/>
              </w:rPr>
              <w:t>（2）与《淮北市生态环境局关于印发〈淮北市生态环境保护“十四五”规划〉的通知》（淮环〔2022〕1号）相符性分析</w:t>
            </w:r>
          </w:p>
          <w:p w14:paraId="55B61B4F">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default" w:ascii="宋体" w:hAnsi="宋体" w:cs="宋体"/>
                <w:b/>
                <w:bCs/>
                <w:kern w:val="0"/>
                <w:sz w:val="22"/>
                <w:szCs w:val="22"/>
                <w:lang w:val="en-US" w:eastAsia="zh-CN"/>
              </w:rPr>
            </w:pPr>
            <w:r>
              <w:rPr>
                <w:rFonts w:hint="eastAsia" w:ascii="宋体" w:hAnsi="宋体" w:eastAsia="宋体" w:cs="宋体"/>
                <w:b/>
                <w:bCs/>
                <w:kern w:val="0"/>
                <w:sz w:val="22"/>
                <w:szCs w:val="22"/>
                <w:lang w:val="en-US" w:eastAsia="zh-CN"/>
              </w:rPr>
              <w:t>表1-</w:t>
            </w:r>
            <w:r>
              <w:rPr>
                <w:rFonts w:hint="eastAsia" w:ascii="宋体" w:hAnsi="宋体" w:cs="宋体"/>
                <w:b/>
                <w:bCs/>
                <w:kern w:val="0"/>
                <w:sz w:val="22"/>
                <w:szCs w:val="22"/>
                <w:lang w:val="en-US" w:eastAsia="zh-CN"/>
              </w:rPr>
              <w:t>4</w:t>
            </w:r>
            <w:r>
              <w:rPr>
                <w:rFonts w:hint="eastAsia" w:ascii="宋体" w:hAnsi="宋体" w:eastAsia="宋体" w:cs="宋体"/>
                <w:b/>
                <w:bCs/>
                <w:kern w:val="0"/>
                <w:sz w:val="22"/>
                <w:szCs w:val="22"/>
                <w:lang w:val="en-US" w:eastAsia="zh-CN"/>
              </w:rPr>
              <w:t xml:space="preserve">  与淮环〔2022〕1号相符性分析一览表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415"/>
              <w:gridCol w:w="1704"/>
              <w:gridCol w:w="768"/>
            </w:tblGrid>
            <w:tr w14:paraId="1C17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3B78361D">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eastAsia="zh-CN"/>
                    </w:rPr>
                    <w:t>文件相关内容</w:t>
                  </w:r>
                </w:p>
              </w:tc>
              <w:tc>
                <w:tcPr>
                  <w:tcW w:w="1704" w:type="dxa"/>
                  <w:vAlign w:val="center"/>
                </w:tcPr>
                <w:p w14:paraId="1A3FE5F7">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本项目情况</w:t>
                  </w:r>
                </w:p>
              </w:tc>
              <w:tc>
                <w:tcPr>
                  <w:tcW w:w="768" w:type="dxa"/>
                  <w:vAlign w:val="center"/>
                </w:tcPr>
                <w:p w14:paraId="379759F0">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是否符合</w:t>
                  </w:r>
                </w:p>
              </w:tc>
            </w:tr>
            <w:tr w14:paraId="2F42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1C5865FA">
                  <w:pPr>
                    <w:autoSpaceDE w:val="0"/>
                    <w:autoSpaceDN w:val="0"/>
                    <w:adjustRightInd w:val="0"/>
                    <w:snapToGrid w:val="0"/>
                    <w:spacing w:line="240" w:lineRule="auto"/>
                    <w:jc w:val="left"/>
                    <w:rPr>
                      <w:rFonts w:hint="default" w:ascii="Times New Roman" w:hAnsi="Times New Roman" w:eastAsia="宋体" w:cs="Times New Roman"/>
                      <w:sz w:val="22"/>
                      <w:szCs w:val="22"/>
                      <w:lang w:val="en-US" w:eastAsia="zh-CN"/>
                    </w:rPr>
                  </w:pPr>
                  <w:r>
                    <w:rPr>
                      <w:rFonts w:hint="eastAsia" w:cs="Times New Roman"/>
                      <w:sz w:val="22"/>
                      <w:szCs w:val="22"/>
                      <w:lang w:val="en-US" w:eastAsia="zh-CN"/>
                    </w:rPr>
                    <w:t>1.深入打好蓝天碧水净土保卫战</w:t>
                  </w:r>
                </w:p>
              </w:tc>
            </w:tr>
            <w:tr w14:paraId="3096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1D7F50A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深入开展锅炉综合整治，全面淘汰35蒸吨/小时以下燃煤锅炉，持续开展燃气锅炉低氮改造和建成区生物质锅炉超低排放改造或淘汰。城市建成区原则上不再新建每小时65蒸吨以下的燃煤锅炉，65蒸吨/小时及以上燃煤锅炉完成超低排放改造，主要污染物排放达到超低排放标准要求，安装大气污染源自动监控设备，并与省、市生态环境部门联网。进一步深化工业炉窑大气污染综合治理，基本完成使用高污染燃料的燃料类工业炉窑清洁能源替代，深化实施玻璃、陶瓷、砖瓦、铸造等行业治理，严格控制物料储存、输送及生产工艺过程无组织排放。以石化、化工、包装印刷、油品储运销为重点，深化VOCs治理。大力推进重点行业低VOCs原辅材料源头替代，加强VOCs无组织排放控制，推进建设适宜高效的末端治理设施。进一步提升工业园区大气环境管理水平。</w:t>
                  </w:r>
                </w:p>
              </w:tc>
              <w:tc>
                <w:tcPr>
                  <w:tcW w:w="1704" w:type="dxa"/>
                  <w:vAlign w:val="center"/>
                </w:tcPr>
                <w:p w14:paraId="328DC868">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本项目不涉及锅炉，油漆的</w:t>
                  </w:r>
                  <w:r>
                    <w:rPr>
                      <w:rFonts w:hint="default" w:ascii="Times New Roman" w:hAnsi="Times New Roman" w:eastAsia="宋体" w:cs="Times New Roman"/>
                      <w:sz w:val="22"/>
                      <w:szCs w:val="22"/>
                      <w:lang w:val="en-US" w:eastAsia="zh-CN"/>
                    </w:rPr>
                    <w:t>调配、使用</w:t>
                  </w:r>
                  <w:r>
                    <w:rPr>
                      <w:rFonts w:hint="eastAsia" w:cs="Times New Roman"/>
                      <w:sz w:val="22"/>
                      <w:szCs w:val="22"/>
                      <w:lang w:val="en-US" w:eastAsia="zh-CN"/>
                    </w:rPr>
                    <w:t>、晾干</w:t>
                  </w:r>
                  <w:r>
                    <w:rPr>
                      <w:rFonts w:hint="default" w:ascii="Times New Roman" w:hAnsi="Times New Roman" w:eastAsia="宋体" w:cs="Times New Roman"/>
                      <w:sz w:val="22"/>
                      <w:szCs w:val="22"/>
                      <w:lang w:val="en-US" w:eastAsia="zh-CN"/>
                    </w:rPr>
                    <w:t>等过程</w:t>
                  </w:r>
                  <w:r>
                    <w:rPr>
                      <w:rFonts w:hint="eastAsia" w:cs="Times New Roman"/>
                      <w:sz w:val="22"/>
                      <w:szCs w:val="22"/>
                      <w:lang w:val="en-US" w:eastAsia="zh-CN"/>
                    </w:rPr>
                    <w:t>均</w:t>
                  </w:r>
                  <w:r>
                    <w:rPr>
                      <w:rFonts w:hint="default" w:ascii="Times New Roman" w:hAnsi="Times New Roman" w:eastAsia="宋体" w:cs="Times New Roman"/>
                      <w:sz w:val="22"/>
                      <w:szCs w:val="22"/>
                      <w:lang w:val="en-US" w:eastAsia="zh-CN"/>
                    </w:rPr>
                    <w:t>在密闭空间内操作</w:t>
                  </w:r>
                  <w:r>
                    <w:rPr>
                      <w:rFonts w:hint="eastAsia" w:cs="Times New Roman"/>
                      <w:sz w:val="22"/>
                      <w:szCs w:val="22"/>
                      <w:lang w:val="en-US" w:eastAsia="zh-CN"/>
                    </w:rPr>
                    <w:t>，产生的废气通过过滤棉和</w:t>
                  </w:r>
                  <w:r>
                    <w:rPr>
                      <w:rFonts w:hint="eastAsia" w:ascii="Times New Roman" w:hAnsi="Times New Roman" w:eastAsia="宋体" w:cs="Times New Roman"/>
                      <w:sz w:val="22"/>
                      <w:szCs w:val="22"/>
                      <w:lang w:val="en-US" w:eastAsia="zh-CN"/>
                    </w:rPr>
                    <w:t>二级活性炭吸附处理</w:t>
                  </w:r>
                  <w:r>
                    <w:rPr>
                      <w:rFonts w:hint="eastAsia" w:cs="Times New Roman"/>
                      <w:sz w:val="22"/>
                      <w:szCs w:val="22"/>
                      <w:lang w:val="en-US" w:eastAsia="zh-CN"/>
                    </w:rPr>
                    <w:t>。</w:t>
                  </w:r>
                </w:p>
              </w:tc>
              <w:tc>
                <w:tcPr>
                  <w:tcW w:w="768" w:type="dxa"/>
                  <w:vAlign w:val="center"/>
                </w:tcPr>
                <w:p w14:paraId="0D331C5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2B35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6361D54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推进移动源污染防治。强化源头管控，严格新销售机动车和非道路移动机械环保达标监管，对新注册登记柴油车开展排放检验，确保新车、新机械环保达标。淘汰国III及以下老旧柴油火车，推进重型柴油车远程排放在线监管（OBD系统），基本消除柴油货车和工程机械冒黑烟现象，基本完成非道路移动机械编码登记和上牌，推广使用新能源和清洁能源非道路移动机械。出台高污染非道路移动机械污染治理工作方案，划定并公布禁止使用高排放非道路移动机械的控制区域。严格执行油品质量标准，加强车用油品、车用尿素、船用燃料油的监管。2025年底前，年销售汽油量大于5000吨的加油站，安装油气回收自动监控设备并与生态环境部门联网。严厉打击黑加油站和非法流动加油车。</w:t>
                  </w:r>
                </w:p>
              </w:tc>
              <w:tc>
                <w:tcPr>
                  <w:tcW w:w="1704" w:type="dxa"/>
                  <w:vAlign w:val="center"/>
                </w:tcPr>
                <w:p w14:paraId="3A2F5603">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本项目生产区内使用车辆均符合《非道路移动机械管控要求》</w:t>
                  </w:r>
                  <w:r>
                    <w:rPr>
                      <w:rFonts w:hint="eastAsia" w:cs="Times New Roman"/>
                      <w:sz w:val="22"/>
                      <w:szCs w:val="22"/>
                      <w:lang w:val="en-US" w:eastAsia="zh-CN"/>
                    </w:rPr>
                    <w:t>。</w:t>
                  </w:r>
                </w:p>
              </w:tc>
              <w:tc>
                <w:tcPr>
                  <w:tcW w:w="768" w:type="dxa"/>
                  <w:vAlign w:val="center"/>
                </w:tcPr>
                <w:p w14:paraId="31DCC7A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2604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1C98B5B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其他污染治理。积极开展消耗臭氧层物质（ODS）管理工作，落实ODS申报登记、核查和监管制度，加大执法检查力度，打击违法违规行为。全面开展臭气异味源的排查工作，组织实施工业臭气异味治理。督促涉臭气异味企业采取封闭、加盖等收集处理措施，提高臭气废气收集率和处理率，显著减少工业臭气异味的排放。加强生活垃圾臭气处理，采取有效防臭除臭措施，提升生活垃圾处理各环节恶臭治理水平。加强污水处理厂和泵站臭气异味控制。强化餐饮污染排放监管，大中型餐饮项目须安装油烟在线自动监控设施，督促餐饮单位每季度对油烟净化设施进行维护保养，加强餐饮服务场所检测与督查。全面禁止露天生物质燃烧，纳入网格管理，开展露天焚烧巡查。</w:t>
                  </w:r>
                </w:p>
              </w:tc>
              <w:tc>
                <w:tcPr>
                  <w:tcW w:w="1704" w:type="dxa"/>
                  <w:vAlign w:val="center"/>
                </w:tcPr>
                <w:p w14:paraId="11FDB128">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w:t>
                  </w:r>
                  <w:r>
                    <w:rPr>
                      <w:rFonts w:hint="eastAsia" w:cs="Times New Roman"/>
                      <w:sz w:val="22"/>
                      <w:szCs w:val="22"/>
                      <w:lang w:val="en-US" w:eastAsia="zh-CN"/>
                    </w:rPr>
                    <w:t>生活垃圾委托环卫部门定期清理，油烟废气经过油烟机过滤以后有组织排放，刷漆晾干废气采取空间密闭+过滤棉+二级活性炭处理。</w:t>
                  </w:r>
                </w:p>
              </w:tc>
              <w:tc>
                <w:tcPr>
                  <w:tcW w:w="768" w:type="dxa"/>
                  <w:vAlign w:val="center"/>
                </w:tcPr>
                <w:p w14:paraId="23CFEF96">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76D2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71F93EC8">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2.完善环境风险防控管理体系</w:t>
                  </w:r>
                </w:p>
              </w:tc>
            </w:tr>
            <w:tr w14:paraId="59F6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75C0732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推进风险全过程监管。强化企业环境风险主体责任，督促企业开展环境风险隐患排查并建立档案。抓好重点行业企业和重点区域的环境风险评估工作，实施环境风险分级管理，持续推进企业、园区、行政区域的三级防控体系。建立企业突发环境事件报告与应急处理制度、特征污染物监测报告等制度，探索建立建设项目验收与企业环境应急预案备案的联动机制，推广“标杆式”、“卡片式”预案管理模式。严格源头防控、深化过程监管，严厉打击污染治理设施不规范、不运行、偷排、漏排等行为，强化责任追究，将环境风险防范纳入到日常环境管理。</w:t>
                  </w:r>
                </w:p>
              </w:tc>
              <w:tc>
                <w:tcPr>
                  <w:tcW w:w="1704" w:type="dxa"/>
                  <w:vAlign w:val="center"/>
                </w:tcPr>
                <w:p w14:paraId="454CBCB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建设单位已编制《突发环境事件应急预案》并于2024年9月30日完成在主管部门的备案工作。本次环评要求重新修订应急预案并备案，定期进行应急预案的演练。</w:t>
                  </w:r>
                </w:p>
              </w:tc>
              <w:tc>
                <w:tcPr>
                  <w:tcW w:w="768" w:type="dxa"/>
                  <w:vAlign w:val="center"/>
                </w:tcPr>
                <w:p w14:paraId="16E00A79">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60F1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2E355AEB">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3.加强风险源管理和重点行业风险防控</w:t>
                  </w:r>
                </w:p>
              </w:tc>
            </w:tr>
            <w:tr w14:paraId="3569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6117A0A2">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加强环境风险源管理。加强环境风险源分类管控，重点加强危险化学品、危险废物、含重金属、放射源等环境风险源监控。加强突出类别危险废物的安全处置，开展危险废物产生和经营单位规范化整治。强化涉重金属风险源管理。加大日常监管力度，防范有毒有害危险品企业违法排污，降低环境风险。</w:t>
                  </w:r>
                </w:p>
              </w:tc>
              <w:tc>
                <w:tcPr>
                  <w:tcW w:w="1704" w:type="dxa"/>
                  <w:vAlign w:val="center"/>
                </w:tcPr>
                <w:p w14:paraId="0142522B">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w:t>
                  </w:r>
                  <w:r>
                    <w:rPr>
                      <w:rFonts w:hint="eastAsia" w:cs="Times New Roman"/>
                      <w:sz w:val="22"/>
                      <w:szCs w:val="22"/>
                      <w:lang w:val="en-US" w:eastAsia="zh-CN"/>
                    </w:rPr>
                    <w:t>已建设</w:t>
                  </w:r>
                  <w:r>
                    <w:rPr>
                      <w:rFonts w:hint="default" w:ascii="Times New Roman" w:hAnsi="Times New Roman" w:eastAsia="宋体" w:cs="Times New Roman"/>
                      <w:sz w:val="22"/>
                      <w:szCs w:val="22"/>
                      <w:lang w:val="en-US" w:eastAsia="zh-CN"/>
                    </w:rPr>
                    <w:t>符合要求的危险废物</w:t>
                  </w:r>
                  <w:r>
                    <w:rPr>
                      <w:rFonts w:hint="eastAsia" w:cs="Times New Roman"/>
                      <w:sz w:val="22"/>
                      <w:szCs w:val="22"/>
                      <w:lang w:val="en-US" w:eastAsia="zh-CN"/>
                    </w:rPr>
                    <w:t>暂存间</w:t>
                  </w:r>
                  <w:r>
                    <w:rPr>
                      <w:rFonts w:hint="default" w:ascii="Times New Roman" w:hAnsi="Times New Roman" w:eastAsia="宋体" w:cs="Times New Roman"/>
                      <w:sz w:val="22"/>
                      <w:szCs w:val="22"/>
                      <w:lang w:val="en-US" w:eastAsia="zh-CN"/>
                    </w:rPr>
                    <w:t>，并</w:t>
                  </w:r>
                  <w:r>
                    <w:rPr>
                      <w:rFonts w:hint="eastAsia" w:cs="Times New Roman"/>
                      <w:sz w:val="22"/>
                      <w:szCs w:val="22"/>
                      <w:lang w:val="en-US" w:eastAsia="zh-CN"/>
                    </w:rPr>
                    <w:t>按要求记录</w:t>
                  </w:r>
                  <w:r>
                    <w:rPr>
                      <w:rFonts w:hint="default" w:ascii="Times New Roman" w:hAnsi="Times New Roman" w:eastAsia="宋体" w:cs="Times New Roman"/>
                      <w:sz w:val="22"/>
                      <w:szCs w:val="22"/>
                      <w:lang w:val="en-US" w:eastAsia="zh-CN"/>
                    </w:rPr>
                    <w:t>危废转移联单</w:t>
                  </w:r>
                  <w:r>
                    <w:rPr>
                      <w:rFonts w:hint="eastAsia" w:cs="Times New Roman"/>
                      <w:sz w:val="22"/>
                      <w:szCs w:val="22"/>
                      <w:lang w:val="en-US" w:eastAsia="zh-CN"/>
                    </w:rPr>
                    <w:t>。</w:t>
                  </w:r>
                </w:p>
              </w:tc>
              <w:tc>
                <w:tcPr>
                  <w:tcW w:w="768" w:type="dxa"/>
                  <w:vAlign w:val="center"/>
                </w:tcPr>
                <w:p w14:paraId="5CA33A6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7B16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57A9137F">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4.强化固体废物安全处理处置</w:t>
                  </w:r>
                </w:p>
              </w:tc>
            </w:tr>
            <w:tr w14:paraId="3429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58663642">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加强危险废物安全处置。加快实施危险废物处置工程，提升危险废物安全处置能力。严格落实申报登记和经营许可管理，规范危险废物处理处置市场，严禁无证经营和超范围经营，确保各类危险废物的安全处理处置。实施危险废物转移联单管理，采取密封、防水等措施防止收集运输过程造成环境污染。继续强化医疗废物管理工作，开展危险废物和危险化学品污染事故应急能力建设，防范环境污染风险。以提高危险废物资源化利用水平为重点，完善危险废物运输、转运和处理机制，杜绝危险废物混入一般工业固体废物或生活垃圾进行处理处置的现象，培育技术先进、综合利用水平高、环境治理设施完善的危险废物持证经营单位，加强危险废物资源化利用，确保危险废物安全处置利用率达到100%。完善危险废物管理台帐、转移联单等管理制度，提高危险废物收集、运输、处理处置的全过程信息化管理水平。</w:t>
                  </w:r>
                </w:p>
              </w:tc>
              <w:tc>
                <w:tcPr>
                  <w:tcW w:w="1704" w:type="dxa"/>
                  <w:vAlign w:val="center"/>
                </w:tcPr>
                <w:p w14:paraId="50F4402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w:t>
                  </w:r>
                  <w:r>
                    <w:rPr>
                      <w:rFonts w:hint="eastAsia" w:cs="Times New Roman"/>
                      <w:sz w:val="22"/>
                      <w:szCs w:val="22"/>
                      <w:lang w:val="en-US" w:eastAsia="zh-CN"/>
                    </w:rPr>
                    <w:t>已建设</w:t>
                  </w:r>
                  <w:r>
                    <w:rPr>
                      <w:rFonts w:hint="default" w:ascii="Times New Roman" w:hAnsi="Times New Roman" w:eastAsia="宋体" w:cs="Times New Roman"/>
                      <w:sz w:val="22"/>
                      <w:szCs w:val="22"/>
                      <w:lang w:val="en-US" w:eastAsia="zh-CN"/>
                    </w:rPr>
                    <w:t>符合要求的危险废物</w:t>
                  </w:r>
                  <w:r>
                    <w:rPr>
                      <w:rFonts w:hint="eastAsia" w:cs="Times New Roman"/>
                      <w:sz w:val="22"/>
                      <w:szCs w:val="22"/>
                      <w:lang w:val="en-US" w:eastAsia="zh-CN"/>
                    </w:rPr>
                    <w:t>暂存间</w:t>
                  </w:r>
                  <w:r>
                    <w:rPr>
                      <w:rFonts w:hint="default" w:ascii="Times New Roman" w:hAnsi="Times New Roman" w:eastAsia="宋体" w:cs="Times New Roman"/>
                      <w:sz w:val="22"/>
                      <w:szCs w:val="22"/>
                      <w:lang w:val="en-US" w:eastAsia="zh-CN"/>
                    </w:rPr>
                    <w:t>，</w:t>
                  </w:r>
                  <w:r>
                    <w:rPr>
                      <w:rFonts w:hint="eastAsia" w:cs="Times New Roman"/>
                      <w:sz w:val="22"/>
                      <w:szCs w:val="22"/>
                      <w:lang w:val="en-US" w:eastAsia="zh-CN"/>
                    </w:rPr>
                    <w:t>与有处理资质的单位签订了危废处置协议</w:t>
                  </w:r>
                  <w:r>
                    <w:rPr>
                      <w:rFonts w:hint="eastAsia" w:ascii="Times New Roman" w:hAnsi="Times New Roman" w:eastAsia="宋体" w:cs="Times New Roman"/>
                      <w:sz w:val="22"/>
                      <w:szCs w:val="22"/>
                      <w:lang w:val="en-US" w:eastAsia="zh-CN"/>
                    </w:rPr>
                    <w:t>，确保危险废物安全处置率达到100%。</w:t>
                  </w:r>
                  <w:r>
                    <w:rPr>
                      <w:rFonts w:hint="default" w:ascii="Times New Roman" w:hAnsi="Times New Roman" w:eastAsia="宋体" w:cs="Times New Roman"/>
                      <w:sz w:val="22"/>
                      <w:szCs w:val="22"/>
                      <w:lang w:val="en-US" w:eastAsia="zh-CN"/>
                    </w:rPr>
                    <w:t>设置危废管理台账及危废转移联单防范环境污染风险</w:t>
                  </w:r>
                  <w:r>
                    <w:rPr>
                      <w:rFonts w:hint="eastAsia" w:cs="Times New Roman"/>
                      <w:sz w:val="22"/>
                      <w:szCs w:val="22"/>
                      <w:lang w:val="en-US" w:eastAsia="zh-CN"/>
                    </w:rPr>
                    <w:t>。</w:t>
                  </w:r>
                </w:p>
              </w:tc>
              <w:tc>
                <w:tcPr>
                  <w:tcW w:w="768" w:type="dxa"/>
                  <w:vAlign w:val="center"/>
                </w:tcPr>
                <w:p w14:paraId="3B3AF726">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4096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1E822ACF">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加强生活垃圾综合处理。深入实施城市生活垃圾分类，提高垃圾处理减量化、资源化和无害化水平，积极创建“无废城市”。完善区域生活垃圾无害化处理系统，加强生活垃圾无害化处理设施建设和运营信息统计，重点推进对焚烧厂、卫生填埋场主要设施运营状况等实施实时监控，加强对焚烧设施烟气排放和卫生填埋场渗滤液和填埋气体的监测，防范污染，提高垃圾处理厂监管能力。稳步推进餐厨废弃物资源化利用和无害化处理。对农村地区的生活垃圾收运设施进行查缺补漏，进一步提高农村生活垃圾收运体系管理水平。提高垃圾运输设备的密闭化率，逐步实现垃圾压缩转运，提高区域垃圾收运能力。到2025年，城镇生活垃圾无害化处理率达95%以上。</w:t>
                  </w:r>
                </w:p>
              </w:tc>
              <w:tc>
                <w:tcPr>
                  <w:tcW w:w="1704" w:type="dxa"/>
                  <w:vAlign w:val="center"/>
                </w:tcPr>
                <w:p w14:paraId="6FB5BA38">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本项目生活垃圾经生活垃圾桶收集后由环卫部门统一清运处理，只在厂内暂存</w:t>
                  </w:r>
                  <w:r>
                    <w:rPr>
                      <w:rFonts w:hint="eastAsia" w:cs="Times New Roman"/>
                      <w:sz w:val="22"/>
                      <w:szCs w:val="22"/>
                      <w:lang w:val="en-US" w:eastAsia="zh-CN"/>
                    </w:rPr>
                    <w:t>。</w:t>
                  </w:r>
                </w:p>
              </w:tc>
              <w:tc>
                <w:tcPr>
                  <w:tcW w:w="768" w:type="dxa"/>
                  <w:vAlign w:val="center"/>
                </w:tcPr>
                <w:p w14:paraId="298E61F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bl>
          <w:p w14:paraId="2A6B47F6">
            <w:pPr>
              <w:bidi w:val="0"/>
              <w:rPr>
                <w:rFonts w:hint="eastAsia"/>
                <w:lang w:eastAsia="zh-CN"/>
              </w:rPr>
            </w:pPr>
          </w:p>
          <w:p w14:paraId="2F284674">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（3）与《关于印发〈淮北市深入开展VOCs治理专项整治工作方案〉的通知》（淮环委办〔2022〕58号）相符性分析</w:t>
            </w:r>
          </w:p>
          <w:p w14:paraId="5BFA9232">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ascii="宋体" w:hAnsi="宋体" w:cs="宋体"/>
                <w:b/>
                <w:bCs/>
                <w:kern w:val="0"/>
                <w:sz w:val="22"/>
                <w:szCs w:val="22"/>
                <w:lang w:val="en-US" w:eastAsia="zh-CN"/>
              </w:rPr>
            </w:pPr>
            <w:r>
              <w:rPr>
                <w:rFonts w:hint="eastAsia" w:ascii="宋体" w:hAnsi="宋体" w:eastAsia="宋体" w:cs="宋体"/>
                <w:b/>
                <w:bCs/>
                <w:kern w:val="0"/>
                <w:sz w:val="22"/>
                <w:szCs w:val="22"/>
                <w:lang w:val="en-US" w:eastAsia="zh-CN"/>
              </w:rPr>
              <w:t>表1-</w:t>
            </w:r>
            <w:r>
              <w:rPr>
                <w:rFonts w:hint="eastAsia" w:ascii="宋体" w:hAnsi="宋体" w:cs="宋体"/>
                <w:b/>
                <w:bCs/>
                <w:kern w:val="0"/>
                <w:sz w:val="22"/>
                <w:szCs w:val="22"/>
                <w:lang w:val="en-US" w:eastAsia="zh-CN"/>
              </w:rPr>
              <w:t>5</w:t>
            </w:r>
            <w:r>
              <w:rPr>
                <w:rFonts w:hint="eastAsia" w:ascii="宋体" w:hAnsi="宋体" w:eastAsia="宋体" w:cs="宋体"/>
                <w:b/>
                <w:bCs/>
                <w:kern w:val="0"/>
                <w:sz w:val="22"/>
                <w:szCs w:val="22"/>
                <w:lang w:val="en-US" w:eastAsia="zh-CN"/>
              </w:rPr>
              <w:t xml:space="preserve">  与淮环委办〔2022〕58号相符性分析一览表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349"/>
              <w:gridCol w:w="2004"/>
              <w:gridCol w:w="666"/>
            </w:tblGrid>
            <w:tr w14:paraId="4E75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349" w:type="dxa"/>
                  <w:vAlign w:val="center"/>
                </w:tcPr>
                <w:p w14:paraId="48B2688C">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eastAsia="zh-CN"/>
                    </w:rPr>
                    <w:t>文件相关内容</w:t>
                  </w:r>
                </w:p>
              </w:tc>
              <w:tc>
                <w:tcPr>
                  <w:tcW w:w="2004" w:type="dxa"/>
                  <w:vAlign w:val="center"/>
                </w:tcPr>
                <w:p w14:paraId="7EF09DE2">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本项目情况</w:t>
                  </w:r>
                </w:p>
              </w:tc>
              <w:tc>
                <w:tcPr>
                  <w:tcW w:w="666" w:type="dxa"/>
                  <w:vAlign w:val="center"/>
                </w:tcPr>
                <w:p w14:paraId="0D546AFF">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相符性</w:t>
                  </w:r>
                </w:p>
              </w:tc>
            </w:tr>
            <w:tr w14:paraId="0083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349" w:type="dxa"/>
                  <w:vAlign w:val="center"/>
                </w:tcPr>
                <w:p w14:paraId="69A4149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VOCs废气收集口风速核查。涉VOCs排放工序应在密闭空间中操作或采用全密闭集气罩收集，无法密闭采用局部集气罩的，应根据废气排放特点合理选择收集点位，设置能有效收集废气的集气罩，距集气罩开口面最远处的VOCs无组织排放位置，控制风速不低于0.3m/s。达不到要求的通过更换大功率风机、增设烟道风机、增加垂帘等方式进行改造，最长不超过2个月。</w:t>
                  </w:r>
                </w:p>
              </w:tc>
              <w:tc>
                <w:tcPr>
                  <w:tcW w:w="2004" w:type="dxa"/>
                  <w:vAlign w:val="center"/>
                </w:tcPr>
                <w:p w14:paraId="7991F9F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w:t>
                  </w:r>
                  <w:r>
                    <w:rPr>
                      <w:rFonts w:hint="eastAsia" w:cs="Times New Roman"/>
                      <w:sz w:val="22"/>
                      <w:szCs w:val="22"/>
                      <w:lang w:val="en-US" w:eastAsia="zh-CN"/>
                    </w:rPr>
                    <w:t>刷漆晾干等产生的有机</w:t>
                  </w:r>
                  <w:r>
                    <w:rPr>
                      <w:rFonts w:hint="eastAsia" w:ascii="Times New Roman" w:hAnsi="Times New Roman" w:eastAsia="宋体" w:cs="Times New Roman"/>
                      <w:sz w:val="22"/>
                      <w:szCs w:val="22"/>
                      <w:lang w:val="en-US" w:eastAsia="zh-CN"/>
                    </w:rPr>
                    <w:t>废气采取</w:t>
                  </w:r>
                  <w:r>
                    <w:rPr>
                      <w:rFonts w:hint="eastAsia" w:cs="Times New Roman"/>
                      <w:sz w:val="22"/>
                      <w:szCs w:val="22"/>
                      <w:lang w:val="en-US" w:eastAsia="zh-CN"/>
                    </w:rPr>
                    <w:t>刷漆房</w:t>
                  </w:r>
                  <w:r>
                    <w:rPr>
                      <w:rFonts w:hint="eastAsia" w:ascii="Times New Roman" w:hAnsi="Times New Roman" w:eastAsia="宋体" w:cs="Times New Roman"/>
                      <w:sz w:val="22"/>
                      <w:szCs w:val="22"/>
                      <w:lang w:val="en-US" w:eastAsia="zh-CN"/>
                    </w:rPr>
                    <w:t>封闭</w:t>
                  </w:r>
                  <w:r>
                    <w:rPr>
                      <w:rFonts w:hint="eastAsia" w:cs="Times New Roman"/>
                      <w:sz w:val="22"/>
                      <w:szCs w:val="22"/>
                      <w:lang w:val="en-US" w:eastAsia="zh-CN"/>
                    </w:rPr>
                    <w:t>+管道负压收集。</w:t>
                  </w:r>
                </w:p>
              </w:tc>
              <w:tc>
                <w:tcPr>
                  <w:tcW w:w="666" w:type="dxa"/>
                  <w:vAlign w:val="center"/>
                </w:tcPr>
                <w:p w14:paraId="15AFEB6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30427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349" w:type="dxa"/>
                  <w:vAlign w:val="center"/>
                </w:tcPr>
                <w:p w14:paraId="21454B2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参照工业有机废气治理用活性炭常规及推荐技术指标，核对活性炭的碘值、比表面积等参数。采用一次性颗粒状活性炭处理VOCs废气，年活性炭使用量不应低于VOCs产生量的5倍，活性炭更换周期一般不应超过累计运行500小时或3个月，根据活性炭更换周期及时更换活性炭，更换下来的活性炭按危险废物处理。进入吸附设备的废气颗粒物含量和温度应分别低于1mg/m³和40℃，否则应先采用过滤或洗涤等方式进行预处理。</w:t>
                  </w:r>
                </w:p>
              </w:tc>
              <w:tc>
                <w:tcPr>
                  <w:tcW w:w="2004" w:type="dxa"/>
                  <w:vAlign w:val="center"/>
                </w:tcPr>
                <w:p w14:paraId="250E286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本项目刷漆晾干废气采取过滤棉+二级活性炭吸附处理，更换的废过滤棉和废活性炭作为危废交由有资质单位处理</w:t>
                  </w:r>
                  <w:r>
                    <w:rPr>
                      <w:rFonts w:hint="eastAsia" w:ascii="Times New Roman" w:hAnsi="Times New Roman" w:eastAsia="宋体" w:cs="Times New Roman"/>
                      <w:sz w:val="22"/>
                      <w:szCs w:val="22"/>
                      <w:lang w:val="en-US" w:eastAsia="zh-CN"/>
                    </w:rPr>
                    <w:t>。</w:t>
                  </w:r>
                </w:p>
              </w:tc>
              <w:tc>
                <w:tcPr>
                  <w:tcW w:w="666" w:type="dxa"/>
                  <w:vAlign w:val="center"/>
                </w:tcPr>
                <w:p w14:paraId="5AF199A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729B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349" w:type="dxa"/>
                  <w:vAlign w:val="center"/>
                </w:tcPr>
                <w:p w14:paraId="12D834FA">
                  <w:pPr>
                    <w:autoSpaceDE w:val="0"/>
                    <w:autoSpaceDN w:val="0"/>
                    <w:adjustRightInd w:val="0"/>
                    <w:snapToGrid w:val="0"/>
                    <w:spacing w:line="240" w:lineRule="auto"/>
                    <w:jc w:val="center"/>
                    <w:rPr>
                      <w:rFonts w:hint="eastAsia" w:cs="Times New Roman"/>
                      <w:sz w:val="22"/>
                      <w:szCs w:val="22"/>
                      <w:lang w:val="en-US" w:eastAsia="zh-CN"/>
                    </w:rPr>
                  </w:pPr>
                  <w:r>
                    <w:rPr>
                      <w:rFonts w:hint="eastAsia" w:cs="Times New Roman"/>
                      <w:sz w:val="22"/>
                      <w:szCs w:val="22"/>
                      <w:lang w:val="en-US" w:eastAsia="zh-CN"/>
                    </w:rPr>
                    <w:t>低效末端治理技术改造。对辖区涉VOCs企业末端治理设施开展入户摸底排查。对未配套建设废气治理设施的企业依法责令停产，限期整改；除恶臭异味治理外，新建企业一律不得采用单一低温等离子、光催化、光氧化、水喷淋等低效末端治理技术，对于已建企业应采用组合式或其他高效治理工艺进行改造，应根据实际情况确定各企业改造时间，最长不超过3个月。</w:t>
                  </w:r>
                </w:p>
              </w:tc>
              <w:tc>
                <w:tcPr>
                  <w:tcW w:w="2004" w:type="dxa"/>
                  <w:vAlign w:val="center"/>
                </w:tcPr>
                <w:p w14:paraId="7B34065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本项目不是新建项目，建设单位现有治理技术不涉及单一低温等离子、光催化、光氧化、水喷淋等低效末端治理技术。</w:t>
                  </w:r>
                </w:p>
              </w:tc>
              <w:tc>
                <w:tcPr>
                  <w:tcW w:w="666" w:type="dxa"/>
                  <w:vAlign w:val="center"/>
                </w:tcPr>
                <w:p w14:paraId="4CEAA66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bl>
          <w:p w14:paraId="7CA8550A">
            <w:pPr>
              <w:bidi w:val="0"/>
              <w:rPr>
                <w:rFonts w:hint="eastAsia"/>
                <w:lang w:eastAsia="zh-CN"/>
              </w:rPr>
            </w:pPr>
          </w:p>
          <w:p w14:paraId="4C5B8D7A">
            <w:pPr>
              <w:autoSpaceDE w:val="0"/>
              <w:autoSpaceDN w:val="0"/>
              <w:adjustRightInd w:val="0"/>
              <w:snapToGrid w:val="0"/>
              <w:spacing w:line="360" w:lineRule="auto"/>
              <w:ind w:firstLine="480" w:firstLineChars="200"/>
              <w:jc w:val="both"/>
              <w:rPr>
                <w:rFonts w:hint="eastAsia"/>
                <w:lang w:val="en-US" w:eastAsia="zh-CN"/>
              </w:rPr>
            </w:pPr>
            <w:r>
              <w:rPr>
                <w:rFonts w:hint="eastAsia"/>
                <w:color w:val="000000"/>
                <w:kern w:val="0"/>
                <w:sz w:val="24"/>
                <w:lang w:val="en-US" w:eastAsia="zh-CN"/>
              </w:rPr>
              <w:t>（4）与《国务院关于印发〈空气质量持续改善行动计划〉的通知》（国发〔2023〕24号）相符性分析</w:t>
            </w:r>
          </w:p>
          <w:p w14:paraId="25F766FB">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ascii="宋体" w:hAnsi="宋体" w:cs="宋体"/>
                <w:b/>
                <w:bCs/>
                <w:kern w:val="0"/>
                <w:sz w:val="22"/>
                <w:szCs w:val="22"/>
                <w:lang w:val="en-US" w:eastAsia="zh-CN"/>
              </w:rPr>
            </w:pPr>
            <w:r>
              <w:rPr>
                <w:rFonts w:hint="eastAsia" w:ascii="宋体" w:hAnsi="宋体" w:eastAsia="宋体" w:cs="宋体"/>
                <w:b/>
                <w:bCs/>
                <w:kern w:val="0"/>
                <w:sz w:val="22"/>
                <w:szCs w:val="22"/>
                <w:lang w:val="en-US" w:eastAsia="zh-CN"/>
              </w:rPr>
              <w:t>表1-</w:t>
            </w:r>
            <w:r>
              <w:rPr>
                <w:rFonts w:hint="eastAsia" w:ascii="宋体" w:hAnsi="宋体" w:cs="宋体"/>
                <w:b/>
                <w:bCs/>
                <w:kern w:val="0"/>
                <w:sz w:val="22"/>
                <w:szCs w:val="22"/>
                <w:lang w:val="en-US" w:eastAsia="zh-CN"/>
              </w:rPr>
              <w:t>6</w:t>
            </w:r>
            <w:r>
              <w:rPr>
                <w:rFonts w:hint="eastAsia" w:ascii="宋体" w:hAnsi="宋体" w:eastAsia="宋体" w:cs="宋体"/>
                <w:b/>
                <w:bCs/>
                <w:kern w:val="0"/>
                <w:sz w:val="22"/>
                <w:szCs w:val="22"/>
                <w:lang w:val="en-US" w:eastAsia="zh-CN"/>
              </w:rPr>
              <w:t xml:space="preserve">  与国发〔2023〕24号相符性分析一览表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415"/>
              <w:gridCol w:w="1740"/>
              <w:gridCol w:w="732"/>
            </w:tblGrid>
            <w:tr w14:paraId="23E5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6AF58497">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eastAsia="zh-CN"/>
                    </w:rPr>
                    <w:t>文件相关内容</w:t>
                  </w:r>
                </w:p>
              </w:tc>
              <w:tc>
                <w:tcPr>
                  <w:tcW w:w="1740" w:type="dxa"/>
                  <w:vAlign w:val="center"/>
                </w:tcPr>
                <w:p w14:paraId="756227BA">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本项目情况</w:t>
                  </w:r>
                </w:p>
              </w:tc>
              <w:tc>
                <w:tcPr>
                  <w:tcW w:w="732" w:type="dxa"/>
                  <w:vAlign w:val="center"/>
                </w:tcPr>
                <w:p w14:paraId="012E16CE">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相符性</w:t>
                  </w:r>
                </w:p>
              </w:tc>
            </w:tr>
            <w:tr w14:paraId="501C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775ACE2F">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二、优化产业结构，促进产业产品绿色升级</w:t>
                  </w:r>
                </w:p>
              </w:tc>
            </w:tr>
            <w:tr w14:paraId="78A1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790D62A1">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740" w:type="dxa"/>
                  <w:vAlign w:val="center"/>
                </w:tcPr>
                <w:p w14:paraId="202034C6">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本项目不属于高耗能、高排放项目</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项目己取得</w:t>
                  </w:r>
                  <w:r>
                    <w:rPr>
                      <w:rFonts w:hint="eastAsia" w:cs="Times New Roman"/>
                      <w:sz w:val="22"/>
                      <w:szCs w:val="22"/>
                      <w:lang w:val="en-US" w:eastAsia="zh-CN"/>
                    </w:rPr>
                    <w:t>安徽淮北烈山经济开发区管委会</w:t>
                  </w:r>
                  <w:r>
                    <w:rPr>
                      <w:rFonts w:hint="eastAsia" w:ascii="Times New Roman" w:hAnsi="Times New Roman" w:eastAsia="宋体" w:cs="Times New Roman"/>
                      <w:sz w:val="22"/>
                      <w:szCs w:val="22"/>
                      <w:lang w:val="en-US" w:eastAsia="zh-CN"/>
                    </w:rPr>
                    <w:t>备案，符合当地规划</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项目按照要求申请总量指标</w:t>
                  </w:r>
                  <w:r>
                    <w:rPr>
                      <w:rFonts w:hint="eastAsia" w:cs="Times New Roman"/>
                      <w:sz w:val="22"/>
                      <w:szCs w:val="22"/>
                      <w:lang w:val="en-US" w:eastAsia="zh-CN"/>
                    </w:rPr>
                    <w:t>。</w:t>
                  </w:r>
                </w:p>
              </w:tc>
              <w:tc>
                <w:tcPr>
                  <w:tcW w:w="732" w:type="dxa"/>
                  <w:vAlign w:val="center"/>
                </w:tcPr>
                <w:p w14:paraId="74F8F6F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2F4C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25B22BB1">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优化含VOCs原辅材料和产品结构。严格控制生产和使用高VOCs含量涂料、油墨、胶粘剂、清洗剂等建设项目，提高</w:t>
                  </w:r>
                  <w:r>
                    <w:rPr>
                      <w:rFonts w:hint="eastAsia" w:cs="Times New Roman"/>
                      <w:sz w:val="22"/>
                      <w:szCs w:val="22"/>
                      <w:lang w:val="en-US" w:eastAsia="zh-CN"/>
                    </w:rPr>
                    <w:t>低（无）</w:t>
                  </w:r>
                  <w:r>
                    <w:rPr>
                      <w:rFonts w:hint="default" w:ascii="Times New Roman" w:hAnsi="Times New Roman" w:eastAsia="宋体" w:cs="Times New Roman"/>
                      <w:sz w:val="22"/>
                      <w:szCs w:val="22"/>
                      <w:lang w:val="en-US" w:eastAsia="zh-CN"/>
                    </w:rPr>
                    <w:t>VOCs含量产品比重。实施源头替代工程，加大工业涂装、包装印刷和电子行业低</w:t>
                  </w:r>
                  <w:r>
                    <w:rPr>
                      <w:rFonts w:hint="eastAsia" w:cs="Times New Roman"/>
                      <w:sz w:val="22"/>
                      <w:szCs w:val="22"/>
                      <w:lang w:val="en-US" w:eastAsia="zh-CN"/>
                    </w:rPr>
                    <w:t>（无）</w:t>
                  </w:r>
                  <w:r>
                    <w:rPr>
                      <w:rFonts w:hint="default" w:ascii="Times New Roman" w:hAnsi="Times New Roman" w:eastAsia="宋体" w:cs="Times New Roman"/>
                      <w:sz w:val="22"/>
                      <w:szCs w:val="22"/>
                      <w:lang w:val="en-US" w:eastAsia="zh-CN"/>
                    </w:rPr>
                    <w:t>VOCs含量原辅材料替代力度。室外构筑物防护和城市道路交通标志推广使用低</w:t>
                  </w:r>
                  <w:r>
                    <w:rPr>
                      <w:rFonts w:hint="eastAsia" w:cs="Times New Roman"/>
                      <w:sz w:val="22"/>
                      <w:szCs w:val="22"/>
                      <w:lang w:val="en-US" w:eastAsia="zh-CN"/>
                    </w:rPr>
                    <w:t>（无）</w:t>
                  </w:r>
                  <w:r>
                    <w:rPr>
                      <w:rFonts w:hint="default" w:ascii="Times New Roman" w:hAnsi="Times New Roman" w:eastAsia="宋体" w:cs="Times New Roman"/>
                      <w:sz w:val="22"/>
                      <w:szCs w:val="22"/>
                      <w:lang w:val="en-US" w:eastAsia="zh-CN"/>
                    </w:rPr>
                    <w:t>VOCs含量涂料。在生产、销售、进口、使用等环节严格执行VOCs含量限值标准</w:t>
                  </w:r>
                </w:p>
              </w:tc>
              <w:tc>
                <w:tcPr>
                  <w:tcW w:w="1740" w:type="dxa"/>
                  <w:vAlign w:val="center"/>
                </w:tcPr>
                <w:p w14:paraId="53674D76">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本项目使用的</w:t>
                  </w:r>
                  <w:r>
                    <w:rPr>
                      <w:rFonts w:hint="eastAsia" w:cs="Times New Roman"/>
                      <w:sz w:val="22"/>
                      <w:szCs w:val="22"/>
                      <w:lang w:val="en-US" w:eastAsia="zh-CN"/>
                    </w:rPr>
                    <w:t>油漆符合《低挥发性有机化合物含量涂料产品技术要求》（GBT38597-2020），经过协会论证，暂时无法使用</w:t>
                  </w:r>
                  <w:r>
                    <w:rPr>
                      <w:rFonts w:hint="eastAsia" w:ascii="Times New Roman" w:hAnsi="Times New Roman" w:eastAsia="宋体" w:cs="Times New Roman"/>
                      <w:sz w:val="22"/>
                      <w:szCs w:val="22"/>
                      <w:lang w:val="en-US" w:eastAsia="zh-CN"/>
                    </w:rPr>
                    <w:t>水性、粉末</w:t>
                  </w:r>
                  <w:r>
                    <w:rPr>
                      <w:rFonts w:hint="eastAsia" w:cs="Times New Roman"/>
                      <w:sz w:val="22"/>
                      <w:szCs w:val="22"/>
                      <w:lang w:val="en-US" w:eastAsia="zh-CN"/>
                    </w:rPr>
                    <w:t>等</w:t>
                  </w:r>
                  <w:r>
                    <w:rPr>
                      <w:rFonts w:hint="eastAsia" w:ascii="Times New Roman" w:hAnsi="Times New Roman" w:eastAsia="宋体" w:cs="Times New Roman"/>
                      <w:sz w:val="22"/>
                      <w:szCs w:val="22"/>
                      <w:lang w:val="en-US" w:eastAsia="zh-CN"/>
                    </w:rPr>
                    <w:t>低VOCs含量的涂料</w:t>
                  </w:r>
                  <w:r>
                    <w:rPr>
                      <w:rFonts w:hint="eastAsia" w:cs="Times New Roman"/>
                      <w:sz w:val="22"/>
                      <w:szCs w:val="22"/>
                      <w:lang w:val="en-US" w:eastAsia="zh-CN"/>
                    </w:rPr>
                    <w:t>进行替代。</w:t>
                  </w:r>
                </w:p>
              </w:tc>
              <w:tc>
                <w:tcPr>
                  <w:tcW w:w="732" w:type="dxa"/>
                  <w:vAlign w:val="center"/>
                </w:tcPr>
                <w:p w14:paraId="57EDCC3D">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1838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16DC44CC">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三、优化能源结构，加速能源清洁低碳高效发展</w:t>
                  </w:r>
                </w:p>
              </w:tc>
            </w:tr>
            <w:tr w14:paraId="27C9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0CD12A77">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严格合理控制煤炭消费总量。在保障能源安全供应的前提下，重点区域继续实施煤炭消费总量控制。到2025年，京津冀及周边地区、长三角地区煤炭消费量较2020年分别下降10%和5%左右，汾渭平原煤炭消费量实现负增长，重点削减非电力用煤。重点区域新改扩建用煤项目，依法实行煤炭等量或减量替代，替代方案不完善的不予审批</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不得将使用石油焦、焦炭、兰炭等高污染燃料作为煤炭减量替代措施。完善重点区域煤炭消费减量替代管理办法，煤矸石、原料用煤不纳入煤炭消费总量考核。原则上不再新增自备燃煤机组，支持自备燃煤机组实施清洁能源替代。对支撑电力稳定供应、电网安全运行、清洁能源大规模并网消纳的煤电项目及其用煤量应予以合理保障。</w:t>
                  </w:r>
                </w:p>
              </w:tc>
              <w:tc>
                <w:tcPr>
                  <w:tcW w:w="1740" w:type="dxa"/>
                  <w:vMerge w:val="restart"/>
                  <w:vAlign w:val="center"/>
                </w:tcPr>
                <w:p w14:paraId="3B724997">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本项目不使用煤炭</w:t>
                  </w:r>
                  <w:r>
                    <w:rPr>
                      <w:rFonts w:hint="eastAsia" w:cs="Times New Roman"/>
                      <w:sz w:val="22"/>
                      <w:szCs w:val="22"/>
                      <w:lang w:val="en-US" w:eastAsia="zh-CN"/>
                    </w:rPr>
                    <w:t>等</w:t>
                  </w:r>
                  <w:r>
                    <w:rPr>
                      <w:rFonts w:hint="default" w:ascii="Times New Roman" w:hAnsi="Times New Roman" w:eastAsia="宋体" w:cs="Times New Roman"/>
                      <w:sz w:val="22"/>
                      <w:szCs w:val="22"/>
                      <w:lang w:val="en-US" w:eastAsia="zh-CN"/>
                    </w:rPr>
                    <w:t>高污染燃料</w:t>
                  </w:r>
                  <w:r>
                    <w:rPr>
                      <w:rFonts w:hint="eastAsia" w:cs="Times New Roman"/>
                      <w:sz w:val="22"/>
                      <w:szCs w:val="22"/>
                      <w:lang w:val="en-US" w:eastAsia="zh-CN"/>
                    </w:rPr>
                    <w:t>，不涉及工业炉窑。</w:t>
                  </w:r>
                </w:p>
              </w:tc>
              <w:tc>
                <w:tcPr>
                  <w:tcW w:w="732" w:type="dxa"/>
                  <w:vAlign w:val="center"/>
                </w:tcPr>
                <w:p w14:paraId="12440B9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65E7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46563D11">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w:t>
                  </w:r>
                  <w:r>
                    <w:rPr>
                      <w:rFonts w:hint="eastAsia" w:cs="Times New Roman"/>
                      <w:sz w:val="22"/>
                      <w:szCs w:val="22"/>
                      <w:vertAlign w:val="subscript"/>
                      <w:lang w:val="en-US" w:eastAsia="zh-CN"/>
                    </w:rPr>
                    <w:t>2.5</w:t>
                  </w:r>
                  <w:r>
                    <w:rPr>
                      <w:rFonts w:hint="default" w:ascii="Times New Roman" w:hAnsi="Times New Roman" w:eastAsia="宋体" w:cs="Times New Roman"/>
                      <w:sz w:val="22"/>
                      <w:szCs w:val="22"/>
                      <w:lang w:val="en-US" w:eastAsia="zh-CN"/>
                    </w:rPr>
                    <w:t>未达标城市基本淘汰10蒸吨/小时及以下燃煤锅炉</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重点区域基本淘汰35蒸吨/小时及以下燃煤锅炉及茶水炉、经营性炉灶、储粮烘干设备、农产品加工等燃煤设施，充分发挥30万千瓦及以上热电联产电厂的供热能力，对其供热半径30公里范围内的燃煤锅炉和落后燃煤小热电机组</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含自备电厂</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进行关停或整合。</w:t>
                  </w:r>
                </w:p>
              </w:tc>
              <w:tc>
                <w:tcPr>
                  <w:tcW w:w="1740" w:type="dxa"/>
                  <w:vMerge w:val="continue"/>
                  <w:vAlign w:val="center"/>
                </w:tcPr>
                <w:p w14:paraId="2511824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732" w:type="dxa"/>
                  <w:vAlign w:val="center"/>
                </w:tcPr>
                <w:p w14:paraId="69D995D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47B7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4922E6B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实施工业炉窑清洁能源替代。有序推进以电代煤，积极稳妥推进以气代煤。重点区域不再新增燃料类煤气发生炉，新改扩建加热炉、热处理炉、干燥炉、熔化炉原则上采用清洁低碳能源</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安全稳妥推进使用高污染燃料的工业炉密改用工业余热、电能、天然气等</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燃料类煤气发生炉实行清洁能源替代，或因地制宜采取园区</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集群</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集中供气、分散使用方式</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逐步淘汰固定床间歇式煤气发生炉。</w:t>
                  </w:r>
                </w:p>
              </w:tc>
              <w:tc>
                <w:tcPr>
                  <w:tcW w:w="1740" w:type="dxa"/>
                  <w:vMerge w:val="continue"/>
                  <w:vAlign w:val="center"/>
                </w:tcPr>
                <w:p w14:paraId="6F98F21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732" w:type="dxa"/>
                  <w:vAlign w:val="center"/>
                </w:tcPr>
                <w:p w14:paraId="3167E6B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5634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10E2DECB">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六、强化多污染物减排，切实降低排放强度</w:t>
                  </w:r>
                </w:p>
              </w:tc>
            </w:tr>
            <w:tr w14:paraId="572F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15" w:type="dxa"/>
                  <w:vAlign w:val="center"/>
                </w:tcPr>
                <w:p w14:paraId="6AAE491C">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开展餐饮油烟、恶臭异味专项治理。严格居民楼附近餐饮服务单位布局管理。拟开设餐饮服务单位的建筑应设计建设专用烟道。推动有条件的地区实施治理设施第三方运维管理及在线监控。对群众反映强烈的恶臭异味扰民问题加强排查整治，投诉集中的工业园区、重点企业要安装运行在线监测系统。各地要加强部门联动，因地制宜解决人民群众反映集中的油烟及恶臭异味扰民问题</w:t>
                  </w:r>
                </w:p>
              </w:tc>
              <w:tc>
                <w:tcPr>
                  <w:tcW w:w="1740" w:type="dxa"/>
                  <w:vAlign w:val="center"/>
                </w:tcPr>
                <w:p w14:paraId="69CEB59C">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w:t>
                  </w:r>
                  <w:r>
                    <w:rPr>
                      <w:rFonts w:hint="eastAsia" w:cs="Times New Roman"/>
                      <w:sz w:val="22"/>
                      <w:szCs w:val="22"/>
                      <w:lang w:val="en-US" w:eastAsia="zh-CN"/>
                    </w:rPr>
                    <w:t>不属于</w:t>
                  </w:r>
                  <w:r>
                    <w:rPr>
                      <w:rFonts w:hint="default" w:ascii="Times New Roman" w:hAnsi="Times New Roman" w:eastAsia="宋体" w:cs="Times New Roman"/>
                      <w:sz w:val="22"/>
                      <w:szCs w:val="22"/>
                      <w:lang w:val="en-US" w:eastAsia="zh-CN"/>
                    </w:rPr>
                    <w:t>重点企业</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餐饮油烟</w:t>
                  </w:r>
                  <w:r>
                    <w:rPr>
                      <w:rFonts w:hint="eastAsia" w:cs="Times New Roman"/>
                      <w:sz w:val="22"/>
                      <w:szCs w:val="22"/>
                      <w:lang w:val="en-US" w:eastAsia="zh-CN"/>
                    </w:rPr>
                    <w:t>经过油烟机处理后有组织排放，不存在人民群众反映投诉情况。</w:t>
                  </w:r>
                </w:p>
              </w:tc>
              <w:tc>
                <w:tcPr>
                  <w:tcW w:w="732" w:type="dxa"/>
                  <w:vAlign w:val="center"/>
                </w:tcPr>
                <w:p w14:paraId="222BB13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bl>
          <w:p w14:paraId="545FA220">
            <w:pPr>
              <w:bidi w:val="0"/>
              <w:rPr>
                <w:rFonts w:hint="eastAsia"/>
                <w:lang w:val="en-US" w:eastAsia="zh-CN"/>
              </w:rPr>
            </w:pPr>
          </w:p>
          <w:p w14:paraId="560E1519">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（5）与《</w:t>
            </w:r>
            <w:r>
              <w:rPr>
                <w:rFonts w:hint="eastAsia"/>
                <w:color w:val="000000" w:themeColor="text1"/>
                <w:kern w:val="0"/>
                <w:sz w:val="24"/>
                <w:lang w:val="en-US" w:eastAsia="zh-CN"/>
                <w14:textFill>
                  <w14:solidFill>
                    <w14:schemeClr w14:val="tx1"/>
                  </w14:solidFill>
                </w14:textFill>
              </w:rPr>
              <w:t>安徽省人民政府办公厅关于印发皖北六市空气质量提升攻坚行动方案的通知</w:t>
            </w:r>
            <w:r>
              <w:rPr>
                <w:rFonts w:hint="eastAsia"/>
                <w:color w:val="000000"/>
                <w:kern w:val="0"/>
                <w:sz w:val="24"/>
                <w:lang w:val="en-US" w:eastAsia="zh-CN"/>
              </w:rPr>
              <w:t>》（皖政办秘〔2023〕58号）相符性分析</w:t>
            </w:r>
          </w:p>
          <w:p w14:paraId="31828EA5">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ascii="宋体" w:hAnsi="宋体" w:cs="宋体"/>
                <w:b/>
                <w:bCs/>
                <w:kern w:val="0"/>
                <w:sz w:val="22"/>
                <w:szCs w:val="22"/>
                <w:lang w:val="en-US" w:eastAsia="zh-CN"/>
              </w:rPr>
            </w:pPr>
            <w:r>
              <w:rPr>
                <w:rFonts w:hint="eastAsia" w:ascii="宋体" w:hAnsi="宋体" w:eastAsia="宋体" w:cs="宋体"/>
                <w:b/>
                <w:bCs/>
                <w:kern w:val="0"/>
                <w:sz w:val="22"/>
                <w:szCs w:val="22"/>
                <w:lang w:val="en-US" w:eastAsia="zh-CN"/>
              </w:rPr>
              <w:t>表1-</w:t>
            </w:r>
            <w:r>
              <w:rPr>
                <w:rFonts w:hint="eastAsia" w:ascii="宋体" w:hAnsi="宋体" w:cs="宋体"/>
                <w:b/>
                <w:bCs/>
                <w:kern w:val="0"/>
                <w:sz w:val="22"/>
                <w:szCs w:val="22"/>
                <w:lang w:val="en-US" w:eastAsia="zh-CN"/>
              </w:rPr>
              <w:t>7</w:t>
            </w:r>
            <w:r>
              <w:rPr>
                <w:rFonts w:hint="eastAsia" w:ascii="宋体" w:hAnsi="宋体" w:eastAsia="宋体" w:cs="宋体"/>
                <w:b/>
                <w:bCs/>
                <w:kern w:val="0"/>
                <w:sz w:val="22"/>
                <w:szCs w:val="22"/>
                <w:lang w:val="en-US" w:eastAsia="zh-CN"/>
              </w:rPr>
              <w:t xml:space="preserve">  与皖政办秘〔2023〕58号相符性分析一览表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091"/>
              <w:gridCol w:w="2064"/>
              <w:gridCol w:w="732"/>
            </w:tblGrid>
            <w:tr w14:paraId="73C3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91" w:type="dxa"/>
                  <w:vAlign w:val="center"/>
                </w:tcPr>
                <w:p w14:paraId="2B43604B">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eastAsia="zh-CN"/>
                    </w:rPr>
                    <w:t>文件相关内容</w:t>
                  </w:r>
                </w:p>
              </w:tc>
              <w:tc>
                <w:tcPr>
                  <w:tcW w:w="2064" w:type="dxa"/>
                  <w:vAlign w:val="center"/>
                </w:tcPr>
                <w:p w14:paraId="15305C48">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本项目情况</w:t>
                  </w:r>
                </w:p>
              </w:tc>
              <w:tc>
                <w:tcPr>
                  <w:tcW w:w="732" w:type="dxa"/>
                  <w:vAlign w:val="center"/>
                </w:tcPr>
                <w:p w14:paraId="48FDB5FD">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相符性</w:t>
                  </w:r>
                </w:p>
              </w:tc>
            </w:tr>
            <w:tr w14:paraId="6377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036DB13F">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cs="Times New Roman"/>
                      <w:sz w:val="22"/>
                      <w:szCs w:val="22"/>
                      <w:lang w:val="en-US" w:eastAsia="zh-CN"/>
                    </w:rPr>
                    <w:t>（一）</w:t>
                  </w:r>
                  <w:r>
                    <w:rPr>
                      <w:rFonts w:hint="eastAsia" w:ascii="Times New Roman" w:hAnsi="Times New Roman" w:eastAsia="宋体" w:cs="Times New Roman"/>
                      <w:sz w:val="22"/>
                      <w:szCs w:val="22"/>
                      <w:lang w:val="en-US" w:eastAsia="zh-CN"/>
                    </w:rPr>
                    <w:t>开展产业绿色发展提升行动</w:t>
                  </w:r>
                </w:p>
              </w:tc>
            </w:tr>
            <w:tr w14:paraId="4FED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91" w:type="dxa"/>
                  <w:vAlign w:val="center"/>
                </w:tcPr>
                <w:p w14:paraId="42F43924">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坚决遏制“两高”项目盲目发展。对淮南市的火电、煤化工，淮北市的火电、焦化，蚌埠市的化工、玻璃，阜阳市的化工、建材，宿州市的水泥、陶瓷等“两高”项目，实施清单管理、动态监控，严格落实错峰生产和重污染天气应急管理措施，新建“两高”项目按照重污染天气A级绩效指标建设。</w:t>
                  </w:r>
                </w:p>
              </w:tc>
              <w:tc>
                <w:tcPr>
                  <w:tcW w:w="2064" w:type="dxa"/>
                  <w:vAlign w:val="center"/>
                </w:tcPr>
                <w:p w14:paraId="64480E7E">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本项目属于C35</w:t>
                  </w:r>
                  <w:r>
                    <w:rPr>
                      <w:rFonts w:hint="eastAsia" w:cs="Times New Roman"/>
                      <w:sz w:val="22"/>
                      <w:szCs w:val="22"/>
                      <w:lang w:val="en-US" w:eastAsia="zh-CN"/>
                    </w:rPr>
                    <w:t>1</w:t>
                  </w:r>
                  <w:r>
                    <w:rPr>
                      <w:rFonts w:hint="eastAsia" w:ascii="Times New Roman" w:hAnsi="Times New Roman" w:eastAsia="宋体" w:cs="Times New Roman"/>
                      <w:sz w:val="22"/>
                      <w:szCs w:val="22"/>
                      <w:lang w:val="en-US" w:eastAsia="zh-CN"/>
                    </w:rPr>
                    <w:t>1矿山机械制造，不属于</w:t>
                  </w:r>
                  <w:r>
                    <w:rPr>
                      <w:rFonts w:hint="default" w:ascii="Times New Roman" w:hAnsi="Times New Roman" w:eastAsia="宋体" w:cs="Times New Roman"/>
                      <w:sz w:val="22"/>
                      <w:szCs w:val="22"/>
                      <w:lang w:val="en-US" w:eastAsia="zh-CN"/>
                    </w:rPr>
                    <w:t>火电、焦化</w:t>
                  </w:r>
                  <w:r>
                    <w:rPr>
                      <w:rFonts w:hint="eastAsia" w:cs="Times New Roman"/>
                      <w:sz w:val="22"/>
                      <w:szCs w:val="22"/>
                      <w:lang w:val="en-US" w:eastAsia="zh-CN"/>
                    </w:rPr>
                    <w:t>等</w:t>
                  </w:r>
                  <w:r>
                    <w:rPr>
                      <w:rFonts w:hint="default" w:ascii="Times New Roman" w:hAnsi="Times New Roman" w:eastAsia="宋体" w:cs="Times New Roman"/>
                      <w:sz w:val="22"/>
                      <w:szCs w:val="22"/>
                      <w:lang w:val="en-US" w:eastAsia="zh-CN"/>
                    </w:rPr>
                    <w:t>“两高”</w:t>
                  </w:r>
                  <w:r>
                    <w:rPr>
                      <w:rFonts w:hint="eastAsia" w:ascii="Times New Roman" w:hAnsi="Times New Roman" w:eastAsia="宋体" w:cs="Times New Roman"/>
                      <w:sz w:val="22"/>
                      <w:szCs w:val="22"/>
                      <w:lang w:val="en-US" w:eastAsia="zh-CN"/>
                    </w:rPr>
                    <w:t>项目</w:t>
                  </w:r>
                </w:p>
              </w:tc>
              <w:tc>
                <w:tcPr>
                  <w:tcW w:w="732" w:type="dxa"/>
                  <w:vAlign w:val="center"/>
                </w:tcPr>
                <w:p w14:paraId="1DCE2913">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2739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91" w:type="dxa"/>
                  <w:vAlign w:val="center"/>
                </w:tcPr>
                <w:p w14:paraId="02FCE06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大力整治“散乱污”企业。全面排查塑料加工、人造板、木材加工、家具制造、合成革、包装印刷石材加工、煤和矸石破碎加工</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含煤球等</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、粮食饲料加工、中药材加工、不规范搅拌站、汽车维修</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抛光、打磨</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、黑色和有色金属熔炼加工、陶瓷烧制、砖瓦窑等涉气“散乱污”企业，实施清单管理，明确时限、责任、措施，依法依规限期退出，推动相关产业转型升级。</w:t>
                  </w:r>
                </w:p>
              </w:tc>
              <w:tc>
                <w:tcPr>
                  <w:tcW w:w="2064" w:type="dxa"/>
                  <w:vAlign w:val="center"/>
                </w:tcPr>
                <w:p w14:paraId="73D40F1B">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项目位于</w:t>
                  </w:r>
                  <w:r>
                    <w:rPr>
                      <w:rFonts w:hint="eastAsia" w:cs="Times New Roman"/>
                      <w:sz w:val="22"/>
                      <w:szCs w:val="22"/>
                      <w:lang w:val="en-US" w:eastAsia="zh-CN"/>
                    </w:rPr>
                    <w:t>淮北市烈山区</w:t>
                  </w:r>
                  <w:r>
                    <w:rPr>
                      <w:rFonts w:hint="eastAsia" w:ascii="Times New Roman" w:hAnsi="Times New Roman" w:eastAsia="宋体" w:cs="Times New Roman"/>
                      <w:sz w:val="22"/>
                      <w:szCs w:val="22"/>
                      <w:lang w:val="en-US" w:eastAsia="zh-CN"/>
                    </w:rPr>
                    <w:t>，建设地点位于现有厂房内，项目己取得</w:t>
                  </w:r>
                  <w:r>
                    <w:rPr>
                      <w:rFonts w:hint="eastAsia" w:cs="Times New Roman"/>
                      <w:sz w:val="22"/>
                      <w:szCs w:val="22"/>
                      <w:lang w:val="en-US" w:eastAsia="zh-CN"/>
                    </w:rPr>
                    <w:t>安徽淮北烈山经济开发区管委会</w:t>
                  </w:r>
                  <w:r>
                    <w:rPr>
                      <w:rFonts w:hint="eastAsia" w:ascii="Times New Roman" w:hAnsi="Times New Roman" w:eastAsia="宋体" w:cs="Times New Roman"/>
                      <w:sz w:val="22"/>
                      <w:szCs w:val="22"/>
                      <w:lang w:val="en-US" w:eastAsia="zh-CN"/>
                    </w:rPr>
                    <w:t>备案，符合当地规划</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不属于“散乱污”企业</w:t>
                  </w:r>
                  <w:r>
                    <w:rPr>
                      <w:rFonts w:hint="eastAsia" w:cs="Times New Roman"/>
                      <w:sz w:val="22"/>
                      <w:szCs w:val="22"/>
                      <w:lang w:val="en-US" w:eastAsia="zh-CN"/>
                    </w:rPr>
                    <w:t>。</w:t>
                  </w:r>
                </w:p>
              </w:tc>
              <w:tc>
                <w:tcPr>
                  <w:tcW w:w="732" w:type="dxa"/>
                  <w:vAlign w:val="center"/>
                </w:tcPr>
                <w:p w14:paraId="37B33C5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6BAC4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4F1BCEC2">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二</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开展煤炭减量替代提升行动</w:t>
                  </w:r>
                </w:p>
              </w:tc>
            </w:tr>
            <w:tr w14:paraId="0A32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91" w:type="dxa"/>
                  <w:vAlign w:val="center"/>
                </w:tcPr>
                <w:p w14:paraId="192F1090">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加快实施现有煤电机组提标改造。大力推动节能降碳改造、灵活性改造、集中供热改造“三改联动”，“十四五”末皖北六市现有29台30万千瓦以上煤电机组全面达到“超净排放”，积极推动将符合国家规定条件的老旧机组转为应急备用</w:t>
                  </w:r>
                </w:p>
              </w:tc>
              <w:tc>
                <w:tcPr>
                  <w:tcW w:w="2064" w:type="dxa"/>
                  <w:vMerge w:val="restart"/>
                  <w:vAlign w:val="center"/>
                </w:tcPr>
                <w:p w14:paraId="289A385B">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本项目不</w:t>
                  </w:r>
                  <w:r>
                    <w:rPr>
                      <w:rFonts w:hint="eastAsia" w:cs="Times New Roman"/>
                      <w:sz w:val="22"/>
                      <w:szCs w:val="22"/>
                      <w:lang w:val="en-US" w:eastAsia="zh-CN"/>
                    </w:rPr>
                    <w:t>涉及</w:t>
                  </w:r>
                  <w:r>
                    <w:rPr>
                      <w:rFonts w:hint="eastAsia" w:ascii="Times New Roman" w:hAnsi="Times New Roman" w:eastAsia="宋体" w:cs="Times New Roman"/>
                      <w:sz w:val="22"/>
                      <w:szCs w:val="22"/>
                      <w:lang w:val="en-US" w:eastAsia="zh-CN"/>
                    </w:rPr>
                    <w:t>煤炭</w:t>
                  </w:r>
                  <w:r>
                    <w:rPr>
                      <w:rFonts w:hint="eastAsia" w:cs="Times New Roman"/>
                      <w:sz w:val="22"/>
                      <w:szCs w:val="22"/>
                      <w:lang w:val="en-US" w:eastAsia="zh-CN"/>
                    </w:rPr>
                    <w:t>等</w:t>
                  </w:r>
                  <w:r>
                    <w:rPr>
                      <w:rFonts w:hint="default" w:ascii="Times New Roman" w:hAnsi="Times New Roman" w:eastAsia="宋体" w:cs="Times New Roman"/>
                      <w:sz w:val="22"/>
                      <w:szCs w:val="22"/>
                      <w:lang w:val="en-US" w:eastAsia="zh-CN"/>
                    </w:rPr>
                    <w:t>高污染燃料</w:t>
                  </w:r>
                  <w:r>
                    <w:rPr>
                      <w:rFonts w:hint="eastAsia" w:cs="Times New Roman"/>
                      <w:sz w:val="22"/>
                      <w:szCs w:val="22"/>
                      <w:lang w:val="en-US" w:eastAsia="zh-CN"/>
                    </w:rPr>
                    <w:t>。</w:t>
                  </w:r>
                </w:p>
              </w:tc>
              <w:tc>
                <w:tcPr>
                  <w:tcW w:w="732" w:type="dxa"/>
                  <w:vAlign w:val="center"/>
                </w:tcPr>
                <w:p w14:paraId="744F0829">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1BB2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91" w:type="dxa"/>
                  <w:vAlign w:val="center"/>
                </w:tcPr>
                <w:p w14:paraId="40A79552">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积极稳妥推进支撑性电源项目建设。六市新建煤电机组执行最严格的节能环保标准，严格落实污染物区域削减替代等政策要求，项目投产前须严格兑现减排承诺，否则不予核发排污许可证，不得投入运行。</w:t>
                  </w:r>
                </w:p>
              </w:tc>
              <w:tc>
                <w:tcPr>
                  <w:tcW w:w="2064" w:type="dxa"/>
                  <w:vMerge w:val="continue"/>
                  <w:vAlign w:val="center"/>
                </w:tcPr>
                <w:p w14:paraId="085A062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732" w:type="dxa"/>
                  <w:vAlign w:val="center"/>
                </w:tcPr>
                <w:p w14:paraId="7BE206E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2CA4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91" w:type="dxa"/>
                  <w:vAlign w:val="center"/>
                </w:tcPr>
                <w:p w14:paraId="4FE161B0">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大力压减非电行业煤炭消费量。新建、改建、扩建非电用煤项目严格实施煤炭减量替代，确保完成省级下达六市的非电煤炭消费量控制指标。严格禁止新建自备燃煤设施。2025年底前，全面淘汰供热半径15km以内的自备燃煤供热设施和低效燃煤小热电，积极发展大型热电联产机组半径30km长距离集中供热。</w:t>
                  </w:r>
                </w:p>
              </w:tc>
              <w:tc>
                <w:tcPr>
                  <w:tcW w:w="2064" w:type="dxa"/>
                  <w:vMerge w:val="continue"/>
                  <w:vAlign w:val="center"/>
                </w:tcPr>
                <w:p w14:paraId="2DF20485">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732" w:type="dxa"/>
                  <w:vAlign w:val="center"/>
                </w:tcPr>
                <w:p w14:paraId="56F182D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6E0C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91" w:type="dxa"/>
                  <w:vAlign w:val="center"/>
                </w:tcPr>
                <w:p w14:paraId="17D5C5B0">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加大散煤淘汰力度。加大农业生产和农产品加工领域、经营性炉灶等散煤替代力度，实现生产经营性领域散煤基本清零。加强商品煤质量监管，严格控制不符合标准的散煤直接进入流通、使用环节。基本实现居民生活散煤替代。</w:t>
                  </w:r>
                </w:p>
              </w:tc>
              <w:tc>
                <w:tcPr>
                  <w:tcW w:w="2064" w:type="dxa"/>
                  <w:vMerge w:val="continue"/>
                  <w:vAlign w:val="center"/>
                </w:tcPr>
                <w:p w14:paraId="095DE08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732" w:type="dxa"/>
                  <w:vAlign w:val="center"/>
                </w:tcPr>
                <w:p w14:paraId="27BA5DD9">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51CB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3BB0E174">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三</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开展交通运输优化提升行动</w:t>
                  </w:r>
                </w:p>
              </w:tc>
            </w:tr>
            <w:tr w14:paraId="6159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91" w:type="dxa"/>
                  <w:vAlign w:val="center"/>
                </w:tcPr>
                <w:p w14:paraId="59FED65C">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深入推进营运柴油货车专项整治。以国Ⅲ及以下排放标准的营运柴油货车为重点，通过以奖代补等方式，加快推进六市提前淘汰高污染老旧机动车，到2025年全面实现国Ⅲ柴油货车限行。</w:t>
                  </w:r>
                </w:p>
              </w:tc>
              <w:tc>
                <w:tcPr>
                  <w:tcW w:w="2064" w:type="dxa"/>
                  <w:vMerge w:val="restart"/>
                  <w:vAlign w:val="center"/>
                </w:tcPr>
                <w:p w14:paraId="6D9D4436">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w:t>
                  </w:r>
                  <w:r>
                    <w:rPr>
                      <w:rFonts w:hint="eastAsia" w:cs="Times New Roman"/>
                      <w:sz w:val="22"/>
                      <w:szCs w:val="22"/>
                      <w:lang w:val="en-US" w:eastAsia="zh-CN"/>
                    </w:rPr>
                    <w:t>不涉及大宗货物运输，原辅料及产品</w:t>
                  </w:r>
                  <w:r>
                    <w:rPr>
                      <w:rFonts w:hint="eastAsia" w:ascii="Times New Roman" w:hAnsi="Times New Roman" w:eastAsia="宋体" w:cs="Times New Roman"/>
                      <w:sz w:val="22"/>
                      <w:szCs w:val="22"/>
                      <w:lang w:val="en-US" w:eastAsia="zh-CN"/>
                    </w:rPr>
                    <w:t>运输采用</w:t>
                  </w:r>
                  <w:r>
                    <w:rPr>
                      <w:rFonts w:hint="eastAsia" w:cs="Times New Roman"/>
                      <w:sz w:val="22"/>
                      <w:szCs w:val="22"/>
                      <w:lang w:val="en-US" w:eastAsia="zh-CN"/>
                    </w:rPr>
                    <w:t>符合国家政策的</w:t>
                  </w:r>
                  <w:r>
                    <w:rPr>
                      <w:rFonts w:hint="eastAsia" w:ascii="Times New Roman" w:hAnsi="Times New Roman" w:eastAsia="宋体" w:cs="Times New Roman"/>
                      <w:sz w:val="22"/>
                      <w:szCs w:val="22"/>
                      <w:lang w:val="en-US" w:eastAsia="zh-CN"/>
                    </w:rPr>
                    <w:t>运输车辆，不使用</w:t>
                  </w:r>
                  <w:r>
                    <w:rPr>
                      <w:rFonts w:hint="default" w:ascii="Times New Roman" w:hAnsi="Times New Roman" w:eastAsia="宋体" w:cs="Times New Roman"/>
                      <w:sz w:val="22"/>
                      <w:szCs w:val="22"/>
                      <w:lang w:val="en-US" w:eastAsia="zh-CN"/>
                    </w:rPr>
                    <w:t>高污染老旧机动车</w:t>
                  </w:r>
                  <w:r>
                    <w:rPr>
                      <w:rFonts w:hint="eastAsia" w:cs="Times New Roman"/>
                      <w:sz w:val="22"/>
                      <w:szCs w:val="22"/>
                      <w:lang w:val="en-US" w:eastAsia="zh-CN"/>
                    </w:rPr>
                    <w:t>。</w:t>
                  </w:r>
                </w:p>
              </w:tc>
              <w:tc>
                <w:tcPr>
                  <w:tcW w:w="732" w:type="dxa"/>
                  <w:vAlign w:val="center"/>
                </w:tcPr>
                <w:p w14:paraId="419DEBA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28B5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91" w:type="dxa"/>
                  <w:vAlign w:val="center"/>
                </w:tcPr>
                <w:p w14:paraId="605145C8">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积极推动</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公转铁</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公转水</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。加快重点园区、大型企业和货运枢纽铁路专用线建设。加快推进涡河、沙颍河等航道改造升级，发挥淮河、江淮运河等水运航道作用，提高煤炭、水泥、钢材、粮食等大宗货物水运比例。推广</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铁水联运</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多式联运。推行短距离运输采用封闭廊道和新能源运输方式。</w:t>
                  </w:r>
                </w:p>
              </w:tc>
              <w:tc>
                <w:tcPr>
                  <w:tcW w:w="2064" w:type="dxa"/>
                  <w:vMerge w:val="continue"/>
                  <w:vAlign w:val="center"/>
                </w:tcPr>
                <w:p w14:paraId="3909EC2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732" w:type="dxa"/>
                  <w:vAlign w:val="center"/>
                </w:tcPr>
                <w:p w14:paraId="16B83F9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3EFB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91" w:type="dxa"/>
                  <w:vAlign w:val="center"/>
                </w:tcPr>
                <w:p w14:paraId="0B9DD8CB">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加大新能源汽车普及推广力度。开展新能源汽车下乡和“以旧换新”系列活动。以公共领域用车为重点，加快推广新能源汽车应用，新增或更新的公交车、出租车、公务用车、城市物流配送车、轻型环卫车等力争100%使用新能源汽车。在中心城区推广新能源渣土车，积极推进新能源中重型货车在煤炭、建材等大宗货物运输企业及矿山、货场、码头等场景商业化运营。</w:t>
                  </w:r>
                </w:p>
              </w:tc>
              <w:tc>
                <w:tcPr>
                  <w:tcW w:w="2064" w:type="dxa"/>
                  <w:vMerge w:val="continue"/>
                  <w:vAlign w:val="center"/>
                </w:tcPr>
                <w:p w14:paraId="2763F25B">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732" w:type="dxa"/>
                  <w:vAlign w:val="center"/>
                </w:tcPr>
                <w:p w14:paraId="2F5B201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265F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3657E6AB">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四</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开展面源污染减排提升行动</w:t>
                  </w:r>
                </w:p>
              </w:tc>
            </w:tr>
            <w:tr w14:paraId="5629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91" w:type="dxa"/>
                  <w:vAlign w:val="center"/>
                </w:tcPr>
                <w:p w14:paraId="039F72D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强化移动源污染综合治理。全面实施机动车排放检验与维护制度，定期进行排放情况抽测。加快推进企业单位使用以新能源为动力的内部作业车辆和机械，全面推广使用新能源非道路移动机械。2025年底前基本淘汰国I及以下排放标准的工程机械。深化非法加油站点整治，加大自备加油站点监管，严厉打击不合格油品。开展油气回收专项排查整治。</w:t>
                  </w:r>
                </w:p>
              </w:tc>
              <w:tc>
                <w:tcPr>
                  <w:tcW w:w="2064" w:type="dxa"/>
                  <w:vAlign w:val="center"/>
                </w:tcPr>
                <w:p w14:paraId="3FD47F52">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厂内非道路移动机械等特种运输</w:t>
                  </w:r>
                  <w:r>
                    <w:rPr>
                      <w:rFonts w:hint="eastAsia" w:cs="Times New Roman"/>
                      <w:sz w:val="22"/>
                      <w:szCs w:val="22"/>
                      <w:lang w:val="en-US" w:eastAsia="zh-CN"/>
                    </w:rPr>
                    <w:t>设备符合国家政策要求。</w:t>
                  </w:r>
                </w:p>
              </w:tc>
              <w:tc>
                <w:tcPr>
                  <w:tcW w:w="732" w:type="dxa"/>
                  <w:vAlign w:val="center"/>
                </w:tcPr>
                <w:p w14:paraId="5C142AB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0B26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91" w:type="dxa"/>
                  <w:vAlign w:val="center"/>
                </w:tcPr>
                <w:p w14:paraId="1EC27874">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开展恶臭异味专项整治。加强对群众反映强烈的恶臭异味扰民问题排查整治，重点整治工业园区及包装印刷、汽车维修、家具制造等小企业排放的废气和异味。强化黑臭水体治理和污水处理设施运行维护，防止污水异味外溢。加强生活垃圾密闭化收集转运，严防垃圾及渗滤液抛酒滴漏。</w:t>
                  </w:r>
                </w:p>
              </w:tc>
              <w:tc>
                <w:tcPr>
                  <w:tcW w:w="2064" w:type="dxa"/>
                  <w:vAlign w:val="center"/>
                </w:tcPr>
                <w:p w14:paraId="64EB8E29">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生活垃圾委托环卫部门采用密闭化收集转运，严防垃圾及渗滤液抛洒滴漏</w:t>
                  </w:r>
                  <w:r>
                    <w:rPr>
                      <w:rFonts w:hint="eastAsia" w:cs="Times New Roman"/>
                      <w:sz w:val="22"/>
                      <w:szCs w:val="22"/>
                      <w:lang w:val="en-US" w:eastAsia="zh-CN"/>
                    </w:rPr>
                    <w:t>。</w:t>
                  </w:r>
                </w:p>
              </w:tc>
              <w:tc>
                <w:tcPr>
                  <w:tcW w:w="732" w:type="dxa"/>
                  <w:vAlign w:val="center"/>
                </w:tcPr>
                <w:p w14:paraId="5075A89E">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27D7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4F1A5E5B">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五</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开展减污协同增效提升行动</w:t>
                  </w:r>
                </w:p>
              </w:tc>
            </w:tr>
            <w:tr w14:paraId="2235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91" w:type="dxa"/>
                  <w:vAlign w:val="center"/>
                </w:tcPr>
                <w:p w14:paraId="33482795">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强化挥发性有机物深度治理。坚持</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源头替代、综合治理、总量削减</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原则，大力推动家具制造、板材加工、化工等涉挥发性有机物工业源重点行业全过程治理。实施低挥发性有机物含量原辅材料和产品源头替代工程，强化包装印刷、工业涂装、油品储运销等行业挥发性有机物收集效率，淘汰低效治理设施。持续开展挥发性有机物无组织排放问题排查整治。到2025年底，六市累计完成挥发性有机物重点工程减排量1万吨。</w:t>
                  </w:r>
                </w:p>
              </w:tc>
              <w:tc>
                <w:tcPr>
                  <w:tcW w:w="2064" w:type="dxa"/>
                  <w:vAlign w:val="center"/>
                </w:tcPr>
                <w:p w14:paraId="37EDA010">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由于</w:t>
                  </w:r>
                  <w:r>
                    <w:rPr>
                      <w:rFonts w:hint="default" w:ascii="Times New Roman" w:hAnsi="Times New Roman" w:eastAsia="宋体" w:cs="Times New Roman"/>
                      <w:sz w:val="22"/>
                      <w:szCs w:val="22"/>
                      <w:lang w:val="en-US" w:eastAsia="zh-CN"/>
                    </w:rPr>
                    <w:t>本项目</w:t>
                  </w:r>
                  <w:r>
                    <w:rPr>
                      <w:rFonts w:hint="eastAsia" w:cs="Times New Roman"/>
                      <w:sz w:val="22"/>
                      <w:szCs w:val="22"/>
                      <w:lang w:val="en-US" w:eastAsia="zh-CN"/>
                    </w:rPr>
                    <w:t>产品的特殊性，目前使用的油漆无法进行低VOC涂料替代。刷漆等产生的有机废物采取空间密闭+管道负压收集。</w:t>
                  </w:r>
                </w:p>
              </w:tc>
              <w:tc>
                <w:tcPr>
                  <w:tcW w:w="732" w:type="dxa"/>
                  <w:vAlign w:val="center"/>
                </w:tcPr>
                <w:p w14:paraId="51FDC5D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bl>
          <w:p w14:paraId="4F8D8193">
            <w:pPr>
              <w:bidi w:val="0"/>
              <w:rPr>
                <w:rFonts w:hint="eastAsia"/>
                <w:lang w:val="en-US" w:eastAsia="zh-CN"/>
              </w:rPr>
            </w:pPr>
          </w:p>
          <w:p w14:paraId="23C88E8D">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（6）与《关于印发〈安徽省低挥发性有机物含量原辅材料替代工作方案〉的通知》（皖环发〔2024〕1号）相符性分析</w:t>
            </w:r>
          </w:p>
          <w:p w14:paraId="6ACF16E5">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ascii="宋体" w:hAnsi="宋体" w:cs="宋体"/>
                <w:b/>
                <w:bCs/>
                <w:kern w:val="0"/>
                <w:sz w:val="22"/>
                <w:szCs w:val="22"/>
                <w:lang w:val="en-US" w:eastAsia="zh-CN"/>
              </w:rPr>
            </w:pPr>
            <w:r>
              <w:rPr>
                <w:rFonts w:hint="eastAsia" w:ascii="宋体" w:hAnsi="宋体" w:eastAsia="宋体" w:cs="宋体"/>
                <w:b/>
                <w:bCs/>
                <w:kern w:val="0"/>
                <w:sz w:val="22"/>
                <w:szCs w:val="22"/>
                <w:lang w:val="en-US" w:eastAsia="zh-CN"/>
              </w:rPr>
              <w:t>表1-</w:t>
            </w:r>
            <w:r>
              <w:rPr>
                <w:rFonts w:hint="eastAsia" w:ascii="宋体" w:hAnsi="宋体" w:cs="宋体"/>
                <w:b/>
                <w:bCs/>
                <w:kern w:val="0"/>
                <w:sz w:val="22"/>
                <w:szCs w:val="22"/>
                <w:lang w:val="en-US" w:eastAsia="zh-CN"/>
              </w:rPr>
              <w:t>8</w:t>
            </w:r>
            <w:r>
              <w:rPr>
                <w:rFonts w:hint="eastAsia" w:ascii="宋体" w:hAnsi="宋体" w:eastAsia="宋体" w:cs="宋体"/>
                <w:b/>
                <w:bCs/>
                <w:kern w:val="0"/>
                <w:sz w:val="22"/>
                <w:szCs w:val="22"/>
                <w:lang w:val="en-US" w:eastAsia="zh-CN"/>
              </w:rPr>
              <w:t xml:space="preserve">  与皖环发〔2024〕1号相符性分析一览表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499"/>
              <w:gridCol w:w="1668"/>
              <w:gridCol w:w="720"/>
            </w:tblGrid>
            <w:tr w14:paraId="487D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99" w:type="dxa"/>
                  <w:vAlign w:val="center"/>
                </w:tcPr>
                <w:p w14:paraId="313D2EC1">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eastAsia="zh-CN"/>
                    </w:rPr>
                    <w:t>文件相关内容</w:t>
                  </w:r>
                </w:p>
              </w:tc>
              <w:tc>
                <w:tcPr>
                  <w:tcW w:w="1668" w:type="dxa"/>
                  <w:vAlign w:val="center"/>
                </w:tcPr>
                <w:p w14:paraId="516A9730">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本项目情况</w:t>
                  </w:r>
                </w:p>
              </w:tc>
              <w:tc>
                <w:tcPr>
                  <w:tcW w:w="720" w:type="dxa"/>
                  <w:vAlign w:val="center"/>
                </w:tcPr>
                <w:p w14:paraId="069A8C0B">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相符性</w:t>
                  </w:r>
                </w:p>
              </w:tc>
            </w:tr>
            <w:tr w14:paraId="36FE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99" w:type="dxa"/>
                  <w:vAlign w:val="center"/>
                </w:tcPr>
                <w:p w14:paraId="3BB484BF">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到2025年底前</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推进汽车整车制造、木质家具、汽车零部件、工程机械、钢结构、船舶制造等领域3100余家重点企业</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附件1</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实施低VOCs含量涂料源头替代及工艺改造</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原则上实现“应替尽替”。</w:t>
                  </w:r>
                </w:p>
              </w:tc>
              <w:tc>
                <w:tcPr>
                  <w:tcW w:w="1668" w:type="dxa"/>
                  <w:vAlign w:val="center"/>
                </w:tcPr>
                <w:p w14:paraId="251DCFCC">
                  <w:pPr>
                    <w:autoSpaceDE w:val="0"/>
                    <w:autoSpaceDN w:val="0"/>
                    <w:adjustRightInd w:val="0"/>
                    <w:snapToGrid w:val="0"/>
                    <w:spacing w:line="240" w:lineRule="auto"/>
                    <w:jc w:val="center"/>
                    <w:rPr>
                      <w:rFonts w:hint="default" w:cs="Times New Roman"/>
                      <w:sz w:val="22"/>
                      <w:szCs w:val="22"/>
                      <w:lang w:val="en-US" w:eastAsia="zh-CN"/>
                    </w:rPr>
                  </w:pPr>
                  <w:r>
                    <w:rPr>
                      <w:rFonts w:hint="eastAsia" w:cs="Times New Roman"/>
                      <w:sz w:val="22"/>
                      <w:szCs w:val="22"/>
                      <w:lang w:val="en-US" w:eastAsia="zh-CN"/>
                    </w:rPr>
                    <w:t>建设单位不属于</w:t>
                  </w:r>
                  <w:r>
                    <w:rPr>
                      <w:rFonts w:hint="eastAsia" w:ascii="Times New Roman" w:hAnsi="Times New Roman" w:eastAsia="宋体" w:cs="Times New Roman"/>
                      <w:sz w:val="22"/>
                      <w:szCs w:val="22"/>
                      <w:lang w:val="en-US" w:eastAsia="zh-CN"/>
                    </w:rPr>
                    <w:t>附件1</w:t>
                  </w:r>
                  <w:r>
                    <w:rPr>
                      <w:rFonts w:hint="eastAsia" w:cs="Times New Roman"/>
                      <w:sz w:val="22"/>
                      <w:szCs w:val="22"/>
                      <w:lang w:val="en-US" w:eastAsia="zh-CN"/>
                    </w:rPr>
                    <w:t>内3100余家重点企业。</w:t>
                  </w:r>
                </w:p>
              </w:tc>
              <w:tc>
                <w:tcPr>
                  <w:tcW w:w="720" w:type="dxa"/>
                  <w:vAlign w:val="center"/>
                </w:tcPr>
                <w:p w14:paraId="060E7639">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78B7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99" w:type="dxa"/>
                  <w:vAlign w:val="center"/>
                </w:tcPr>
                <w:p w14:paraId="14029F9E">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工业涂装、包装印刷、竹木加工、家具制造、汽车修理与维护、鞋和皮革制品制造等重点行业企业</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要按照《低挥发性有机物含量原辅材料源头替代技术指引</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试行</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附件3</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要求</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开展低VOCs原辅材料和生产方式替代</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优化管控台账及档案管理</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持续提升环境管理水平。各地要根据《关于深入开展挥发性有机物污染治理工作的通知》</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皖大气办〔2021〕4号</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要求</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在认真梳理2021至2023年度VOCs源头削减治理项目清单基础上</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对涉VOCs重点行业和使用溶剂型涂料、油墨、胶粘剂、清洗剂以及涉及有机化工生产的产业集群进行再排查</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将含VOCs原辅材料使用企业全面纳入源头替代企业排查台账</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附件2</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对具备替代条件的</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加强调度指导</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对无法替代的</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要开展论证核实</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严格把关并逐一说明。</w:t>
                  </w:r>
                </w:p>
              </w:tc>
              <w:tc>
                <w:tcPr>
                  <w:tcW w:w="1668" w:type="dxa"/>
                  <w:vAlign w:val="center"/>
                </w:tcPr>
                <w:p w14:paraId="524276CC">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本项目使用的</w:t>
                  </w:r>
                  <w:r>
                    <w:rPr>
                      <w:rFonts w:hint="eastAsia" w:cs="Times New Roman"/>
                      <w:sz w:val="22"/>
                      <w:szCs w:val="22"/>
                      <w:lang w:val="en-US" w:eastAsia="zh-CN"/>
                    </w:rPr>
                    <w:t>油漆符合《低挥发性有机化合物含量涂料产品技术要求》（GBT38597-2020），经过协会论证，暂时无法使用</w:t>
                  </w:r>
                  <w:r>
                    <w:rPr>
                      <w:rFonts w:hint="eastAsia" w:ascii="Times New Roman" w:hAnsi="Times New Roman" w:eastAsia="宋体" w:cs="Times New Roman"/>
                      <w:sz w:val="22"/>
                      <w:szCs w:val="22"/>
                      <w:lang w:val="en-US" w:eastAsia="zh-CN"/>
                    </w:rPr>
                    <w:t>水性、粉末</w:t>
                  </w:r>
                  <w:r>
                    <w:rPr>
                      <w:rFonts w:hint="eastAsia" w:cs="Times New Roman"/>
                      <w:sz w:val="22"/>
                      <w:szCs w:val="22"/>
                      <w:lang w:val="en-US" w:eastAsia="zh-CN"/>
                    </w:rPr>
                    <w:t>等</w:t>
                  </w:r>
                  <w:r>
                    <w:rPr>
                      <w:rFonts w:hint="eastAsia" w:ascii="Times New Roman" w:hAnsi="Times New Roman" w:eastAsia="宋体" w:cs="Times New Roman"/>
                      <w:sz w:val="22"/>
                      <w:szCs w:val="22"/>
                      <w:lang w:val="en-US" w:eastAsia="zh-CN"/>
                    </w:rPr>
                    <w:t>低VOCs含量的涂料</w:t>
                  </w:r>
                  <w:r>
                    <w:rPr>
                      <w:rFonts w:hint="eastAsia" w:cs="Times New Roman"/>
                      <w:sz w:val="22"/>
                      <w:szCs w:val="22"/>
                      <w:lang w:val="en-US" w:eastAsia="zh-CN"/>
                    </w:rPr>
                    <w:t>进行替代。</w:t>
                  </w:r>
                </w:p>
              </w:tc>
              <w:tc>
                <w:tcPr>
                  <w:tcW w:w="720" w:type="dxa"/>
                  <w:vAlign w:val="center"/>
                </w:tcPr>
                <w:p w14:paraId="7B4C50A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3BE0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99" w:type="dxa"/>
                  <w:vAlign w:val="center"/>
                </w:tcPr>
                <w:p w14:paraId="3BBAFC3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根据《低挥发性有机化合物含量涂料产品技术要求》</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GB/T38597-2020</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要求</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进一步完善VOCs排放管控地方标准建设</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细化相关行业涂料种类及各项污染物指标限值</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编制实施固定源挥发性有机物综合排放标准和制鞋、汽修、木材等行业大气污染物排放标准。禁止建设</w:t>
                  </w:r>
                  <w:r>
                    <w:rPr>
                      <w:rFonts w:hint="eastAsia" w:cs="Times New Roman"/>
                      <w:sz w:val="22"/>
                      <w:szCs w:val="22"/>
                      <w:lang w:val="en-US" w:eastAsia="zh-CN"/>
                    </w:rPr>
                    <w:t>生产</w:t>
                  </w:r>
                  <w:r>
                    <w:rPr>
                      <w:rFonts w:hint="default" w:ascii="Times New Roman" w:hAnsi="Times New Roman" w:eastAsia="宋体" w:cs="Times New Roman"/>
                      <w:sz w:val="22"/>
                      <w:szCs w:val="22"/>
                      <w:lang w:val="en-US" w:eastAsia="zh-CN"/>
                    </w:rPr>
                    <w:t>和</w:t>
                  </w:r>
                  <w:r>
                    <w:rPr>
                      <w:rFonts w:hint="eastAsia" w:cs="Times New Roman"/>
                      <w:sz w:val="22"/>
                      <w:szCs w:val="22"/>
                      <w:lang w:val="en-US" w:eastAsia="zh-CN"/>
                    </w:rPr>
                    <w:t>使用</w:t>
                  </w:r>
                  <w:r>
                    <w:rPr>
                      <w:rFonts w:hint="default" w:ascii="Times New Roman" w:hAnsi="Times New Roman" w:eastAsia="宋体" w:cs="Times New Roman"/>
                      <w:sz w:val="22"/>
                      <w:szCs w:val="22"/>
                      <w:lang w:val="en-US" w:eastAsia="zh-CN"/>
                    </w:rPr>
                    <w:t>高VOCs含量的溶剂型涂料、油墨、</w:t>
                  </w:r>
                  <w:r>
                    <w:rPr>
                      <w:rFonts w:hint="eastAsia" w:cs="Times New Roman"/>
                      <w:sz w:val="22"/>
                      <w:szCs w:val="22"/>
                      <w:lang w:val="en-US" w:eastAsia="zh-CN"/>
                    </w:rPr>
                    <w:t>胶粘剂</w:t>
                  </w:r>
                  <w:r>
                    <w:rPr>
                      <w:rFonts w:hint="default" w:ascii="Times New Roman" w:hAnsi="Times New Roman" w:eastAsia="宋体" w:cs="Times New Roman"/>
                      <w:sz w:val="22"/>
                      <w:szCs w:val="22"/>
                      <w:lang w:val="en-US" w:eastAsia="zh-CN"/>
                    </w:rPr>
                    <w:t>等项目</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全省工业涂装、包装印刷等重点行业和涂料、油墨等生产企业的新</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改、扩</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建项目需满足低</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无</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VOCs含量限值要求。省内市场上流通的水性涂料等低VOCs含量涂料产品</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执行《低挥发性有机化合物含量涂料产品技术要求》</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应在包装标志或产品说明上标明符合标准的分类、产品类别及产品类型</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或施涂方式</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w:t>
                  </w:r>
                </w:p>
              </w:tc>
              <w:tc>
                <w:tcPr>
                  <w:tcW w:w="1668" w:type="dxa"/>
                  <w:vAlign w:val="center"/>
                </w:tcPr>
                <w:p w14:paraId="30855B84">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本项目使用的</w:t>
                  </w:r>
                  <w:r>
                    <w:rPr>
                      <w:rFonts w:hint="eastAsia" w:cs="Times New Roman"/>
                      <w:sz w:val="22"/>
                      <w:szCs w:val="22"/>
                      <w:lang w:val="en-US" w:eastAsia="zh-CN"/>
                    </w:rPr>
                    <w:t>油漆符合《低挥发性有机化合物含量涂料产品技术要求》（GBT38597-2020），不属于</w:t>
                  </w:r>
                  <w:r>
                    <w:rPr>
                      <w:rFonts w:hint="default" w:ascii="Times New Roman" w:hAnsi="Times New Roman" w:eastAsia="宋体" w:cs="Times New Roman"/>
                      <w:sz w:val="22"/>
                      <w:szCs w:val="22"/>
                      <w:lang w:val="en-US" w:eastAsia="zh-CN"/>
                    </w:rPr>
                    <w:t>高VOCs含量的溶剂型涂料</w:t>
                  </w:r>
                  <w:r>
                    <w:rPr>
                      <w:rFonts w:hint="eastAsia" w:cs="Times New Roman"/>
                      <w:sz w:val="22"/>
                      <w:szCs w:val="22"/>
                      <w:lang w:val="en-US" w:eastAsia="zh-CN"/>
                    </w:rPr>
                    <w:t>。</w:t>
                  </w:r>
                </w:p>
              </w:tc>
              <w:tc>
                <w:tcPr>
                  <w:tcW w:w="720" w:type="dxa"/>
                  <w:vAlign w:val="center"/>
                </w:tcPr>
                <w:p w14:paraId="02548FA9">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0A51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499" w:type="dxa"/>
                  <w:vAlign w:val="center"/>
                </w:tcPr>
                <w:p w14:paraId="6B72CDF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省直有关部门要根据本工作方案要求</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按照工作职责</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指导各市开展相关领域相关行业的源头替代工作。各市要坚持属地管理原则</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负责低VOCs含量原辅材料替代工作的具体组织、协调、调度工作</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推动建立职能部门各司其职、协同联动的工作机制</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组织生态环境、发改、经信、公安、住建、城管、市场监管等部门开展联合行动</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对替代进度滞后的企业加大督促帮扶力度</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督促推进城市道路交通标志基本使用低VOCs含量涂料。发改部门要重点关注备案的项目所使用的涂料、油墨、胶粘剂、清洗剂等原辅材料是否符合国家相关产业政策</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对不符合要求的</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不予备案</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经信部门要推动将低</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无</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VOCs含量原辅材料或产品使用纳入省级绿色工厂评价体系</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住建部门要指导督促房屋建筑和市政工程项目全面推广使用低VOCs含量涂料和胶粘剂</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推动将低</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无</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VOCs含量原辅材料或产品使用纳入绿色建筑标识管理</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市场监管部门要对生产、销售涂料、油墨、胶黏剂等含VOCs的产品开展监督抽查</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严厉打击生产销售不合格产品的违法行为</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生态环境部门要牵头督促企业开展低VOCs含量原辅材料替代</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按程序组织审核低VOCs含量原辅材料源头替代企业豁免申请</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对相关部门移交的问题企业依法处置</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结合实际依法对VOCs废气进行收集和治理。按照生态环境部《关于加快解决当前挥发性有机物治理突出问题的通知》</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环大气〔2021</w:t>
                  </w:r>
                  <w:r>
                    <w:rPr>
                      <w:rFonts w:hint="eastAsia"/>
                      <w:color w:val="000000"/>
                      <w:kern w:val="0"/>
                      <w:sz w:val="24"/>
                      <w:lang w:val="en-US" w:eastAsia="zh-CN"/>
                    </w:rPr>
                    <w:t>〕</w:t>
                  </w:r>
                  <w:r>
                    <w:rPr>
                      <w:rFonts w:hint="eastAsia" w:ascii="Times New Roman" w:hAnsi="Times New Roman" w:eastAsia="宋体" w:cs="Times New Roman"/>
                      <w:sz w:val="22"/>
                      <w:szCs w:val="22"/>
                      <w:lang w:val="en-US" w:eastAsia="zh-CN"/>
                    </w:rPr>
                    <w:t>65号</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中“产品VOCs含量”问题排查整治工作要求</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各市生态环境局每月5日前将本市源头替代台账报送至省生态环境厅。</w:t>
                  </w:r>
                </w:p>
              </w:tc>
              <w:tc>
                <w:tcPr>
                  <w:tcW w:w="1668" w:type="dxa"/>
                  <w:vAlign w:val="center"/>
                </w:tcPr>
                <w:p w14:paraId="3658365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本项目已取得烈山经济开发区管委会备案文件。</w:t>
                  </w:r>
                </w:p>
              </w:tc>
              <w:tc>
                <w:tcPr>
                  <w:tcW w:w="720" w:type="dxa"/>
                  <w:vAlign w:val="center"/>
                </w:tcPr>
                <w:p w14:paraId="5A4C9F3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bl>
          <w:p w14:paraId="1902FECE">
            <w:pPr>
              <w:autoSpaceDE w:val="0"/>
              <w:autoSpaceDN w:val="0"/>
              <w:adjustRightInd w:val="0"/>
              <w:snapToGrid w:val="0"/>
              <w:spacing w:line="360" w:lineRule="auto"/>
              <w:jc w:val="both"/>
              <w:rPr>
                <w:rFonts w:hint="eastAsia"/>
                <w:color w:val="000000"/>
                <w:kern w:val="0"/>
                <w:sz w:val="24"/>
                <w:lang w:val="en-US" w:eastAsia="zh-CN"/>
              </w:rPr>
            </w:pPr>
          </w:p>
          <w:p w14:paraId="19E9D527">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（7）与《淮北市人民政府办公室关于印发淮北市空气质量提升攻坚行动方案的通知》（淮政办秘〔2024〕8号）相符性分析</w:t>
            </w:r>
          </w:p>
          <w:p w14:paraId="7180F0FA">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ascii="宋体" w:hAnsi="宋体" w:cs="宋体"/>
                <w:b/>
                <w:bCs/>
                <w:kern w:val="0"/>
                <w:sz w:val="22"/>
                <w:szCs w:val="22"/>
                <w:lang w:val="en-US" w:eastAsia="zh-CN"/>
              </w:rPr>
            </w:pPr>
            <w:r>
              <w:rPr>
                <w:rFonts w:hint="eastAsia" w:ascii="宋体" w:hAnsi="宋体" w:eastAsia="宋体" w:cs="宋体"/>
                <w:b/>
                <w:bCs/>
                <w:kern w:val="0"/>
                <w:sz w:val="22"/>
                <w:szCs w:val="22"/>
                <w:lang w:val="en-US" w:eastAsia="zh-CN"/>
              </w:rPr>
              <w:t>表1-</w:t>
            </w:r>
            <w:r>
              <w:rPr>
                <w:rFonts w:hint="eastAsia" w:ascii="宋体" w:hAnsi="宋体" w:cs="宋体"/>
                <w:b/>
                <w:bCs/>
                <w:kern w:val="0"/>
                <w:sz w:val="22"/>
                <w:szCs w:val="22"/>
                <w:lang w:val="en-US" w:eastAsia="zh-CN"/>
              </w:rPr>
              <w:t>9</w:t>
            </w:r>
            <w:r>
              <w:rPr>
                <w:rFonts w:hint="eastAsia" w:ascii="宋体" w:hAnsi="宋体" w:eastAsia="宋体" w:cs="宋体"/>
                <w:b/>
                <w:bCs/>
                <w:kern w:val="0"/>
                <w:sz w:val="22"/>
                <w:szCs w:val="22"/>
                <w:lang w:val="en-US" w:eastAsia="zh-CN"/>
              </w:rPr>
              <w:t xml:space="preserve">  与淮政办秘〔2024〕8号相符性分析一览表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151"/>
              <w:gridCol w:w="2016"/>
              <w:gridCol w:w="720"/>
            </w:tblGrid>
            <w:tr w14:paraId="7BE5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151" w:type="dxa"/>
                  <w:vAlign w:val="center"/>
                </w:tcPr>
                <w:p w14:paraId="27DA266C">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eastAsia="zh-CN"/>
                    </w:rPr>
                    <w:t>文件相关内容</w:t>
                  </w:r>
                </w:p>
              </w:tc>
              <w:tc>
                <w:tcPr>
                  <w:tcW w:w="2016" w:type="dxa"/>
                  <w:vAlign w:val="center"/>
                </w:tcPr>
                <w:p w14:paraId="32652620">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本项目情况</w:t>
                  </w:r>
                </w:p>
              </w:tc>
              <w:tc>
                <w:tcPr>
                  <w:tcW w:w="720" w:type="dxa"/>
                  <w:vAlign w:val="center"/>
                </w:tcPr>
                <w:p w14:paraId="7C18CE22">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相符性</w:t>
                  </w:r>
                </w:p>
              </w:tc>
            </w:tr>
            <w:tr w14:paraId="339D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0E5F3F5A">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一</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开展产业绿色发展提升行动</w:t>
                  </w:r>
                </w:p>
              </w:tc>
            </w:tr>
            <w:tr w14:paraId="7D67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151" w:type="dxa"/>
                  <w:vAlign w:val="center"/>
                </w:tcPr>
                <w:p w14:paraId="1A9A5FE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坚决遏制“两高”项目盲目发展。新改扩建项目严格落实国家产业规划、产业政策、产能置换、重点污染物总量控制、污染物排放区域削减、碳排放达峰目标等相关要求，采用清洁运输方式运输。严格火电、焦化行业监管，对火电、焦化、建材、水泥、化工、陶瓷等项目，实施清单管理、动态监控，严格落实地方污染物排放标准和绩效分级差异管控，实施错峰生产和重污染天气应急管理措施</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新建“两高"项目按照重污染天气A级绩效指标建设。</w:t>
                  </w:r>
                </w:p>
              </w:tc>
              <w:tc>
                <w:tcPr>
                  <w:tcW w:w="2016" w:type="dxa"/>
                  <w:vAlign w:val="center"/>
                </w:tcPr>
                <w:p w14:paraId="6CA423E3">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本项目属于C35</w:t>
                  </w:r>
                  <w:r>
                    <w:rPr>
                      <w:rFonts w:hint="eastAsia" w:cs="Times New Roman"/>
                      <w:sz w:val="22"/>
                      <w:szCs w:val="22"/>
                      <w:lang w:val="en-US" w:eastAsia="zh-CN"/>
                    </w:rPr>
                    <w:t>1</w:t>
                  </w:r>
                  <w:r>
                    <w:rPr>
                      <w:rFonts w:hint="eastAsia" w:ascii="Times New Roman" w:hAnsi="Times New Roman" w:eastAsia="宋体" w:cs="Times New Roman"/>
                      <w:sz w:val="22"/>
                      <w:szCs w:val="22"/>
                      <w:lang w:val="en-US" w:eastAsia="zh-CN"/>
                    </w:rPr>
                    <w:t>1矿山机械制造，不属于火电、焦化、建材、水泥、化工、陶瓷等高耗能、高排放项目</w:t>
                  </w:r>
                  <w:r>
                    <w:rPr>
                      <w:rFonts w:hint="eastAsia" w:cs="Times New Roman"/>
                      <w:sz w:val="22"/>
                      <w:szCs w:val="22"/>
                      <w:lang w:val="en-US" w:eastAsia="zh-CN"/>
                    </w:rPr>
                    <w:t>。</w:t>
                  </w:r>
                </w:p>
              </w:tc>
              <w:tc>
                <w:tcPr>
                  <w:tcW w:w="720" w:type="dxa"/>
                  <w:vAlign w:val="center"/>
                </w:tcPr>
                <w:p w14:paraId="45A41709">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7BF6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151" w:type="dxa"/>
                  <w:vAlign w:val="center"/>
                </w:tcPr>
                <w:p w14:paraId="587A6FE1">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加快传统产业改造提升。加快退出重点行业落后产能，对照《产业结构调整指导目录</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2024年本</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逐步退出限制类涉气行业工艺和装备。全面推进众城水泥、临涣焦化等重点行业企业及燃煤锅炉超低排放改造，加大氨排放管控。加快推进建成区重污染企业搬迁改造，持续加强砖瓦、陶瓷、石灰、高岭土、玻璃等涉工业炉窑行业环境治理，扎实推进砖瓦企业转型发展三年提升行动。</w:t>
                  </w:r>
                </w:p>
              </w:tc>
              <w:tc>
                <w:tcPr>
                  <w:tcW w:w="2016" w:type="dxa"/>
                  <w:vAlign w:val="center"/>
                </w:tcPr>
                <w:p w14:paraId="1A02ED6B">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本项目不属于《产业结构调整指导目录</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2024年本</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》中淘汰和限制类项目</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不属于</w:t>
                  </w:r>
                  <w:r>
                    <w:rPr>
                      <w:rFonts w:hint="default" w:ascii="Times New Roman" w:hAnsi="Times New Roman" w:eastAsia="宋体" w:cs="Times New Roman"/>
                      <w:sz w:val="22"/>
                      <w:szCs w:val="22"/>
                      <w:lang w:val="en-US" w:eastAsia="zh-CN"/>
                    </w:rPr>
                    <w:t>限制类涉气行业</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不属于砖瓦、陶瓷、石灰、高岭土、玻璃等涉工业炉窑行业</w:t>
                  </w:r>
                  <w:r>
                    <w:rPr>
                      <w:rFonts w:hint="eastAsia" w:cs="Times New Roman"/>
                      <w:sz w:val="22"/>
                      <w:szCs w:val="22"/>
                      <w:lang w:val="en-US" w:eastAsia="zh-CN"/>
                    </w:rPr>
                    <w:t>。</w:t>
                  </w:r>
                </w:p>
              </w:tc>
              <w:tc>
                <w:tcPr>
                  <w:tcW w:w="720" w:type="dxa"/>
                  <w:vAlign w:val="center"/>
                </w:tcPr>
                <w:p w14:paraId="39BFBCC2">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1009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151" w:type="dxa"/>
                  <w:vAlign w:val="center"/>
                </w:tcPr>
                <w:p w14:paraId="39F50865">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强化“散乱污”企业综合整治。全面排查塑料加工、人造板、木材加工、家具制造、合成革、包装印刷、石材</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石料</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加工、煤和矸石破碎加工</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含煤球等</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、粮食饲料加工、不规范搅拌站、汽车维修</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抛光、打</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、黑色和有色金属熔炼加工、陶瓷烧制、砖瓦窑、散状物料堆场等涉气“散乱污”企业，实施清单管理，建立动态管理台账，明确时限、责任、措施，依法依规限期退出，推动相关产业转型升级。</w:t>
                  </w:r>
                </w:p>
              </w:tc>
              <w:tc>
                <w:tcPr>
                  <w:tcW w:w="2016" w:type="dxa"/>
                  <w:vAlign w:val="center"/>
                </w:tcPr>
                <w:p w14:paraId="7AFBAC4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本</w:t>
                  </w:r>
                  <w:r>
                    <w:rPr>
                      <w:rFonts w:hint="eastAsia" w:ascii="Times New Roman" w:hAnsi="Times New Roman" w:eastAsia="宋体" w:cs="Times New Roman"/>
                      <w:sz w:val="22"/>
                      <w:szCs w:val="22"/>
                      <w:lang w:val="en-US" w:eastAsia="zh-CN"/>
                    </w:rPr>
                    <w:t>项目己取得</w:t>
                  </w:r>
                  <w:r>
                    <w:rPr>
                      <w:rFonts w:hint="eastAsia" w:cs="Times New Roman"/>
                      <w:sz w:val="22"/>
                      <w:szCs w:val="22"/>
                      <w:lang w:val="en-US" w:eastAsia="zh-CN"/>
                    </w:rPr>
                    <w:t>安徽淮北烈山经济开发区管委会</w:t>
                  </w:r>
                  <w:r>
                    <w:rPr>
                      <w:rFonts w:hint="eastAsia" w:ascii="Times New Roman" w:hAnsi="Times New Roman" w:eastAsia="宋体" w:cs="Times New Roman"/>
                      <w:sz w:val="22"/>
                      <w:szCs w:val="22"/>
                      <w:lang w:val="en-US" w:eastAsia="zh-CN"/>
                    </w:rPr>
                    <w:t>备案，符合当地规划</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不属于“散乱污”企业</w:t>
                  </w:r>
                  <w:r>
                    <w:rPr>
                      <w:rFonts w:hint="eastAsia" w:cs="Times New Roman"/>
                      <w:sz w:val="22"/>
                      <w:szCs w:val="22"/>
                      <w:lang w:val="en-US" w:eastAsia="zh-CN"/>
                    </w:rPr>
                    <w:t>。</w:t>
                  </w:r>
                </w:p>
              </w:tc>
              <w:tc>
                <w:tcPr>
                  <w:tcW w:w="720" w:type="dxa"/>
                  <w:vAlign w:val="center"/>
                </w:tcPr>
                <w:p w14:paraId="722D8BC6">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7426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13B9EA35">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三</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开展交通运输优化提升行动</w:t>
                  </w:r>
                </w:p>
              </w:tc>
            </w:tr>
            <w:tr w14:paraId="32BD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151" w:type="dxa"/>
                  <w:vAlign w:val="center"/>
                </w:tcPr>
                <w:p w14:paraId="6964580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深入推进柴油货车专项整治。落实淮北市国三及以下排放标准营运柴油货车淘汰和奖补方案，以国三及以下排放标准的营运柴油货车为重点，通过以奖代补等方式，加快推进提前淘汰高污染老旧机动车。到2025年全面限行国三柴油货车，基本淘汰国三柴油货车、采用稀薄燃烧技术和“油改气”的老旧燃气车辆。开展国四、国五柴油车辆尾气深度治理，</w:t>
                  </w:r>
                </w:p>
              </w:tc>
              <w:tc>
                <w:tcPr>
                  <w:tcW w:w="2016" w:type="dxa"/>
                  <w:vAlign w:val="center"/>
                </w:tcPr>
                <w:p w14:paraId="012815B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本项目运输不使用高污染老旧机动车运输。</w:t>
                  </w:r>
                </w:p>
              </w:tc>
              <w:tc>
                <w:tcPr>
                  <w:tcW w:w="720" w:type="dxa"/>
                  <w:vAlign w:val="center"/>
                </w:tcPr>
                <w:p w14:paraId="6B07F4BF">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156E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527D1F35">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lang w:eastAsia="zh-CN"/>
                    </w:rPr>
                    <w:t>（</w:t>
                  </w:r>
                  <w:r>
                    <w:rPr>
                      <w:rFonts w:hint="eastAsia"/>
                    </w:rPr>
                    <w:t>四</w:t>
                  </w:r>
                  <w:r>
                    <w:rPr>
                      <w:rFonts w:hint="eastAsia"/>
                      <w:lang w:eastAsia="zh-CN"/>
                    </w:rPr>
                    <w:t>）</w:t>
                  </w:r>
                  <w:r>
                    <w:rPr>
                      <w:rFonts w:hint="eastAsia"/>
                    </w:rPr>
                    <w:t>开展面源污染减排提升行动</w:t>
                  </w:r>
                </w:p>
              </w:tc>
            </w:tr>
            <w:tr w14:paraId="5D477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151" w:type="dxa"/>
                  <w:vAlign w:val="center"/>
                </w:tcPr>
                <w:p w14:paraId="08829DB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深化扬尘污染综合治理。全面落实《淮北市扬尘污染防治管理办法》，加强扬尘管控的监测巡查，推进扬尘管控精细化、规范化、长效化。加大建筑施工扬尘管控力度，全面落实建成区建筑施工工地围挡及喷淋、易扬尘物料堆放覆盖、土方开挖湿法作业、施工便道硬化、出入车辆清洗、渣土车辆密闭运输“六个百分之百”，建筑面积在1万平方米以上的建筑工地应安装视频监控和空气质量在线监测设施并联网；严格落实交通、水利、露天矿山、拆除工地、混凝土（沥青）搅拌站等扬尘控制措施，加大工业扬尘污染问题排查整治，重点整治煤系固废加工利用领域扬尘污染。实施典型带动，开展标准化施工场地、预拌混凝土搅拌站等创建工作。</w:t>
                  </w:r>
                </w:p>
              </w:tc>
              <w:tc>
                <w:tcPr>
                  <w:tcW w:w="2016" w:type="dxa"/>
                  <w:vAlign w:val="center"/>
                </w:tcPr>
                <w:p w14:paraId="0E85585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本项目施工期短，施工期间内通过采取运输车辆篷布遮盖等措施减少扬尘废气的产生。</w:t>
                  </w:r>
                </w:p>
              </w:tc>
              <w:tc>
                <w:tcPr>
                  <w:tcW w:w="720" w:type="dxa"/>
                  <w:vAlign w:val="center"/>
                </w:tcPr>
                <w:p w14:paraId="4252FB1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5858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151" w:type="dxa"/>
                  <w:vAlign w:val="center"/>
                </w:tcPr>
                <w:p w14:paraId="6496CD1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强化移动源污染综合治理。全面实施机动车排放检验与维护制度，定期进行排放情况抽测。加快推进企业单位内部作业车辆和机械新能源化更新改造，推广使用新能源非道路移动机械。加快完成非道路移动机械编码登记，加强高排放非道路移动机械禁止使用区域管控，严格查处使用不达标机械和使用不合格燃油的违法行为，加大路检路查力度，消除“冒黑烟”现象。2025年底前基本淘汰国一及以下排放标准的工程机械。深化非法加油站点整治，加大自备加油站点监管，持续清理整顿无证无照或证照不全的自建油罐、流动加油车</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船</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和黑加油站点，严厉打击不合格油品。开展油气回收专项排查整治。加强排放检验机构监管，规范机动车检验机构排放检测行为。</w:t>
                  </w:r>
                </w:p>
              </w:tc>
              <w:tc>
                <w:tcPr>
                  <w:tcW w:w="2016" w:type="dxa"/>
                  <w:vAlign w:val="center"/>
                </w:tcPr>
                <w:p w14:paraId="7C5A32E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本项目严格按照要求</w:t>
                  </w:r>
                  <w:r>
                    <w:rPr>
                      <w:rFonts w:hint="eastAsia" w:cs="Times New Roman"/>
                      <w:sz w:val="22"/>
                      <w:szCs w:val="22"/>
                      <w:lang w:val="en-US" w:eastAsia="zh-CN"/>
                    </w:rPr>
                    <w:t>进行</w:t>
                  </w:r>
                  <w:r>
                    <w:rPr>
                      <w:rFonts w:hint="eastAsia" w:ascii="Times New Roman" w:hAnsi="Times New Roman" w:eastAsia="宋体" w:cs="Times New Roman"/>
                      <w:sz w:val="22"/>
                      <w:szCs w:val="22"/>
                      <w:lang w:val="en-US" w:eastAsia="zh-CN"/>
                    </w:rPr>
                    <w:t>非道路移动机械编码登记，不使用不合格燃油，定期对场内非道路移动机械检验和维护。</w:t>
                  </w:r>
                </w:p>
              </w:tc>
              <w:tc>
                <w:tcPr>
                  <w:tcW w:w="720" w:type="dxa"/>
                  <w:vAlign w:val="center"/>
                </w:tcPr>
                <w:p w14:paraId="0B9FA0E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50BD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17D776D4">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五</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开展减污协同增效提升行动</w:t>
                  </w:r>
                </w:p>
              </w:tc>
            </w:tr>
            <w:tr w14:paraId="01FC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151" w:type="dxa"/>
                  <w:vAlign w:val="center"/>
                </w:tcPr>
                <w:p w14:paraId="4C5F319D">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强化挥发性有机物深度治理。推动落实重点行业企业“一企一案”，坚持“源头替代、综合治理、总量削减”原则大力推动家具制造、板材加工、化工等涉挥发性有机物工业源重点行业全过程治理。实施低挥发性有机物含量原辅材料和产品源头替代工程，强化包装印刷、工业涂装、油品储运销等行业挥发性有机物收集效率，淘汰低效治理设施。持续开展挥发性有机物无组织排放问题排查整治。</w:t>
                  </w:r>
                </w:p>
              </w:tc>
              <w:tc>
                <w:tcPr>
                  <w:tcW w:w="2016" w:type="dxa"/>
                  <w:vAlign w:val="center"/>
                </w:tcPr>
                <w:p w14:paraId="2F5677FB">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本项目使用的</w:t>
                  </w:r>
                  <w:r>
                    <w:rPr>
                      <w:rFonts w:hint="eastAsia" w:cs="Times New Roman"/>
                      <w:sz w:val="22"/>
                      <w:szCs w:val="22"/>
                      <w:lang w:val="en-US" w:eastAsia="zh-CN"/>
                    </w:rPr>
                    <w:t>油漆符合《低挥发性有机化合物含量涂料产品技术要求》（GBT38597-2020），经过协会论证，暂时无法使用</w:t>
                  </w:r>
                  <w:r>
                    <w:rPr>
                      <w:rFonts w:hint="eastAsia" w:ascii="Times New Roman" w:hAnsi="Times New Roman" w:eastAsia="宋体" w:cs="Times New Roman"/>
                      <w:sz w:val="22"/>
                      <w:szCs w:val="22"/>
                      <w:lang w:val="en-US" w:eastAsia="zh-CN"/>
                    </w:rPr>
                    <w:t>水性、粉末</w:t>
                  </w:r>
                  <w:r>
                    <w:rPr>
                      <w:rFonts w:hint="eastAsia" w:cs="Times New Roman"/>
                      <w:sz w:val="22"/>
                      <w:szCs w:val="22"/>
                      <w:lang w:val="en-US" w:eastAsia="zh-CN"/>
                    </w:rPr>
                    <w:t>等</w:t>
                  </w:r>
                  <w:r>
                    <w:rPr>
                      <w:rFonts w:hint="eastAsia" w:ascii="Times New Roman" w:hAnsi="Times New Roman" w:eastAsia="宋体" w:cs="Times New Roman"/>
                      <w:sz w:val="22"/>
                      <w:szCs w:val="22"/>
                      <w:lang w:val="en-US" w:eastAsia="zh-CN"/>
                    </w:rPr>
                    <w:t>低VOCs含量的涂料</w:t>
                  </w:r>
                  <w:r>
                    <w:rPr>
                      <w:rFonts w:hint="eastAsia" w:cs="Times New Roman"/>
                      <w:sz w:val="22"/>
                      <w:szCs w:val="22"/>
                      <w:lang w:val="en-US" w:eastAsia="zh-CN"/>
                    </w:rPr>
                    <w:t>进行替代。</w:t>
                  </w:r>
                </w:p>
              </w:tc>
              <w:tc>
                <w:tcPr>
                  <w:tcW w:w="720" w:type="dxa"/>
                  <w:vAlign w:val="center"/>
                </w:tcPr>
                <w:p w14:paraId="5FCCE15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bl>
          <w:p w14:paraId="55D814DF">
            <w:pPr>
              <w:bidi w:val="0"/>
              <w:rPr>
                <w:rFonts w:hint="eastAsia"/>
                <w:lang w:eastAsia="zh-CN"/>
              </w:rPr>
            </w:pPr>
          </w:p>
          <w:p w14:paraId="7DAC6D9D">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（8）与《安徽省人民政府关于印发安徽省空气质量持续改善行动方案的通知》（皖政〔2024〕36号）相符性分析</w:t>
            </w:r>
          </w:p>
          <w:p w14:paraId="5AC015A0">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ascii="宋体" w:hAnsi="宋体" w:cs="宋体"/>
                <w:b/>
                <w:bCs/>
                <w:kern w:val="0"/>
                <w:sz w:val="22"/>
                <w:szCs w:val="22"/>
                <w:lang w:val="en-US" w:eastAsia="zh-CN"/>
              </w:rPr>
            </w:pPr>
            <w:r>
              <w:rPr>
                <w:rFonts w:hint="eastAsia" w:ascii="宋体" w:hAnsi="宋体" w:eastAsia="宋体" w:cs="宋体"/>
                <w:b/>
                <w:bCs/>
                <w:kern w:val="0"/>
                <w:sz w:val="22"/>
                <w:szCs w:val="22"/>
                <w:lang w:val="en-US" w:eastAsia="zh-CN"/>
              </w:rPr>
              <w:t>表1-</w:t>
            </w:r>
            <w:r>
              <w:rPr>
                <w:rFonts w:hint="eastAsia" w:ascii="宋体" w:hAnsi="宋体" w:cs="宋体"/>
                <w:b/>
                <w:bCs/>
                <w:kern w:val="0"/>
                <w:sz w:val="22"/>
                <w:szCs w:val="22"/>
                <w:lang w:val="en-US" w:eastAsia="zh-CN"/>
              </w:rPr>
              <w:t>10</w:t>
            </w:r>
            <w:r>
              <w:rPr>
                <w:rFonts w:hint="eastAsia" w:ascii="宋体" w:hAnsi="宋体" w:eastAsia="宋体" w:cs="宋体"/>
                <w:b/>
                <w:bCs/>
                <w:kern w:val="0"/>
                <w:sz w:val="22"/>
                <w:szCs w:val="22"/>
                <w:lang w:val="en-US" w:eastAsia="zh-CN"/>
              </w:rPr>
              <w:t xml:space="preserve">  与皖政〔2024〕36号相符性分析一览表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229"/>
              <w:gridCol w:w="1926"/>
              <w:gridCol w:w="732"/>
            </w:tblGrid>
            <w:tr w14:paraId="0CA8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229" w:type="dxa"/>
                  <w:vAlign w:val="center"/>
                </w:tcPr>
                <w:p w14:paraId="3698F662">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eastAsia="zh-CN"/>
                    </w:rPr>
                    <w:t>文件相关内容</w:t>
                  </w:r>
                </w:p>
              </w:tc>
              <w:tc>
                <w:tcPr>
                  <w:tcW w:w="1926" w:type="dxa"/>
                  <w:vAlign w:val="center"/>
                </w:tcPr>
                <w:p w14:paraId="080C3511">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本项目情况</w:t>
                  </w:r>
                </w:p>
              </w:tc>
              <w:tc>
                <w:tcPr>
                  <w:tcW w:w="732" w:type="dxa"/>
                  <w:vAlign w:val="center"/>
                </w:tcPr>
                <w:p w14:paraId="15FFA48C">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是否符合</w:t>
                  </w:r>
                </w:p>
              </w:tc>
            </w:tr>
            <w:tr w14:paraId="6A8E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31797499">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二、优化调整产业结构布局</w:t>
                  </w:r>
                </w:p>
              </w:tc>
            </w:tr>
            <w:tr w14:paraId="50CB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229" w:type="dxa"/>
                  <w:vAlign w:val="center"/>
                </w:tcPr>
                <w:p w14:paraId="00BF635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1926" w:type="dxa"/>
                  <w:vAlign w:val="center"/>
                </w:tcPr>
                <w:p w14:paraId="1FEDB41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本项目属于C35</w:t>
                  </w:r>
                  <w:r>
                    <w:rPr>
                      <w:rFonts w:hint="eastAsia" w:cs="Times New Roman"/>
                      <w:sz w:val="22"/>
                      <w:szCs w:val="22"/>
                      <w:lang w:val="en-US" w:eastAsia="zh-CN"/>
                    </w:rPr>
                    <w:t>1</w:t>
                  </w:r>
                  <w:r>
                    <w:rPr>
                      <w:rFonts w:hint="eastAsia" w:ascii="Times New Roman" w:hAnsi="Times New Roman" w:eastAsia="宋体" w:cs="Times New Roman"/>
                      <w:sz w:val="22"/>
                      <w:szCs w:val="22"/>
                      <w:lang w:val="en-US" w:eastAsia="zh-CN"/>
                    </w:rPr>
                    <w:t>1矿山机械制造，</w:t>
                  </w:r>
                  <w:r>
                    <w:rPr>
                      <w:rFonts w:hint="eastAsia" w:cs="Times New Roman"/>
                      <w:sz w:val="22"/>
                      <w:szCs w:val="22"/>
                      <w:lang w:val="en-US" w:eastAsia="zh-CN"/>
                    </w:rPr>
                    <w:t>不属于</w:t>
                  </w:r>
                  <w:r>
                    <w:rPr>
                      <w:rFonts w:hint="eastAsia" w:ascii="Times New Roman" w:hAnsi="Times New Roman" w:eastAsia="宋体" w:cs="Times New Roman"/>
                      <w:sz w:val="22"/>
                      <w:szCs w:val="22"/>
                      <w:lang w:val="en-US" w:eastAsia="zh-CN"/>
                    </w:rPr>
                    <w:t>高耗能、高排放、低水平项目</w:t>
                  </w:r>
                  <w:r>
                    <w:rPr>
                      <w:rFonts w:hint="eastAsia" w:cs="Times New Roman"/>
                      <w:sz w:val="22"/>
                      <w:szCs w:val="22"/>
                      <w:lang w:val="en-US" w:eastAsia="zh-CN"/>
                    </w:rPr>
                    <w:t>。本</w:t>
                  </w:r>
                  <w:r>
                    <w:rPr>
                      <w:rFonts w:hint="eastAsia" w:ascii="Times New Roman" w:hAnsi="Times New Roman" w:eastAsia="宋体" w:cs="Times New Roman"/>
                      <w:sz w:val="22"/>
                      <w:szCs w:val="22"/>
                      <w:lang w:val="en-US" w:eastAsia="zh-CN"/>
                    </w:rPr>
                    <w:t>项目己取得</w:t>
                  </w:r>
                  <w:r>
                    <w:rPr>
                      <w:rFonts w:hint="eastAsia" w:cs="Times New Roman"/>
                      <w:sz w:val="22"/>
                      <w:szCs w:val="22"/>
                      <w:lang w:val="en-US" w:eastAsia="zh-CN"/>
                    </w:rPr>
                    <w:t>安徽淮北烈山经济开发区管委会</w:t>
                  </w:r>
                  <w:r>
                    <w:rPr>
                      <w:rFonts w:hint="eastAsia" w:ascii="Times New Roman" w:hAnsi="Times New Roman" w:eastAsia="宋体" w:cs="Times New Roman"/>
                      <w:sz w:val="22"/>
                      <w:szCs w:val="22"/>
                      <w:lang w:val="en-US" w:eastAsia="zh-CN"/>
                    </w:rPr>
                    <w:t>备案，符合当地规划</w:t>
                  </w:r>
                  <w:r>
                    <w:rPr>
                      <w:rFonts w:hint="eastAsia" w:cs="Times New Roman"/>
                      <w:sz w:val="22"/>
                      <w:szCs w:val="22"/>
                      <w:lang w:val="en-US" w:eastAsia="zh-CN"/>
                    </w:rPr>
                    <w:t>。本</w:t>
                  </w:r>
                  <w:r>
                    <w:rPr>
                      <w:rFonts w:hint="eastAsia" w:ascii="Times New Roman" w:hAnsi="Times New Roman" w:eastAsia="宋体" w:cs="Times New Roman"/>
                      <w:sz w:val="22"/>
                      <w:szCs w:val="22"/>
                      <w:lang w:val="en-US" w:eastAsia="zh-CN"/>
                    </w:rPr>
                    <w:t>项目</w:t>
                  </w:r>
                  <w:r>
                    <w:rPr>
                      <w:rFonts w:hint="eastAsia" w:cs="Times New Roman"/>
                      <w:sz w:val="22"/>
                      <w:szCs w:val="22"/>
                      <w:lang w:val="en-US" w:eastAsia="zh-CN"/>
                    </w:rPr>
                    <w:t>需</w:t>
                  </w:r>
                  <w:r>
                    <w:rPr>
                      <w:rFonts w:hint="eastAsia" w:ascii="Times New Roman" w:hAnsi="Times New Roman" w:eastAsia="宋体" w:cs="Times New Roman"/>
                      <w:sz w:val="22"/>
                      <w:szCs w:val="22"/>
                      <w:lang w:val="en-US" w:eastAsia="zh-CN"/>
                    </w:rPr>
                    <w:t>按照要求申请重点污染物总量指标</w:t>
                  </w:r>
                  <w:r>
                    <w:rPr>
                      <w:rFonts w:hint="eastAsia" w:cs="Times New Roman"/>
                      <w:sz w:val="22"/>
                      <w:szCs w:val="22"/>
                      <w:lang w:val="en-US" w:eastAsia="zh-CN"/>
                    </w:rPr>
                    <w:t>。</w:t>
                  </w:r>
                </w:p>
              </w:tc>
              <w:tc>
                <w:tcPr>
                  <w:tcW w:w="732" w:type="dxa"/>
                  <w:vAlign w:val="center"/>
                </w:tcPr>
                <w:p w14:paraId="7B66864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324A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229" w:type="dxa"/>
                  <w:vAlign w:val="center"/>
                </w:tcPr>
                <w:p w14:paraId="3AD2E31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 2025 年，短流程炼钢产量占比达 15%。</w:t>
                  </w:r>
                </w:p>
              </w:tc>
              <w:tc>
                <w:tcPr>
                  <w:tcW w:w="1926" w:type="dxa"/>
                  <w:vAlign w:val="center"/>
                </w:tcPr>
                <w:p w14:paraId="2AADD1C5">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对照</w:t>
                  </w:r>
                  <w:r>
                    <w:rPr>
                      <w:rFonts w:hint="eastAsia" w:ascii="Times New Roman" w:hAnsi="Times New Roman" w:eastAsia="宋体" w:cs="Times New Roman"/>
                      <w:sz w:val="22"/>
                      <w:szCs w:val="22"/>
                      <w:lang w:val="en-US" w:eastAsia="zh-CN"/>
                    </w:rPr>
                    <w:t>《产业结构调整指导目录</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2024年本</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本项目不属于</w:t>
                  </w:r>
                  <w:r>
                    <w:rPr>
                      <w:rFonts w:hint="eastAsia" w:cs="Times New Roman"/>
                      <w:sz w:val="22"/>
                      <w:szCs w:val="22"/>
                      <w:lang w:val="en-US" w:eastAsia="zh-CN"/>
                    </w:rPr>
                    <w:t>其中的</w:t>
                  </w:r>
                  <w:r>
                    <w:rPr>
                      <w:rFonts w:hint="eastAsia" w:ascii="Times New Roman" w:hAnsi="Times New Roman" w:eastAsia="宋体" w:cs="Times New Roman"/>
                      <w:sz w:val="22"/>
                      <w:szCs w:val="22"/>
                      <w:lang w:val="en-US" w:eastAsia="zh-CN"/>
                    </w:rPr>
                    <w:t>淘汰和限制类项目</w:t>
                  </w:r>
                  <w:r>
                    <w:rPr>
                      <w:rFonts w:hint="eastAsia" w:cs="Times New Roman"/>
                      <w:sz w:val="22"/>
                      <w:szCs w:val="22"/>
                      <w:lang w:val="en-US" w:eastAsia="zh-CN"/>
                    </w:rPr>
                    <w:t>，不属于</w:t>
                  </w:r>
                  <w:r>
                    <w:rPr>
                      <w:rFonts w:hint="eastAsia" w:ascii="Times New Roman" w:hAnsi="Times New Roman" w:eastAsia="宋体" w:cs="Times New Roman"/>
                      <w:sz w:val="22"/>
                      <w:szCs w:val="22"/>
                      <w:lang w:val="en-US" w:eastAsia="zh-CN"/>
                    </w:rPr>
                    <w:t>限制类涉气行业</w:t>
                  </w:r>
                  <w:r>
                    <w:rPr>
                      <w:rFonts w:hint="eastAsia" w:cs="Times New Roman"/>
                      <w:sz w:val="22"/>
                      <w:szCs w:val="22"/>
                      <w:lang w:val="en-US" w:eastAsia="zh-CN"/>
                    </w:rPr>
                    <w:t>，不属于</w:t>
                  </w:r>
                  <w:r>
                    <w:rPr>
                      <w:rFonts w:hint="eastAsia" w:ascii="Times New Roman" w:hAnsi="Times New Roman" w:eastAsia="宋体" w:cs="Times New Roman"/>
                      <w:sz w:val="22"/>
                      <w:szCs w:val="22"/>
                      <w:lang w:val="en-US" w:eastAsia="zh-CN"/>
                    </w:rPr>
                    <w:t>焦化、烧结、球团、热轧企业和落后煤炭洗选企业</w:t>
                  </w:r>
                  <w:r>
                    <w:rPr>
                      <w:rFonts w:hint="eastAsia" w:cs="Times New Roman"/>
                      <w:sz w:val="22"/>
                      <w:szCs w:val="22"/>
                      <w:lang w:val="en-US" w:eastAsia="zh-CN"/>
                    </w:rPr>
                    <w:t>。</w:t>
                  </w:r>
                </w:p>
              </w:tc>
              <w:tc>
                <w:tcPr>
                  <w:tcW w:w="732" w:type="dxa"/>
                  <w:vAlign w:val="center"/>
                </w:tcPr>
                <w:p w14:paraId="647509B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3962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4E1834BF">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三、加快能源结构绿色低碳转型</w:t>
                  </w:r>
                </w:p>
              </w:tc>
            </w:tr>
            <w:tr w14:paraId="78C4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229" w:type="dxa"/>
                  <w:vAlign w:val="center"/>
                </w:tcPr>
                <w:p w14:paraId="731C4A2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推动工业炉窑清洁能源替代。有序推进工业领域电能替代，提高电气化水平，推动大用户直供气，降低供气成本。重点区域不再新增燃料类煤气发生炉，新改扩建加热炉、热处理炉、干燥炉、熔化炉原则上采用清洁低碳能源。燃料类煤气发生炉实施清洁能源替代，或因地制宜采取园区（集群）集中供气、分散使用方式。逐步淘汰固定床间歇式煤气发生炉，鼓励现有煤气发生炉“小改大”。安全稳妥推进使用高污染燃料的工业炉窑改用工业余热、电能、天然气等，推动石油焦、重油等高污染燃料逐步替代。</w:t>
                  </w:r>
                </w:p>
              </w:tc>
              <w:tc>
                <w:tcPr>
                  <w:tcW w:w="1926" w:type="dxa"/>
                  <w:vAlign w:val="center"/>
                </w:tcPr>
                <w:p w14:paraId="2DDD7FB9">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本项目不涉及</w:t>
                  </w:r>
                  <w:r>
                    <w:rPr>
                      <w:rFonts w:hint="eastAsia" w:ascii="Times New Roman" w:hAnsi="Times New Roman" w:eastAsia="宋体" w:cs="Times New Roman"/>
                      <w:sz w:val="22"/>
                      <w:szCs w:val="22"/>
                      <w:lang w:val="en-US" w:eastAsia="zh-CN"/>
                    </w:rPr>
                    <w:t>石油焦、重油等高污染燃料</w:t>
                  </w:r>
                  <w:r>
                    <w:rPr>
                      <w:rFonts w:hint="eastAsia" w:cs="Times New Roman"/>
                      <w:sz w:val="22"/>
                      <w:szCs w:val="22"/>
                      <w:lang w:val="en-US" w:eastAsia="zh-CN"/>
                    </w:rPr>
                    <w:t>。</w:t>
                  </w:r>
                </w:p>
              </w:tc>
              <w:tc>
                <w:tcPr>
                  <w:tcW w:w="732" w:type="dxa"/>
                  <w:vAlign w:val="center"/>
                </w:tcPr>
                <w:p w14:paraId="2F9E3AF7">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2801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87" w:type="dxa"/>
                  <w:gridSpan w:val="3"/>
                  <w:vAlign w:val="center"/>
                </w:tcPr>
                <w:p w14:paraId="06471338">
                  <w:pPr>
                    <w:autoSpaceDE w:val="0"/>
                    <w:autoSpaceDN w:val="0"/>
                    <w:adjustRightInd w:val="0"/>
                    <w:snapToGrid w:val="0"/>
                    <w:spacing w:line="240" w:lineRule="auto"/>
                    <w:jc w:val="left"/>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六、推动重点行业领域污染物减排</w:t>
                  </w:r>
                </w:p>
              </w:tc>
            </w:tr>
            <w:tr w14:paraId="566E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229" w:type="dxa"/>
                  <w:vAlign w:val="center"/>
                </w:tcPr>
                <w:p w14:paraId="33FD71D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加强 VOCs 综合治理。鼓励储罐使用低泄漏的呼吸阀、紧急泄压阀。汽车罐车推广使用密封式快速接头。污水处理场所高浓度有机废气单独收集处理；含 VOCs 有机废水储罐、装置区集水井（池）有机废气密闭收集处理。石化、化工行业集中的城市和重点工业园区，2024 年底前建立统一的泄漏检测与修复信息管理平台。企业开停工、检维修期间，及时收集处理退料、清洗、吹扫等作业产生的 VOCs 废气，不得将火炬燃烧装置作为日常大气污染处理设施。</w:t>
                  </w:r>
                </w:p>
              </w:tc>
              <w:tc>
                <w:tcPr>
                  <w:tcW w:w="1926" w:type="dxa"/>
                  <w:vAlign w:val="center"/>
                </w:tcPr>
                <w:p w14:paraId="7C1E4B1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本项目不涉及有机废水。</w:t>
                  </w:r>
                </w:p>
              </w:tc>
              <w:tc>
                <w:tcPr>
                  <w:tcW w:w="732" w:type="dxa"/>
                  <w:vAlign w:val="center"/>
                </w:tcPr>
                <w:p w14:paraId="5F6F6DEB">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5E35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229" w:type="dxa"/>
                  <w:vAlign w:val="center"/>
                </w:tcPr>
                <w:p w14:paraId="2B36569B">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加快低</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无</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VOCs原辅材料替代。严格控制生产和使用高VOCs含量涂料、油墨、胶粘剂、清洗剂等建设项目。推动现有高VOCs含量产品生产企业加快产品升级转型，提高低</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无</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VOCs含量产品比重。加大工业涂装行业、包装印刷行业及电子行业低</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无</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VOCs含量原辅材料替代力度。室外构筑物防护和城市道路交通标志推广使用低</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无</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VOCs含量涂料。严格执行VOCs含量限值标准，确保生产、销售、进口、使用符合标准的产品</w:t>
                  </w:r>
                  <w:r>
                    <w:rPr>
                      <w:rFonts w:hint="eastAsia" w:cs="Times New Roman"/>
                      <w:sz w:val="22"/>
                      <w:szCs w:val="22"/>
                      <w:lang w:val="en-US" w:eastAsia="zh-CN"/>
                    </w:rPr>
                    <w:t>。</w:t>
                  </w:r>
                </w:p>
              </w:tc>
              <w:tc>
                <w:tcPr>
                  <w:tcW w:w="1926" w:type="dxa"/>
                  <w:vAlign w:val="center"/>
                </w:tcPr>
                <w:p w14:paraId="3A7B5F49">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本项目使用的</w:t>
                  </w:r>
                  <w:r>
                    <w:rPr>
                      <w:rFonts w:hint="eastAsia" w:cs="Times New Roman"/>
                      <w:sz w:val="22"/>
                      <w:szCs w:val="22"/>
                      <w:lang w:val="en-US" w:eastAsia="zh-CN"/>
                    </w:rPr>
                    <w:t>油漆符合《低挥发性有机化合物含量涂料产品技术要求》（GBT38597-2020），经过协会论证，暂时无法使用</w:t>
                  </w:r>
                  <w:r>
                    <w:rPr>
                      <w:rFonts w:hint="eastAsia" w:ascii="Times New Roman" w:hAnsi="Times New Roman" w:eastAsia="宋体" w:cs="Times New Roman"/>
                      <w:sz w:val="22"/>
                      <w:szCs w:val="22"/>
                      <w:lang w:val="en-US" w:eastAsia="zh-CN"/>
                    </w:rPr>
                    <w:t>水性、粉末</w:t>
                  </w:r>
                  <w:r>
                    <w:rPr>
                      <w:rFonts w:hint="eastAsia" w:cs="Times New Roman"/>
                      <w:sz w:val="22"/>
                      <w:szCs w:val="22"/>
                      <w:lang w:val="en-US" w:eastAsia="zh-CN"/>
                    </w:rPr>
                    <w:t>等</w:t>
                  </w:r>
                  <w:r>
                    <w:rPr>
                      <w:rFonts w:hint="eastAsia" w:ascii="Times New Roman" w:hAnsi="Times New Roman" w:eastAsia="宋体" w:cs="Times New Roman"/>
                      <w:sz w:val="22"/>
                      <w:szCs w:val="22"/>
                      <w:lang w:val="en-US" w:eastAsia="zh-CN"/>
                    </w:rPr>
                    <w:t>低VOCs含量的涂料</w:t>
                  </w:r>
                  <w:r>
                    <w:rPr>
                      <w:rFonts w:hint="eastAsia" w:cs="Times New Roman"/>
                      <w:sz w:val="22"/>
                      <w:szCs w:val="22"/>
                      <w:lang w:val="en-US" w:eastAsia="zh-CN"/>
                    </w:rPr>
                    <w:t>进行替代。</w:t>
                  </w:r>
                </w:p>
              </w:tc>
              <w:tc>
                <w:tcPr>
                  <w:tcW w:w="732" w:type="dxa"/>
                  <w:vAlign w:val="center"/>
                </w:tcPr>
                <w:p w14:paraId="0B384BB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bl>
          <w:p w14:paraId="5B58A7CF">
            <w:pPr>
              <w:bidi w:val="0"/>
              <w:rPr>
                <w:rFonts w:hint="eastAsia"/>
                <w:lang w:val="en-US" w:eastAsia="zh-CN"/>
              </w:rPr>
            </w:pPr>
          </w:p>
          <w:p w14:paraId="34141433">
            <w:pPr>
              <w:autoSpaceDE w:val="0"/>
              <w:autoSpaceDN w:val="0"/>
              <w:adjustRightInd w:val="0"/>
              <w:snapToGrid w:val="0"/>
              <w:spacing w:line="360" w:lineRule="auto"/>
              <w:ind w:firstLine="480" w:firstLineChars="200"/>
              <w:jc w:val="both"/>
              <w:rPr>
                <w:rFonts w:ascii="宋体" w:hAnsi="宋体" w:cs="宋体"/>
                <w:kern w:val="0"/>
                <w:sz w:val="24"/>
                <w:szCs w:val="24"/>
              </w:rPr>
            </w:pPr>
            <w:r>
              <w:rPr>
                <w:rFonts w:hint="eastAsia"/>
                <w:color w:val="000000"/>
                <w:kern w:val="0"/>
                <w:sz w:val="24"/>
                <w:lang w:val="en-US" w:eastAsia="zh-CN"/>
              </w:rPr>
              <w:t>综上，本项目建设符合相关政策。</w:t>
            </w:r>
          </w:p>
        </w:tc>
      </w:tr>
    </w:tbl>
    <w:p w14:paraId="0A2DD0A8">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both"/>
        <w:textAlignment w:val="auto"/>
        <w:rPr>
          <w:rFonts w:hint="eastAsia"/>
          <w:b w:val="0"/>
          <w:bCs w:val="0"/>
          <w:snapToGrid w:val="0"/>
          <w:sz w:val="30"/>
        </w:rPr>
        <w:sectPr>
          <w:headerReference r:id="rId6" w:type="default"/>
          <w:footerReference r:id="rId7" w:type="default"/>
          <w:pgSz w:w="11906" w:h="16838"/>
          <w:pgMar w:top="1440" w:right="1800" w:bottom="1440" w:left="1800"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6E6D633D">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2"/>
          <w:szCs w:val="32"/>
        </w:rPr>
      </w:pPr>
      <w:r>
        <w:rPr>
          <w:rFonts w:hint="eastAsia"/>
          <w:b w:val="0"/>
          <w:bCs w:val="0"/>
          <w:snapToGrid w:val="0"/>
          <w:sz w:val="32"/>
          <w:szCs w:val="32"/>
        </w:rPr>
        <w:t>二、建设项目工程分析</w:t>
      </w:r>
    </w:p>
    <w:tbl>
      <w:tblPr>
        <w:tblStyle w:val="15"/>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57" w:type="dxa"/>
          <w:right w:w="57" w:type="dxa"/>
        </w:tblCellMar>
      </w:tblPr>
      <w:tblGrid>
        <w:gridCol w:w="519"/>
        <w:gridCol w:w="8465"/>
      </w:tblGrid>
      <w:tr w14:paraId="3557A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672" w:hRule="atLeast"/>
          <w:jc w:val="center"/>
        </w:trPr>
        <w:tc>
          <w:tcPr>
            <w:tcW w:w="519" w:type="dxa"/>
            <w:noWrap w:val="0"/>
            <w:vAlign w:val="center"/>
          </w:tcPr>
          <w:p w14:paraId="177F17AE">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建设内容</w:t>
            </w:r>
          </w:p>
        </w:tc>
        <w:tc>
          <w:tcPr>
            <w:tcW w:w="8465" w:type="dxa"/>
            <w:noWrap w:val="0"/>
            <w:vAlign w:val="top"/>
          </w:tcPr>
          <w:p w14:paraId="65390F1C">
            <w:pPr>
              <w:autoSpaceDE w:val="0"/>
              <w:autoSpaceDN w:val="0"/>
              <w:adjustRightInd w:val="0"/>
              <w:snapToGrid w:val="0"/>
              <w:spacing w:line="360" w:lineRule="auto"/>
              <w:jc w:val="both"/>
              <w:rPr>
                <w:rFonts w:hint="eastAsia" w:ascii="宋体" w:hAnsi="宋体" w:eastAsia="宋体" w:cs="宋体"/>
                <w:b/>
                <w:bCs/>
                <w:kern w:val="0"/>
                <w:sz w:val="28"/>
                <w:szCs w:val="28"/>
                <w:lang w:val="en-US" w:eastAsia="zh-CN"/>
              </w:rPr>
            </w:pPr>
            <w:r>
              <w:rPr>
                <w:rFonts w:hint="eastAsia" w:ascii="宋体" w:hAnsi="宋体" w:cs="宋体"/>
                <w:b/>
                <w:bCs/>
                <w:kern w:val="0"/>
                <w:sz w:val="28"/>
                <w:szCs w:val="28"/>
                <w:lang w:val="en-US" w:eastAsia="zh-CN"/>
              </w:rPr>
              <w:t>1、</w:t>
            </w:r>
            <w:r>
              <w:rPr>
                <w:rFonts w:hint="eastAsia" w:ascii="宋体" w:hAnsi="宋体" w:eastAsia="宋体" w:cs="宋体"/>
                <w:b/>
                <w:bCs/>
                <w:kern w:val="0"/>
                <w:sz w:val="28"/>
                <w:szCs w:val="28"/>
                <w:lang w:val="en-US" w:eastAsia="zh-CN"/>
              </w:rPr>
              <w:t>项目由来</w:t>
            </w:r>
          </w:p>
          <w:p w14:paraId="3508506A">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淮北市协力重型机器有限责任公司成立于1998年9月22日，</w:t>
            </w:r>
            <w:r>
              <w:rPr>
                <w:rFonts w:hint="default"/>
                <w:color w:val="000000"/>
                <w:kern w:val="0"/>
                <w:sz w:val="24"/>
                <w:lang w:val="en-US" w:eastAsia="zh-CN"/>
              </w:rPr>
              <w:t>是以生产矿山机械</w:t>
            </w:r>
            <w:r>
              <w:rPr>
                <w:rFonts w:hint="eastAsia"/>
                <w:color w:val="000000"/>
                <w:kern w:val="0"/>
                <w:sz w:val="24"/>
                <w:lang w:val="en-US" w:eastAsia="zh-CN"/>
              </w:rPr>
              <w:t>设备</w:t>
            </w:r>
            <w:r>
              <w:rPr>
                <w:rFonts w:hint="default"/>
                <w:color w:val="000000"/>
                <w:kern w:val="0"/>
                <w:sz w:val="24"/>
                <w:lang w:val="en-US" w:eastAsia="zh-CN"/>
              </w:rPr>
              <w:t>为主的专业厂家，具有科研、工程设计、生产制造和工程安装等方面的实力及设施条件。</w:t>
            </w:r>
          </w:p>
          <w:p w14:paraId="179E259D">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淮北市协力重型机器有限责任公司</w:t>
            </w:r>
            <w:r>
              <w:rPr>
                <w:rFonts w:hint="default"/>
                <w:color w:val="000000"/>
                <w:kern w:val="0"/>
                <w:sz w:val="24"/>
                <w:lang w:val="en-US" w:eastAsia="zh-CN"/>
              </w:rPr>
              <w:t>于</w:t>
            </w:r>
            <w:r>
              <w:rPr>
                <w:rFonts w:hint="eastAsia"/>
                <w:color w:val="000000"/>
                <w:kern w:val="0"/>
                <w:sz w:val="24"/>
                <w:lang w:val="en-US" w:eastAsia="zh-CN"/>
              </w:rPr>
              <w:t>2010年3月委托天津大学编制了《淮北市协力重机高科技大型洗选设备制造厂建设项目环境影响报告表》，并于同年11月份取得了原淮北市环境保护局的审批意见（详见附件4）。2018年9月由安徽迈峰检测技术有限公司对该项目进行了环保监测并完成了《淮北市协力重型机器有限责任公司淮北市协力重机高科技大型洗选设备制造厂建设项目竣工环境保护验收监测报告》。</w:t>
            </w:r>
          </w:p>
          <w:p w14:paraId="6254AB79">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淮北市协力重型机器有限责任公司生产的浓缩机、加药机、振动筛等产品主要用于矿山的开采及洗选等，生产工艺主要有下料切割、机加工、拼装焊接、刷漆晾干等。现为了适应市场变化，建设单位计划对原有部分生产设备进行数字化升级改造，新购置数控折边机、数控抛丸机、数控切割机等生产设备。增加抛丸工序，用以对刷漆前的钢材表面进行打磨处理，增加防腐漆在钢材表面的附着能力，提升产品质量和使用寿命。本项目已于2025年5月9日取得安徽淮北烈山经济开发区管委会《淮北市协力重型机器有限责任公司浓缩机生产线数字化改造项目备案证》（烈经开备2025【6】号）文件（详见附件2）。</w:t>
            </w:r>
          </w:p>
          <w:p w14:paraId="2792CAAF">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根据《中华人民共和国环境保护法》《中华人民共和国环境影响评价法》等法律要求，对照《国民经济行业分类》《建设项目环境影响评价分类管理名录（2021版）》文件，本项目属于“三十二、专用设备制造业 35-70 采矿、冶金、建筑专用设备制造 351-其他（仅分割、焊接、组装的除外；年用非溶剂型低VOCs含量涂料10吨以下的除外）”，需进行环境影响评价，编制环境影响报告表。</w:t>
            </w:r>
          </w:p>
          <w:p w14:paraId="7460DD9D">
            <w:pPr>
              <w:autoSpaceDE w:val="0"/>
              <w:autoSpaceDN w:val="0"/>
              <w:adjustRightInd w:val="0"/>
              <w:snapToGrid w:val="0"/>
              <w:spacing w:line="360" w:lineRule="auto"/>
              <w:ind w:firstLine="480" w:firstLineChars="200"/>
              <w:jc w:val="both"/>
              <w:rPr>
                <w:rFonts w:hint="eastAsia" w:ascii="宋体" w:hAnsi="宋体" w:cs="宋体"/>
                <w:b w:val="0"/>
                <w:bCs w:val="0"/>
                <w:kern w:val="0"/>
                <w:sz w:val="24"/>
                <w:szCs w:val="24"/>
                <w:lang w:val="en-US" w:eastAsia="zh-CN"/>
              </w:rPr>
            </w:pPr>
            <w:r>
              <w:rPr>
                <w:rFonts w:hint="eastAsia"/>
                <w:color w:val="000000"/>
                <w:kern w:val="0"/>
                <w:sz w:val="24"/>
                <w:lang w:val="en-US" w:eastAsia="zh-CN"/>
              </w:rPr>
              <w:t>据此，建设单位委托我司承担本项目的环境影响评价工作。接受委托后，我公司组织有关技术人员进行现场踏勘、收集资料，依据国家相关法律法规文件，编制该项目环境影响报告表，报请生态环境主管部门审查审批</w:t>
            </w:r>
            <w:r>
              <w:rPr>
                <w:rFonts w:hint="eastAsia" w:ascii="宋体" w:hAnsi="宋体" w:cs="宋体"/>
                <w:b w:val="0"/>
                <w:bCs w:val="0"/>
                <w:kern w:val="0"/>
                <w:sz w:val="24"/>
                <w:szCs w:val="24"/>
                <w:lang w:val="en-US" w:eastAsia="zh-CN"/>
              </w:rPr>
              <w:t>。</w:t>
            </w:r>
          </w:p>
          <w:p w14:paraId="4B8B73D6">
            <w:pPr>
              <w:autoSpaceDE w:val="0"/>
              <w:autoSpaceDN w:val="0"/>
              <w:adjustRightInd w:val="0"/>
              <w:snapToGrid w:val="0"/>
              <w:spacing w:line="360" w:lineRule="auto"/>
              <w:jc w:val="both"/>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2、项目概况</w:t>
            </w:r>
          </w:p>
          <w:p w14:paraId="61A9116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项目名称：浓缩机生产线数字化改造项目。</w:t>
            </w:r>
          </w:p>
          <w:p w14:paraId="121E8E98">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建设单位：淮北市协力重型机器有限责任公司。</w:t>
            </w:r>
          </w:p>
          <w:p w14:paraId="651130E6">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建设地点：安徽省淮北市烈山区新蔡镇新蔡工业园琪嘉路5号淮北市协力重型机器有限责任公司厂区内（详见附图1）。</w:t>
            </w:r>
          </w:p>
          <w:p w14:paraId="259F926D">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建设性质：技术改造。</w:t>
            </w:r>
          </w:p>
          <w:p w14:paraId="4439EF5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建设内容及规模：在厂区内南侧新增生产车间600m</w:t>
            </w:r>
            <w:r>
              <w:rPr>
                <w:rFonts w:hint="eastAsia"/>
                <w:color w:val="000000"/>
                <w:kern w:val="0"/>
                <w:sz w:val="24"/>
                <w:vertAlign w:val="superscript"/>
                <w:lang w:val="en-US" w:eastAsia="zh-CN"/>
              </w:rPr>
              <w:t>2</w:t>
            </w:r>
            <w:r>
              <w:rPr>
                <w:rFonts w:hint="eastAsia"/>
                <w:color w:val="000000"/>
                <w:kern w:val="0"/>
                <w:sz w:val="24"/>
                <w:lang w:val="en-US" w:eastAsia="zh-CN"/>
              </w:rPr>
              <w:t>，用以暂存半成品，同时对现有生产线进行数字化改造，购置数控火焰等离子切割机、数控车床、数控折边机和数控抛丸机等设备，新增ERP和MES等数字化软件，技改完成后具备年产190台浓缩机等产品的生产能力。</w:t>
            </w:r>
          </w:p>
          <w:p w14:paraId="7FDF1911">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厂区平面布置：淮北市协力重型机器有限责任公司紧邻烈山经济开发园区内部道路，占地面积约28502m</w:t>
            </w:r>
            <w:r>
              <w:rPr>
                <w:rFonts w:hint="eastAsia"/>
                <w:color w:val="000000"/>
                <w:kern w:val="0"/>
                <w:sz w:val="24"/>
                <w:vertAlign w:val="superscript"/>
                <w:lang w:val="en-US" w:eastAsia="zh-CN"/>
              </w:rPr>
              <w:t>2</w:t>
            </w:r>
            <w:r>
              <w:rPr>
                <w:rFonts w:hint="eastAsia" w:ascii="宋体" w:hAnsi="宋体" w:cs="宋体"/>
                <w:bCs/>
                <w:sz w:val="24"/>
                <w:szCs w:val="24"/>
                <w:highlight w:val="none"/>
                <w:lang w:val="en-US" w:eastAsia="zh-CN"/>
              </w:rPr>
              <w:t>，厂区内建设两栋生产厂房、一栋办公楼、一栋单层食堂及厂区道路、配电房、给排水、环保等公用辅助设施</w:t>
            </w:r>
            <w:r>
              <w:rPr>
                <w:rFonts w:hint="eastAsia"/>
                <w:color w:val="000000"/>
                <w:kern w:val="0"/>
                <w:sz w:val="24"/>
                <w:lang w:val="en-US" w:eastAsia="zh-CN"/>
              </w:rPr>
              <w:t>。厂区具体的平面布置详见附图3。</w:t>
            </w:r>
          </w:p>
          <w:p w14:paraId="4F2DBEDD">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环评管理类别判定：根据项目备案文件及建设单位提供的资料，本项目产品主要为浓缩机、振动筛、加药机等，本项目使用的原料主要是钢材、油漆、稀释剂、焊条等，生产工序主要有下料、机加工、拼装焊接、刷漆、装配等。对照《国民经济行业分类》（GBT4754-2017），本项目属于C3511矿山机械制造。对照《建设项目环境影响评价分类管理名录（2021版）》文件，本项目属于“三十二、专用设备制造业 35-70 采矿、冶金、建筑专用设备制造 351-其他（仅分割、焊接、组装的除外；年用非溶剂型低VOCs含量涂料10吨以下的除外）”，需要编制环评报告表。</w:t>
            </w:r>
          </w:p>
          <w:p w14:paraId="6E091615">
            <w:pPr>
              <w:autoSpaceDE w:val="0"/>
              <w:autoSpaceDN w:val="0"/>
              <w:adjustRightInd w:val="0"/>
              <w:snapToGrid w:val="0"/>
              <w:spacing w:line="360" w:lineRule="auto"/>
              <w:ind w:firstLine="480" w:firstLineChars="200"/>
              <w:jc w:val="both"/>
              <w:rPr>
                <w:rFonts w:hint="default" w:ascii="宋体" w:hAnsi="宋体" w:cs="宋体"/>
                <w:b w:val="0"/>
                <w:bCs w:val="0"/>
                <w:kern w:val="0"/>
                <w:sz w:val="24"/>
                <w:szCs w:val="24"/>
                <w:lang w:val="en-US" w:eastAsia="zh-CN"/>
              </w:rPr>
            </w:pPr>
            <w:r>
              <w:rPr>
                <w:rFonts w:hint="eastAsia"/>
                <w:color w:val="000000"/>
                <w:kern w:val="0"/>
                <w:sz w:val="24"/>
                <w:lang w:val="en-US" w:eastAsia="zh-CN"/>
              </w:rPr>
              <w:t>排污许可管理类别判定：对照《固定污染源排污许可分类管理名录（2019年版）》文件，本项目属于“三十、专用设备制造业 35—84 采矿、冶金、建筑专用设备制造 351—其他”，需进行排污登记管理。</w:t>
            </w:r>
          </w:p>
          <w:p w14:paraId="754B7381">
            <w:pPr>
              <w:autoSpaceDE w:val="0"/>
              <w:autoSpaceDN w:val="0"/>
              <w:adjustRightInd w:val="0"/>
              <w:snapToGrid w:val="0"/>
              <w:spacing w:line="360" w:lineRule="auto"/>
              <w:jc w:val="both"/>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3、建设内容</w:t>
            </w:r>
          </w:p>
          <w:p w14:paraId="6C6499D5">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default" w:ascii="宋体" w:hAnsi="宋体" w:eastAsia="宋体" w:cs="宋体"/>
                <w:b/>
                <w:bCs/>
                <w:sz w:val="22"/>
                <w:szCs w:val="22"/>
                <w:lang w:val="en-US" w:eastAsia="zh-CN"/>
              </w:rPr>
              <w:t>表</w:t>
            </w:r>
            <w:r>
              <w:rPr>
                <w:rFonts w:hint="default" w:ascii="Times New Roman" w:hAnsi="Times New Roman" w:eastAsia="宋体" w:cs="Times New Roman"/>
                <w:b/>
                <w:bCs/>
                <w:sz w:val="22"/>
                <w:szCs w:val="22"/>
                <w:lang w:val="en-US" w:eastAsia="zh-CN"/>
              </w:rPr>
              <w:t>2-1</w:t>
            </w:r>
            <w:r>
              <w:rPr>
                <w:rFonts w:hint="default" w:ascii="宋体" w:hAnsi="宋体" w:eastAsia="宋体" w:cs="宋体"/>
                <w:b/>
                <w:bCs/>
                <w:sz w:val="22"/>
                <w:szCs w:val="22"/>
                <w:lang w:val="en-US" w:eastAsia="zh-CN"/>
              </w:rPr>
              <w:t xml:space="preserve">  </w:t>
            </w:r>
            <w:r>
              <w:rPr>
                <w:rFonts w:hint="eastAsia" w:ascii="宋体" w:hAnsi="宋体" w:cs="宋体"/>
                <w:b/>
                <w:bCs/>
                <w:sz w:val="22"/>
                <w:szCs w:val="22"/>
                <w:lang w:val="en-US" w:eastAsia="zh-CN"/>
              </w:rPr>
              <w:t>项目主要建设工程内容及规模一览表</w:t>
            </w:r>
          </w:p>
          <w:tbl>
            <w:tblPr>
              <w:tblStyle w:val="15"/>
              <w:tblW w:w="8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14"/>
              <w:gridCol w:w="900"/>
              <w:gridCol w:w="2184"/>
              <w:gridCol w:w="2184"/>
              <w:gridCol w:w="1730"/>
              <w:gridCol w:w="720"/>
            </w:tblGrid>
            <w:tr w14:paraId="3C45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07" w:hRule="atLeast"/>
                <w:jc w:val="center"/>
              </w:trPr>
              <w:tc>
                <w:tcPr>
                  <w:tcW w:w="368" w:type="pct"/>
                  <w:tcBorders>
                    <w:tl2br w:val="nil"/>
                    <w:tr2bl w:val="nil"/>
                  </w:tcBorders>
                  <w:noWrap/>
                  <w:tcMar>
                    <w:top w:w="57" w:type="dxa"/>
                    <w:left w:w="57" w:type="dxa"/>
                    <w:bottom w:w="57" w:type="dxa"/>
                    <w:right w:w="57" w:type="dxa"/>
                  </w:tcMar>
                  <w:vAlign w:val="center"/>
                </w:tcPr>
                <w:p w14:paraId="44E78D2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eastAsia" w:ascii="宋体" w:hAnsi="宋体" w:eastAsia="宋体" w:cs="宋体"/>
                      <w:b/>
                      <w:bCs/>
                      <w:color w:val="000000"/>
                      <w:kern w:val="2"/>
                      <w:sz w:val="22"/>
                      <w:szCs w:val="22"/>
                      <w:highlight w:val="none"/>
                      <w:lang w:val="en-US" w:eastAsia="zh-CN"/>
                    </w:rPr>
                    <w:t>工程类别</w:t>
                  </w:r>
                </w:p>
              </w:tc>
              <w:tc>
                <w:tcPr>
                  <w:tcW w:w="540" w:type="pct"/>
                  <w:tcBorders>
                    <w:tl2br w:val="nil"/>
                    <w:tr2bl w:val="nil"/>
                  </w:tcBorders>
                  <w:noWrap/>
                  <w:tcMar>
                    <w:top w:w="57" w:type="dxa"/>
                    <w:left w:w="57" w:type="dxa"/>
                    <w:bottom w:w="57" w:type="dxa"/>
                    <w:right w:w="57" w:type="dxa"/>
                  </w:tcMar>
                  <w:vAlign w:val="center"/>
                </w:tcPr>
                <w:p w14:paraId="532FF58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color w:val="000000"/>
                      <w:kern w:val="2"/>
                      <w:sz w:val="22"/>
                      <w:szCs w:val="22"/>
                      <w:highlight w:val="none"/>
                      <w:lang w:val="en-US" w:eastAsia="zh-CN"/>
                    </w:rPr>
                  </w:pPr>
                  <w:r>
                    <w:rPr>
                      <w:rFonts w:hint="eastAsia" w:ascii="宋体" w:hAnsi="宋体" w:eastAsia="宋体" w:cs="宋体"/>
                      <w:b/>
                      <w:bCs/>
                      <w:color w:val="000000"/>
                      <w:kern w:val="2"/>
                      <w:sz w:val="22"/>
                      <w:szCs w:val="22"/>
                      <w:highlight w:val="none"/>
                      <w:lang w:val="en-US" w:eastAsia="zh-CN"/>
                    </w:rPr>
                    <w:t>单项工程名称</w:t>
                  </w:r>
                </w:p>
              </w:tc>
              <w:tc>
                <w:tcPr>
                  <w:tcW w:w="1310" w:type="pct"/>
                  <w:tcBorders>
                    <w:tl2br w:val="nil"/>
                    <w:tr2bl w:val="nil"/>
                  </w:tcBorders>
                  <w:noWrap/>
                  <w:tcMar>
                    <w:top w:w="57" w:type="dxa"/>
                    <w:left w:w="57" w:type="dxa"/>
                    <w:bottom w:w="57" w:type="dxa"/>
                    <w:right w:w="57" w:type="dxa"/>
                  </w:tcMar>
                  <w:vAlign w:val="center"/>
                </w:tcPr>
                <w:p w14:paraId="27B1E0F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eastAsia" w:ascii="宋体" w:hAnsi="宋体" w:cs="宋体"/>
                      <w:b/>
                      <w:bCs/>
                      <w:color w:val="000000"/>
                      <w:kern w:val="2"/>
                      <w:sz w:val="22"/>
                      <w:szCs w:val="22"/>
                      <w:highlight w:val="none"/>
                      <w:lang w:val="en-US" w:eastAsia="zh-CN"/>
                    </w:rPr>
                    <w:t>现有工程内容及规模</w:t>
                  </w:r>
                </w:p>
              </w:tc>
              <w:tc>
                <w:tcPr>
                  <w:tcW w:w="1310" w:type="pct"/>
                  <w:tcBorders>
                    <w:tl2br w:val="nil"/>
                    <w:tr2bl w:val="nil"/>
                  </w:tcBorders>
                  <w:noWrap/>
                  <w:tcMar>
                    <w:top w:w="57" w:type="dxa"/>
                    <w:left w:w="57" w:type="dxa"/>
                    <w:bottom w:w="57" w:type="dxa"/>
                    <w:right w:w="57" w:type="dxa"/>
                  </w:tcMar>
                  <w:vAlign w:val="center"/>
                </w:tcPr>
                <w:p w14:paraId="070D0D4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eastAsia" w:ascii="宋体" w:hAnsi="宋体" w:cs="宋体"/>
                      <w:b/>
                      <w:bCs/>
                      <w:color w:val="000000"/>
                      <w:kern w:val="2"/>
                      <w:sz w:val="22"/>
                      <w:szCs w:val="22"/>
                      <w:highlight w:val="none"/>
                      <w:lang w:val="en-US" w:eastAsia="zh-CN"/>
                    </w:rPr>
                    <w:t>本项目技改内容</w:t>
                  </w:r>
                </w:p>
              </w:tc>
              <w:tc>
                <w:tcPr>
                  <w:tcW w:w="1038" w:type="pct"/>
                  <w:tcBorders>
                    <w:tl2br w:val="nil"/>
                    <w:tr2bl w:val="nil"/>
                  </w:tcBorders>
                  <w:shd w:val="clear" w:color="auto" w:fill="auto"/>
                  <w:noWrap/>
                  <w:tcMar>
                    <w:top w:w="57" w:type="dxa"/>
                    <w:left w:w="57" w:type="dxa"/>
                    <w:bottom w:w="57" w:type="dxa"/>
                    <w:right w:w="57" w:type="dxa"/>
                  </w:tcMar>
                  <w:vAlign w:val="center"/>
                </w:tcPr>
                <w:p w14:paraId="5D08232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color w:val="000000"/>
                      <w:kern w:val="2"/>
                      <w:sz w:val="22"/>
                      <w:szCs w:val="22"/>
                      <w:highlight w:val="none"/>
                      <w:lang w:val="en-US" w:eastAsia="zh-CN" w:bidi="ar-SA"/>
                    </w:rPr>
                  </w:pPr>
                  <w:r>
                    <w:rPr>
                      <w:rFonts w:hint="eastAsia" w:ascii="宋体" w:hAnsi="宋体" w:cs="宋体"/>
                      <w:b/>
                      <w:bCs/>
                      <w:color w:val="000000"/>
                      <w:kern w:val="2"/>
                      <w:sz w:val="22"/>
                      <w:szCs w:val="22"/>
                      <w:highlight w:val="none"/>
                      <w:lang w:val="en-US" w:eastAsia="zh-CN"/>
                    </w:rPr>
                    <w:t>技改</w:t>
                  </w:r>
                  <w:r>
                    <w:rPr>
                      <w:rFonts w:hint="eastAsia" w:ascii="宋体" w:hAnsi="宋体" w:eastAsia="宋体" w:cs="宋体"/>
                      <w:b/>
                      <w:bCs/>
                      <w:color w:val="000000"/>
                      <w:kern w:val="2"/>
                      <w:sz w:val="22"/>
                      <w:szCs w:val="22"/>
                      <w:highlight w:val="none"/>
                      <w:lang w:val="en-US" w:eastAsia="zh-CN"/>
                    </w:rPr>
                    <w:t>后</w:t>
                  </w:r>
                  <w:r>
                    <w:rPr>
                      <w:rFonts w:hint="eastAsia" w:ascii="宋体" w:hAnsi="宋体" w:cs="宋体"/>
                      <w:b/>
                      <w:bCs/>
                      <w:color w:val="000000"/>
                      <w:kern w:val="2"/>
                      <w:sz w:val="22"/>
                      <w:szCs w:val="22"/>
                      <w:highlight w:val="none"/>
                      <w:lang w:val="en-US" w:eastAsia="zh-CN"/>
                    </w:rPr>
                    <w:t>总体工程</w:t>
                  </w:r>
                  <w:r>
                    <w:rPr>
                      <w:rFonts w:hint="eastAsia" w:ascii="宋体" w:hAnsi="宋体" w:eastAsia="宋体" w:cs="宋体"/>
                      <w:b/>
                      <w:bCs/>
                      <w:color w:val="000000"/>
                      <w:kern w:val="2"/>
                      <w:sz w:val="22"/>
                      <w:szCs w:val="22"/>
                      <w:highlight w:val="none"/>
                      <w:lang w:val="en-US" w:eastAsia="zh-CN"/>
                    </w:rPr>
                    <w:t>内容及规模</w:t>
                  </w:r>
                </w:p>
              </w:tc>
              <w:tc>
                <w:tcPr>
                  <w:tcW w:w="432" w:type="pct"/>
                  <w:tcBorders>
                    <w:tl2br w:val="nil"/>
                    <w:tr2bl w:val="nil"/>
                  </w:tcBorders>
                  <w:shd w:val="clear" w:color="auto" w:fill="auto"/>
                  <w:noWrap/>
                  <w:tcMar>
                    <w:top w:w="57" w:type="dxa"/>
                    <w:left w:w="57" w:type="dxa"/>
                    <w:bottom w:w="57" w:type="dxa"/>
                    <w:right w:w="57" w:type="dxa"/>
                  </w:tcMar>
                  <w:vAlign w:val="center"/>
                </w:tcPr>
                <w:p w14:paraId="4D1F4F5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kern w:val="2"/>
                      <w:sz w:val="22"/>
                      <w:szCs w:val="22"/>
                      <w:highlight w:val="none"/>
                      <w:lang w:val="en-US" w:eastAsia="zh-CN"/>
                    </w:rPr>
                    <w:t>备注</w:t>
                  </w:r>
                </w:p>
              </w:tc>
            </w:tr>
            <w:tr w14:paraId="23D9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2" w:hRule="atLeast"/>
                <w:jc w:val="center"/>
              </w:trPr>
              <w:tc>
                <w:tcPr>
                  <w:tcW w:w="368" w:type="pct"/>
                  <w:vMerge w:val="restart"/>
                  <w:tcBorders>
                    <w:tl2br w:val="nil"/>
                    <w:tr2bl w:val="nil"/>
                  </w:tcBorders>
                  <w:noWrap/>
                  <w:tcMar>
                    <w:top w:w="57" w:type="dxa"/>
                    <w:left w:w="57" w:type="dxa"/>
                    <w:bottom w:w="57" w:type="dxa"/>
                    <w:right w:w="57" w:type="dxa"/>
                  </w:tcMar>
                  <w:vAlign w:val="center"/>
                </w:tcPr>
                <w:p w14:paraId="29776BB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主体工程</w:t>
                  </w:r>
                </w:p>
              </w:tc>
              <w:tc>
                <w:tcPr>
                  <w:tcW w:w="540" w:type="pct"/>
                  <w:tcBorders>
                    <w:tl2br w:val="nil"/>
                    <w:tr2bl w:val="nil"/>
                  </w:tcBorders>
                  <w:noWrap/>
                  <w:tcMar>
                    <w:top w:w="57" w:type="dxa"/>
                    <w:left w:w="57" w:type="dxa"/>
                    <w:bottom w:w="57" w:type="dxa"/>
                    <w:right w:w="57" w:type="dxa"/>
                  </w:tcMar>
                  <w:vAlign w:val="center"/>
                </w:tcPr>
                <w:p w14:paraId="3285B68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1#生产车间</w:t>
                  </w:r>
                </w:p>
              </w:tc>
              <w:tc>
                <w:tcPr>
                  <w:tcW w:w="1310" w:type="pct"/>
                  <w:tcBorders>
                    <w:tl2br w:val="nil"/>
                    <w:tr2bl w:val="nil"/>
                  </w:tcBorders>
                  <w:noWrap/>
                  <w:tcMar>
                    <w:top w:w="57" w:type="dxa"/>
                    <w:left w:w="57" w:type="dxa"/>
                    <w:bottom w:w="57" w:type="dxa"/>
                    <w:right w:w="57" w:type="dxa"/>
                  </w:tcMar>
                  <w:vAlign w:val="center"/>
                </w:tcPr>
                <w:p w14:paraId="5C68224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已建成厂房，位于厂区内西北方，</w:t>
                  </w:r>
                  <w:r>
                    <w:rPr>
                      <w:rFonts w:hint="default" w:ascii="Times New Roman" w:hAnsi="Times New Roman" w:eastAsia="宋体"/>
                      <w:color w:val="000000"/>
                      <w:kern w:val="0"/>
                      <w:sz w:val="21"/>
                      <w:szCs w:val="21"/>
                      <w:lang w:val="en-US" w:eastAsia="zh-CN"/>
                    </w:rPr>
                    <w:t>占地</w:t>
                  </w:r>
                  <w:r>
                    <w:rPr>
                      <w:rFonts w:hint="eastAsia"/>
                      <w:color w:val="000000"/>
                      <w:kern w:val="0"/>
                      <w:sz w:val="21"/>
                      <w:szCs w:val="21"/>
                      <w:lang w:val="en-US" w:eastAsia="zh-CN"/>
                    </w:rPr>
                    <w:t>约</w:t>
                  </w:r>
                  <w:r>
                    <w:rPr>
                      <w:rFonts w:hint="default" w:ascii="Times New Roman" w:hAnsi="Times New Roman" w:eastAsia="宋体"/>
                      <w:color w:val="000000"/>
                      <w:kern w:val="0"/>
                      <w:sz w:val="21"/>
                      <w:szCs w:val="21"/>
                      <w:lang w:val="en-US" w:eastAsia="zh-CN"/>
                    </w:rPr>
                    <w:t>4500m</w:t>
                  </w:r>
                  <w:r>
                    <w:rPr>
                      <w:rFonts w:hint="default" w:ascii="Times New Roman" w:hAnsi="Times New Roman" w:eastAsia="宋体"/>
                      <w:color w:val="000000"/>
                      <w:kern w:val="0"/>
                      <w:sz w:val="21"/>
                      <w:szCs w:val="21"/>
                      <w:vertAlign w:val="superscript"/>
                      <w:lang w:val="en-US" w:eastAsia="zh-CN"/>
                    </w:rPr>
                    <w:t>2</w:t>
                  </w:r>
                  <w:r>
                    <w:rPr>
                      <w:rFonts w:hint="default" w:ascii="Times New Roman" w:hAnsi="Times New Roman" w:eastAsia="宋体"/>
                      <w:color w:val="000000"/>
                      <w:kern w:val="0"/>
                      <w:sz w:val="21"/>
                      <w:szCs w:val="21"/>
                      <w:lang w:val="en-US" w:eastAsia="zh-CN"/>
                    </w:rPr>
                    <w:t>，</w:t>
                  </w:r>
                  <w:r>
                    <w:rPr>
                      <w:rFonts w:hint="eastAsia"/>
                      <w:color w:val="000000"/>
                      <w:kern w:val="0"/>
                      <w:sz w:val="21"/>
                      <w:szCs w:val="21"/>
                      <w:lang w:val="en-US" w:eastAsia="zh-CN"/>
                    </w:rPr>
                    <w:t>车间内东侧为装配区，西侧为精加工区。</w:t>
                  </w:r>
                </w:p>
              </w:tc>
              <w:tc>
                <w:tcPr>
                  <w:tcW w:w="1310" w:type="pct"/>
                  <w:tcBorders>
                    <w:tl2br w:val="nil"/>
                    <w:tr2bl w:val="nil"/>
                  </w:tcBorders>
                  <w:noWrap/>
                  <w:tcMar>
                    <w:top w:w="57" w:type="dxa"/>
                    <w:left w:w="57" w:type="dxa"/>
                    <w:bottom w:w="57" w:type="dxa"/>
                    <w:right w:w="57" w:type="dxa"/>
                  </w:tcMar>
                  <w:vAlign w:val="center"/>
                </w:tcPr>
                <w:p w14:paraId="013F27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color w:val="000000"/>
                      <w:kern w:val="0"/>
                      <w:sz w:val="21"/>
                      <w:szCs w:val="21"/>
                      <w:lang w:val="en-US" w:eastAsia="zh-CN"/>
                    </w:rPr>
                    <w:t>不涉及厂房建设，新增</w:t>
                  </w:r>
                  <w:r>
                    <w:rPr>
                      <w:rFonts w:hint="default" w:ascii="Times New Roman" w:hAnsi="Times New Roman" w:eastAsia="宋体"/>
                      <w:color w:val="000000"/>
                      <w:kern w:val="0"/>
                      <w:sz w:val="21"/>
                      <w:szCs w:val="21"/>
                      <w:lang w:val="en-US" w:eastAsia="zh-CN"/>
                    </w:rPr>
                    <w:t>数控车床、数控火焰等离子切割机等</w:t>
                  </w:r>
                  <w:r>
                    <w:rPr>
                      <w:rFonts w:hint="eastAsia"/>
                      <w:color w:val="000000"/>
                      <w:kern w:val="0"/>
                      <w:sz w:val="21"/>
                      <w:szCs w:val="21"/>
                      <w:lang w:val="en-US" w:eastAsia="zh-CN"/>
                    </w:rPr>
                    <w:t>生产设备。</w:t>
                  </w:r>
                </w:p>
              </w:tc>
              <w:tc>
                <w:tcPr>
                  <w:tcW w:w="1038" w:type="pct"/>
                  <w:tcBorders>
                    <w:tl2br w:val="nil"/>
                    <w:tr2bl w:val="nil"/>
                  </w:tcBorders>
                  <w:shd w:val="clear" w:color="auto" w:fill="auto"/>
                  <w:noWrap/>
                  <w:tcMar>
                    <w:top w:w="57" w:type="dxa"/>
                    <w:left w:w="57" w:type="dxa"/>
                    <w:bottom w:w="57" w:type="dxa"/>
                    <w:right w:w="57" w:type="dxa"/>
                  </w:tcMar>
                  <w:vAlign w:val="center"/>
                </w:tcPr>
                <w:p w14:paraId="47F0023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color w:val="000000"/>
                      <w:kern w:val="0"/>
                      <w:sz w:val="21"/>
                      <w:szCs w:val="21"/>
                      <w:lang w:val="en-US" w:eastAsia="zh-CN"/>
                    </w:rPr>
                    <w:t>位于厂区内西北方，</w:t>
                  </w:r>
                  <w:r>
                    <w:rPr>
                      <w:rFonts w:hint="default" w:ascii="Times New Roman" w:hAnsi="Times New Roman" w:eastAsia="宋体"/>
                      <w:color w:val="000000"/>
                      <w:kern w:val="0"/>
                      <w:sz w:val="21"/>
                      <w:szCs w:val="21"/>
                      <w:lang w:val="en-US" w:eastAsia="zh-CN"/>
                    </w:rPr>
                    <w:t>占地</w:t>
                  </w:r>
                  <w:r>
                    <w:rPr>
                      <w:rFonts w:hint="eastAsia"/>
                      <w:color w:val="000000"/>
                      <w:kern w:val="0"/>
                      <w:sz w:val="21"/>
                      <w:szCs w:val="21"/>
                      <w:lang w:val="en-US" w:eastAsia="zh-CN"/>
                    </w:rPr>
                    <w:t>约</w:t>
                  </w:r>
                  <w:r>
                    <w:rPr>
                      <w:rFonts w:hint="default" w:ascii="Times New Roman" w:hAnsi="Times New Roman" w:eastAsia="宋体"/>
                      <w:color w:val="000000"/>
                      <w:kern w:val="0"/>
                      <w:sz w:val="21"/>
                      <w:szCs w:val="21"/>
                      <w:lang w:val="en-US" w:eastAsia="zh-CN"/>
                    </w:rPr>
                    <w:t>4500m</w:t>
                  </w:r>
                  <w:r>
                    <w:rPr>
                      <w:rFonts w:hint="default" w:ascii="Times New Roman" w:hAnsi="Times New Roman" w:eastAsia="宋体"/>
                      <w:color w:val="000000"/>
                      <w:kern w:val="0"/>
                      <w:sz w:val="21"/>
                      <w:szCs w:val="21"/>
                      <w:vertAlign w:val="superscript"/>
                      <w:lang w:val="en-US" w:eastAsia="zh-CN"/>
                    </w:rPr>
                    <w:t>2</w:t>
                  </w:r>
                  <w:r>
                    <w:rPr>
                      <w:rFonts w:hint="default" w:ascii="Times New Roman" w:hAnsi="Times New Roman" w:eastAsia="宋体"/>
                      <w:color w:val="000000"/>
                      <w:kern w:val="0"/>
                      <w:sz w:val="21"/>
                      <w:szCs w:val="21"/>
                      <w:lang w:val="en-US" w:eastAsia="zh-CN"/>
                    </w:rPr>
                    <w:t>，</w:t>
                  </w:r>
                  <w:r>
                    <w:rPr>
                      <w:rFonts w:hint="eastAsia"/>
                      <w:color w:val="000000"/>
                      <w:kern w:val="0"/>
                      <w:sz w:val="21"/>
                      <w:szCs w:val="21"/>
                      <w:lang w:val="en-US" w:eastAsia="zh-CN"/>
                    </w:rPr>
                    <w:t>车间内东侧为装配区，西侧为精加工区。</w:t>
                  </w:r>
                </w:p>
              </w:tc>
              <w:tc>
                <w:tcPr>
                  <w:tcW w:w="432" w:type="pct"/>
                  <w:tcBorders>
                    <w:tl2br w:val="nil"/>
                    <w:tr2bl w:val="nil"/>
                  </w:tcBorders>
                  <w:shd w:val="clear" w:color="auto" w:fill="auto"/>
                  <w:noWrap/>
                  <w:tcMar>
                    <w:top w:w="57" w:type="dxa"/>
                    <w:left w:w="57" w:type="dxa"/>
                    <w:bottom w:w="57" w:type="dxa"/>
                    <w:right w:w="57" w:type="dxa"/>
                  </w:tcMar>
                  <w:vAlign w:val="center"/>
                </w:tcPr>
                <w:p w14:paraId="4301C04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依托原有厂房</w:t>
                  </w:r>
                </w:p>
              </w:tc>
            </w:tr>
            <w:tr w14:paraId="3D1F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2" w:hRule="atLeast"/>
                <w:jc w:val="center"/>
              </w:trPr>
              <w:tc>
                <w:tcPr>
                  <w:tcW w:w="368" w:type="pct"/>
                  <w:vMerge w:val="continue"/>
                  <w:tcBorders>
                    <w:tl2br w:val="nil"/>
                    <w:tr2bl w:val="nil"/>
                  </w:tcBorders>
                  <w:noWrap/>
                  <w:tcMar>
                    <w:top w:w="57" w:type="dxa"/>
                    <w:left w:w="57" w:type="dxa"/>
                    <w:bottom w:w="57" w:type="dxa"/>
                    <w:right w:w="57" w:type="dxa"/>
                  </w:tcMar>
                  <w:vAlign w:val="center"/>
                </w:tcPr>
                <w:p w14:paraId="50D13EC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540" w:type="pct"/>
                  <w:tcBorders>
                    <w:tl2br w:val="nil"/>
                    <w:tr2bl w:val="nil"/>
                  </w:tcBorders>
                  <w:noWrap/>
                  <w:tcMar>
                    <w:top w:w="57" w:type="dxa"/>
                    <w:left w:w="57" w:type="dxa"/>
                    <w:bottom w:w="57" w:type="dxa"/>
                    <w:right w:w="57" w:type="dxa"/>
                  </w:tcMar>
                  <w:vAlign w:val="center"/>
                </w:tcPr>
                <w:p w14:paraId="126672D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2#生产车间</w:t>
                  </w:r>
                </w:p>
              </w:tc>
              <w:tc>
                <w:tcPr>
                  <w:tcW w:w="1310" w:type="pct"/>
                  <w:tcBorders>
                    <w:tl2br w:val="nil"/>
                    <w:tr2bl w:val="nil"/>
                  </w:tcBorders>
                  <w:noWrap/>
                  <w:tcMar>
                    <w:top w:w="57" w:type="dxa"/>
                    <w:left w:w="57" w:type="dxa"/>
                    <w:bottom w:w="57" w:type="dxa"/>
                    <w:right w:w="57" w:type="dxa"/>
                  </w:tcMar>
                  <w:vAlign w:val="center"/>
                </w:tcPr>
                <w:p w14:paraId="3C8F58E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已建成厂房，位于厂区内南侧，</w:t>
                  </w:r>
                  <w:r>
                    <w:rPr>
                      <w:rFonts w:hint="default" w:ascii="Times New Roman" w:hAnsi="Times New Roman" w:eastAsia="宋体"/>
                      <w:color w:val="000000"/>
                      <w:kern w:val="0"/>
                      <w:sz w:val="21"/>
                      <w:szCs w:val="21"/>
                      <w:lang w:val="en-US" w:eastAsia="zh-CN"/>
                    </w:rPr>
                    <w:t>占地</w:t>
                  </w:r>
                  <w:r>
                    <w:rPr>
                      <w:rFonts w:hint="eastAsia"/>
                      <w:color w:val="000000"/>
                      <w:kern w:val="0"/>
                      <w:sz w:val="21"/>
                      <w:szCs w:val="21"/>
                      <w:lang w:val="en-US" w:eastAsia="zh-CN"/>
                    </w:rPr>
                    <w:t>约</w:t>
                  </w:r>
                  <w:r>
                    <w:rPr>
                      <w:rFonts w:hint="default" w:ascii="Times New Roman" w:hAnsi="Times New Roman" w:eastAsia="宋体"/>
                      <w:color w:val="000000"/>
                      <w:kern w:val="0"/>
                      <w:sz w:val="21"/>
                      <w:szCs w:val="21"/>
                      <w:lang w:val="en-US" w:eastAsia="zh-CN"/>
                    </w:rPr>
                    <w:t>10</w:t>
                  </w:r>
                  <w:r>
                    <w:rPr>
                      <w:rFonts w:hint="eastAsia"/>
                      <w:color w:val="000000"/>
                      <w:kern w:val="0"/>
                      <w:sz w:val="21"/>
                      <w:szCs w:val="21"/>
                      <w:lang w:val="en-US" w:eastAsia="zh-CN"/>
                    </w:rPr>
                    <w:t>0</w:t>
                  </w:r>
                  <w:r>
                    <w:rPr>
                      <w:rFonts w:hint="default" w:ascii="Times New Roman" w:hAnsi="Times New Roman" w:eastAsia="宋体"/>
                      <w:color w:val="000000"/>
                      <w:kern w:val="0"/>
                      <w:sz w:val="21"/>
                      <w:szCs w:val="21"/>
                      <w:lang w:val="en-US" w:eastAsia="zh-CN"/>
                    </w:rPr>
                    <w:t>00m</w:t>
                  </w:r>
                  <w:r>
                    <w:rPr>
                      <w:rFonts w:hint="default" w:ascii="Times New Roman" w:hAnsi="Times New Roman" w:eastAsia="宋体"/>
                      <w:color w:val="000000"/>
                      <w:kern w:val="0"/>
                      <w:sz w:val="21"/>
                      <w:szCs w:val="21"/>
                      <w:vertAlign w:val="superscript"/>
                      <w:lang w:val="en-US" w:eastAsia="zh-CN"/>
                    </w:rPr>
                    <w:t>2</w:t>
                  </w:r>
                  <w:r>
                    <w:rPr>
                      <w:rFonts w:hint="default" w:ascii="Times New Roman" w:hAnsi="Times New Roman" w:eastAsia="宋体"/>
                      <w:color w:val="000000"/>
                      <w:kern w:val="0"/>
                      <w:sz w:val="21"/>
                      <w:szCs w:val="21"/>
                      <w:lang w:val="en-US" w:eastAsia="zh-CN"/>
                    </w:rPr>
                    <w:t>，</w:t>
                  </w:r>
                  <w:r>
                    <w:rPr>
                      <w:rFonts w:hint="eastAsia"/>
                      <w:color w:val="000000"/>
                      <w:kern w:val="0"/>
                      <w:sz w:val="21"/>
                      <w:szCs w:val="21"/>
                      <w:lang w:val="en-US" w:eastAsia="zh-CN"/>
                    </w:rPr>
                    <w:t>主要进行钢材的机加工、刷漆等。</w:t>
                  </w:r>
                </w:p>
              </w:tc>
              <w:tc>
                <w:tcPr>
                  <w:tcW w:w="1310" w:type="pct"/>
                  <w:tcBorders>
                    <w:tl2br w:val="nil"/>
                    <w:tr2bl w:val="nil"/>
                  </w:tcBorders>
                  <w:noWrap/>
                  <w:tcMar>
                    <w:top w:w="57" w:type="dxa"/>
                    <w:left w:w="57" w:type="dxa"/>
                    <w:bottom w:w="57" w:type="dxa"/>
                    <w:right w:w="57" w:type="dxa"/>
                  </w:tcMar>
                  <w:vAlign w:val="center"/>
                </w:tcPr>
                <w:p w14:paraId="721011D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color w:val="000000"/>
                      <w:kern w:val="0"/>
                      <w:sz w:val="21"/>
                      <w:szCs w:val="21"/>
                      <w:lang w:val="en-US" w:eastAsia="zh-CN"/>
                    </w:rPr>
                    <w:t>拟在2#生产车间南侧新增建设600</w:t>
                  </w:r>
                  <w:r>
                    <w:rPr>
                      <w:rFonts w:hint="default" w:ascii="Times New Roman" w:hAnsi="Times New Roman" w:eastAsia="宋体"/>
                      <w:color w:val="000000"/>
                      <w:kern w:val="0"/>
                      <w:sz w:val="21"/>
                      <w:szCs w:val="21"/>
                      <w:lang w:val="en-US" w:eastAsia="zh-CN"/>
                    </w:rPr>
                    <w:t>m</w:t>
                  </w:r>
                  <w:r>
                    <w:rPr>
                      <w:rFonts w:hint="default" w:ascii="Times New Roman" w:hAnsi="Times New Roman" w:eastAsia="宋体"/>
                      <w:color w:val="000000"/>
                      <w:kern w:val="0"/>
                      <w:sz w:val="21"/>
                      <w:szCs w:val="21"/>
                      <w:vertAlign w:val="superscript"/>
                      <w:lang w:val="en-US" w:eastAsia="zh-CN"/>
                    </w:rPr>
                    <w:t>2</w:t>
                  </w:r>
                  <w:r>
                    <w:rPr>
                      <w:rFonts w:hint="eastAsia"/>
                      <w:color w:val="000000"/>
                      <w:kern w:val="0"/>
                      <w:sz w:val="21"/>
                      <w:szCs w:val="21"/>
                      <w:vertAlign w:val="baseline"/>
                      <w:lang w:val="en-US" w:eastAsia="zh-CN"/>
                    </w:rPr>
                    <w:t>厂房，同时在车间内</w:t>
                  </w:r>
                  <w:r>
                    <w:rPr>
                      <w:rFonts w:hint="eastAsia"/>
                      <w:color w:val="000000"/>
                      <w:kern w:val="0"/>
                      <w:sz w:val="21"/>
                      <w:szCs w:val="21"/>
                      <w:lang w:val="en-US" w:eastAsia="zh-CN"/>
                    </w:rPr>
                    <w:t>新增</w:t>
                  </w:r>
                  <w:r>
                    <w:rPr>
                      <w:rFonts w:hint="default" w:ascii="Times New Roman" w:hAnsi="Times New Roman" w:eastAsia="宋体"/>
                      <w:color w:val="000000"/>
                      <w:kern w:val="0"/>
                      <w:sz w:val="21"/>
                      <w:szCs w:val="21"/>
                      <w:lang w:val="en-US" w:eastAsia="zh-CN"/>
                    </w:rPr>
                    <w:t>数控折边机</w:t>
                  </w:r>
                  <w:r>
                    <w:rPr>
                      <w:rFonts w:hint="eastAsia"/>
                      <w:color w:val="000000"/>
                      <w:kern w:val="0"/>
                      <w:sz w:val="21"/>
                      <w:szCs w:val="21"/>
                      <w:lang w:val="en-US" w:eastAsia="zh-CN"/>
                    </w:rPr>
                    <w:t>、</w:t>
                  </w:r>
                  <w:r>
                    <w:rPr>
                      <w:rFonts w:hint="default" w:ascii="Times New Roman" w:hAnsi="Times New Roman" w:eastAsia="宋体"/>
                      <w:color w:val="000000"/>
                      <w:kern w:val="0"/>
                      <w:sz w:val="21"/>
                      <w:szCs w:val="21"/>
                      <w:lang w:val="en-US" w:eastAsia="zh-CN"/>
                    </w:rPr>
                    <w:t>数控抛丸机等</w:t>
                  </w:r>
                  <w:r>
                    <w:rPr>
                      <w:rFonts w:hint="eastAsia"/>
                      <w:color w:val="000000"/>
                      <w:kern w:val="0"/>
                      <w:sz w:val="21"/>
                      <w:szCs w:val="21"/>
                      <w:lang w:val="en-US" w:eastAsia="zh-CN"/>
                    </w:rPr>
                    <w:t>生产</w:t>
                  </w:r>
                  <w:r>
                    <w:rPr>
                      <w:rFonts w:hint="default" w:ascii="Times New Roman" w:hAnsi="Times New Roman" w:eastAsia="宋体"/>
                      <w:color w:val="000000"/>
                      <w:kern w:val="0"/>
                      <w:sz w:val="21"/>
                      <w:szCs w:val="21"/>
                      <w:lang w:val="en-US" w:eastAsia="zh-CN"/>
                    </w:rPr>
                    <w:t>设备</w:t>
                  </w:r>
                  <w:r>
                    <w:rPr>
                      <w:rFonts w:hint="eastAsia"/>
                      <w:color w:val="000000"/>
                      <w:kern w:val="0"/>
                      <w:sz w:val="21"/>
                      <w:szCs w:val="21"/>
                      <w:lang w:val="en-US" w:eastAsia="zh-CN"/>
                    </w:rPr>
                    <w:t>。</w:t>
                  </w:r>
                </w:p>
              </w:tc>
              <w:tc>
                <w:tcPr>
                  <w:tcW w:w="1038" w:type="pct"/>
                  <w:tcBorders>
                    <w:tl2br w:val="nil"/>
                    <w:tr2bl w:val="nil"/>
                  </w:tcBorders>
                  <w:shd w:val="clear" w:color="auto" w:fill="auto"/>
                  <w:noWrap/>
                  <w:tcMar>
                    <w:top w:w="57" w:type="dxa"/>
                    <w:left w:w="57" w:type="dxa"/>
                    <w:bottom w:w="57" w:type="dxa"/>
                    <w:right w:w="57" w:type="dxa"/>
                  </w:tcMar>
                  <w:vAlign w:val="center"/>
                </w:tcPr>
                <w:p w14:paraId="0011A93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color w:val="000000"/>
                      <w:kern w:val="0"/>
                      <w:sz w:val="21"/>
                      <w:szCs w:val="21"/>
                      <w:lang w:val="en-US" w:eastAsia="zh-CN"/>
                    </w:rPr>
                    <w:t>位于厂区内南侧，</w:t>
                  </w:r>
                  <w:r>
                    <w:rPr>
                      <w:rFonts w:hint="default" w:ascii="Times New Roman" w:hAnsi="Times New Roman" w:eastAsia="宋体"/>
                      <w:color w:val="000000"/>
                      <w:kern w:val="0"/>
                      <w:sz w:val="21"/>
                      <w:szCs w:val="21"/>
                      <w:lang w:val="en-US" w:eastAsia="zh-CN"/>
                    </w:rPr>
                    <w:t>占地</w:t>
                  </w:r>
                  <w:r>
                    <w:rPr>
                      <w:rFonts w:hint="eastAsia"/>
                      <w:color w:val="000000"/>
                      <w:kern w:val="0"/>
                      <w:sz w:val="21"/>
                      <w:szCs w:val="21"/>
                      <w:lang w:val="en-US" w:eastAsia="zh-CN"/>
                    </w:rPr>
                    <w:t>约</w:t>
                  </w:r>
                  <w:r>
                    <w:rPr>
                      <w:rFonts w:hint="default" w:ascii="Times New Roman" w:hAnsi="Times New Roman" w:eastAsia="宋体"/>
                      <w:color w:val="000000"/>
                      <w:kern w:val="0"/>
                      <w:sz w:val="21"/>
                      <w:szCs w:val="21"/>
                      <w:lang w:val="en-US" w:eastAsia="zh-CN"/>
                    </w:rPr>
                    <w:t>10</w:t>
                  </w:r>
                  <w:r>
                    <w:rPr>
                      <w:rFonts w:hint="eastAsia"/>
                      <w:color w:val="000000"/>
                      <w:kern w:val="0"/>
                      <w:sz w:val="21"/>
                      <w:szCs w:val="21"/>
                      <w:lang w:val="en-US" w:eastAsia="zh-CN"/>
                    </w:rPr>
                    <w:t>6</w:t>
                  </w:r>
                  <w:r>
                    <w:rPr>
                      <w:rFonts w:hint="default" w:ascii="Times New Roman" w:hAnsi="Times New Roman" w:eastAsia="宋体"/>
                      <w:color w:val="000000"/>
                      <w:kern w:val="0"/>
                      <w:sz w:val="21"/>
                      <w:szCs w:val="21"/>
                      <w:lang w:val="en-US" w:eastAsia="zh-CN"/>
                    </w:rPr>
                    <w:t>00m</w:t>
                  </w:r>
                  <w:r>
                    <w:rPr>
                      <w:rFonts w:hint="default" w:ascii="Times New Roman" w:hAnsi="Times New Roman" w:eastAsia="宋体"/>
                      <w:color w:val="000000"/>
                      <w:kern w:val="0"/>
                      <w:sz w:val="21"/>
                      <w:szCs w:val="21"/>
                      <w:vertAlign w:val="superscript"/>
                      <w:lang w:val="en-US" w:eastAsia="zh-CN"/>
                    </w:rPr>
                    <w:t>2</w:t>
                  </w:r>
                  <w:r>
                    <w:rPr>
                      <w:rFonts w:hint="default" w:ascii="Times New Roman" w:hAnsi="Times New Roman" w:eastAsia="宋体"/>
                      <w:color w:val="000000"/>
                      <w:kern w:val="0"/>
                      <w:sz w:val="21"/>
                      <w:szCs w:val="21"/>
                      <w:lang w:val="en-US" w:eastAsia="zh-CN"/>
                    </w:rPr>
                    <w:t>，</w:t>
                  </w:r>
                  <w:r>
                    <w:rPr>
                      <w:rFonts w:hint="eastAsia"/>
                      <w:color w:val="000000"/>
                      <w:kern w:val="0"/>
                      <w:sz w:val="21"/>
                      <w:szCs w:val="21"/>
                      <w:lang w:val="en-US" w:eastAsia="zh-CN"/>
                    </w:rPr>
                    <w:t>主要进行钢材的机加工、抛丸、刷漆等。</w:t>
                  </w:r>
                </w:p>
              </w:tc>
              <w:tc>
                <w:tcPr>
                  <w:tcW w:w="432" w:type="pct"/>
                  <w:tcBorders>
                    <w:tl2br w:val="nil"/>
                    <w:tr2bl w:val="nil"/>
                  </w:tcBorders>
                  <w:shd w:val="clear" w:color="auto" w:fill="auto"/>
                  <w:noWrap/>
                  <w:tcMar>
                    <w:top w:w="57" w:type="dxa"/>
                    <w:left w:w="57" w:type="dxa"/>
                    <w:bottom w:w="57" w:type="dxa"/>
                    <w:right w:w="57" w:type="dxa"/>
                  </w:tcMar>
                  <w:vAlign w:val="center"/>
                </w:tcPr>
                <w:p w14:paraId="5F2E132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依托原有，部分新建</w:t>
                  </w:r>
                </w:p>
              </w:tc>
            </w:tr>
            <w:tr w14:paraId="129B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68" w:type="pct"/>
                  <w:vMerge w:val="restart"/>
                  <w:tcBorders>
                    <w:tl2br w:val="nil"/>
                    <w:tr2bl w:val="nil"/>
                  </w:tcBorders>
                  <w:noWrap/>
                  <w:tcMar>
                    <w:top w:w="57" w:type="dxa"/>
                    <w:left w:w="57" w:type="dxa"/>
                    <w:bottom w:w="57" w:type="dxa"/>
                    <w:right w:w="57" w:type="dxa"/>
                  </w:tcMar>
                  <w:vAlign w:val="center"/>
                </w:tcPr>
                <w:p w14:paraId="76EABE7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辅助工程</w:t>
                  </w:r>
                </w:p>
              </w:tc>
              <w:tc>
                <w:tcPr>
                  <w:tcW w:w="540" w:type="pct"/>
                  <w:tcBorders>
                    <w:tl2br w:val="nil"/>
                    <w:tr2bl w:val="nil"/>
                  </w:tcBorders>
                  <w:shd w:val="clear" w:color="auto" w:fill="auto"/>
                  <w:noWrap/>
                  <w:tcMar>
                    <w:top w:w="57" w:type="dxa"/>
                    <w:left w:w="57" w:type="dxa"/>
                    <w:bottom w:w="57" w:type="dxa"/>
                    <w:right w:w="57" w:type="dxa"/>
                  </w:tcMar>
                  <w:vAlign w:val="center"/>
                </w:tcPr>
                <w:p w14:paraId="6B52C9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rPr>
                    <w:t>办公楼</w:t>
                  </w:r>
                </w:p>
              </w:tc>
              <w:tc>
                <w:tcPr>
                  <w:tcW w:w="1310" w:type="pct"/>
                  <w:tcBorders>
                    <w:tl2br w:val="nil"/>
                    <w:tr2bl w:val="nil"/>
                  </w:tcBorders>
                  <w:shd w:val="clear" w:color="auto" w:fill="auto"/>
                  <w:noWrap/>
                  <w:tcMar>
                    <w:top w:w="57" w:type="dxa"/>
                    <w:left w:w="57" w:type="dxa"/>
                    <w:bottom w:w="57" w:type="dxa"/>
                    <w:right w:w="57" w:type="dxa"/>
                  </w:tcMar>
                  <w:vAlign w:val="center"/>
                </w:tcPr>
                <w:p w14:paraId="4B57A68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default" w:ascii="宋体" w:hAnsi="宋体" w:eastAsia="宋体" w:cs="宋体"/>
                      <w:color w:val="000000"/>
                      <w:kern w:val="2"/>
                      <w:sz w:val="21"/>
                      <w:szCs w:val="21"/>
                      <w:highlight w:val="none"/>
                      <w:lang w:val="en-US" w:eastAsia="zh-CN"/>
                    </w:rPr>
                    <w:t>位于</w:t>
                  </w:r>
                  <w:r>
                    <w:rPr>
                      <w:rFonts w:hint="eastAsia" w:ascii="宋体" w:hAnsi="宋体" w:eastAsia="宋体" w:cs="宋体"/>
                      <w:color w:val="000000"/>
                      <w:kern w:val="2"/>
                      <w:sz w:val="21"/>
                      <w:szCs w:val="21"/>
                      <w:highlight w:val="none"/>
                      <w:lang w:val="en-US" w:eastAsia="zh-CN"/>
                    </w:rPr>
                    <w:t>厂区内东</w:t>
                  </w:r>
                  <w:r>
                    <w:rPr>
                      <w:rFonts w:hint="eastAsia" w:ascii="宋体" w:hAnsi="宋体" w:cs="宋体"/>
                      <w:color w:val="000000"/>
                      <w:kern w:val="2"/>
                      <w:sz w:val="21"/>
                      <w:szCs w:val="21"/>
                      <w:highlight w:val="none"/>
                      <w:lang w:val="en-US" w:eastAsia="zh-CN"/>
                    </w:rPr>
                    <w:t>北方</w:t>
                  </w:r>
                  <w:r>
                    <w:rPr>
                      <w:rFonts w:hint="eastAsia" w:ascii="宋体" w:hAnsi="宋体" w:eastAsia="宋体" w:cs="宋体"/>
                      <w:color w:val="000000"/>
                      <w:kern w:val="2"/>
                      <w:sz w:val="21"/>
                      <w:szCs w:val="21"/>
                      <w:highlight w:val="none"/>
                      <w:lang w:val="en-US" w:eastAsia="zh-CN"/>
                    </w:rPr>
                    <w:t>，</w:t>
                  </w:r>
                  <w:r>
                    <w:rPr>
                      <w:rFonts w:hint="eastAsia"/>
                      <w:color w:val="000000"/>
                      <w:kern w:val="0"/>
                      <w:sz w:val="21"/>
                      <w:szCs w:val="21"/>
                      <w:lang w:val="en-US" w:eastAsia="zh-CN"/>
                    </w:rPr>
                    <w:t>2</w:t>
                  </w:r>
                  <w:r>
                    <w:rPr>
                      <w:rFonts w:hint="eastAsia" w:ascii="Times New Roman" w:hAnsi="Times New Roman" w:eastAsia="宋体"/>
                      <w:color w:val="000000"/>
                      <w:kern w:val="0"/>
                      <w:sz w:val="21"/>
                      <w:szCs w:val="21"/>
                      <w:lang w:val="en-US" w:eastAsia="zh-CN"/>
                    </w:rPr>
                    <w:t>F</w:t>
                  </w:r>
                  <w:r>
                    <w:rPr>
                      <w:rFonts w:hint="default" w:ascii="宋体" w:hAnsi="宋体" w:eastAsia="宋体" w:cs="宋体"/>
                      <w:color w:val="000000"/>
                      <w:kern w:val="2"/>
                      <w:sz w:val="21"/>
                      <w:szCs w:val="21"/>
                      <w:highlight w:val="none"/>
                      <w:lang w:val="en-US" w:eastAsia="zh-CN"/>
                    </w:rPr>
                    <w:t>，</w:t>
                  </w:r>
                  <w:r>
                    <w:rPr>
                      <w:rFonts w:hint="eastAsia" w:ascii="宋体" w:hAnsi="宋体" w:cs="宋体"/>
                      <w:color w:val="000000"/>
                      <w:kern w:val="2"/>
                      <w:sz w:val="21"/>
                      <w:szCs w:val="21"/>
                      <w:highlight w:val="none"/>
                      <w:lang w:val="en-US" w:eastAsia="zh-CN"/>
                    </w:rPr>
                    <w:t>建筑</w:t>
                  </w:r>
                  <w:r>
                    <w:rPr>
                      <w:rFonts w:hint="default" w:ascii="宋体" w:hAnsi="宋体" w:eastAsia="宋体" w:cs="宋体"/>
                      <w:color w:val="000000"/>
                      <w:kern w:val="2"/>
                      <w:sz w:val="21"/>
                      <w:szCs w:val="21"/>
                      <w:highlight w:val="none"/>
                      <w:lang w:val="en-US" w:eastAsia="zh-CN"/>
                    </w:rPr>
                    <w:t>面积</w:t>
                  </w:r>
                  <w:r>
                    <w:rPr>
                      <w:rFonts w:hint="eastAsia" w:ascii="宋体" w:hAnsi="宋体" w:cs="宋体"/>
                      <w:color w:val="000000"/>
                      <w:kern w:val="2"/>
                      <w:sz w:val="21"/>
                      <w:szCs w:val="21"/>
                      <w:highlight w:val="none"/>
                      <w:lang w:val="en-US" w:eastAsia="zh-CN"/>
                    </w:rPr>
                    <w:t>约</w:t>
                  </w:r>
                  <w:r>
                    <w:rPr>
                      <w:rFonts w:hint="eastAsia"/>
                      <w:color w:val="000000"/>
                      <w:kern w:val="0"/>
                      <w:sz w:val="21"/>
                      <w:szCs w:val="21"/>
                      <w:lang w:val="en-US" w:eastAsia="zh-CN"/>
                    </w:rPr>
                    <w:t>1800</w:t>
                  </w:r>
                  <w:r>
                    <w:rPr>
                      <w:rFonts w:hint="default" w:ascii="Times New Roman" w:hAnsi="Times New Roman" w:eastAsia="宋体"/>
                      <w:color w:val="000000"/>
                      <w:kern w:val="0"/>
                      <w:sz w:val="21"/>
                      <w:szCs w:val="21"/>
                      <w:lang w:val="en-US" w:eastAsia="zh-CN"/>
                    </w:rPr>
                    <w:t>m</w:t>
                  </w:r>
                  <w:r>
                    <w:rPr>
                      <w:rFonts w:hint="default" w:ascii="Times New Roman" w:hAnsi="Times New Roman" w:eastAsia="宋体"/>
                      <w:color w:val="000000"/>
                      <w:kern w:val="0"/>
                      <w:sz w:val="21"/>
                      <w:szCs w:val="21"/>
                      <w:vertAlign w:val="superscript"/>
                      <w:lang w:val="en-US" w:eastAsia="zh-CN"/>
                    </w:rPr>
                    <w:t>2</w:t>
                  </w:r>
                  <w:r>
                    <w:rPr>
                      <w:rFonts w:hint="default" w:ascii="宋体" w:hAnsi="宋体" w:eastAsia="宋体" w:cs="宋体"/>
                      <w:color w:val="000000"/>
                      <w:kern w:val="2"/>
                      <w:sz w:val="21"/>
                      <w:szCs w:val="21"/>
                      <w:highlight w:val="none"/>
                      <w:lang w:val="en-US" w:eastAsia="zh-CN"/>
                    </w:rPr>
                    <w:t>，用于员工</w:t>
                  </w:r>
                  <w:r>
                    <w:rPr>
                      <w:rFonts w:hint="eastAsia" w:ascii="宋体" w:hAnsi="宋体" w:eastAsia="宋体" w:cs="宋体"/>
                      <w:color w:val="000000"/>
                      <w:kern w:val="2"/>
                      <w:sz w:val="21"/>
                      <w:szCs w:val="21"/>
                      <w:highlight w:val="none"/>
                      <w:lang w:val="en-US" w:eastAsia="zh-CN"/>
                    </w:rPr>
                    <w:t>日常</w:t>
                  </w:r>
                  <w:r>
                    <w:rPr>
                      <w:rFonts w:hint="default" w:ascii="宋体" w:hAnsi="宋体" w:eastAsia="宋体" w:cs="宋体"/>
                      <w:color w:val="000000"/>
                      <w:kern w:val="2"/>
                      <w:sz w:val="21"/>
                      <w:szCs w:val="21"/>
                      <w:highlight w:val="none"/>
                      <w:lang w:val="en-US" w:eastAsia="zh-CN"/>
                    </w:rPr>
                    <w:t>办公</w:t>
                  </w:r>
                  <w:r>
                    <w:rPr>
                      <w:rFonts w:hint="eastAsia" w:ascii="宋体" w:hAnsi="宋体" w:eastAsia="宋体" w:cs="宋体"/>
                      <w:color w:val="000000"/>
                      <w:kern w:val="2"/>
                      <w:sz w:val="21"/>
                      <w:szCs w:val="21"/>
                      <w:highlight w:val="none"/>
                      <w:lang w:val="en-US" w:eastAsia="zh-CN"/>
                    </w:rPr>
                    <w:t>。</w:t>
                  </w:r>
                </w:p>
              </w:tc>
              <w:tc>
                <w:tcPr>
                  <w:tcW w:w="1310" w:type="pct"/>
                  <w:tcBorders>
                    <w:tl2br w:val="nil"/>
                    <w:tr2bl w:val="nil"/>
                  </w:tcBorders>
                  <w:shd w:val="clear" w:color="auto" w:fill="auto"/>
                  <w:noWrap/>
                  <w:tcMar>
                    <w:top w:w="57" w:type="dxa"/>
                    <w:left w:w="57" w:type="dxa"/>
                    <w:bottom w:w="57" w:type="dxa"/>
                    <w:right w:w="57" w:type="dxa"/>
                  </w:tcMar>
                  <w:vAlign w:val="center"/>
                </w:tcPr>
                <w:p w14:paraId="5919BBB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w:t>
                  </w:r>
                </w:p>
              </w:tc>
              <w:tc>
                <w:tcPr>
                  <w:tcW w:w="1038" w:type="pct"/>
                  <w:tcBorders>
                    <w:tl2br w:val="nil"/>
                    <w:tr2bl w:val="nil"/>
                  </w:tcBorders>
                  <w:shd w:val="clear" w:color="auto" w:fill="auto"/>
                  <w:noWrap/>
                  <w:tcMar>
                    <w:top w:w="57" w:type="dxa"/>
                    <w:left w:w="57" w:type="dxa"/>
                    <w:bottom w:w="57" w:type="dxa"/>
                    <w:right w:w="57" w:type="dxa"/>
                  </w:tcMar>
                  <w:vAlign w:val="center"/>
                </w:tcPr>
                <w:p w14:paraId="3F16323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default" w:ascii="宋体" w:hAnsi="宋体" w:eastAsia="宋体" w:cs="宋体"/>
                      <w:color w:val="000000"/>
                      <w:kern w:val="2"/>
                      <w:sz w:val="21"/>
                      <w:szCs w:val="21"/>
                      <w:highlight w:val="none"/>
                      <w:lang w:val="en-US" w:eastAsia="zh-CN"/>
                    </w:rPr>
                    <w:t>位于</w:t>
                  </w:r>
                  <w:r>
                    <w:rPr>
                      <w:rFonts w:hint="eastAsia" w:ascii="宋体" w:hAnsi="宋体" w:eastAsia="宋体" w:cs="宋体"/>
                      <w:color w:val="000000"/>
                      <w:kern w:val="2"/>
                      <w:sz w:val="21"/>
                      <w:szCs w:val="21"/>
                      <w:highlight w:val="none"/>
                      <w:lang w:val="en-US" w:eastAsia="zh-CN"/>
                    </w:rPr>
                    <w:t>厂区内东</w:t>
                  </w:r>
                  <w:r>
                    <w:rPr>
                      <w:rFonts w:hint="eastAsia" w:ascii="宋体" w:hAnsi="宋体" w:cs="宋体"/>
                      <w:color w:val="000000"/>
                      <w:kern w:val="2"/>
                      <w:sz w:val="21"/>
                      <w:szCs w:val="21"/>
                      <w:highlight w:val="none"/>
                      <w:lang w:val="en-US" w:eastAsia="zh-CN"/>
                    </w:rPr>
                    <w:t>北方</w:t>
                  </w:r>
                  <w:r>
                    <w:rPr>
                      <w:rFonts w:hint="eastAsia" w:ascii="宋体" w:hAnsi="宋体" w:eastAsia="宋体" w:cs="宋体"/>
                      <w:color w:val="000000"/>
                      <w:kern w:val="2"/>
                      <w:sz w:val="21"/>
                      <w:szCs w:val="21"/>
                      <w:highlight w:val="none"/>
                      <w:lang w:val="en-US" w:eastAsia="zh-CN"/>
                    </w:rPr>
                    <w:t>，</w:t>
                  </w:r>
                  <w:r>
                    <w:rPr>
                      <w:rFonts w:hint="eastAsia"/>
                      <w:color w:val="000000"/>
                      <w:kern w:val="0"/>
                      <w:sz w:val="21"/>
                      <w:szCs w:val="21"/>
                      <w:lang w:val="en-US" w:eastAsia="zh-CN"/>
                    </w:rPr>
                    <w:t>2</w:t>
                  </w:r>
                  <w:r>
                    <w:rPr>
                      <w:rFonts w:hint="eastAsia" w:ascii="Times New Roman" w:hAnsi="Times New Roman" w:eastAsia="宋体"/>
                      <w:color w:val="000000"/>
                      <w:kern w:val="0"/>
                      <w:sz w:val="21"/>
                      <w:szCs w:val="21"/>
                      <w:lang w:val="en-US" w:eastAsia="zh-CN"/>
                    </w:rPr>
                    <w:t>F</w:t>
                  </w:r>
                  <w:r>
                    <w:rPr>
                      <w:rFonts w:hint="default" w:ascii="宋体" w:hAnsi="宋体" w:eastAsia="宋体" w:cs="宋体"/>
                      <w:color w:val="000000"/>
                      <w:kern w:val="2"/>
                      <w:sz w:val="21"/>
                      <w:szCs w:val="21"/>
                      <w:highlight w:val="none"/>
                      <w:lang w:val="en-US" w:eastAsia="zh-CN"/>
                    </w:rPr>
                    <w:t>，</w:t>
                  </w:r>
                  <w:r>
                    <w:rPr>
                      <w:rFonts w:hint="eastAsia" w:ascii="宋体" w:hAnsi="宋体" w:cs="宋体"/>
                      <w:color w:val="000000"/>
                      <w:kern w:val="2"/>
                      <w:sz w:val="21"/>
                      <w:szCs w:val="21"/>
                      <w:highlight w:val="none"/>
                      <w:lang w:val="en-US" w:eastAsia="zh-CN"/>
                    </w:rPr>
                    <w:t>建筑</w:t>
                  </w:r>
                  <w:r>
                    <w:rPr>
                      <w:rFonts w:hint="default" w:ascii="宋体" w:hAnsi="宋体" w:eastAsia="宋体" w:cs="宋体"/>
                      <w:color w:val="000000"/>
                      <w:kern w:val="2"/>
                      <w:sz w:val="21"/>
                      <w:szCs w:val="21"/>
                      <w:highlight w:val="none"/>
                      <w:lang w:val="en-US" w:eastAsia="zh-CN"/>
                    </w:rPr>
                    <w:t>面积</w:t>
                  </w:r>
                  <w:r>
                    <w:rPr>
                      <w:rFonts w:hint="eastAsia" w:ascii="宋体" w:hAnsi="宋体" w:cs="宋体"/>
                      <w:color w:val="000000"/>
                      <w:kern w:val="2"/>
                      <w:sz w:val="21"/>
                      <w:szCs w:val="21"/>
                      <w:highlight w:val="none"/>
                      <w:lang w:val="en-US" w:eastAsia="zh-CN"/>
                    </w:rPr>
                    <w:t>约</w:t>
                  </w:r>
                  <w:r>
                    <w:rPr>
                      <w:rFonts w:hint="eastAsia"/>
                      <w:color w:val="000000"/>
                      <w:kern w:val="0"/>
                      <w:sz w:val="21"/>
                      <w:szCs w:val="21"/>
                      <w:lang w:val="en-US" w:eastAsia="zh-CN"/>
                    </w:rPr>
                    <w:t>1800</w:t>
                  </w:r>
                  <w:r>
                    <w:rPr>
                      <w:rFonts w:hint="default" w:ascii="Times New Roman" w:hAnsi="Times New Roman" w:eastAsia="宋体"/>
                      <w:color w:val="000000"/>
                      <w:kern w:val="0"/>
                      <w:sz w:val="21"/>
                      <w:szCs w:val="21"/>
                      <w:lang w:val="en-US" w:eastAsia="zh-CN"/>
                    </w:rPr>
                    <w:t>m</w:t>
                  </w:r>
                  <w:r>
                    <w:rPr>
                      <w:rFonts w:hint="default" w:ascii="Times New Roman" w:hAnsi="Times New Roman" w:eastAsia="宋体"/>
                      <w:color w:val="000000"/>
                      <w:kern w:val="0"/>
                      <w:sz w:val="21"/>
                      <w:szCs w:val="21"/>
                      <w:vertAlign w:val="superscript"/>
                      <w:lang w:val="en-US" w:eastAsia="zh-CN"/>
                    </w:rPr>
                    <w:t>2</w:t>
                  </w:r>
                  <w:r>
                    <w:rPr>
                      <w:rFonts w:hint="default" w:ascii="宋体" w:hAnsi="宋体" w:eastAsia="宋体" w:cs="宋体"/>
                      <w:color w:val="000000"/>
                      <w:kern w:val="2"/>
                      <w:sz w:val="21"/>
                      <w:szCs w:val="21"/>
                      <w:highlight w:val="none"/>
                      <w:lang w:val="en-US" w:eastAsia="zh-CN"/>
                    </w:rPr>
                    <w:t>，用于员工</w:t>
                  </w:r>
                  <w:r>
                    <w:rPr>
                      <w:rFonts w:hint="eastAsia" w:ascii="宋体" w:hAnsi="宋体" w:eastAsia="宋体" w:cs="宋体"/>
                      <w:color w:val="000000"/>
                      <w:kern w:val="2"/>
                      <w:sz w:val="21"/>
                      <w:szCs w:val="21"/>
                      <w:highlight w:val="none"/>
                      <w:lang w:val="en-US" w:eastAsia="zh-CN"/>
                    </w:rPr>
                    <w:t>日常</w:t>
                  </w:r>
                  <w:r>
                    <w:rPr>
                      <w:rFonts w:hint="default" w:ascii="宋体" w:hAnsi="宋体" w:eastAsia="宋体" w:cs="宋体"/>
                      <w:color w:val="000000"/>
                      <w:kern w:val="2"/>
                      <w:sz w:val="21"/>
                      <w:szCs w:val="21"/>
                      <w:highlight w:val="none"/>
                      <w:lang w:val="en-US" w:eastAsia="zh-CN"/>
                    </w:rPr>
                    <w:t>办公</w:t>
                  </w:r>
                  <w:r>
                    <w:rPr>
                      <w:rFonts w:hint="eastAsia" w:ascii="宋体" w:hAnsi="宋体" w:eastAsia="宋体" w:cs="宋体"/>
                      <w:color w:val="000000"/>
                      <w:kern w:val="2"/>
                      <w:sz w:val="21"/>
                      <w:szCs w:val="21"/>
                      <w:highlight w:val="none"/>
                      <w:lang w:val="en-US" w:eastAsia="zh-CN"/>
                    </w:rPr>
                    <w:t>。</w:t>
                  </w:r>
                </w:p>
              </w:tc>
              <w:tc>
                <w:tcPr>
                  <w:tcW w:w="432" w:type="pct"/>
                  <w:tcBorders>
                    <w:tl2br w:val="nil"/>
                    <w:tr2bl w:val="nil"/>
                  </w:tcBorders>
                  <w:shd w:val="clear" w:color="auto" w:fill="auto"/>
                  <w:noWrap/>
                  <w:tcMar>
                    <w:top w:w="57" w:type="dxa"/>
                    <w:left w:w="57" w:type="dxa"/>
                    <w:bottom w:w="57" w:type="dxa"/>
                    <w:right w:w="57" w:type="dxa"/>
                  </w:tcMar>
                  <w:vAlign w:val="center"/>
                </w:tcPr>
                <w:p w14:paraId="7207038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依托原有</w:t>
                  </w:r>
                </w:p>
              </w:tc>
            </w:tr>
            <w:tr w14:paraId="0DCA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68" w:type="pct"/>
                  <w:vMerge w:val="continue"/>
                  <w:tcBorders>
                    <w:tl2br w:val="nil"/>
                    <w:tr2bl w:val="nil"/>
                  </w:tcBorders>
                  <w:noWrap/>
                  <w:tcMar>
                    <w:top w:w="57" w:type="dxa"/>
                    <w:left w:w="57" w:type="dxa"/>
                    <w:bottom w:w="57" w:type="dxa"/>
                    <w:right w:w="57" w:type="dxa"/>
                  </w:tcMar>
                  <w:vAlign w:val="center"/>
                </w:tcPr>
                <w:p w14:paraId="107CEF4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540" w:type="pct"/>
                  <w:tcBorders>
                    <w:tl2br w:val="nil"/>
                    <w:tr2bl w:val="nil"/>
                  </w:tcBorders>
                  <w:noWrap/>
                  <w:tcMar>
                    <w:top w:w="57" w:type="dxa"/>
                    <w:left w:w="57" w:type="dxa"/>
                    <w:bottom w:w="57" w:type="dxa"/>
                    <w:right w:w="57" w:type="dxa"/>
                  </w:tcMar>
                  <w:vAlign w:val="center"/>
                </w:tcPr>
                <w:p w14:paraId="636457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食堂</w:t>
                  </w:r>
                </w:p>
              </w:tc>
              <w:tc>
                <w:tcPr>
                  <w:tcW w:w="1310" w:type="pct"/>
                  <w:tcBorders>
                    <w:tl2br w:val="nil"/>
                    <w:tr2bl w:val="nil"/>
                  </w:tcBorders>
                  <w:noWrap/>
                  <w:tcMar>
                    <w:top w:w="57" w:type="dxa"/>
                    <w:left w:w="57" w:type="dxa"/>
                    <w:bottom w:w="57" w:type="dxa"/>
                    <w:right w:w="57" w:type="dxa"/>
                  </w:tcMar>
                  <w:vAlign w:val="center"/>
                </w:tcPr>
                <w:p w14:paraId="778BD4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位于</w:t>
                  </w:r>
                  <w:r>
                    <w:rPr>
                      <w:rFonts w:hint="eastAsia" w:ascii="宋体" w:hAnsi="宋体" w:eastAsia="宋体" w:cs="宋体"/>
                      <w:color w:val="000000"/>
                      <w:kern w:val="2"/>
                      <w:sz w:val="21"/>
                      <w:szCs w:val="21"/>
                      <w:highlight w:val="none"/>
                      <w:lang w:val="en-US" w:eastAsia="zh-CN"/>
                    </w:rPr>
                    <w:t>厂区内东</w:t>
                  </w:r>
                  <w:r>
                    <w:rPr>
                      <w:rFonts w:hint="eastAsia" w:ascii="宋体" w:hAnsi="宋体" w:cs="宋体"/>
                      <w:color w:val="000000"/>
                      <w:kern w:val="2"/>
                      <w:sz w:val="21"/>
                      <w:szCs w:val="21"/>
                      <w:highlight w:val="none"/>
                      <w:lang w:val="en-US" w:eastAsia="zh-CN"/>
                    </w:rPr>
                    <w:t>侧</w:t>
                  </w:r>
                  <w:r>
                    <w:rPr>
                      <w:rFonts w:hint="default" w:ascii="宋体" w:hAnsi="宋体" w:eastAsia="宋体" w:cs="宋体"/>
                      <w:color w:val="000000"/>
                      <w:kern w:val="2"/>
                      <w:sz w:val="21"/>
                      <w:szCs w:val="21"/>
                      <w:highlight w:val="none"/>
                      <w:lang w:val="en-US" w:eastAsia="zh-CN"/>
                    </w:rPr>
                    <w:t>，</w:t>
                  </w:r>
                  <w:r>
                    <w:rPr>
                      <w:rFonts w:hint="eastAsia" w:ascii="宋体" w:hAnsi="宋体" w:cs="宋体"/>
                      <w:color w:val="000000"/>
                      <w:kern w:val="2"/>
                      <w:sz w:val="21"/>
                      <w:szCs w:val="21"/>
                      <w:highlight w:val="none"/>
                      <w:lang w:val="en-US" w:eastAsia="zh-CN"/>
                    </w:rPr>
                    <w:t>建筑</w:t>
                  </w:r>
                  <w:r>
                    <w:rPr>
                      <w:rFonts w:hint="default" w:ascii="宋体" w:hAnsi="宋体" w:eastAsia="宋体" w:cs="宋体"/>
                      <w:color w:val="000000"/>
                      <w:kern w:val="2"/>
                      <w:sz w:val="21"/>
                      <w:szCs w:val="21"/>
                      <w:highlight w:val="none"/>
                      <w:lang w:val="en-US" w:eastAsia="zh-CN"/>
                    </w:rPr>
                    <w:t>面积</w:t>
                  </w:r>
                  <w:r>
                    <w:rPr>
                      <w:rFonts w:hint="eastAsia" w:ascii="宋体" w:hAnsi="宋体" w:cs="宋体"/>
                      <w:color w:val="000000"/>
                      <w:kern w:val="2"/>
                      <w:sz w:val="21"/>
                      <w:szCs w:val="21"/>
                      <w:highlight w:val="none"/>
                      <w:lang w:val="en-US" w:eastAsia="zh-CN"/>
                    </w:rPr>
                    <w:t>约</w:t>
                  </w:r>
                  <w:r>
                    <w:rPr>
                      <w:rFonts w:hint="eastAsia"/>
                      <w:color w:val="000000"/>
                      <w:kern w:val="0"/>
                      <w:sz w:val="21"/>
                      <w:szCs w:val="21"/>
                      <w:lang w:val="en-US" w:eastAsia="zh-CN"/>
                    </w:rPr>
                    <w:t>150</w:t>
                  </w:r>
                  <w:r>
                    <w:rPr>
                      <w:rFonts w:hint="default" w:ascii="Times New Roman" w:hAnsi="Times New Roman" w:eastAsia="宋体"/>
                      <w:color w:val="000000"/>
                      <w:kern w:val="0"/>
                      <w:sz w:val="21"/>
                      <w:szCs w:val="21"/>
                      <w:lang w:val="en-US" w:eastAsia="zh-CN"/>
                    </w:rPr>
                    <w:t>m</w:t>
                  </w:r>
                  <w:r>
                    <w:rPr>
                      <w:rFonts w:hint="default" w:ascii="Times New Roman" w:hAnsi="Times New Roman" w:eastAsia="宋体"/>
                      <w:color w:val="000000"/>
                      <w:kern w:val="0"/>
                      <w:sz w:val="21"/>
                      <w:szCs w:val="21"/>
                      <w:vertAlign w:val="superscript"/>
                      <w:lang w:val="en-US" w:eastAsia="zh-CN"/>
                    </w:rPr>
                    <w:t>2</w:t>
                  </w:r>
                  <w:r>
                    <w:rPr>
                      <w:rFonts w:hint="default" w:ascii="宋体" w:hAnsi="宋体" w:eastAsia="宋体" w:cs="宋体"/>
                      <w:color w:val="000000"/>
                      <w:kern w:val="2"/>
                      <w:sz w:val="21"/>
                      <w:szCs w:val="21"/>
                      <w:highlight w:val="none"/>
                      <w:lang w:val="en-US" w:eastAsia="zh-CN"/>
                    </w:rPr>
                    <w:t>，用于</w:t>
                  </w:r>
                  <w:r>
                    <w:rPr>
                      <w:rFonts w:hint="eastAsia" w:ascii="宋体" w:hAnsi="宋体" w:cs="宋体"/>
                      <w:color w:val="000000"/>
                      <w:kern w:val="2"/>
                      <w:sz w:val="21"/>
                      <w:szCs w:val="21"/>
                      <w:highlight w:val="none"/>
                      <w:lang w:val="en-US" w:eastAsia="zh-CN"/>
                    </w:rPr>
                    <w:t>部分</w:t>
                  </w:r>
                  <w:r>
                    <w:rPr>
                      <w:rFonts w:hint="default" w:ascii="宋体" w:hAnsi="宋体" w:eastAsia="宋体" w:cs="宋体"/>
                      <w:color w:val="000000"/>
                      <w:kern w:val="2"/>
                      <w:sz w:val="21"/>
                      <w:szCs w:val="21"/>
                      <w:highlight w:val="none"/>
                      <w:lang w:val="en-US" w:eastAsia="zh-CN"/>
                    </w:rPr>
                    <w:t>员工</w:t>
                  </w:r>
                  <w:r>
                    <w:rPr>
                      <w:rFonts w:hint="eastAsia" w:ascii="宋体" w:hAnsi="宋体" w:cs="宋体"/>
                      <w:color w:val="000000"/>
                      <w:kern w:val="2"/>
                      <w:sz w:val="21"/>
                      <w:szCs w:val="21"/>
                      <w:highlight w:val="none"/>
                      <w:lang w:val="en-US" w:eastAsia="zh-CN"/>
                    </w:rPr>
                    <w:t>午餐使用</w:t>
                  </w:r>
                  <w:r>
                    <w:rPr>
                      <w:rFonts w:hint="eastAsia" w:ascii="宋体" w:hAnsi="宋体" w:eastAsia="宋体" w:cs="宋体"/>
                      <w:color w:val="000000"/>
                      <w:kern w:val="2"/>
                      <w:sz w:val="21"/>
                      <w:szCs w:val="21"/>
                      <w:highlight w:val="none"/>
                      <w:lang w:val="en-US" w:eastAsia="zh-CN"/>
                    </w:rPr>
                    <w:t>。</w:t>
                  </w:r>
                </w:p>
              </w:tc>
              <w:tc>
                <w:tcPr>
                  <w:tcW w:w="1310" w:type="pct"/>
                  <w:tcBorders>
                    <w:tl2br w:val="nil"/>
                    <w:tr2bl w:val="nil"/>
                  </w:tcBorders>
                  <w:noWrap/>
                  <w:tcMar>
                    <w:top w:w="57" w:type="dxa"/>
                    <w:left w:w="57" w:type="dxa"/>
                    <w:bottom w:w="57" w:type="dxa"/>
                    <w:right w:w="57" w:type="dxa"/>
                  </w:tcMar>
                  <w:vAlign w:val="center"/>
                </w:tcPr>
                <w:p w14:paraId="1DD561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w:t>
                  </w:r>
                </w:p>
              </w:tc>
              <w:tc>
                <w:tcPr>
                  <w:tcW w:w="1038" w:type="pct"/>
                  <w:tcBorders>
                    <w:tl2br w:val="nil"/>
                    <w:tr2bl w:val="nil"/>
                  </w:tcBorders>
                  <w:shd w:val="clear" w:color="auto" w:fill="auto"/>
                  <w:noWrap/>
                  <w:tcMar>
                    <w:top w:w="57" w:type="dxa"/>
                    <w:left w:w="57" w:type="dxa"/>
                    <w:bottom w:w="57" w:type="dxa"/>
                    <w:right w:w="57" w:type="dxa"/>
                  </w:tcMar>
                  <w:vAlign w:val="center"/>
                </w:tcPr>
                <w:p w14:paraId="3218369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default" w:ascii="宋体" w:hAnsi="宋体" w:eastAsia="宋体" w:cs="宋体"/>
                      <w:color w:val="000000"/>
                      <w:kern w:val="2"/>
                      <w:sz w:val="21"/>
                      <w:szCs w:val="21"/>
                      <w:highlight w:val="none"/>
                      <w:lang w:val="en-US" w:eastAsia="zh-CN"/>
                    </w:rPr>
                    <w:t>位于</w:t>
                  </w:r>
                  <w:r>
                    <w:rPr>
                      <w:rFonts w:hint="eastAsia" w:ascii="宋体" w:hAnsi="宋体" w:eastAsia="宋体" w:cs="宋体"/>
                      <w:color w:val="000000"/>
                      <w:kern w:val="2"/>
                      <w:sz w:val="21"/>
                      <w:szCs w:val="21"/>
                      <w:highlight w:val="none"/>
                      <w:lang w:val="en-US" w:eastAsia="zh-CN"/>
                    </w:rPr>
                    <w:t>厂区内东</w:t>
                  </w:r>
                  <w:r>
                    <w:rPr>
                      <w:rFonts w:hint="eastAsia" w:ascii="宋体" w:hAnsi="宋体" w:cs="宋体"/>
                      <w:color w:val="000000"/>
                      <w:kern w:val="2"/>
                      <w:sz w:val="21"/>
                      <w:szCs w:val="21"/>
                      <w:highlight w:val="none"/>
                      <w:lang w:val="en-US" w:eastAsia="zh-CN"/>
                    </w:rPr>
                    <w:t>侧</w:t>
                  </w:r>
                  <w:r>
                    <w:rPr>
                      <w:rFonts w:hint="default" w:ascii="宋体" w:hAnsi="宋体" w:eastAsia="宋体" w:cs="宋体"/>
                      <w:color w:val="000000"/>
                      <w:kern w:val="2"/>
                      <w:sz w:val="21"/>
                      <w:szCs w:val="21"/>
                      <w:highlight w:val="none"/>
                      <w:lang w:val="en-US" w:eastAsia="zh-CN"/>
                    </w:rPr>
                    <w:t>，</w:t>
                  </w:r>
                  <w:r>
                    <w:rPr>
                      <w:rFonts w:hint="eastAsia" w:ascii="宋体" w:hAnsi="宋体" w:cs="宋体"/>
                      <w:color w:val="000000"/>
                      <w:kern w:val="2"/>
                      <w:sz w:val="21"/>
                      <w:szCs w:val="21"/>
                      <w:highlight w:val="none"/>
                      <w:lang w:val="en-US" w:eastAsia="zh-CN"/>
                    </w:rPr>
                    <w:t>建筑</w:t>
                  </w:r>
                  <w:r>
                    <w:rPr>
                      <w:rFonts w:hint="default" w:ascii="宋体" w:hAnsi="宋体" w:eastAsia="宋体" w:cs="宋体"/>
                      <w:color w:val="000000"/>
                      <w:kern w:val="2"/>
                      <w:sz w:val="21"/>
                      <w:szCs w:val="21"/>
                      <w:highlight w:val="none"/>
                      <w:lang w:val="en-US" w:eastAsia="zh-CN"/>
                    </w:rPr>
                    <w:t>面积</w:t>
                  </w:r>
                  <w:r>
                    <w:rPr>
                      <w:rFonts w:hint="eastAsia" w:ascii="宋体" w:hAnsi="宋体" w:cs="宋体"/>
                      <w:color w:val="000000"/>
                      <w:kern w:val="2"/>
                      <w:sz w:val="21"/>
                      <w:szCs w:val="21"/>
                      <w:highlight w:val="none"/>
                      <w:lang w:val="en-US" w:eastAsia="zh-CN"/>
                    </w:rPr>
                    <w:t>约</w:t>
                  </w:r>
                  <w:r>
                    <w:rPr>
                      <w:rFonts w:hint="eastAsia"/>
                      <w:color w:val="000000"/>
                      <w:kern w:val="0"/>
                      <w:sz w:val="21"/>
                      <w:szCs w:val="21"/>
                      <w:lang w:val="en-US" w:eastAsia="zh-CN"/>
                    </w:rPr>
                    <w:t>150</w:t>
                  </w:r>
                  <w:r>
                    <w:rPr>
                      <w:rFonts w:hint="default" w:ascii="Times New Roman" w:hAnsi="Times New Roman" w:eastAsia="宋体"/>
                      <w:color w:val="000000"/>
                      <w:kern w:val="0"/>
                      <w:sz w:val="21"/>
                      <w:szCs w:val="21"/>
                      <w:lang w:val="en-US" w:eastAsia="zh-CN"/>
                    </w:rPr>
                    <w:t>m</w:t>
                  </w:r>
                  <w:r>
                    <w:rPr>
                      <w:rFonts w:hint="default" w:ascii="Times New Roman" w:hAnsi="Times New Roman" w:eastAsia="宋体"/>
                      <w:color w:val="000000"/>
                      <w:kern w:val="0"/>
                      <w:sz w:val="21"/>
                      <w:szCs w:val="21"/>
                      <w:vertAlign w:val="superscript"/>
                      <w:lang w:val="en-US" w:eastAsia="zh-CN"/>
                    </w:rPr>
                    <w:t>2</w:t>
                  </w:r>
                  <w:r>
                    <w:rPr>
                      <w:rFonts w:hint="default" w:ascii="宋体" w:hAnsi="宋体" w:eastAsia="宋体" w:cs="宋体"/>
                      <w:color w:val="000000"/>
                      <w:kern w:val="2"/>
                      <w:sz w:val="21"/>
                      <w:szCs w:val="21"/>
                      <w:highlight w:val="none"/>
                      <w:lang w:val="en-US" w:eastAsia="zh-CN"/>
                    </w:rPr>
                    <w:t>，用于</w:t>
                  </w:r>
                  <w:r>
                    <w:rPr>
                      <w:rFonts w:hint="eastAsia" w:ascii="宋体" w:hAnsi="宋体" w:cs="宋体"/>
                      <w:color w:val="000000"/>
                      <w:kern w:val="2"/>
                      <w:sz w:val="21"/>
                      <w:szCs w:val="21"/>
                      <w:highlight w:val="none"/>
                      <w:lang w:val="en-US" w:eastAsia="zh-CN"/>
                    </w:rPr>
                    <w:t>部分</w:t>
                  </w:r>
                  <w:r>
                    <w:rPr>
                      <w:rFonts w:hint="default" w:ascii="宋体" w:hAnsi="宋体" w:eastAsia="宋体" w:cs="宋体"/>
                      <w:color w:val="000000"/>
                      <w:kern w:val="2"/>
                      <w:sz w:val="21"/>
                      <w:szCs w:val="21"/>
                      <w:highlight w:val="none"/>
                      <w:lang w:val="en-US" w:eastAsia="zh-CN"/>
                    </w:rPr>
                    <w:t>员工</w:t>
                  </w:r>
                  <w:r>
                    <w:rPr>
                      <w:rFonts w:hint="eastAsia" w:ascii="宋体" w:hAnsi="宋体" w:cs="宋体"/>
                      <w:color w:val="000000"/>
                      <w:kern w:val="2"/>
                      <w:sz w:val="21"/>
                      <w:szCs w:val="21"/>
                      <w:highlight w:val="none"/>
                      <w:lang w:val="en-US" w:eastAsia="zh-CN"/>
                    </w:rPr>
                    <w:t>午餐使用</w:t>
                  </w:r>
                  <w:r>
                    <w:rPr>
                      <w:rFonts w:hint="eastAsia" w:ascii="宋体" w:hAnsi="宋体" w:eastAsia="宋体" w:cs="宋体"/>
                      <w:color w:val="000000"/>
                      <w:kern w:val="2"/>
                      <w:sz w:val="21"/>
                      <w:szCs w:val="21"/>
                      <w:highlight w:val="none"/>
                      <w:lang w:val="en-US" w:eastAsia="zh-CN"/>
                    </w:rPr>
                    <w:t>。</w:t>
                  </w:r>
                </w:p>
              </w:tc>
              <w:tc>
                <w:tcPr>
                  <w:tcW w:w="432" w:type="pct"/>
                  <w:tcBorders>
                    <w:tl2br w:val="nil"/>
                    <w:tr2bl w:val="nil"/>
                  </w:tcBorders>
                  <w:shd w:val="clear" w:color="auto" w:fill="auto"/>
                  <w:noWrap/>
                  <w:tcMar>
                    <w:top w:w="57" w:type="dxa"/>
                    <w:left w:w="57" w:type="dxa"/>
                    <w:bottom w:w="57" w:type="dxa"/>
                    <w:right w:w="57" w:type="dxa"/>
                  </w:tcMar>
                  <w:vAlign w:val="center"/>
                </w:tcPr>
                <w:p w14:paraId="1BFD1C3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依托原有</w:t>
                  </w:r>
                </w:p>
              </w:tc>
            </w:tr>
            <w:tr w14:paraId="3EB8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68" w:type="pct"/>
                  <w:vMerge w:val="restart"/>
                  <w:tcBorders>
                    <w:tl2br w:val="nil"/>
                    <w:tr2bl w:val="nil"/>
                  </w:tcBorders>
                  <w:noWrap/>
                  <w:tcMar>
                    <w:top w:w="57" w:type="dxa"/>
                    <w:left w:w="57" w:type="dxa"/>
                    <w:bottom w:w="57" w:type="dxa"/>
                    <w:right w:w="57" w:type="dxa"/>
                  </w:tcMar>
                  <w:vAlign w:val="center"/>
                </w:tcPr>
                <w:p w14:paraId="2247625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公用工程</w:t>
                  </w:r>
                </w:p>
              </w:tc>
              <w:tc>
                <w:tcPr>
                  <w:tcW w:w="540" w:type="pct"/>
                  <w:tcBorders>
                    <w:tl2br w:val="nil"/>
                    <w:tr2bl w:val="nil"/>
                  </w:tcBorders>
                  <w:noWrap/>
                  <w:tcMar>
                    <w:top w:w="57" w:type="dxa"/>
                    <w:left w:w="57" w:type="dxa"/>
                    <w:bottom w:w="57" w:type="dxa"/>
                    <w:right w:w="57" w:type="dxa"/>
                  </w:tcMar>
                  <w:vAlign w:val="center"/>
                </w:tcPr>
                <w:p w14:paraId="746B218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供水</w:t>
                  </w:r>
                </w:p>
              </w:tc>
              <w:tc>
                <w:tcPr>
                  <w:tcW w:w="1310" w:type="pct"/>
                  <w:tcBorders>
                    <w:tl2br w:val="nil"/>
                    <w:tr2bl w:val="nil"/>
                  </w:tcBorders>
                  <w:noWrap/>
                  <w:tcMar>
                    <w:top w:w="57" w:type="dxa"/>
                    <w:left w:w="57" w:type="dxa"/>
                    <w:bottom w:w="57" w:type="dxa"/>
                    <w:right w:w="57" w:type="dxa"/>
                  </w:tcMar>
                  <w:vAlign w:val="center"/>
                </w:tcPr>
                <w:p w14:paraId="07FF419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由市政管网供水，新鲜水用量约1124t/a。</w:t>
                  </w:r>
                </w:p>
              </w:tc>
              <w:tc>
                <w:tcPr>
                  <w:tcW w:w="1310" w:type="pct"/>
                  <w:tcBorders>
                    <w:tl2br w:val="nil"/>
                    <w:tr2bl w:val="nil"/>
                  </w:tcBorders>
                  <w:noWrap/>
                  <w:tcMar>
                    <w:top w:w="57" w:type="dxa"/>
                    <w:left w:w="57" w:type="dxa"/>
                    <w:bottom w:w="57" w:type="dxa"/>
                    <w:right w:w="57" w:type="dxa"/>
                  </w:tcMar>
                  <w:vAlign w:val="center"/>
                </w:tcPr>
                <w:p w14:paraId="59FF83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新鲜水用量减少24t/a。</w:t>
                  </w:r>
                </w:p>
              </w:tc>
              <w:tc>
                <w:tcPr>
                  <w:tcW w:w="1038" w:type="pct"/>
                  <w:tcBorders>
                    <w:tl2br w:val="nil"/>
                    <w:tr2bl w:val="nil"/>
                  </w:tcBorders>
                  <w:shd w:val="clear" w:color="auto" w:fill="auto"/>
                  <w:noWrap/>
                  <w:tcMar>
                    <w:top w:w="57" w:type="dxa"/>
                    <w:left w:w="57" w:type="dxa"/>
                    <w:bottom w:w="57" w:type="dxa"/>
                    <w:right w:w="57" w:type="dxa"/>
                  </w:tcMar>
                  <w:vAlign w:val="center"/>
                </w:tcPr>
                <w:p w14:paraId="537894C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Times New Roman" w:hAnsi="Times New Roman" w:eastAsia="宋体"/>
                      <w:color w:val="000000"/>
                      <w:kern w:val="0"/>
                      <w:sz w:val="21"/>
                      <w:szCs w:val="21"/>
                      <w:lang w:val="en-US" w:eastAsia="zh-CN"/>
                    </w:rPr>
                    <w:t>新鲜水</w:t>
                  </w:r>
                  <w:r>
                    <w:rPr>
                      <w:rFonts w:hint="eastAsia"/>
                      <w:color w:val="000000"/>
                      <w:kern w:val="0"/>
                      <w:sz w:val="21"/>
                      <w:szCs w:val="21"/>
                      <w:lang w:val="en-US" w:eastAsia="zh-CN"/>
                    </w:rPr>
                    <w:t>总体</w:t>
                  </w:r>
                  <w:r>
                    <w:rPr>
                      <w:rFonts w:hint="eastAsia" w:ascii="Times New Roman" w:hAnsi="Times New Roman" w:eastAsia="宋体"/>
                      <w:color w:val="000000"/>
                      <w:kern w:val="0"/>
                      <w:sz w:val="21"/>
                      <w:szCs w:val="21"/>
                      <w:lang w:val="en-US" w:eastAsia="zh-CN"/>
                    </w:rPr>
                    <w:t>用量约</w:t>
                  </w:r>
                  <w:r>
                    <w:rPr>
                      <w:rFonts w:hint="eastAsia"/>
                      <w:color w:val="000000"/>
                      <w:kern w:val="0"/>
                      <w:sz w:val="21"/>
                      <w:szCs w:val="21"/>
                      <w:lang w:val="en-US" w:eastAsia="zh-CN"/>
                    </w:rPr>
                    <w:t>1100</w:t>
                  </w:r>
                  <w:r>
                    <w:rPr>
                      <w:rFonts w:hint="eastAsia" w:ascii="Times New Roman" w:hAnsi="Times New Roman" w:eastAsia="宋体"/>
                      <w:color w:val="000000"/>
                      <w:kern w:val="0"/>
                      <w:sz w:val="21"/>
                      <w:szCs w:val="21"/>
                      <w:lang w:val="en-US" w:eastAsia="zh-CN"/>
                    </w:rPr>
                    <w:t>t/a</w:t>
                  </w:r>
                  <w:r>
                    <w:rPr>
                      <w:rFonts w:hint="eastAsia"/>
                      <w:color w:val="000000"/>
                      <w:kern w:val="0"/>
                      <w:sz w:val="21"/>
                      <w:szCs w:val="21"/>
                      <w:lang w:val="en-US" w:eastAsia="zh-CN"/>
                    </w:rPr>
                    <w:t>。</w:t>
                  </w:r>
                </w:p>
              </w:tc>
              <w:tc>
                <w:tcPr>
                  <w:tcW w:w="432" w:type="pct"/>
                  <w:tcBorders>
                    <w:tl2br w:val="nil"/>
                    <w:tr2bl w:val="nil"/>
                  </w:tcBorders>
                  <w:shd w:val="clear" w:color="auto" w:fill="auto"/>
                  <w:noWrap/>
                  <w:tcMar>
                    <w:top w:w="57" w:type="dxa"/>
                    <w:left w:w="57" w:type="dxa"/>
                    <w:bottom w:w="57" w:type="dxa"/>
                    <w:right w:w="57" w:type="dxa"/>
                  </w:tcMar>
                  <w:vAlign w:val="center"/>
                </w:tcPr>
                <w:p w14:paraId="3F0AFF1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依托原有</w:t>
                  </w:r>
                </w:p>
              </w:tc>
            </w:tr>
            <w:tr w14:paraId="5350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68" w:type="pct"/>
                  <w:vMerge w:val="continue"/>
                  <w:tcBorders>
                    <w:tl2br w:val="nil"/>
                    <w:tr2bl w:val="nil"/>
                  </w:tcBorders>
                  <w:noWrap/>
                  <w:tcMar>
                    <w:top w:w="57" w:type="dxa"/>
                    <w:left w:w="57" w:type="dxa"/>
                    <w:bottom w:w="57" w:type="dxa"/>
                    <w:right w:w="57" w:type="dxa"/>
                  </w:tcMar>
                  <w:vAlign w:val="center"/>
                </w:tcPr>
                <w:p w14:paraId="26CCC48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540" w:type="pct"/>
                  <w:tcBorders>
                    <w:tl2br w:val="nil"/>
                    <w:tr2bl w:val="nil"/>
                  </w:tcBorders>
                  <w:shd w:val="clear" w:color="auto" w:fill="auto"/>
                  <w:noWrap/>
                  <w:tcMar>
                    <w:top w:w="57" w:type="dxa"/>
                    <w:left w:w="57" w:type="dxa"/>
                    <w:bottom w:w="57" w:type="dxa"/>
                    <w:right w:w="57" w:type="dxa"/>
                  </w:tcMar>
                  <w:vAlign w:val="center"/>
                </w:tcPr>
                <w:p w14:paraId="510D9B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供电</w:t>
                  </w:r>
                </w:p>
              </w:tc>
              <w:tc>
                <w:tcPr>
                  <w:tcW w:w="1310" w:type="pct"/>
                  <w:tcBorders>
                    <w:tl2br w:val="nil"/>
                    <w:tr2bl w:val="nil"/>
                  </w:tcBorders>
                  <w:shd w:val="clear" w:color="auto" w:fill="auto"/>
                  <w:noWrap/>
                  <w:tcMar>
                    <w:top w:w="57" w:type="dxa"/>
                    <w:left w:w="57" w:type="dxa"/>
                    <w:bottom w:w="57" w:type="dxa"/>
                    <w:right w:w="57" w:type="dxa"/>
                  </w:tcMar>
                  <w:vAlign w:val="center"/>
                </w:tcPr>
                <w:p w14:paraId="31F8826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olor w:val="000000"/>
                      <w:kern w:val="0"/>
                      <w:sz w:val="21"/>
                      <w:szCs w:val="21"/>
                      <w:lang w:val="en-US" w:eastAsia="zh-CN"/>
                    </w:rPr>
                    <w:t>市政供电管网，年用电量为40万kw/h。</w:t>
                  </w:r>
                </w:p>
              </w:tc>
              <w:tc>
                <w:tcPr>
                  <w:tcW w:w="1310" w:type="pct"/>
                  <w:tcBorders>
                    <w:tl2br w:val="nil"/>
                    <w:tr2bl w:val="nil"/>
                  </w:tcBorders>
                  <w:noWrap/>
                  <w:tcMar>
                    <w:top w:w="57" w:type="dxa"/>
                    <w:left w:w="57" w:type="dxa"/>
                    <w:bottom w:w="57" w:type="dxa"/>
                    <w:right w:w="57" w:type="dxa"/>
                  </w:tcMar>
                  <w:vAlign w:val="center"/>
                </w:tcPr>
                <w:p w14:paraId="1D039D9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本项目新增用电量</w:t>
                  </w:r>
                  <w:r>
                    <w:rPr>
                      <w:rFonts w:hint="default"/>
                      <w:color w:val="000000"/>
                      <w:kern w:val="0"/>
                      <w:sz w:val="21"/>
                      <w:szCs w:val="21"/>
                      <w:lang w:val="en-US" w:eastAsia="zh-CN"/>
                    </w:rPr>
                    <w:t>10万kWh/a</w:t>
                  </w:r>
                  <w:r>
                    <w:rPr>
                      <w:rFonts w:hint="eastAsia"/>
                      <w:color w:val="000000"/>
                      <w:kern w:val="0"/>
                      <w:sz w:val="21"/>
                      <w:szCs w:val="21"/>
                      <w:lang w:val="en-US" w:eastAsia="zh-CN"/>
                    </w:rPr>
                    <w:t>。</w:t>
                  </w:r>
                </w:p>
              </w:tc>
              <w:tc>
                <w:tcPr>
                  <w:tcW w:w="1038" w:type="pct"/>
                  <w:tcBorders>
                    <w:tl2br w:val="nil"/>
                    <w:tr2bl w:val="nil"/>
                  </w:tcBorders>
                  <w:shd w:val="clear" w:color="auto" w:fill="auto"/>
                  <w:noWrap/>
                  <w:tcMar>
                    <w:top w:w="57" w:type="dxa"/>
                    <w:left w:w="57" w:type="dxa"/>
                    <w:bottom w:w="57" w:type="dxa"/>
                    <w:right w:w="57" w:type="dxa"/>
                  </w:tcMar>
                  <w:vAlign w:val="center"/>
                </w:tcPr>
                <w:p w14:paraId="4E6C6A5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color w:val="000000"/>
                      <w:kern w:val="0"/>
                      <w:sz w:val="21"/>
                      <w:szCs w:val="21"/>
                      <w:lang w:val="en-US" w:eastAsia="zh-CN"/>
                    </w:rPr>
                    <w:t>市政供电管网，年用电量约为50万kw/h。</w:t>
                  </w:r>
                </w:p>
              </w:tc>
              <w:tc>
                <w:tcPr>
                  <w:tcW w:w="432" w:type="pct"/>
                  <w:tcBorders>
                    <w:tl2br w:val="nil"/>
                    <w:tr2bl w:val="nil"/>
                  </w:tcBorders>
                  <w:shd w:val="clear" w:color="auto" w:fill="auto"/>
                  <w:noWrap/>
                  <w:tcMar>
                    <w:top w:w="57" w:type="dxa"/>
                    <w:left w:w="57" w:type="dxa"/>
                    <w:bottom w:w="57" w:type="dxa"/>
                    <w:right w:w="57" w:type="dxa"/>
                  </w:tcMar>
                  <w:vAlign w:val="center"/>
                </w:tcPr>
                <w:p w14:paraId="4D0EFCB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依托原有</w:t>
                  </w:r>
                </w:p>
              </w:tc>
            </w:tr>
            <w:tr w14:paraId="7E85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68" w:type="pct"/>
                  <w:vMerge w:val="continue"/>
                  <w:tcBorders>
                    <w:tl2br w:val="nil"/>
                    <w:tr2bl w:val="nil"/>
                  </w:tcBorders>
                  <w:noWrap/>
                  <w:tcMar>
                    <w:top w:w="57" w:type="dxa"/>
                    <w:left w:w="57" w:type="dxa"/>
                    <w:bottom w:w="57" w:type="dxa"/>
                    <w:right w:w="57" w:type="dxa"/>
                  </w:tcMar>
                  <w:vAlign w:val="center"/>
                </w:tcPr>
                <w:p w14:paraId="70C039E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540" w:type="pct"/>
                  <w:tcBorders>
                    <w:tl2br w:val="nil"/>
                    <w:tr2bl w:val="nil"/>
                  </w:tcBorders>
                  <w:noWrap/>
                  <w:tcMar>
                    <w:top w:w="57" w:type="dxa"/>
                    <w:left w:w="57" w:type="dxa"/>
                    <w:bottom w:w="57" w:type="dxa"/>
                    <w:right w:w="57" w:type="dxa"/>
                  </w:tcMar>
                  <w:vAlign w:val="center"/>
                </w:tcPr>
                <w:p w14:paraId="5527A3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排水</w:t>
                  </w:r>
                </w:p>
              </w:tc>
              <w:tc>
                <w:tcPr>
                  <w:tcW w:w="1310" w:type="pct"/>
                  <w:tcBorders>
                    <w:tl2br w:val="nil"/>
                    <w:tr2bl w:val="nil"/>
                  </w:tcBorders>
                  <w:noWrap/>
                  <w:tcMar>
                    <w:top w:w="57" w:type="dxa"/>
                    <w:left w:w="57" w:type="dxa"/>
                    <w:bottom w:w="57" w:type="dxa"/>
                    <w:right w:w="57" w:type="dxa"/>
                  </w:tcMar>
                  <w:vAlign w:val="center"/>
                </w:tcPr>
                <w:p w14:paraId="7C82E7B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color w:val="000000"/>
                      <w:kern w:val="0"/>
                      <w:sz w:val="21"/>
                      <w:szCs w:val="21"/>
                      <w:lang w:val="en-US" w:eastAsia="zh-CN"/>
                    </w:rPr>
                    <w:t>厂区内雨污分流，雨水经厂区雨水管道排入市政雨水管网，食堂废水与生活污水一起通过污水管网排入淮北经济开发区新区污水处理厂。</w:t>
                  </w:r>
                </w:p>
              </w:tc>
              <w:tc>
                <w:tcPr>
                  <w:tcW w:w="1310" w:type="pct"/>
                  <w:tcBorders>
                    <w:tl2br w:val="nil"/>
                    <w:tr2bl w:val="nil"/>
                  </w:tcBorders>
                  <w:shd w:val="clear" w:color="auto" w:fill="auto"/>
                  <w:noWrap/>
                  <w:tcMar>
                    <w:top w:w="57" w:type="dxa"/>
                    <w:left w:w="57" w:type="dxa"/>
                    <w:bottom w:w="57" w:type="dxa"/>
                    <w:right w:w="57" w:type="dxa"/>
                  </w:tcMar>
                  <w:vAlign w:val="center"/>
                </w:tcPr>
                <w:p w14:paraId="5D5EC37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排水量减少。</w:t>
                  </w:r>
                </w:p>
              </w:tc>
              <w:tc>
                <w:tcPr>
                  <w:tcW w:w="1038" w:type="pct"/>
                  <w:tcBorders>
                    <w:tl2br w:val="nil"/>
                    <w:tr2bl w:val="nil"/>
                  </w:tcBorders>
                  <w:shd w:val="clear" w:color="auto" w:fill="auto"/>
                  <w:noWrap/>
                  <w:tcMar>
                    <w:top w:w="57" w:type="dxa"/>
                    <w:left w:w="57" w:type="dxa"/>
                    <w:bottom w:w="57" w:type="dxa"/>
                    <w:right w:w="57" w:type="dxa"/>
                  </w:tcMar>
                  <w:vAlign w:val="center"/>
                </w:tcPr>
                <w:p w14:paraId="7C27228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color w:val="000000"/>
                      <w:kern w:val="0"/>
                      <w:sz w:val="21"/>
                      <w:szCs w:val="21"/>
                      <w:lang w:val="en-US" w:eastAsia="zh-CN"/>
                    </w:rPr>
                    <w:t>厂区内雨污分流，雨水经厂区雨水管道排入市政雨水管网，食堂废水与生活污水一起通过污水管网排入淮北经济开发区新区污水处理厂。</w:t>
                  </w:r>
                </w:p>
              </w:tc>
              <w:tc>
                <w:tcPr>
                  <w:tcW w:w="432" w:type="pct"/>
                  <w:tcBorders>
                    <w:tl2br w:val="nil"/>
                    <w:tr2bl w:val="nil"/>
                  </w:tcBorders>
                  <w:shd w:val="clear" w:color="auto" w:fill="auto"/>
                  <w:noWrap/>
                  <w:tcMar>
                    <w:top w:w="57" w:type="dxa"/>
                    <w:left w:w="57" w:type="dxa"/>
                    <w:bottom w:w="57" w:type="dxa"/>
                    <w:right w:w="57" w:type="dxa"/>
                  </w:tcMar>
                  <w:vAlign w:val="center"/>
                </w:tcPr>
                <w:p w14:paraId="755A47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依托原有</w:t>
                  </w:r>
                </w:p>
              </w:tc>
            </w:tr>
            <w:tr w14:paraId="193C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68" w:type="pct"/>
                  <w:vMerge w:val="restart"/>
                  <w:tcBorders>
                    <w:tl2br w:val="nil"/>
                    <w:tr2bl w:val="nil"/>
                  </w:tcBorders>
                  <w:noWrap/>
                  <w:tcMar>
                    <w:top w:w="57" w:type="dxa"/>
                    <w:left w:w="57" w:type="dxa"/>
                    <w:bottom w:w="57" w:type="dxa"/>
                    <w:right w:w="57" w:type="dxa"/>
                  </w:tcMar>
                  <w:vAlign w:val="center"/>
                </w:tcPr>
                <w:p w14:paraId="65C3AEF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环保工程</w:t>
                  </w:r>
                </w:p>
              </w:tc>
              <w:tc>
                <w:tcPr>
                  <w:tcW w:w="540" w:type="pct"/>
                  <w:tcBorders>
                    <w:tl2br w:val="nil"/>
                    <w:tr2bl w:val="nil"/>
                  </w:tcBorders>
                  <w:noWrap/>
                  <w:tcMar>
                    <w:top w:w="57" w:type="dxa"/>
                    <w:left w:w="57" w:type="dxa"/>
                    <w:bottom w:w="57" w:type="dxa"/>
                    <w:right w:w="57" w:type="dxa"/>
                  </w:tcMar>
                  <w:vAlign w:val="center"/>
                </w:tcPr>
                <w:p w14:paraId="031371E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废水</w:t>
                  </w:r>
                  <w:r>
                    <w:rPr>
                      <w:rFonts w:hint="eastAsia" w:ascii="宋体" w:hAnsi="宋体" w:cs="宋体"/>
                      <w:color w:val="000000"/>
                      <w:kern w:val="2"/>
                      <w:sz w:val="21"/>
                      <w:szCs w:val="21"/>
                      <w:highlight w:val="none"/>
                      <w:lang w:val="en-US" w:eastAsia="zh-CN"/>
                    </w:rPr>
                    <w:t>治理</w:t>
                  </w:r>
                </w:p>
              </w:tc>
              <w:tc>
                <w:tcPr>
                  <w:tcW w:w="1310" w:type="pct"/>
                  <w:tcBorders>
                    <w:tl2br w:val="nil"/>
                    <w:tr2bl w:val="nil"/>
                  </w:tcBorders>
                  <w:noWrap/>
                  <w:tcMar>
                    <w:top w:w="57" w:type="dxa"/>
                    <w:left w:w="57" w:type="dxa"/>
                    <w:bottom w:w="57" w:type="dxa"/>
                    <w:right w:w="57" w:type="dxa"/>
                  </w:tcMar>
                  <w:vAlign w:val="center"/>
                </w:tcPr>
                <w:p w14:paraId="3C0B2D3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不涉及生产废水，食堂废水经过隔油池处理后与生活污水共同进入化粪池预处理，然后通过污水管网排入淮北经济开发区新区污水处理厂进行深度处理。</w:t>
                  </w:r>
                </w:p>
              </w:tc>
              <w:tc>
                <w:tcPr>
                  <w:tcW w:w="1310" w:type="pct"/>
                  <w:tcBorders>
                    <w:tl2br w:val="nil"/>
                    <w:tr2bl w:val="nil"/>
                  </w:tcBorders>
                  <w:shd w:val="clear" w:color="auto" w:fill="auto"/>
                  <w:noWrap/>
                  <w:tcMar>
                    <w:top w:w="57" w:type="dxa"/>
                    <w:left w:w="57" w:type="dxa"/>
                    <w:bottom w:w="57" w:type="dxa"/>
                    <w:right w:w="57" w:type="dxa"/>
                  </w:tcMar>
                  <w:vAlign w:val="center"/>
                </w:tcPr>
                <w:p w14:paraId="596D3B2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不涉及生产废水，生活</w:t>
                  </w:r>
                  <w:r>
                    <w:rPr>
                      <w:rFonts w:hint="eastAsia" w:ascii="宋体" w:hAnsi="宋体" w:cs="宋体"/>
                      <w:color w:val="000000"/>
                      <w:kern w:val="2"/>
                      <w:sz w:val="21"/>
                      <w:szCs w:val="21"/>
                      <w:highlight w:val="none"/>
                      <w:lang w:val="en-US" w:eastAsia="zh-CN" w:bidi="ar-SA"/>
                    </w:rPr>
                    <w:t>用水量减少。</w:t>
                  </w:r>
                </w:p>
              </w:tc>
              <w:tc>
                <w:tcPr>
                  <w:tcW w:w="1038" w:type="pct"/>
                  <w:tcBorders>
                    <w:tl2br w:val="nil"/>
                    <w:tr2bl w:val="nil"/>
                  </w:tcBorders>
                  <w:shd w:val="clear" w:color="auto" w:fill="auto"/>
                  <w:noWrap/>
                  <w:tcMar>
                    <w:top w:w="57" w:type="dxa"/>
                    <w:left w:w="57" w:type="dxa"/>
                    <w:bottom w:w="57" w:type="dxa"/>
                    <w:right w:w="57" w:type="dxa"/>
                  </w:tcMar>
                  <w:vAlign w:val="center"/>
                </w:tcPr>
                <w:p w14:paraId="49EBD6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不涉及生产废水，食堂废水经过隔油池处理后与生活污水共同进入化粪池预处理，然后通过污水管网排入淮北经济开发区新区污水处理厂进行深度处理。</w:t>
                  </w:r>
                </w:p>
              </w:tc>
              <w:tc>
                <w:tcPr>
                  <w:tcW w:w="432" w:type="pct"/>
                  <w:tcBorders>
                    <w:tl2br w:val="nil"/>
                    <w:tr2bl w:val="nil"/>
                  </w:tcBorders>
                  <w:shd w:val="clear" w:color="auto" w:fill="auto"/>
                  <w:noWrap/>
                  <w:tcMar>
                    <w:top w:w="57" w:type="dxa"/>
                    <w:left w:w="57" w:type="dxa"/>
                    <w:bottom w:w="57" w:type="dxa"/>
                    <w:right w:w="57" w:type="dxa"/>
                  </w:tcMar>
                  <w:vAlign w:val="center"/>
                </w:tcPr>
                <w:p w14:paraId="7386A4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依托原有</w:t>
                  </w:r>
                </w:p>
              </w:tc>
            </w:tr>
            <w:tr w14:paraId="5DB1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68" w:type="pct"/>
                  <w:vMerge w:val="continue"/>
                  <w:tcBorders>
                    <w:tl2br w:val="nil"/>
                    <w:tr2bl w:val="nil"/>
                  </w:tcBorders>
                  <w:noWrap/>
                  <w:tcMar>
                    <w:top w:w="57" w:type="dxa"/>
                    <w:left w:w="57" w:type="dxa"/>
                    <w:bottom w:w="57" w:type="dxa"/>
                    <w:right w:w="57" w:type="dxa"/>
                  </w:tcMar>
                  <w:vAlign w:val="center"/>
                </w:tcPr>
                <w:p w14:paraId="193E47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540" w:type="pct"/>
                  <w:tcBorders>
                    <w:tl2br w:val="nil"/>
                    <w:tr2bl w:val="nil"/>
                  </w:tcBorders>
                  <w:noWrap/>
                  <w:tcMar>
                    <w:top w:w="57" w:type="dxa"/>
                    <w:left w:w="57" w:type="dxa"/>
                    <w:bottom w:w="57" w:type="dxa"/>
                    <w:right w:w="57" w:type="dxa"/>
                  </w:tcMar>
                  <w:vAlign w:val="center"/>
                </w:tcPr>
                <w:p w14:paraId="0334E59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废气</w:t>
                  </w:r>
                  <w:r>
                    <w:rPr>
                      <w:rFonts w:hint="eastAsia" w:ascii="宋体" w:hAnsi="宋体" w:cs="宋体"/>
                      <w:color w:val="000000"/>
                      <w:kern w:val="2"/>
                      <w:sz w:val="21"/>
                      <w:szCs w:val="21"/>
                      <w:highlight w:val="none"/>
                      <w:lang w:val="en-US" w:eastAsia="zh-CN"/>
                    </w:rPr>
                    <w:t>治理</w:t>
                  </w:r>
                </w:p>
              </w:tc>
              <w:tc>
                <w:tcPr>
                  <w:tcW w:w="1310" w:type="pct"/>
                  <w:tcBorders>
                    <w:tl2br w:val="nil"/>
                    <w:tr2bl w:val="nil"/>
                  </w:tcBorders>
                  <w:noWrap/>
                  <w:tcMar>
                    <w:top w:w="57" w:type="dxa"/>
                    <w:left w:w="57" w:type="dxa"/>
                    <w:bottom w:w="57" w:type="dxa"/>
                    <w:right w:w="57" w:type="dxa"/>
                  </w:tcMar>
                  <w:vAlign w:val="center"/>
                </w:tcPr>
                <w:p w14:paraId="258AFF7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color w:val="000000"/>
                      <w:kern w:val="0"/>
                      <w:sz w:val="21"/>
                      <w:szCs w:val="21"/>
                      <w:lang w:val="en-US" w:eastAsia="zh-CN"/>
                    </w:rPr>
                    <w:t>切割、</w:t>
                  </w:r>
                  <w:r>
                    <w:rPr>
                      <w:rFonts w:hint="default"/>
                      <w:color w:val="000000"/>
                      <w:kern w:val="0"/>
                      <w:sz w:val="21"/>
                      <w:szCs w:val="21"/>
                      <w:lang w:val="en-US" w:eastAsia="zh-CN"/>
                    </w:rPr>
                    <w:t>焊接烟气采用移动式</w:t>
                  </w:r>
                  <w:r>
                    <w:rPr>
                      <w:rFonts w:hint="eastAsia"/>
                      <w:color w:val="000000"/>
                      <w:kern w:val="0"/>
                      <w:sz w:val="21"/>
                      <w:szCs w:val="21"/>
                      <w:lang w:val="en-US" w:eastAsia="zh-CN"/>
                    </w:rPr>
                    <w:t>烟尘净化器</w:t>
                  </w:r>
                  <w:r>
                    <w:rPr>
                      <w:rFonts w:hint="default"/>
                      <w:color w:val="000000"/>
                      <w:kern w:val="0"/>
                      <w:sz w:val="21"/>
                      <w:szCs w:val="21"/>
                      <w:lang w:val="en-US" w:eastAsia="zh-CN"/>
                    </w:rPr>
                    <w:t>处理</w:t>
                  </w:r>
                  <w:r>
                    <w:rPr>
                      <w:rFonts w:hint="eastAsia"/>
                      <w:color w:val="000000"/>
                      <w:kern w:val="0"/>
                      <w:sz w:val="21"/>
                      <w:szCs w:val="21"/>
                      <w:lang w:val="en-US" w:eastAsia="zh-CN"/>
                    </w:rPr>
                    <w:t>后无组织排放，</w:t>
                  </w:r>
                  <w:r>
                    <w:rPr>
                      <w:rFonts w:hint="default"/>
                      <w:color w:val="000000"/>
                      <w:kern w:val="0"/>
                      <w:sz w:val="21"/>
                      <w:szCs w:val="21"/>
                      <w:lang w:val="en-US" w:eastAsia="zh-CN"/>
                    </w:rPr>
                    <w:t>刷漆</w:t>
                  </w:r>
                  <w:r>
                    <w:rPr>
                      <w:rFonts w:hint="eastAsia"/>
                      <w:color w:val="000000"/>
                      <w:kern w:val="0"/>
                      <w:sz w:val="21"/>
                      <w:szCs w:val="21"/>
                      <w:lang w:val="en-US" w:eastAsia="zh-CN"/>
                    </w:rPr>
                    <w:t>晾干工序在密闭空间内进行，产生</w:t>
                  </w:r>
                  <w:r>
                    <w:rPr>
                      <w:rFonts w:hint="default"/>
                      <w:color w:val="000000"/>
                      <w:kern w:val="0"/>
                      <w:sz w:val="21"/>
                      <w:szCs w:val="21"/>
                      <w:lang w:val="en-US" w:eastAsia="zh-CN"/>
                    </w:rPr>
                    <w:t>的废气</w:t>
                  </w:r>
                  <w:r>
                    <w:rPr>
                      <w:rFonts w:hint="eastAsia"/>
                      <w:color w:val="000000"/>
                      <w:kern w:val="0"/>
                      <w:sz w:val="21"/>
                      <w:szCs w:val="21"/>
                      <w:lang w:val="en-US" w:eastAsia="zh-CN"/>
                    </w:rPr>
                    <w:t>经过滤棉+二级活性炭处理后通过15m高排气筒（DA001）排放</w:t>
                  </w:r>
                  <w:r>
                    <w:rPr>
                      <w:rFonts w:hint="default"/>
                      <w:color w:val="000000"/>
                      <w:kern w:val="0"/>
                      <w:sz w:val="21"/>
                      <w:szCs w:val="21"/>
                      <w:lang w:val="en-US" w:eastAsia="zh-CN"/>
                    </w:rPr>
                    <w:t>。</w:t>
                  </w:r>
                  <w:r>
                    <w:rPr>
                      <w:rFonts w:hint="eastAsia"/>
                      <w:color w:val="000000"/>
                      <w:kern w:val="0"/>
                      <w:sz w:val="21"/>
                      <w:szCs w:val="21"/>
                      <w:lang w:val="en-US" w:eastAsia="zh-CN"/>
                    </w:rPr>
                    <w:t>食堂油烟经油烟净化器处理后通过排气筒排放。</w:t>
                  </w:r>
                </w:p>
              </w:tc>
              <w:tc>
                <w:tcPr>
                  <w:tcW w:w="1310" w:type="pct"/>
                  <w:tcBorders>
                    <w:tl2br w:val="nil"/>
                    <w:tr2bl w:val="nil"/>
                  </w:tcBorders>
                  <w:noWrap/>
                  <w:tcMar>
                    <w:top w:w="57" w:type="dxa"/>
                    <w:left w:w="57" w:type="dxa"/>
                    <w:bottom w:w="57" w:type="dxa"/>
                    <w:right w:w="57" w:type="dxa"/>
                  </w:tcMar>
                  <w:vAlign w:val="center"/>
                </w:tcPr>
                <w:p w14:paraId="2B2FD3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color w:val="000000"/>
                      <w:kern w:val="0"/>
                      <w:sz w:val="21"/>
                      <w:szCs w:val="21"/>
                      <w:lang w:val="en-US" w:eastAsia="zh-CN"/>
                    </w:rPr>
                    <w:t>抛丸工序产生的废气经旋风滤筒组合式除尘器处理后通过15m高排气筒（DA002）排放</w:t>
                  </w:r>
                  <w:r>
                    <w:rPr>
                      <w:rFonts w:hint="default"/>
                      <w:color w:val="000000"/>
                      <w:kern w:val="0"/>
                      <w:sz w:val="21"/>
                      <w:szCs w:val="21"/>
                      <w:lang w:val="en-US" w:eastAsia="zh-CN"/>
                    </w:rPr>
                    <w:t>，</w:t>
                  </w:r>
                  <w:r>
                    <w:rPr>
                      <w:rFonts w:hint="eastAsia"/>
                      <w:color w:val="000000"/>
                      <w:kern w:val="0"/>
                      <w:sz w:val="21"/>
                      <w:szCs w:val="21"/>
                      <w:lang w:val="en-US" w:eastAsia="zh-CN"/>
                    </w:rPr>
                    <w:t>激光切割工序产生的废气经布袋除尘器处理后通过15m高排气筒（DA003）排放。</w:t>
                  </w:r>
                </w:p>
              </w:tc>
              <w:tc>
                <w:tcPr>
                  <w:tcW w:w="1038" w:type="pct"/>
                  <w:tcBorders>
                    <w:tl2br w:val="nil"/>
                    <w:tr2bl w:val="nil"/>
                  </w:tcBorders>
                  <w:shd w:val="clear" w:color="auto" w:fill="auto"/>
                  <w:noWrap/>
                  <w:tcMar>
                    <w:top w:w="57" w:type="dxa"/>
                    <w:left w:w="57" w:type="dxa"/>
                    <w:bottom w:w="57" w:type="dxa"/>
                    <w:right w:w="57" w:type="dxa"/>
                  </w:tcMar>
                  <w:vAlign w:val="center"/>
                </w:tcPr>
                <w:p w14:paraId="47F21C1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default"/>
                      <w:color w:val="000000"/>
                      <w:kern w:val="0"/>
                      <w:sz w:val="21"/>
                      <w:szCs w:val="21"/>
                      <w:lang w:val="en-US" w:eastAsia="zh-CN"/>
                    </w:rPr>
                    <w:t>焊接烟气采用移动式</w:t>
                  </w:r>
                  <w:r>
                    <w:rPr>
                      <w:rFonts w:hint="eastAsia"/>
                      <w:color w:val="000000"/>
                      <w:kern w:val="0"/>
                      <w:sz w:val="21"/>
                      <w:szCs w:val="21"/>
                      <w:lang w:val="en-US" w:eastAsia="zh-CN"/>
                    </w:rPr>
                    <w:t>烟尘净化器</w:t>
                  </w:r>
                  <w:r>
                    <w:rPr>
                      <w:rFonts w:hint="default"/>
                      <w:color w:val="000000"/>
                      <w:kern w:val="0"/>
                      <w:sz w:val="21"/>
                      <w:szCs w:val="21"/>
                      <w:lang w:val="en-US" w:eastAsia="zh-CN"/>
                    </w:rPr>
                    <w:t>处理</w:t>
                  </w:r>
                  <w:r>
                    <w:rPr>
                      <w:rFonts w:hint="eastAsia"/>
                      <w:color w:val="000000"/>
                      <w:kern w:val="0"/>
                      <w:sz w:val="21"/>
                      <w:szCs w:val="21"/>
                      <w:lang w:val="en-US" w:eastAsia="zh-CN"/>
                    </w:rPr>
                    <w:t>后无组织排放，</w:t>
                  </w:r>
                  <w:r>
                    <w:rPr>
                      <w:rFonts w:hint="default"/>
                      <w:color w:val="000000"/>
                      <w:kern w:val="0"/>
                      <w:sz w:val="21"/>
                      <w:szCs w:val="21"/>
                      <w:lang w:val="en-US" w:eastAsia="zh-CN"/>
                    </w:rPr>
                    <w:t>刷漆</w:t>
                  </w:r>
                  <w:r>
                    <w:rPr>
                      <w:rFonts w:hint="eastAsia"/>
                      <w:color w:val="000000"/>
                      <w:kern w:val="0"/>
                      <w:sz w:val="21"/>
                      <w:szCs w:val="21"/>
                      <w:lang w:val="en-US" w:eastAsia="zh-CN"/>
                    </w:rPr>
                    <w:t>晾干工序在密闭空间内进行，产生</w:t>
                  </w:r>
                  <w:r>
                    <w:rPr>
                      <w:rFonts w:hint="default"/>
                      <w:color w:val="000000"/>
                      <w:kern w:val="0"/>
                      <w:sz w:val="21"/>
                      <w:szCs w:val="21"/>
                      <w:lang w:val="en-US" w:eastAsia="zh-CN"/>
                    </w:rPr>
                    <w:t>的废气</w:t>
                  </w:r>
                  <w:r>
                    <w:rPr>
                      <w:rFonts w:hint="eastAsia"/>
                      <w:color w:val="000000"/>
                      <w:kern w:val="0"/>
                      <w:sz w:val="21"/>
                      <w:szCs w:val="21"/>
                      <w:lang w:val="en-US" w:eastAsia="zh-CN"/>
                    </w:rPr>
                    <w:t>经过滤棉+二级活性炭处理后通过15m高排气筒（DA001）排放，抛丸工序产生的废气经旋风滤筒组合式除尘器处理后通过15m高排气筒（DA002）排放</w:t>
                  </w:r>
                  <w:r>
                    <w:rPr>
                      <w:rFonts w:hint="default"/>
                      <w:color w:val="000000"/>
                      <w:kern w:val="0"/>
                      <w:sz w:val="21"/>
                      <w:szCs w:val="21"/>
                      <w:lang w:val="en-US" w:eastAsia="zh-CN"/>
                    </w:rPr>
                    <w:t>，</w:t>
                  </w:r>
                  <w:r>
                    <w:rPr>
                      <w:rFonts w:hint="eastAsia"/>
                      <w:color w:val="000000"/>
                      <w:kern w:val="0"/>
                      <w:sz w:val="21"/>
                      <w:szCs w:val="21"/>
                      <w:lang w:val="en-US" w:eastAsia="zh-CN"/>
                    </w:rPr>
                    <w:t>激光切割工序产生的废气经布袋除尘器处理后通过15m高排气筒（DA003）排放，食堂油烟经油烟净化器处理后通过排气筒排放。</w:t>
                  </w:r>
                </w:p>
              </w:tc>
              <w:tc>
                <w:tcPr>
                  <w:tcW w:w="432" w:type="pct"/>
                  <w:tcBorders>
                    <w:tl2br w:val="nil"/>
                    <w:tr2bl w:val="nil"/>
                  </w:tcBorders>
                  <w:shd w:val="clear" w:color="auto" w:fill="auto"/>
                  <w:noWrap/>
                  <w:tcMar>
                    <w:top w:w="57" w:type="dxa"/>
                    <w:left w:w="57" w:type="dxa"/>
                    <w:bottom w:w="57" w:type="dxa"/>
                    <w:right w:w="57" w:type="dxa"/>
                  </w:tcMar>
                  <w:vAlign w:val="center"/>
                </w:tcPr>
                <w:p w14:paraId="7EBD53A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新增抛丸、切割</w:t>
                  </w:r>
                </w:p>
              </w:tc>
            </w:tr>
            <w:tr w14:paraId="6A37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68" w:type="pct"/>
                  <w:vMerge w:val="continue"/>
                  <w:tcBorders>
                    <w:tl2br w:val="nil"/>
                    <w:tr2bl w:val="nil"/>
                  </w:tcBorders>
                  <w:noWrap/>
                  <w:tcMar>
                    <w:top w:w="57" w:type="dxa"/>
                    <w:left w:w="57" w:type="dxa"/>
                    <w:bottom w:w="57" w:type="dxa"/>
                    <w:right w:w="57" w:type="dxa"/>
                  </w:tcMar>
                  <w:vAlign w:val="center"/>
                </w:tcPr>
                <w:p w14:paraId="33B8B03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540" w:type="pct"/>
                  <w:tcBorders>
                    <w:tl2br w:val="nil"/>
                    <w:tr2bl w:val="nil"/>
                  </w:tcBorders>
                  <w:noWrap/>
                  <w:tcMar>
                    <w:top w:w="57" w:type="dxa"/>
                    <w:left w:w="57" w:type="dxa"/>
                    <w:bottom w:w="57" w:type="dxa"/>
                    <w:right w:w="57" w:type="dxa"/>
                  </w:tcMar>
                  <w:vAlign w:val="center"/>
                </w:tcPr>
                <w:p w14:paraId="1B0785D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噪声治理</w:t>
                  </w:r>
                </w:p>
              </w:tc>
              <w:tc>
                <w:tcPr>
                  <w:tcW w:w="1310" w:type="pct"/>
                  <w:tcBorders>
                    <w:tl2br w:val="nil"/>
                    <w:tr2bl w:val="nil"/>
                  </w:tcBorders>
                  <w:noWrap/>
                  <w:tcMar>
                    <w:top w:w="57" w:type="dxa"/>
                    <w:left w:w="57" w:type="dxa"/>
                    <w:bottom w:w="57" w:type="dxa"/>
                    <w:right w:w="57" w:type="dxa"/>
                  </w:tcMar>
                  <w:vAlign w:val="center"/>
                </w:tcPr>
                <w:p w14:paraId="185A21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采取隔声减震、</w:t>
                  </w:r>
                  <w:r>
                    <w:rPr>
                      <w:rFonts w:hint="eastAsia" w:ascii="宋体" w:hAnsi="宋体" w:cs="宋体"/>
                      <w:color w:val="000000"/>
                      <w:kern w:val="2"/>
                      <w:sz w:val="21"/>
                      <w:szCs w:val="21"/>
                      <w:highlight w:val="none"/>
                      <w:lang w:val="en-US" w:eastAsia="zh-CN"/>
                    </w:rPr>
                    <w:t>合理</w:t>
                  </w:r>
                  <w:r>
                    <w:rPr>
                      <w:rFonts w:hint="default" w:ascii="宋体" w:hAnsi="宋体" w:eastAsia="宋体" w:cs="宋体"/>
                      <w:color w:val="000000"/>
                      <w:kern w:val="2"/>
                      <w:sz w:val="21"/>
                      <w:szCs w:val="21"/>
                      <w:highlight w:val="none"/>
                      <w:lang w:val="en-US" w:eastAsia="zh-CN"/>
                    </w:rPr>
                    <w:t>布局</w:t>
                  </w:r>
                  <w:r>
                    <w:rPr>
                      <w:rFonts w:hint="eastAsia" w:ascii="宋体" w:hAnsi="宋体" w:cs="宋体"/>
                      <w:color w:val="000000"/>
                      <w:kern w:val="2"/>
                      <w:sz w:val="21"/>
                      <w:szCs w:val="21"/>
                      <w:highlight w:val="none"/>
                      <w:lang w:val="en-US" w:eastAsia="zh-CN"/>
                    </w:rPr>
                    <w:t>、距离衰减</w:t>
                  </w:r>
                  <w:r>
                    <w:rPr>
                      <w:rFonts w:hint="default" w:ascii="宋体" w:hAnsi="宋体" w:eastAsia="宋体" w:cs="宋体"/>
                      <w:color w:val="000000"/>
                      <w:kern w:val="2"/>
                      <w:sz w:val="21"/>
                      <w:szCs w:val="21"/>
                      <w:highlight w:val="none"/>
                      <w:lang w:val="en-US" w:eastAsia="zh-CN"/>
                    </w:rPr>
                    <w:t>等措施</w:t>
                  </w:r>
                  <w:r>
                    <w:rPr>
                      <w:rFonts w:hint="eastAsia" w:ascii="宋体" w:hAnsi="宋体" w:cs="宋体"/>
                      <w:color w:val="000000"/>
                      <w:kern w:val="2"/>
                      <w:sz w:val="21"/>
                      <w:szCs w:val="21"/>
                      <w:highlight w:val="none"/>
                      <w:lang w:val="en-US" w:eastAsia="zh-CN"/>
                    </w:rPr>
                    <w:t>。</w:t>
                  </w:r>
                </w:p>
              </w:tc>
              <w:tc>
                <w:tcPr>
                  <w:tcW w:w="1310" w:type="pct"/>
                  <w:tcBorders>
                    <w:tl2br w:val="nil"/>
                    <w:tr2bl w:val="nil"/>
                  </w:tcBorders>
                  <w:noWrap/>
                  <w:tcMar>
                    <w:top w:w="57" w:type="dxa"/>
                    <w:left w:w="57" w:type="dxa"/>
                    <w:bottom w:w="57" w:type="dxa"/>
                    <w:right w:w="57" w:type="dxa"/>
                  </w:tcMar>
                  <w:vAlign w:val="center"/>
                </w:tcPr>
                <w:p w14:paraId="1F00B51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优先选取低噪声设备、采取隔声、减震、优化布局等措施</w:t>
                  </w:r>
                  <w:r>
                    <w:rPr>
                      <w:rFonts w:hint="eastAsia" w:ascii="宋体" w:hAnsi="宋体" w:cs="宋体"/>
                      <w:color w:val="000000"/>
                      <w:kern w:val="2"/>
                      <w:sz w:val="21"/>
                      <w:szCs w:val="21"/>
                      <w:highlight w:val="none"/>
                      <w:lang w:val="en-US" w:eastAsia="zh-CN"/>
                    </w:rPr>
                    <w:t>。</w:t>
                  </w:r>
                </w:p>
              </w:tc>
              <w:tc>
                <w:tcPr>
                  <w:tcW w:w="1038" w:type="pct"/>
                  <w:tcBorders>
                    <w:tl2br w:val="nil"/>
                    <w:tr2bl w:val="nil"/>
                  </w:tcBorders>
                  <w:shd w:val="clear" w:color="auto" w:fill="auto"/>
                  <w:noWrap/>
                  <w:tcMar>
                    <w:top w:w="57" w:type="dxa"/>
                    <w:left w:w="57" w:type="dxa"/>
                    <w:bottom w:w="57" w:type="dxa"/>
                    <w:right w:w="57" w:type="dxa"/>
                  </w:tcMar>
                  <w:vAlign w:val="center"/>
                </w:tcPr>
                <w:p w14:paraId="66E483F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default" w:ascii="宋体" w:hAnsi="宋体" w:eastAsia="宋体" w:cs="宋体"/>
                      <w:color w:val="000000"/>
                      <w:kern w:val="2"/>
                      <w:sz w:val="21"/>
                      <w:szCs w:val="21"/>
                      <w:highlight w:val="none"/>
                      <w:lang w:val="en-US" w:eastAsia="zh-CN"/>
                    </w:rPr>
                    <w:t>采取隔声减震、</w:t>
                  </w:r>
                  <w:r>
                    <w:rPr>
                      <w:rFonts w:hint="eastAsia" w:ascii="宋体" w:hAnsi="宋体" w:cs="宋体"/>
                      <w:color w:val="000000"/>
                      <w:kern w:val="2"/>
                      <w:sz w:val="21"/>
                      <w:szCs w:val="21"/>
                      <w:highlight w:val="none"/>
                      <w:lang w:val="en-US" w:eastAsia="zh-CN"/>
                    </w:rPr>
                    <w:t>合理</w:t>
                  </w:r>
                  <w:r>
                    <w:rPr>
                      <w:rFonts w:hint="default" w:ascii="宋体" w:hAnsi="宋体" w:eastAsia="宋体" w:cs="宋体"/>
                      <w:color w:val="000000"/>
                      <w:kern w:val="2"/>
                      <w:sz w:val="21"/>
                      <w:szCs w:val="21"/>
                      <w:highlight w:val="none"/>
                      <w:lang w:val="en-US" w:eastAsia="zh-CN"/>
                    </w:rPr>
                    <w:t>布局</w:t>
                  </w:r>
                  <w:r>
                    <w:rPr>
                      <w:rFonts w:hint="eastAsia" w:ascii="宋体" w:hAnsi="宋体" w:cs="宋体"/>
                      <w:color w:val="000000"/>
                      <w:kern w:val="2"/>
                      <w:sz w:val="21"/>
                      <w:szCs w:val="21"/>
                      <w:highlight w:val="none"/>
                      <w:lang w:val="en-US" w:eastAsia="zh-CN"/>
                    </w:rPr>
                    <w:t>、距离衰减</w:t>
                  </w:r>
                  <w:r>
                    <w:rPr>
                      <w:rFonts w:hint="default" w:ascii="宋体" w:hAnsi="宋体" w:eastAsia="宋体" w:cs="宋体"/>
                      <w:color w:val="000000"/>
                      <w:kern w:val="2"/>
                      <w:sz w:val="21"/>
                      <w:szCs w:val="21"/>
                      <w:highlight w:val="none"/>
                      <w:lang w:val="en-US" w:eastAsia="zh-CN"/>
                    </w:rPr>
                    <w:t>等措施</w:t>
                  </w:r>
                  <w:r>
                    <w:rPr>
                      <w:rFonts w:hint="eastAsia" w:ascii="宋体" w:hAnsi="宋体" w:cs="宋体"/>
                      <w:color w:val="000000"/>
                      <w:kern w:val="2"/>
                      <w:sz w:val="21"/>
                      <w:szCs w:val="21"/>
                      <w:highlight w:val="none"/>
                      <w:lang w:val="en-US" w:eastAsia="zh-CN"/>
                    </w:rPr>
                    <w:t>。</w:t>
                  </w:r>
                </w:p>
              </w:tc>
              <w:tc>
                <w:tcPr>
                  <w:tcW w:w="432" w:type="pct"/>
                  <w:tcBorders>
                    <w:tl2br w:val="nil"/>
                    <w:tr2bl w:val="nil"/>
                  </w:tcBorders>
                  <w:shd w:val="clear" w:color="auto" w:fill="auto"/>
                  <w:noWrap/>
                  <w:tcMar>
                    <w:top w:w="57" w:type="dxa"/>
                    <w:left w:w="57" w:type="dxa"/>
                    <w:bottom w:w="57" w:type="dxa"/>
                    <w:right w:w="57" w:type="dxa"/>
                  </w:tcMar>
                  <w:vAlign w:val="center"/>
                </w:tcPr>
                <w:p w14:paraId="688EBA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w:t>
                  </w:r>
                </w:p>
              </w:tc>
            </w:tr>
            <w:tr w14:paraId="6DE0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68" w:type="pct"/>
                  <w:vMerge w:val="continue"/>
                  <w:tcBorders>
                    <w:tl2br w:val="nil"/>
                    <w:tr2bl w:val="nil"/>
                  </w:tcBorders>
                  <w:noWrap/>
                  <w:tcMar>
                    <w:top w:w="57" w:type="dxa"/>
                    <w:left w:w="57" w:type="dxa"/>
                    <w:bottom w:w="57" w:type="dxa"/>
                    <w:right w:w="57" w:type="dxa"/>
                  </w:tcMar>
                  <w:vAlign w:val="center"/>
                </w:tcPr>
                <w:p w14:paraId="50A7E27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540" w:type="pct"/>
                  <w:tcBorders>
                    <w:tl2br w:val="nil"/>
                    <w:tr2bl w:val="nil"/>
                  </w:tcBorders>
                  <w:noWrap/>
                  <w:tcMar>
                    <w:top w:w="57" w:type="dxa"/>
                    <w:left w:w="57" w:type="dxa"/>
                    <w:bottom w:w="57" w:type="dxa"/>
                    <w:right w:w="57" w:type="dxa"/>
                  </w:tcMar>
                  <w:vAlign w:val="center"/>
                </w:tcPr>
                <w:p w14:paraId="0E4D687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固废治理</w:t>
                  </w:r>
                </w:p>
              </w:tc>
              <w:tc>
                <w:tcPr>
                  <w:tcW w:w="1310" w:type="pct"/>
                  <w:tcBorders>
                    <w:tl2br w:val="nil"/>
                    <w:tr2bl w:val="nil"/>
                  </w:tcBorders>
                  <w:noWrap/>
                  <w:tcMar>
                    <w:top w:w="57" w:type="dxa"/>
                    <w:left w:w="57" w:type="dxa"/>
                    <w:bottom w:w="57" w:type="dxa"/>
                    <w:right w:w="57" w:type="dxa"/>
                  </w:tcMar>
                  <w:vAlign w:val="center"/>
                </w:tcPr>
                <w:p w14:paraId="12BAF24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生活垃圾交由环卫部门统一处理。一般固体废物收集后暂存于一般固废暂存处</w:t>
                  </w:r>
                  <w:r>
                    <w:rPr>
                      <w:rFonts w:hint="eastAsia" w:ascii="宋体" w:hAnsi="宋体" w:cs="宋体"/>
                      <w:color w:val="000000"/>
                      <w:kern w:val="2"/>
                      <w:sz w:val="21"/>
                      <w:szCs w:val="21"/>
                      <w:highlight w:val="none"/>
                      <w:lang w:val="en-US" w:eastAsia="zh-CN"/>
                    </w:rPr>
                    <w:t>定期外售</w:t>
                  </w:r>
                  <w:r>
                    <w:rPr>
                      <w:rFonts w:hint="default" w:ascii="宋体" w:hAnsi="宋体" w:eastAsia="宋体" w:cs="宋体"/>
                      <w:color w:val="000000"/>
                      <w:kern w:val="2"/>
                      <w:sz w:val="21"/>
                      <w:szCs w:val="21"/>
                      <w:highlight w:val="none"/>
                      <w:lang w:val="en-US" w:eastAsia="zh-CN"/>
                    </w:rPr>
                    <w:t>，危险废物在危险废物暂存间暂存后</w:t>
                  </w:r>
                  <w:r>
                    <w:rPr>
                      <w:rFonts w:hint="eastAsia" w:ascii="宋体" w:hAnsi="宋体" w:cs="宋体"/>
                      <w:color w:val="000000"/>
                      <w:kern w:val="2"/>
                      <w:sz w:val="21"/>
                      <w:szCs w:val="21"/>
                      <w:highlight w:val="none"/>
                      <w:lang w:val="en-US" w:eastAsia="zh-CN"/>
                    </w:rPr>
                    <w:t>定期</w:t>
                  </w:r>
                  <w:r>
                    <w:rPr>
                      <w:rFonts w:hint="default" w:ascii="宋体" w:hAnsi="宋体" w:eastAsia="宋体" w:cs="宋体"/>
                      <w:color w:val="000000"/>
                      <w:kern w:val="2"/>
                      <w:sz w:val="21"/>
                      <w:szCs w:val="21"/>
                      <w:highlight w:val="none"/>
                      <w:lang w:val="en-US" w:eastAsia="zh-CN"/>
                    </w:rPr>
                    <w:t>交由有资质单位处理。</w:t>
                  </w:r>
                </w:p>
              </w:tc>
              <w:tc>
                <w:tcPr>
                  <w:tcW w:w="1310" w:type="pct"/>
                  <w:tcBorders>
                    <w:tl2br w:val="nil"/>
                    <w:tr2bl w:val="nil"/>
                  </w:tcBorders>
                  <w:noWrap/>
                  <w:tcMar>
                    <w:top w:w="57" w:type="dxa"/>
                    <w:left w:w="57" w:type="dxa"/>
                    <w:bottom w:w="57" w:type="dxa"/>
                    <w:right w:w="57" w:type="dxa"/>
                  </w:tcMar>
                  <w:vAlign w:val="center"/>
                </w:tcPr>
                <w:p w14:paraId="71B9C7E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一般固体废物收集后暂存于一般固废暂存处</w:t>
                  </w:r>
                  <w:r>
                    <w:rPr>
                      <w:rFonts w:hint="eastAsia" w:ascii="宋体" w:hAnsi="宋体" w:cs="宋体"/>
                      <w:color w:val="000000"/>
                      <w:kern w:val="2"/>
                      <w:sz w:val="21"/>
                      <w:szCs w:val="21"/>
                      <w:highlight w:val="none"/>
                      <w:lang w:val="en-US" w:eastAsia="zh-CN"/>
                    </w:rPr>
                    <w:t>定期外售</w:t>
                  </w:r>
                  <w:r>
                    <w:rPr>
                      <w:rFonts w:hint="default" w:ascii="宋体" w:hAnsi="宋体" w:eastAsia="宋体" w:cs="宋体"/>
                      <w:color w:val="000000"/>
                      <w:kern w:val="2"/>
                      <w:sz w:val="21"/>
                      <w:szCs w:val="21"/>
                      <w:highlight w:val="none"/>
                      <w:lang w:val="en-US" w:eastAsia="zh-CN"/>
                    </w:rPr>
                    <w:t>，危险废物在危险废物暂存间暂存后</w:t>
                  </w:r>
                  <w:r>
                    <w:rPr>
                      <w:rFonts w:hint="eastAsia" w:ascii="宋体" w:hAnsi="宋体" w:cs="宋体"/>
                      <w:color w:val="000000"/>
                      <w:kern w:val="2"/>
                      <w:sz w:val="21"/>
                      <w:szCs w:val="21"/>
                      <w:highlight w:val="none"/>
                      <w:lang w:val="en-US" w:eastAsia="zh-CN"/>
                    </w:rPr>
                    <w:t>定期</w:t>
                  </w:r>
                  <w:r>
                    <w:rPr>
                      <w:rFonts w:hint="default" w:ascii="宋体" w:hAnsi="宋体" w:eastAsia="宋体" w:cs="宋体"/>
                      <w:color w:val="000000"/>
                      <w:kern w:val="2"/>
                      <w:sz w:val="21"/>
                      <w:szCs w:val="21"/>
                      <w:highlight w:val="none"/>
                      <w:lang w:val="en-US" w:eastAsia="zh-CN"/>
                    </w:rPr>
                    <w:t>交由有资质单位处理。</w:t>
                  </w:r>
                </w:p>
              </w:tc>
              <w:tc>
                <w:tcPr>
                  <w:tcW w:w="1038" w:type="pct"/>
                  <w:tcBorders>
                    <w:tl2br w:val="nil"/>
                    <w:tr2bl w:val="nil"/>
                  </w:tcBorders>
                  <w:shd w:val="clear" w:color="auto" w:fill="auto"/>
                  <w:noWrap/>
                  <w:tcMar>
                    <w:top w:w="57" w:type="dxa"/>
                    <w:left w:w="57" w:type="dxa"/>
                    <w:bottom w:w="57" w:type="dxa"/>
                    <w:right w:w="57" w:type="dxa"/>
                  </w:tcMar>
                  <w:vAlign w:val="center"/>
                </w:tcPr>
                <w:p w14:paraId="122C6A3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default" w:ascii="宋体" w:hAnsi="宋体" w:eastAsia="宋体" w:cs="宋体"/>
                      <w:color w:val="000000"/>
                      <w:kern w:val="2"/>
                      <w:sz w:val="21"/>
                      <w:szCs w:val="21"/>
                      <w:highlight w:val="none"/>
                      <w:lang w:val="en-US" w:eastAsia="zh-CN"/>
                    </w:rPr>
                    <w:t>生活垃圾交由环卫部门统一处理。一般固体废物收集后暂存于一般固废暂存处</w:t>
                  </w:r>
                  <w:r>
                    <w:rPr>
                      <w:rFonts w:hint="eastAsia" w:ascii="宋体" w:hAnsi="宋体" w:cs="宋体"/>
                      <w:color w:val="000000"/>
                      <w:kern w:val="2"/>
                      <w:sz w:val="21"/>
                      <w:szCs w:val="21"/>
                      <w:highlight w:val="none"/>
                      <w:lang w:val="en-US" w:eastAsia="zh-CN"/>
                    </w:rPr>
                    <w:t>定期外售</w:t>
                  </w:r>
                  <w:r>
                    <w:rPr>
                      <w:rFonts w:hint="default" w:ascii="宋体" w:hAnsi="宋体" w:eastAsia="宋体" w:cs="宋体"/>
                      <w:color w:val="000000"/>
                      <w:kern w:val="2"/>
                      <w:sz w:val="21"/>
                      <w:szCs w:val="21"/>
                      <w:highlight w:val="none"/>
                      <w:lang w:val="en-US" w:eastAsia="zh-CN"/>
                    </w:rPr>
                    <w:t>，危险废物在危险废物暂存间暂存后</w:t>
                  </w:r>
                  <w:r>
                    <w:rPr>
                      <w:rFonts w:hint="eastAsia" w:ascii="宋体" w:hAnsi="宋体" w:cs="宋体"/>
                      <w:color w:val="000000"/>
                      <w:kern w:val="2"/>
                      <w:sz w:val="21"/>
                      <w:szCs w:val="21"/>
                      <w:highlight w:val="none"/>
                      <w:lang w:val="en-US" w:eastAsia="zh-CN"/>
                    </w:rPr>
                    <w:t>定期</w:t>
                  </w:r>
                  <w:r>
                    <w:rPr>
                      <w:rFonts w:hint="default" w:ascii="宋体" w:hAnsi="宋体" w:eastAsia="宋体" w:cs="宋体"/>
                      <w:color w:val="000000"/>
                      <w:kern w:val="2"/>
                      <w:sz w:val="21"/>
                      <w:szCs w:val="21"/>
                      <w:highlight w:val="none"/>
                      <w:lang w:val="en-US" w:eastAsia="zh-CN"/>
                    </w:rPr>
                    <w:t>交由有资质单位处理。</w:t>
                  </w:r>
                </w:p>
              </w:tc>
              <w:tc>
                <w:tcPr>
                  <w:tcW w:w="432" w:type="pct"/>
                  <w:tcBorders>
                    <w:tl2br w:val="nil"/>
                    <w:tr2bl w:val="nil"/>
                  </w:tcBorders>
                  <w:shd w:val="clear" w:color="auto" w:fill="auto"/>
                  <w:noWrap/>
                  <w:tcMar>
                    <w:top w:w="57" w:type="dxa"/>
                    <w:left w:w="57" w:type="dxa"/>
                    <w:bottom w:w="57" w:type="dxa"/>
                    <w:right w:w="57" w:type="dxa"/>
                  </w:tcMar>
                  <w:vAlign w:val="center"/>
                </w:tcPr>
                <w:p w14:paraId="459B887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依托原有</w:t>
                  </w:r>
                </w:p>
              </w:tc>
            </w:tr>
            <w:tr w14:paraId="52DE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68" w:type="pct"/>
                  <w:vMerge w:val="continue"/>
                  <w:tcBorders>
                    <w:tl2br w:val="nil"/>
                    <w:tr2bl w:val="nil"/>
                  </w:tcBorders>
                  <w:noWrap/>
                  <w:tcMar>
                    <w:top w:w="57" w:type="dxa"/>
                    <w:left w:w="57" w:type="dxa"/>
                    <w:bottom w:w="57" w:type="dxa"/>
                    <w:right w:w="57" w:type="dxa"/>
                  </w:tcMar>
                  <w:vAlign w:val="center"/>
                </w:tcPr>
                <w:p w14:paraId="760EF16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540" w:type="pct"/>
                  <w:tcBorders>
                    <w:tl2br w:val="nil"/>
                    <w:tr2bl w:val="nil"/>
                  </w:tcBorders>
                  <w:noWrap/>
                  <w:tcMar>
                    <w:top w:w="57" w:type="dxa"/>
                    <w:left w:w="57" w:type="dxa"/>
                    <w:bottom w:w="57" w:type="dxa"/>
                    <w:right w:w="57" w:type="dxa"/>
                  </w:tcMar>
                  <w:vAlign w:val="center"/>
                </w:tcPr>
                <w:p w14:paraId="3BF3466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地下水、土壤</w:t>
                  </w:r>
                </w:p>
              </w:tc>
              <w:tc>
                <w:tcPr>
                  <w:tcW w:w="1310" w:type="pct"/>
                  <w:tcBorders>
                    <w:tl2br w:val="nil"/>
                    <w:tr2bl w:val="nil"/>
                  </w:tcBorders>
                  <w:noWrap/>
                  <w:tcMar>
                    <w:top w:w="57" w:type="dxa"/>
                    <w:left w:w="57" w:type="dxa"/>
                    <w:bottom w:w="57" w:type="dxa"/>
                    <w:right w:w="57" w:type="dxa"/>
                  </w:tcMar>
                  <w:vAlign w:val="center"/>
                </w:tcPr>
                <w:p w14:paraId="74A3B0E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default" w:ascii="宋体" w:hAnsi="宋体" w:eastAsia="宋体" w:cs="宋体"/>
                      <w:color w:val="000000"/>
                      <w:kern w:val="2"/>
                      <w:sz w:val="21"/>
                      <w:szCs w:val="21"/>
                      <w:highlight w:val="none"/>
                      <w:lang w:val="en-US" w:eastAsia="zh-CN"/>
                    </w:rPr>
                    <w:t>化粪池、</w:t>
                  </w:r>
                  <w:r>
                    <w:rPr>
                      <w:rFonts w:hint="eastAsia" w:ascii="宋体" w:hAnsi="宋体" w:eastAsia="宋体" w:cs="宋体"/>
                      <w:color w:val="000000"/>
                      <w:kern w:val="2"/>
                      <w:sz w:val="21"/>
                      <w:szCs w:val="21"/>
                      <w:highlight w:val="none"/>
                      <w:lang w:val="en-US" w:eastAsia="zh-CN"/>
                    </w:rPr>
                    <w:t>危废</w:t>
                  </w:r>
                  <w:r>
                    <w:rPr>
                      <w:rFonts w:hint="default" w:ascii="宋体" w:hAnsi="宋体" w:eastAsia="宋体" w:cs="宋体"/>
                      <w:color w:val="000000"/>
                      <w:kern w:val="2"/>
                      <w:sz w:val="21"/>
                      <w:szCs w:val="21"/>
                      <w:highlight w:val="none"/>
                      <w:lang w:val="en-US" w:eastAsia="zh-CN"/>
                    </w:rPr>
                    <w:t>暂存间</w:t>
                  </w:r>
                  <w:r>
                    <w:rPr>
                      <w:rFonts w:hint="eastAsia" w:ascii="宋体" w:hAnsi="宋体" w:cs="宋体"/>
                      <w:color w:val="000000"/>
                      <w:kern w:val="2"/>
                      <w:sz w:val="21"/>
                      <w:szCs w:val="21"/>
                      <w:highlight w:val="none"/>
                      <w:lang w:val="en-US" w:eastAsia="zh-CN"/>
                    </w:rPr>
                    <w:t>、事故应急池等</w:t>
                  </w:r>
                  <w:r>
                    <w:rPr>
                      <w:rFonts w:hint="default" w:ascii="宋体" w:hAnsi="宋体" w:eastAsia="宋体" w:cs="宋体"/>
                      <w:color w:val="000000"/>
                      <w:kern w:val="2"/>
                      <w:sz w:val="21"/>
                      <w:szCs w:val="21"/>
                      <w:highlight w:val="none"/>
                      <w:lang w:val="en-US" w:eastAsia="zh-CN"/>
                    </w:rPr>
                    <w:t>采取</w:t>
                  </w:r>
                  <w:r>
                    <w:rPr>
                      <w:rFonts w:hint="eastAsia" w:ascii="宋体" w:hAnsi="宋体" w:cs="宋体"/>
                      <w:color w:val="000000"/>
                      <w:kern w:val="2"/>
                      <w:sz w:val="21"/>
                      <w:szCs w:val="21"/>
                      <w:highlight w:val="none"/>
                      <w:lang w:val="en-US" w:eastAsia="zh-CN"/>
                    </w:rPr>
                    <w:t>重点</w:t>
                  </w:r>
                  <w:r>
                    <w:rPr>
                      <w:rFonts w:hint="default" w:ascii="宋体" w:hAnsi="宋体" w:eastAsia="宋体" w:cs="宋体"/>
                      <w:color w:val="000000"/>
                      <w:kern w:val="2"/>
                      <w:sz w:val="21"/>
                      <w:szCs w:val="21"/>
                      <w:highlight w:val="none"/>
                      <w:lang w:val="en-US" w:eastAsia="zh-CN"/>
                    </w:rPr>
                    <w:t>防渗措施</w:t>
                  </w:r>
                  <w:r>
                    <w:rPr>
                      <w:rFonts w:hint="eastAsia" w:ascii="宋体" w:hAnsi="宋体" w:cs="宋体"/>
                      <w:color w:val="000000"/>
                      <w:kern w:val="2"/>
                      <w:sz w:val="21"/>
                      <w:szCs w:val="21"/>
                      <w:highlight w:val="none"/>
                      <w:lang w:val="en-US" w:eastAsia="zh-CN"/>
                    </w:rPr>
                    <w:t>，生产车间、成品仓库等区域采取</w:t>
                  </w:r>
                  <w:r>
                    <w:rPr>
                      <w:rFonts w:hint="default" w:ascii="宋体" w:hAnsi="宋体" w:eastAsia="宋体" w:cs="宋体"/>
                      <w:color w:val="000000"/>
                      <w:kern w:val="2"/>
                      <w:sz w:val="21"/>
                      <w:szCs w:val="21"/>
                      <w:highlight w:val="none"/>
                      <w:lang w:val="en-US" w:eastAsia="zh-CN"/>
                    </w:rPr>
                    <w:t>一般防渗</w:t>
                  </w:r>
                  <w:r>
                    <w:rPr>
                      <w:rFonts w:hint="eastAsia" w:ascii="宋体" w:hAnsi="宋体" w:cs="宋体"/>
                      <w:color w:val="000000"/>
                      <w:kern w:val="2"/>
                      <w:sz w:val="21"/>
                      <w:szCs w:val="21"/>
                      <w:highlight w:val="none"/>
                      <w:lang w:val="en-US" w:eastAsia="zh-CN"/>
                    </w:rPr>
                    <w:t>措施。</w:t>
                  </w:r>
                </w:p>
              </w:tc>
              <w:tc>
                <w:tcPr>
                  <w:tcW w:w="1310" w:type="pct"/>
                  <w:tcBorders>
                    <w:tl2br w:val="nil"/>
                    <w:tr2bl w:val="nil"/>
                  </w:tcBorders>
                  <w:shd w:val="clear" w:color="auto" w:fill="auto"/>
                  <w:noWrap/>
                  <w:tcMar>
                    <w:top w:w="57" w:type="dxa"/>
                    <w:left w:w="57" w:type="dxa"/>
                    <w:bottom w:w="57" w:type="dxa"/>
                    <w:right w:w="57" w:type="dxa"/>
                  </w:tcMar>
                  <w:vAlign w:val="center"/>
                </w:tcPr>
                <w:p w14:paraId="70D7228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新建厂房采取一般防渗。</w:t>
                  </w:r>
                </w:p>
              </w:tc>
              <w:tc>
                <w:tcPr>
                  <w:tcW w:w="1038" w:type="pct"/>
                  <w:tcBorders>
                    <w:tl2br w:val="nil"/>
                    <w:tr2bl w:val="nil"/>
                  </w:tcBorders>
                  <w:shd w:val="clear" w:color="auto" w:fill="auto"/>
                  <w:noWrap/>
                  <w:tcMar>
                    <w:top w:w="57" w:type="dxa"/>
                    <w:left w:w="57" w:type="dxa"/>
                    <w:bottom w:w="57" w:type="dxa"/>
                    <w:right w:w="57" w:type="dxa"/>
                  </w:tcMar>
                  <w:vAlign w:val="center"/>
                </w:tcPr>
                <w:p w14:paraId="6E74D7C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default" w:ascii="宋体" w:hAnsi="宋体" w:eastAsia="宋体" w:cs="宋体"/>
                      <w:color w:val="000000"/>
                      <w:kern w:val="2"/>
                      <w:sz w:val="21"/>
                      <w:szCs w:val="21"/>
                      <w:highlight w:val="none"/>
                      <w:lang w:val="en-US" w:eastAsia="zh-CN"/>
                    </w:rPr>
                    <w:t>化粪池、</w:t>
                  </w:r>
                  <w:r>
                    <w:rPr>
                      <w:rFonts w:hint="eastAsia" w:ascii="宋体" w:hAnsi="宋体" w:eastAsia="宋体" w:cs="宋体"/>
                      <w:color w:val="000000"/>
                      <w:kern w:val="2"/>
                      <w:sz w:val="21"/>
                      <w:szCs w:val="21"/>
                      <w:highlight w:val="none"/>
                      <w:lang w:val="en-US" w:eastAsia="zh-CN"/>
                    </w:rPr>
                    <w:t>危废</w:t>
                  </w:r>
                  <w:r>
                    <w:rPr>
                      <w:rFonts w:hint="default" w:ascii="宋体" w:hAnsi="宋体" w:eastAsia="宋体" w:cs="宋体"/>
                      <w:color w:val="000000"/>
                      <w:kern w:val="2"/>
                      <w:sz w:val="21"/>
                      <w:szCs w:val="21"/>
                      <w:highlight w:val="none"/>
                      <w:lang w:val="en-US" w:eastAsia="zh-CN"/>
                    </w:rPr>
                    <w:t>暂存间</w:t>
                  </w:r>
                  <w:r>
                    <w:rPr>
                      <w:rFonts w:hint="eastAsia" w:ascii="宋体" w:hAnsi="宋体" w:cs="宋体"/>
                      <w:color w:val="000000"/>
                      <w:kern w:val="2"/>
                      <w:sz w:val="21"/>
                      <w:szCs w:val="21"/>
                      <w:highlight w:val="none"/>
                      <w:lang w:val="en-US" w:eastAsia="zh-CN"/>
                    </w:rPr>
                    <w:t>、事故应急池等</w:t>
                  </w:r>
                  <w:r>
                    <w:rPr>
                      <w:rFonts w:hint="default" w:ascii="宋体" w:hAnsi="宋体" w:eastAsia="宋体" w:cs="宋体"/>
                      <w:color w:val="000000"/>
                      <w:kern w:val="2"/>
                      <w:sz w:val="21"/>
                      <w:szCs w:val="21"/>
                      <w:highlight w:val="none"/>
                      <w:lang w:val="en-US" w:eastAsia="zh-CN"/>
                    </w:rPr>
                    <w:t>采取</w:t>
                  </w:r>
                  <w:r>
                    <w:rPr>
                      <w:rFonts w:hint="eastAsia" w:ascii="宋体" w:hAnsi="宋体" w:cs="宋体"/>
                      <w:color w:val="000000"/>
                      <w:kern w:val="2"/>
                      <w:sz w:val="21"/>
                      <w:szCs w:val="21"/>
                      <w:highlight w:val="none"/>
                      <w:lang w:val="en-US" w:eastAsia="zh-CN"/>
                    </w:rPr>
                    <w:t>重点</w:t>
                  </w:r>
                  <w:r>
                    <w:rPr>
                      <w:rFonts w:hint="default" w:ascii="宋体" w:hAnsi="宋体" w:eastAsia="宋体" w:cs="宋体"/>
                      <w:color w:val="000000"/>
                      <w:kern w:val="2"/>
                      <w:sz w:val="21"/>
                      <w:szCs w:val="21"/>
                      <w:highlight w:val="none"/>
                      <w:lang w:val="en-US" w:eastAsia="zh-CN"/>
                    </w:rPr>
                    <w:t>防渗措施</w:t>
                  </w:r>
                  <w:r>
                    <w:rPr>
                      <w:rFonts w:hint="eastAsia" w:ascii="宋体" w:hAnsi="宋体" w:cs="宋体"/>
                      <w:color w:val="000000"/>
                      <w:kern w:val="2"/>
                      <w:sz w:val="21"/>
                      <w:szCs w:val="21"/>
                      <w:highlight w:val="none"/>
                      <w:lang w:val="en-US" w:eastAsia="zh-CN"/>
                    </w:rPr>
                    <w:t>，生产车间、成品仓库等区域采取</w:t>
                  </w:r>
                  <w:r>
                    <w:rPr>
                      <w:rFonts w:hint="default" w:ascii="宋体" w:hAnsi="宋体" w:eastAsia="宋体" w:cs="宋体"/>
                      <w:color w:val="000000"/>
                      <w:kern w:val="2"/>
                      <w:sz w:val="21"/>
                      <w:szCs w:val="21"/>
                      <w:highlight w:val="none"/>
                      <w:lang w:val="en-US" w:eastAsia="zh-CN"/>
                    </w:rPr>
                    <w:t>一般防渗</w:t>
                  </w:r>
                  <w:r>
                    <w:rPr>
                      <w:rFonts w:hint="eastAsia" w:ascii="宋体" w:hAnsi="宋体" w:cs="宋体"/>
                      <w:color w:val="000000"/>
                      <w:kern w:val="2"/>
                      <w:sz w:val="21"/>
                      <w:szCs w:val="21"/>
                      <w:highlight w:val="none"/>
                      <w:lang w:val="en-US" w:eastAsia="zh-CN"/>
                    </w:rPr>
                    <w:t>措施。</w:t>
                  </w:r>
                </w:p>
              </w:tc>
              <w:tc>
                <w:tcPr>
                  <w:tcW w:w="432" w:type="pct"/>
                  <w:tcBorders>
                    <w:tl2br w:val="nil"/>
                    <w:tr2bl w:val="nil"/>
                  </w:tcBorders>
                  <w:shd w:val="clear" w:color="auto" w:fill="auto"/>
                  <w:noWrap/>
                  <w:tcMar>
                    <w:top w:w="57" w:type="dxa"/>
                    <w:left w:w="57" w:type="dxa"/>
                    <w:bottom w:w="57" w:type="dxa"/>
                    <w:right w:w="57" w:type="dxa"/>
                  </w:tcMar>
                  <w:vAlign w:val="center"/>
                </w:tcPr>
                <w:p w14:paraId="0533B29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依托原有，部分 新建</w:t>
                  </w:r>
                </w:p>
              </w:tc>
            </w:tr>
            <w:tr w14:paraId="628B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68" w:type="pct"/>
                  <w:vMerge w:val="continue"/>
                  <w:tcBorders>
                    <w:tl2br w:val="nil"/>
                    <w:tr2bl w:val="nil"/>
                  </w:tcBorders>
                  <w:noWrap/>
                  <w:tcMar>
                    <w:top w:w="57" w:type="dxa"/>
                    <w:left w:w="57" w:type="dxa"/>
                    <w:bottom w:w="57" w:type="dxa"/>
                    <w:right w:w="57" w:type="dxa"/>
                  </w:tcMar>
                  <w:vAlign w:val="center"/>
                </w:tcPr>
                <w:p w14:paraId="6F8D31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540" w:type="pct"/>
                  <w:tcBorders>
                    <w:tl2br w:val="nil"/>
                    <w:tr2bl w:val="nil"/>
                  </w:tcBorders>
                  <w:noWrap/>
                  <w:tcMar>
                    <w:top w:w="57" w:type="dxa"/>
                    <w:left w:w="57" w:type="dxa"/>
                    <w:bottom w:w="57" w:type="dxa"/>
                    <w:right w:w="57" w:type="dxa"/>
                  </w:tcMar>
                  <w:vAlign w:val="center"/>
                </w:tcPr>
                <w:p w14:paraId="294B667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环境风险</w:t>
                  </w:r>
                </w:p>
              </w:tc>
              <w:tc>
                <w:tcPr>
                  <w:tcW w:w="1310" w:type="pct"/>
                  <w:tcBorders>
                    <w:tl2br w:val="nil"/>
                    <w:tr2bl w:val="nil"/>
                  </w:tcBorders>
                  <w:noWrap/>
                  <w:tcMar>
                    <w:top w:w="57" w:type="dxa"/>
                    <w:left w:w="57" w:type="dxa"/>
                    <w:bottom w:w="57" w:type="dxa"/>
                    <w:right w:w="57" w:type="dxa"/>
                  </w:tcMar>
                  <w:vAlign w:val="center"/>
                </w:tcPr>
                <w:p w14:paraId="5CA88F1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已建成事故应急池、危废暂存间，</w:t>
                  </w:r>
                  <w:r>
                    <w:rPr>
                      <w:rFonts w:hint="default"/>
                      <w:color w:val="000000"/>
                      <w:kern w:val="0"/>
                      <w:sz w:val="21"/>
                      <w:szCs w:val="21"/>
                      <w:lang w:val="en-US" w:eastAsia="zh-CN"/>
                    </w:rPr>
                    <w:t>制定</w:t>
                  </w:r>
                  <w:r>
                    <w:rPr>
                      <w:rFonts w:hint="eastAsia"/>
                      <w:color w:val="000000"/>
                      <w:kern w:val="0"/>
                      <w:sz w:val="21"/>
                      <w:szCs w:val="21"/>
                      <w:lang w:val="en-US" w:eastAsia="zh-CN"/>
                    </w:rPr>
                    <w:t>突发环境事件</w:t>
                  </w:r>
                  <w:r>
                    <w:rPr>
                      <w:rFonts w:hint="default"/>
                      <w:color w:val="000000"/>
                      <w:kern w:val="0"/>
                      <w:sz w:val="21"/>
                      <w:szCs w:val="21"/>
                      <w:lang w:val="en-US" w:eastAsia="zh-CN"/>
                    </w:rPr>
                    <w:t>应急预案</w:t>
                  </w:r>
                  <w:r>
                    <w:rPr>
                      <w:rFonts w:hint="eastAsia"/>
                      <w:color w:val="000000"/>
                      <w:kern w:val="0"/>
                      <w:sz w:val="21"/>
                      <w:szCs w:val="21"/>
                      <w:lang w:val="en-US" w:eastAsia="zh-CN"/>
                    </w:rPr>
                    <w:t>并定期演练</w:t>
                  </w:r>
                  <w:r>
                    <w:rPr>
                      <w:rFonts w:hint="default"/>
                      <w:color w:val="000000"/>
                      <w:kern w:val="0"/>
                      <w:sz w:val="21"/>
                      <w:szCs w:val="21"/>
                      <w:lang w:val="en-US" w:eastAsia="zh-CN"/>
                    </w:rPr>
                    <w:t>等</w:t>
                  </w:r>
                  <w:r>
                    <w:rPr>
                      <w:rFonts w:hint="eastAsia"/>
                      <w:color w:val="000000"/>
                      <w:kern w:val="0"/>
                      <w:sz w:val="21"/>
                      <w:szCs w:val="21"/>
                      <w:lang w:val="en-US" w:eastAsia="zh-CN"/>
                    </w:rPr>
                    <w:t>。</w:t>
                  </w:r>
                </w:p>
              </w:tc>
              <w:tc>
                <w:tcPr>
                  <w:tcW w:w="1310" w:type="pct"/>
                  <w:tcBorders>
                    <w:tl2br w:val="nil"/>
                    <w:tr2bl w:val="nil"/>
                  </w:tcBorders>
                  <w:noWrap/>
                  <w:tcMar>
                    <w:top w:w="57" w:type="dxa"/>
                    <w:left w:w="57" w:type="dxa"/>
                    <w:bottom w:w="57" w:type="dxa"/>
                    <w:right w:w="57" w:type="dxa"/>
                  </w:tcMar>
                  <w:vAlign w:val="center"/>
                </w:tcPr>
                <w:p w14:paraId="59DB140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更新突发环境事件</w:t>
                  </w:r>
                  <w:r>
                    <w:rPr>
                      <w:rFonts w:hint="default" w:ascii="宋体" w:hAnsi="宋体" w:eastAsia="宋体" w:cs="宋体"/>
                      <w:color w:val="000000"/>
                      <w:kern w:val="2"/>
                      <w:sz w:val="21"/>
                      <w:szCs w:val="21"/>
                      <w:highlight w:val="none"/>
                      <w:lang w:val="en-US" w:eastAsia="zh-CN"/>
                    </w:rPr>
                    <w:t>应急预案</w:t>
                  </w:r>
                  <w:r>
                    <w:rPr>
                      <w:rFonts w:hint="eastAsia" w:ascii="宋体" w:hAnsi="宋体" w:cs="宋体"/>
                      <w:color w:val="000000"/>
                      <w:kern w:val="2"/>
                      <w:sz w:val="21"/>
                      <w:szCs w:val="21"/>
                      <w:highlight w:val="none"/>
                      <w:lang w:val="en-US" w:eastAsia="zh-CN"/>
                    </w:rPr>
                    <w:t>并定期演练。</w:t>
                  </w:r>
                </w:p>
              </w:tc>
              <w:tc>
                <w:tcPr>
                  <w:tcW w:w="1038" w:type="pct"/>
                  <w:tcBorders>
                    <w:tl2br w:val="nil"/>
                    <w:tr2bl w:val="nil"/>
                  </w:tcBorders>
                  <w:shd w:val="clear" w:color="auto" w:fill="auto"/>
                  <w:noWrap/>
                  <w:tcMar>
                    <w:top w:w="57" w:type="dxa"/>
                    <w:left w:w="57" w:type="dxa"/>
                    <w:bottom w:w="57" w:type="dxa"/>
                    <w:right w:w="57" w:type="dxa"/>
                  </w:tcMar>
                  <w:vAlign w:val="center"/>
                </w:tcPr>
                <w:p w14:paraId="2CD133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利用已建成事故应急池、危废暂存间，</w:t>
                  </w:r>
                  <w:r>
                    <w:rPr>
                      <w:rFonts w:hint="default" w:ascii="宋体" w:hAnsi="宋体" w:eastAsia="宋体" w:cs="宋体"/>
                      <w:color w:val="000000"/>
                      <w:kern w:val="2"/>
                      <w:sz w:val="21"/>
                      <w:szCs w:val="21"/>
                      <w:highlight w:val="none"/>
                      <w:lang w:val="en-US" w:eastAsia="zh-CN"/>
                    </w:rPr>
                    <w:t>制定</w:t>
                  </w:r>
                  <w:r>
                    <w:rPr>
                      <w:rFonts w:hint="eastAsia" w:ascii="宋体" w:hAnsi="宋体" w:cs="宋体"/>
                      <w:color w:val="000000"/>
                      <w:kern w:val="2"/>
                      <w:sz w:val="21"/>
                      <w:szCs w:val="21"/>
                      <w:highlight w:val="none"/>
                      <w:lang w:val="en-US" w:eastAsia="zh-CN"/>
                    </w:rPr>
                    <w:t>突发环境事件</w:t>
                  </w:r>
                  <w:r>
                    <w:rPr>
                      <w:rFonts w:hint="default" w:ascii="宋体" w:hAnsi="宋体" w:eastAsia="宋体" w:cs="宋体"/>
                      <w:color w:val="000000"/>
                      <w:kern w:val="2"/>
                      <w:sz w:val="21"/>
                      <w:szCs w:val="21"/>
                      <w:highlight w:val="none"/>
                      <w:lang w:val="en-US" w:eastAsia="zh-CN"/>
                    </w:rPr>
                    <w:t>应急预案</w:t>
                  </w:r>
                  <w:r>
                    <w:rPr>
                      <w:rFonts w:hint="eastAsia" w:ascii="宋体" w:hAnsi="宋体" w:cs="宋体"/>
                      <w:color w:val="000000"/>
                      <w:kern w:val="2"/>
                      <w:sz w:val="21"/>
                      <w:szCs w:val="21"/>
                      <w:highlight w:val="none"/>
                      <w:lang w:val="en-US" w:eastAsia="zh-CN"/>
                    </w:rPr>
                    <w:t>并定期演练</w:t>
                  </w:r>
                  <w:r>
                    <w:rPr>
                      <w:rFonts w:hint="default" w:ascii="宋体" w:hAnsi="宋体" w:eastAsia="宋体" w:cs="宋体"/>
                      <w:color w:val="000000"/>
                      <w:kern w:val="2"/>
                      <w:sz w:val="21"/>
                      <w:szCs w:val="21"/>
                      <w:highlight w:val="none"/>
                      <w:lang w:val="en-US" w:eastAsia="zh-CN"/>
                    </w:rPr>
                    <w:t>等</w:t>
                  </w:r>
                  <w:r>
                    <w:rPr>
                      <w:rFonts w:hint="eastAsia" w:ascii="宋体" w:hAnsi="宋体" w:cs="宋体"/>
                      <w:color w:val="000000"/>
                      <w:kern w:val="2"/>
                      <w:sz w:val="21"/>
                      <w:szCs w:val="21"/>
                      <w:highlight w:val="none"/>
                      <w:lang w:val="en-US" w:eastAsia="zh-CN"/>
                    </w:rPr>
                    <w:t>。</w:t>
                  </w:r>
                </w:p>
              </w:tc>
              <w:tc>
                <w:tcPr>
                  <w:tcW w:w="432" w:type="pct"/>
                  <w:tcBorders>
                    <w:tl2br w:val="nil"/>
                    <w:tr2bl w:val="nil"/>
                  </w:tcBorders>
                  <w:shd w:val="clear" w:color="auto" w:fill="auto"/>
                  <w:noWrap/>
                  <w:tcMar>
                    <w:top w:w="57" w:type="dxa"/>
                    <w:left w:w="57" w:type="dxa"/>
                    <w:bottom w:w="57" w:type="dxa"/>
                    <w:right w:w="57" w:type="dxa"/>
                  </w:tcMar>
                  <w:vAlign w:val="center"/>
                </w:tcPr>
                <w:p w14:paraId="2CF935E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w:t>
                  </w:r>
                </w:p>
              </w:tc>
            </w:tr>
            <w:tr w14:paraId="23B9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68" w:type="pct"/>
                  <w:tcBorders>
                    <w:tl2br w:val="nil"/>
                    <w:tr2bl w:val="nil"/>
                  </w:tcBorders>
                  <w:shd w:val="clear" w:color="auto" w:fill="auto"/>
                  <w:noWrap/>
                  <w:tcMar>
                    <w:top w:w="57" w:type="dxa"/>
                    <w:left w:w="57" w:type="dxa"/>
                    <w:bottom w:w="57" w:type="dxa"/>
                    <w:right w:w="57" w:type="dxa"/>
                  </w:tcMar>
                  <w:vAlign w:val="center"/>
                </w:tcPr>
                <w:p w14:paraId="7BF881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rPr>
                    <w:t>储运工程</w:t>
                  </w:r>
                </w:p>
              </w:tc>
              <w:tc>
                <w:tcPr>
                  <w:tcW w:w="540" w:type="pct"/>
                  <w:tcBorders>
                    <w:tl2br w:val="nil"/>
                    <w:tr2bl w:val="nil"/>
                  </w:tcBorders>
                  <w:shd w:val="clear" w:color="auto" w:fill="auto"/>
                  <w:noWrap/>
                  <w:tcMar>
                    <w:top w:w="57" w:type="dxa"/>
                    <w:left w:w="57" w:type="dxa"/>
                    <w:bottom w:w="57" w:type="dxa"/>
                    <w:right w:w="57" w:type="dxa"/>
                  </w:tcMar>
                  <w:vAlign w:val="center"/>
                </w:tcPr>
                <w:p w14:paraId="6AF576A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仓库</w:t>
                  </w:r>
                </w:p>
              </w:tc>
              <w:tc>
                <w:tcPr>
                  <w:tcW w:w="1310" w:type="pct"/>
                  <w:tcBorders>
                    <w:tl2br w:val="nil"/>
                    <w:tr2bl w:val="nil"/>
                  </w:tcBorders>
                  <w:shd w:val="clear" w:color="auto" w:fill="auto"/>
                  <w:noWrap/>
                  <w:tcMar>
                    <w:top w:w="57" w:type="dxa"/>
                    <w:left w:w="57" w:type="dxa"/>
                    <w:bottom w:w="57" w:type="dxa"/>
                    <w:right w:w="57" w:type="dxa"/>
                  </w:tcMar>
                  <w:vAlign w:val="center"/>
                </w:tcPr>
                <w:p w14:paraId="7A1422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位于2#车间南侧，面积约1600</w:t>
                  </w:r>
                  <w:r>
                    <w:rPr>
                      <w:rFonts w:hint="default"/>
                      <w:color w:val="000000"/>
                      <w:kern w:val="0"/>
                      <w:sz w:val="21"/>
                      <w:szCs w:val="21"/>
                      <w:lang w:val="en-US" w:eastAsia="zh-CN"/>
                    </w:rPr>
                    <w:t>m</w:t>
                  </w:r>
                  <w:r>
                    <w:rPr>
                      <w:rFonts w:hint="default"/>
                      <w:color w:val="000000"/>
                      <w:kern w:val="0"/>
                      <w:sz w:val="21"/>
                      <w:szCs w:val="21"/>
                      <w:vertAlign w:val="superscript"/>
                      <w:lang w:val="en-US" w:eastAsia="zh-CN"/>
                    </w:rPr>
                    <w:t>2</w:t>
                  </w:r>
                  <w:r>
                    <w:rPr>
                      <w:rFonts w:hint="eastAsia"/>
                      <w:color w:val="000000"/>
                      <w:kern w:val="0"/>
                      <w:sz w:val="21"/>
                      <w:szCs w:val="21"/>
                      <w:lang w:val="en-US" w:eastAsia="zh-CN"/>
                    </w:rPr>
                    <w:t>，用于暂存浓缩机成品。在1#厂房内西南处设置一个小仓库，面积约100</w:t>
                  </w:r>
                  <w:r>
                    <w:rPr>
                      <w:rFonts w:hint="default"/>
                      <w:color w:val="000000"/>
                      <w:kern w:val="0"/>
                      <w:sz w:val="21"/>
                      <w:szCs w:val="21"/>
                      <w:lang w:val="en-US" w:eastAsia="zh-CN"/>
                    </w:rPr>
                    <w:t>m2</w:t>
                  </w:r>
                  <w:r>
                    <w:rPr>
                      <w:rFonts w:hint="eastAsia"/>
                      <w:color w:val="000000"/>
                      <w:kern w:val="0"/>
                      <w:sz w:val="21"/>
                      <w:szCs w:val="21"/>
                      <w:lang w:val="en-US" w:eastAsia="zh-CN"/>
                    </w:rPr>
                    <w:t>，储存螺丝等小配件。</w:t>
                  </w:r>
                </w:p>
              </w:tc>
              <w:tc>
                <w:tcPr>
                  <w:tcW w:w="1310" w:type="pct"/>
                  <w:tcBorders>
                    <w:tl2br w:val="nil"/>
                    <w:tr2bl w:val="nil"/>
                  </w:tcBorders>
                  <w:shd w:val="clear" w:color="auto" w:fill="auto"/>
                  <w:noWrap/>
                  <w:tcMar>
                    <w:top w:w="57" w:type="dxa"/>
                    <w:left w:w="57" w:type="dxa"/>
                    <w:bottom w:w="57" w:type="dxa"/>
                    <w:right w:w="57" w:type="dxa"/>
                  </w:tcMar>
                  <w:vAlign w:val="center"/>
                </w:tcPr>
                <w:p w14:paraId="26C869F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w:t>
                  </w:r>
                </w:p>
              </w:tc>
              <w:tc>
                <w:tcPr>
                  <w:tcW w:w="1038" w:type="pct"/>
                  <w:tcBorders>
                    <w:tl2br w:val="nil"/>
                    <w:tr2bl w:val="nil"/>
                  </w:tcBorders>
                  <w:shd w:val="clear" w:color="auto" w:fill="auto"/>
                  <w:noWrap/>
                  <w:tcMar>
                    <w:top w:w="57" w:type="dxa"/>
                    <w:left w:w="57" w:type="dxa"/>
                    <w:bottom w:w="57" w:type="dxa"/>
                    <w:right w:w="57" w:type="dxa"/>
                  </w:tcMar>
                  <w:vAlign w:val="center"/>
                </w:tcPr>
                <w:p w14:paraId="6F20367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利用</w:t>
                  </w:r>
                  <w:r>
                    <w:rPr>
                      <w:rFonts w:hint="eastAsia"/>
                      <w:color w:val="000000"/>
                      <w:kern w:val="0"/>
                      <w:sz w:val="21"/>
                      <w:szCs w:val="21"/>
                      <w:lang w:val="en-US" w:eastAsia="zh-CN"/>
                    </w:rPr>
                    <w:t>2#车间南侧，面积约1600</w:t>
                  </w:r>
                  <w:r>
                    <w:rPr>
                      <w:rFonts w:hint="default"/>
                      <w:color w:val="000000"/>
                      <w:kern w:val="0"/>
                      <w:sz w:val="21"/>
                      <w:szCs w:val="21"/>
                      <w:lang w:val="en-US" w:eastAsia="zh-CN"/>
                    </w:rPr>
                    <w:t>m</w:t>
                  </w:r>
                  <w:r>
                    <w:rPr>
                      <w:rFonts w:hint="default"/>
                      <w:color w:val="000000"/>
                      <w:kern w:val="0"/>
                      <w:sz w:val="21"/>
                      <w:szCs w:val="21"/>
                      <w:vertAlign w:val="superscript"/>
                      <w:lang w:val="en-US" w:eastAsia="zh-CN"/>
                    </w:rPr>
                    <w:t>2</w:t>
                  </w:r>
                  <w:r>
                    <w:rPr>
                      <w:rFonts w:hint="eastAsia" w:ascii="宋体" w:hAnsi="宋体" w:cs="宋体"/>
                      <w:color w:val="000000"/>
                      <w:kern w:val="2"/>
                      <w:sz w:val="21"/>
                      <w:szCs w:val="21"/>
                      <w:highlight w:val="none"/>
                      <w:lang w:val="en-US" w:eastAsia="zh-CN"/>
                    </w:rPr>
                    <w:t>及1#车间内西南处面积约100</w:t>
                  </w:r>
                  <w:r>
                    <w:rPr>
                      <w:rFonts w:hint="default" w:ascii="Times New Roman" w:hAnsi="Times New Roman" w:eastAsia="宋体"/>
                      <w:color w:val="000000"/>
                      <w:kern w:val="0"/>
                      <w:sz w:val="21"/>
                      <w:szCs w:val="21"/>
                      <w:lang w:val="en-US" w:eastAsia="zh-CN"/>
                    </w:rPr>
                    <w:t>m</w:t>
                  </w:r>
                  <w:r>
                    <w:rPr>
                      <w:rFonts w:hint="default" w:ascii="Times New Roman" w:hAnsi="Times New Roman" w:eastAsia="宋体"/>
                      <w:color w:val="000000"/>
                      <w:kern w:val="0"/>
                      <w:sz w:val="21"/>
                      <w:szCs w:val="21"/>
                      <w:vertAlign w:val="superscript"/>
                      <w:lang w:val="en-US" w:eastAsia="zh-CN"/>
                    </w:rPr>
                    <w:t>2</w:t>
                  </w:r>
                  <w:r>
                    <w:rPr>
                      <w:rFonts w:hint="eastAsia" w:ascii="宋体" w:hAnsi="宋体" w:cs="宋体"/>
                      <w:color w:val="000000"/>
                      <w:kern w:val="2"/>
                      <w:sz w:val="21"/>
                      <w:szCs w:val="21"/>
                      <w:highlight w:val="none"/>
                      <w:lang w:val="en-US" w:eastAsia="zh-CN"/>
                    </w:rPr>
                    <w:t>的仓库。</w:t>
                  </w:r>
                </w:p>
              </w:tc>
              <w:tc>
                <w:tcPr>
                  <w:tcW w:w="432" w:type="pct"/>
                  <w:tcBorders>
                    <w:tl2br w:val="nil"/>
                    <w:tr2bl w:val="nil"/>
                  </w:tcBorders>
                  <w:shd w:val="clear" w:color="auto" w:fill="auto"/>
                  <w:noWrap/>
                  <w:tcMar>
                    <w:top w:w="57" w:type="dxa"/>
                    <w:left w:w="57" w:type="dxa"/>
                    <w:bottom w:w="57" w:type="dxa"/>
                    <w:right w:w="57" w:type="dxa"/>
                  </w:tcMar>
                  <w:vAlign w:val="center"/>
                </w:tcPr>
                <w:p w14:paraId="10B7DB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依托原有</w:t>
                  </w:r>
                </w:p>
              </w:tc>
            </w:tr>
          </w:tbl>
          <w:p w14:paraId="224F008B">
            <w:pPr>
              <w:bidi w:val="0"/>
              <w:rPr>
                <w:rFonts w:hint="eastAsia"/>
                <w:lang w:val="en-US" w:eastAsia="zh-CN"/>
              </w:rPr>
            </w:pPr>
          </w:p>
          <w:p w14:paraId="1659F8F5">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default" w:ascii="宋体" w:hAnsi="宋体" w:eastAsia="宋体" w:cs="宋体"/>
                <w:b/>
                <w:bCs/>
                <w:sz w:val="22"/>
                <w:szCs w:val="22"/>
                <w:lang w:val="en-US" w:eastAsia="zh-CN"/>
              </w:rPr>
              <w:t>表</w:t>
            </w:r>
            <w:r>
              <w:rPr>
                <w:rFonts w:hint="default" w:ascii="Times New Roman" w:hAnsi="Times New Roman" w:eastAsia="宋体" w:cs="Times New Roman"/>
                <w:b/>
                <w:bCs/>
                <w:sz w:val="22"/>
                <w:szCs w:val="22"/>
                <w:lang w:val="en-US" w:eastAsia="zh-CN"/>
              </w:rPr>
              <w:t>2-</w:t>
            </w:r>
            <w:r>
              <w:rPr>
                <w:rFonts w:hint="eastAsia" w:cs="Times New Roman"/>
                <w:b/>
                <w:bCs/>
                <w:sz w:val="22"/>
                <w:szCs w:val="22"/>
                <w:lang w:val="en-US" w:eastAsia="zh-CN"/>
              </w:rPr>
              <w:t>2</w:t>
            </w:r>
            <w:r>
              <w:rPr>
                <w:rFonts w:hint="default" w:ascii="宋体" w:hAnsi="宋体" w:eastAsia="宋体" w:cs="宋体"/>
                <w:b/>
                <w:bCs/>
                <w:sz w:val="22"/>
                <w:szCs w:val="22"/>
                <w:lang w:val="en-US" w:eastAsia="zh-CN"/>
              </w:rPr>
              <w:t xml:space="preserve">  </w:t>
            </w:r>
            <w:r>
              <w:rPr>
                <w:rFonts w:hint="eastAsia" w:ascii="宋体" w:hAnsi="宋体" w:cs="宋体"/>
                <w:b/>
                <w:bCs/>
                <w:sz w:val="22"/>
                <w:szCs w:val="22"/>
                <w:lang w:val="en-US" w:eastAsia="zh-CN"/>
              </w:rPr>
              <w:t>本项目与现有工程依托情况及其可行性分析</w:t>
            </w:r>
          </w:p>
          <w:tbl>
            <w:tblPr>
              <w:tblStyle w:val="15"/>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14"/>
              <w:gridCol w:w="797"/>
              <w:gridCol w:w="3411"/>
              <w:gridCol w:w="3383"/>
            </w:tblGrid>
            <w:tr w14:paraId="6B39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07" w:hRule="atLeast"/>
                <w:jc w:val="center"/>
              </w:trPr>
              <w:tc>
                <w:tcPr>
                  <w:tcW w:w="374" w:type="pct"/>
                  <w:tcBorders>
                    <w:tl2br w:val="nil"/>
                    <w:tr2bl w:val="nil"/>
                  </w:tcBorders>
                  <w:noWrap/>
                  <w:tcMar>
                    <w:top w:w="57" w:type="dxa"/>
                    <w:left w:w="57" w:type="dxa"/>
                    <w:bottom w:w="57" w:type="dxa"/>
                    <w:right w:w="57" w:type="dxa"/>
                  </w:tcMar>
                  <w:vAlign w:val="center"/>
                </w:tcPr>
                <w:p w14:paraId="4DA54B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eastAsia" w:ascii="宋体" w:hAnsi="宋体" w:eastAsia="宋体" w:cs="宋体"/>
                      <w:b/>
                      <w:bCs/>
                      <w:color w:val="000000"/>
                      <w:kern w:val="2"/>
                      <w:sz w:val="22"/>
                      <w:szCs w:val="22"/>
                      <w:highlight w:val="none"/>
                      <w:lang w:val="en-US" w:eastAsia="zh-CN"/>
                    </w:rPr>
                    <w:t>工程类别</w:t>
                  </w:r>
                </w:p>
              </w:tc>
              <w:tc>
                <w:tcPr>
                  <w:tcW w:w="485" w:type="pct"/>
                  <w:tcBorders>
                    <w:tl2br w:val="nil"/>
                    <w:tr2bl w:val="nil"/>
                  </w:tcBorders>
                  <w:noWrap/>
                  <w:tcMar>
                    <w:top w:w="57" w:type="dxa"/>
                    <w:left w:w="57" w:type="dxa"/>
                    <w:bottom w:w="57" w:type="dxa"/>
                    <w:right w:w="57" w:type="dxa"/>
                  </w:tcMar>
                  <w:vAlign w:val="center"/>
                </w:tcPr>
                <w:p w14:paraId="0B42AF4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color w:val="000000"/>
                      <w:kern w:val="2"/>
                      <w:sz w:val="22"/>
                      <w:szCs w:val="22"/>
                      <w:highlight w:val="none"/>
                      <w:lang w:val="en-US" w:eastAsia="zh-CN"/>
                    </w:rPr>
                  </w:pPr>
                  <w:r>
                    <w:rPr>
                      <w:rFonts w:hint="eastAsia" w:ascii="宋体" w:hAnsi="宋体" w:eastAsia="宋体" w:cs="宋体"/>
                      <w:b/>
                      <w:bCs/>
                      <w:color w:val="000000"/>
                      <w:kern w:val="2"/>
                      <w:sz w:val="22"/>
                      <w:szCs w:val="22"/>
                      <w:highlight w:val="none"/>
                      <w:lang w:val="en-US" w:eastAsia="zh-CN"/>
                    </w:rPr>
                    <w:t>单项工程名称</w:t>
                  </w:r>
                </w:p>
              </w:tc>
              <w:tc>
                <w:tcPr>
                  <w:tcW w:w="2078" w:type="pct"/>
                  <w:tcBorders>
                    <w:tl2br w:val="nil"/>
                    <w:tr2bl w:val="nil"/>
                  </w:tcBorders>
                  <w:noWrap/>
                  <w:tcMar>
                    <w:top w:w="57" w:type="dxa"/>
                    <w:left w:w="57" w:type="dxa"/>
                    <w:bottom w:w="57" w:type="dxa"/>
                    <w:right w:w="57" w:type="dxa"/>
                  </w:tcMar>
                  <w:vAlign w:val="center"/>
                </w:tcPr>
                <w:p w14:paraId="10BB32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eastAsia" w:ascii="宋体" w:hAnsi="宋体" w:cs="宋体"/>
                      <w:b/>
                      <w:bCs/>
                      <w:color w:val="000000"/>
                      <w:kern w:val="2"/>
                      <w:sz w:val="22"/>
                      <w:szCs w:val="22"/>
                      <w:highlight w:val="none"/>
                      <w:lang w:val="en-US" w:eastAsia="zh-CN"/>
                    </w:rPr>
                    <w:t>依托工程内容</w:t>
                  </w:r>
                </w:p>
              </w:tc>
              <w:tc>
                <w:tcPr>
                  <w:tcW w:w="2061" w:type="pct"/>
                  <w:tcBorders>
                    <w:tl2br w:val="nil"/>
                    <w:tr2bl w:val="nil"/>
                  </w:tcBorders>
                  <w:noWrap/>
                  <w:tcMar>
                    <w:top w:w="57" w:type="dxa"/>
                    <w:left w:w="57" w:type="dxa"/>
                    <w:bottom w:w="57" w:type="dxa"/>
                    <w:right w:w="57" w:type="dxa"/>
                  </w:tcMar>
                  <w:vAlign w:val="center"/>
                </w:tcPr>
                <w:p w14:paraId="0EA4F20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eastAsia" w:ascii="宋体" w:hAnsi="宋体" w:cs="宋体"/>
                      <w:b/>
                      <w:bCs/>
                      <w:color w:val="000000"/>
                      <w:kern w:val="2"/>
                      <w:sz w:val="22"/>
                      <w:szCs w:val="22"/>
                      <w:highlight w:val="none"/>
                      <w:lang w:val="en-US" w:eastAsia="zh-CN"/>
                    </w:rPr>
                    <w:t>依托可行性分析</w:t>
                  </w:r>
                </w:p>
              </w:tc>
            </w:tr>
            <w:tr w14:paraId="43DA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2" w:hRule="atLeast"/>
                <w:jc w:val="center"/>
              </w:trPr>
              <w:tc>
                <w:tcPr>
                  <w:tcW w:w="374" w:type="pct"/>
                  <w:vMerge w:val="restart"/>
                  <w:tcBorders>
                    <w:tl2br w:val="nil"/>
                    <w:tr2bl w:val="nil"/>
                  </w:tcBorders>
                  <w:noWrap/>
                  <w:tcMar>
                    <w:top w:w="57" w:type="dxa"/>
                    <w:left w:w="57" w:type="dxa"/>
                    <w:bottom w:w="57" w:type="dxa"/>
                    <w:right w:w="57" w:type="dxa"/>
                  </w:tcMar>
                  <w:vAlign w:val="center"/>
                </w:tcPr>
                <w:p w14:paraId="3C84C27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主体工程</w:t>
                  </w:r>
                </w:p>
              </w:tc>
              <w:tc>
                <w:tcPr>
                  <w:tcW w:w="485" w:type="pct"/>
                  <w:tcBorders>
                    <w:tl2br w:val="nil"/>
                    <w:tr2bl w:val="nil"/>
                  </w:tcBorders>
                  <w:noWrap/>
                  <w:tcMar>
                    <w:top w:w="57" w:type="dxa"/>
                    <w:left w:w="57" w:type="dxa"/>
                    <w:bottom w:w="57" w:type="dxa"/>
                    <w:right w:w="57" w:type="dxa"/>
                  </w:tcMar>
                  <w:vAlign w:val="center"/>
                </w:tcPr>
                <w:p w14:paraId="588DB7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1#生产车间</w:t>
                  </w:r>
                </w:p>
              </w:tc>
              <w:tc>
                <w:tcPr>
                  <w:tcW w:w="2078" w:type="pct"/>
                  <w:tcBorders>
                    <w:tl2br w:val="nil"/>
                    <w:tr2bl w:val="nil"/>
                  </w:tcBorders>
                  <w:noWrap/>
                  <w:tcMar>
                    <w:top w:w="57" w:type="dxa"/>
                    <w:left w:w="57" w:type="dxa"/>
                    <w:bottom w:w="57" w:type="dxa"/>
                    <w:right w:w="57" w:type="dxa"/>
                  </w:tcMar>
                  <w:vAlign w:val="center"/>
                </w:tcPr>
                <w:p w14:paraId="1A04866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位于厂区内西北方，</w:t>
                  </w:r>
                  <w:r>
                    <w:rPr>
                      <w:rFonts w:hint="default" w:ascii="Times New Roman" w:hAnsi="Times New Roman" w:eastAsia="宋体"/>
                      <w:color w:val="000000"/>
                      <w:kern w:val="0"/>
                      <w:sz w:val="21"/>
                      <w:szCs w:val="21"/>
                      <w:lang w:val="en-US" w:eastAsia="zh-CN"/>
                    </w:rPr>
                    <w:t>占地</w:t>
                  </w:r>
                  <w:r>
                    <w:rPr>
                      <w:rFonts w:hint="eastAsia"/>
                      <w:color w:val="000000"/>
                      <w:kern w:val="0"/>
                      <w:sz w:val="21"/>
                      <w:szCs w:val="21"/>
                      <w:lang w:val="en-US" w:eastAsia="zh-CN"/>
                    </w:rPr>
                    <w:t>约</w:t>
                  </w:r>
                  <w:r>
                    <w:rPr>
                      <w:rFonts w:hint="default" w:ascii="Times New Roman" w:hAnsi="Times New Roman" w:eastAsia="宋体"/>
                      <w:color w:val="000000"/>
                      <w:kern w:val="0"/>
                      <w:sz w:val="21"/>
                      <w:szCs w:val="21"/>
                      <w:lang w:val="en-US" w:eastAsia="zh-CN"/>
                    </w:rPr>
                    <w:t>4500m</w:t>
                  </w:r>
                  <w:r>
                    <w:rPr>
                      <w:rFonts w:hint="default" w:ascii="Times New Roman" w:hAnsi="Times New Roman" w:eastAsia="宋体"/>
                      <w:color w:val="000000"/>
                      <w:kern w:val="0"/>
                      <w:sz w:val="21"/>
                      <w:szCs w:val="21"/>
                      <w:vertAlign w:val="superscript"/>
                      <w:lang w:val="en-US" w:eastAsia="zh-CN"/>
                    </w:rPr>
                    <w:t>2</w:t>
                  </w:r>
                  <w:r>
                    <w:rPr>
                      <w:rFonts w:hint="default" w:ascii="Times New Roman" w:hAnsi="Times New Roman" w:eastAsia="宋体"/>
                      <w:color w:val="000000"/>
                      <w:kern w:val="0"/>
                      <w:sz w:val="21"/>
                      <w:szCs w:val="21"/>
                      <w:lang w:val="en-US" w:eastAsia="zh-CN"/>
                    </w:rPr>
                    <w:t>，</w:t>
                  </w:r>
                  <w:r>
                    <w:rPr>
                      <w:rFonts w:hint="eastAsia"/>
                      <w:color w:val="000000"/>
                      <w:kern w:val="0"/>
                      <w:sz w:val="21"/>
                      <w:szCs w:val="21"/>
                      <w:lang w:val="en-US" w:eastAsia="zh-CN"/>
                    </w:rPr>
                    <w:t>车间内东侧为装配区，西侧为精加工区。</w:t>
                  </w:r>
                </w:p>
              </w:tc>
              <w:tc>
                <w:tcPr>
                  <w:tcW w:w="2061" w:type="pct"/>
                  <w:tcBorders>
                    <w:tl2br w:val="nil"/>
                    <w:tr2bl w:val="nil"/>
                  </w:tcBorders>
                  <w:noWrap/>
                  <w:tcMar>
                    <w:top w:w="57" w:type="dxa"/>
                    <w:left w:w="57" w:type="dxa"/>
                    <w:bottom w:w="57" w:type="dxa"/>
                    <w:right w:w="57" w:type="dxa"/>
                  </w:tcMar>
                  <w:vAlign w:val="center"/>
                </w:tcPr>
                <w:p w14:paraId="48235C1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本次计划新增数控火焰等离子切割机、数控车床等生产设备，生产车间内已预留好设备安装使用空间，故依托可行。</w:t>
                  </w:r>
                </w:p>
              </w:tc>
            </w:tr>
            <w:tr w14:paraId="2AFE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2" w:hRule="atLeast"/>
                <w:jc w:val="center"/>
              </w:trPr>
              <w:tc>
                <w:tcPr>
                  <w:tcW w:w="374" w:type="pct"/>
                  <w:vMerge w:val="continue"/>
                  <w:tcBorders>
                    <w:tl2br w:val="nil"/>
                    <w:tr2bl w:val="nil"/>
                  </w:tcBorders>
                  <w:noWrap/>
                  <w:tcMar>
                    <w:top w:w="57" w:type="dxa"/>
                    <w:left w:w="57" w:type="dxa"/>
                    <w:bottom w:w="57" w:type="dxa"/>
                    <w:right w:w="57" w:type="dxa"/>
                  </w:tcMar>
                  <w:vAlign w:val="center"/>
                </w:tcPr>
                <w:p w14:paraId="63AE112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485" w:type="pct"/>
                  <w:tcBorders>
                    <w:tl2br w:val="nil"/>
                    <w:tr2bl w:val="nil"/>
                  </w:tcBorders>
                  <w:noWrap/>
                  <w:tcMar>
                    <w:top w:w="57" w:type="dxa"/>
                    <w:left w:w="57" w:type="dxa"/>
                    <w:bottom w:w="57" w:type="dxa"/>
                    <w:right w:w="57" w:type="dxa"/>
                  </w:tcMar>
                  <w:vAlign w:val="center"/>
                </w:tcPr>
                <w:p w14:paraId="58E6D19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2#生产车间</w:t>
                  </w:r>
                </w:p>
              </w:tc>
              <w:tc>
                <w:tcPr>
                  <w:tcW w:w="2078" w:type="pct"/>
                  <w:tcBorders>
                    <w:tl2br w:val="nil"/>
                    <w:tr2bl w:val="nil"/>
                  </w:tcBorders>
                  <w:noWrap/>
                  <w:tcMar>
                    <w:top w:w="57" w:type="dxa"/>
                    <w:left w:w="57" w:type="dxa"/>
                    <w:bottom w:w="57" w:type="dxa"/>
                    <w:right w:w="57" w:type="dxa"/>
                  </w:tcMar>
                  <w:vAlign w:val="center"/>
                </w:tcPr>
                <w:p w14:paraId="10FE5C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位于厂区内南侧，</w:t>
                  </w:r>
                  <w:r>
                    <w:rPr>
                      <w:rFonts w:hint="default" w:ascii="Times New Roman" w:hAnsi="Times New Roman" w:eastAsia="宋体"/>
                      <w:color w:val="000000"/>
                      <w:kern w:val="0"/>
                      <w:sz w:val="21"/>
                      <w:szCs w:val="21"/>
                      <w:lang w:val="en-US" w:eastAsia="zh-CN"/>
                    </w:rPr>
                    <w:t>占地</w:t>
                  </w:r>
                  <w:r>
                    <w:rPr>
                      <w:rFonts w:hint="eastAsia"/>
                      <w:color w:val="000000"/>
                      <w:kern w:val="0"/>
                      <w:sz w:val="21"/>
                      <w:szCs w:val="21"/>
                      <w:lang w:val="en-US" w:eastAsia="zh-CN"/>
                    </w:rPr>
                    <w:t>约</w:t>
                  </w:r>
                  <w:r>
                    <w:rPr>
                      <w:rFonts w:hint="default" w:ascii="Times New Roman" w:hAnsi="Times New Roman" w:eastAsia="宋体"/>
                      <w:color w:val="000000"/>
                      <w:kern w:val="0"/>
                      <w:sz w:val="21"/>
                      <w:szCs w:val="21"/>
                      <w:lang w:val="en-US" w:eastAsia="zh-CN"/>
                    </w:rPr>
                    <w:t>10</w:t>
                  </w:r>
                  <w:r>
                    <w:rPr>
                      <w:rFonts w:hint="eastAsia"/>
                      <w:color w:val="000000"/>
                      <w:kern w:val="0"/>
                      <w:sz w:val="21"/>
                      <w:szCs w:val="21"/>
                      <w:lang w:val="en-US" w:eastAsia="zh-CN"/>
                    </w:rPr>
                    <w:t>0</w:t>
                  </w:r>
                  <w:r>
                    <w:rPr>
                      <w:rFonts w:hint="default" w:ascii="Times New Roman" w:hAnsi="Times New Roman" w:eastAsia="宋体"/>
                      <w:color w:val="000000"/>
                      <w:kern w:val="0"/>
                      <w:sz w:val="21"/>
                      <w:szCs w:val="21"/>
                      <w:lang w:val="en-US" w:eastAsia="zh-CN"/>
                    </w:rPr>
                    <w:t>00m</w:t>
                  </w:r>
                  <w:r>
                    <w:rPr>
                      <w:rFonts w:hint="default" w:ascii="Times New Roman" w:hAnsi="Times New Roman" w:eastAsia="宋体"/>
                      <w:color w:val="000000"/>
                      <w:kern w:val="0"/>
                      <w:sz w:val="21"/>
                      <w:szCs w:val="21"/>
                      <w:vertAlign w:val="superscript"/>
                      <w:lang w:val="en-US" w:eastAsia="zh-CN"/>
                    </w:rPr>
                    <w:t>2</w:t>
                  </w:r>
                  <w:r>
                    <w:rPr>
                      <w:rFonts w:hint="default" w:ascii="Times New Roman" w:hAnsi="Times New Roman" w:eastAsia="宋体"/>
                      <w:color w:val="000000"/>
                      <w:kern w:val="0"/>
                      <w:sz w:val="21"/>
                      <w:szCs w:val="21"/>
                      <w:lang w:val="en-US" w:eastAsia="zh-CN"/>
                    </w:rPr>
                    <w:t>，</w:t>
                  </w:r>
                  <w:r>
                    <w:rPr>
                      <w:rFonts w:hint="eastAsia"/>
                      <w:color w:val="000000"/>
                      <w:kern w:val="0"/>
                      <w:sz w:val="21"/>
                      <w:szCs w:val="21"/>
                      <w:lang w:val="en-US" w:eastAsia="zh-CN"/>
                    </w:rPr>
                    <w:t>主要进行钢材的机加工、刷漆等。</w:t>
                  </w:r>
                </w:p>
              </w:tc>
              <w:tc>
                <w:tcPr>
                  <w:tcW w:w="2061" w:type="pct"/>
                  <w:tcBorders>
                    <w:tl2br w:val="nil"/>
                    <w:tr2bl w:val="nil"/>
                  </w:tcBorders>
                  <w:noWrap/>
                  <w:tcMar>
                    <w:top w:w="57" w:type="dxa"/>
                    <w:left w:w="57" w:type="dxa"/>
                    <w:bottom w:w="57" w:type="dxa"/>
                    <w:right w:w="57" w:type="dxa"/>
                  </w:tcMar>
                  <w:vAlign w:val="center"/>
                </w:tcPr>
                <w:p w14:paraId="2CD45B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本次计划新增数控折边机、数控抛丸机等生产设备，生产车间内已预留好设备安装使用空间，故依托可行。</w:t>
                  </w:r>
                </w:p>
              </w:tc>
            </w:tr>
            <w:tr w14:paraId="47A2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4" w:type="pct"/>
                  <w:vMerge w:val="restart"/>
                  <w:tcBorders>
                    <w:tl2br w:val="nil"/>
                    <w:tr2bl w:val="nil"/>
                  </w:tcBorders>
                  <w:noWrap/>
                  <w:tcMar>
                    <w:top w:w="57" w:type="dxa"/>
                    <w:left w:w="57" w:type="dxa"/>
                    <w:bottom w:w="57" w:type="dxa"/>
                    <w:right w:w="57" w:type="dxa"/>
                  </w:tcMar>
                  <w:vAlign w:val="center"/>
                </w:tcPr>
                <w:p w14:paraId="5F909D6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辅助工程</w:t>
                  </w:r>
                </w:p>
              </w:tc>
              <w:tc>
                <w:tcPr>
                  <w:tcW w:w="485" w:type="pct"/>
                  <w:tcBorders>
                    <w:tl2br w:val="nil"/>
                    <w:tr2bl w:val="nil"/>
                  </w:tcBorders>
                  <w:shd w:val="clear" w:color="auto" w:fill="auto"/>
                  <w:noWrap/>
                  <w:tcMar>
                    <w:top w:w="57" w:type="dxa"/>
                    <w:left w:w="57" w:type="dxa"/>
                    <w:bottom w:w="57" w:type="dxa"/>
                    <w:right w:w="57" w:type="dxa"/>
                  </w:tcMar>
                  <w:vAlign w:val="center"/>
                </w:tcPr>
                <w:p w14:paraId="3D123A8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rPr>
                    <w:t>办公楼</w:t>
                  </w:r>
                </w:p>
              </w:tc>
              <w:tc>
                <w:tcPr>
                  <w:tcW w:w="2078" w:type="pct"/>
                  <w:tcBorders>
                    <w:tl2br w:val="nil"/>
                    <w:tr2bl w:val="nil"/>
                  </w:tcBorders>
                  <w:shd w:val="clear" w:color="auto" w:fill="auto"/>
                  <w:noWrap/>
                  <w:tcMar>
                    <w:top w:w="57" w:type="dxa"/>
                    <w:left w:w="57" w:type="dxa"/>
                    <w:bottom w:w="57" w:type="dxa"/>
                    <w:right w:w="57" w:type="dxa"/>
                  </w:tcMar>
                  <w:vAlign w:val="center"/>
                </w:tcPr>
                <w:p w14:paraId="15A217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default" w:ascii="宋体" w:hAnsi="宋体" w:eastAsia="宋体" w:cs="宋体"/>
                      <w:color w:val="000000"/>
                      <w:kern w:val="2"/>
                      <w:sz w:val="21"/>
                      <w:szCs w:val="21"/>
                      <w:highlight w:val="none"/>
                      <w:lang w:val="en-US" w:eastAsia="zh-CN"/>
                    </w:rPr>
                    <w:t>位于</w:t>
                  </w:r>
                  <w:r>
                    <w:rPr>
                      <w:rFonts w:hint="eastAsia" w:ascii="宋体" w:hAnsi="宋体" w:eastAsia="宋体" w:cs="宋体"/>
                      <w:color w:val="000000"/>
                      <w:kern w:val="2"/>
                      <w:sz w:val="21"/>
                      <w:szCs w:val="21"/>
                      <w:highlight w:val="none"/>
                      <w:lang w:val="en-US" w:eastAsia="zh-CN"/>
                    </w:rPr>
                    <w:t>厂区内东</w:t>
                  </w:r>
                  <w:r>
                    <w:rPr>
                      <w:rFonts w:hint="eastAsia" w:ascii="宋体" w:hAnsi="宋体" w:cs="宋体"/>
                      <w:color w:val="000000"/>
                      <w:kern w:val="2"/>
                      <w:sz w:val="21"/>
                      <w:szCs w:val="21"/>
                      <w:highlight w:val="none"/>
                      <w:lang w:val="en-US" w:eastAsia="zh-CN"/>
                    </w:rPr>
                    <w:t>北方</w:t>
                  </w:r>
                  <w:r>
                    <w:rPr>
                      <w:rFonts w:hint="eastAsia" w:ascii="宋体" w:hAnsi="宋体" w:eastAsia="宋体" w:cs="宋体"/>
                      <w:color w:val="000000"/>
                      <w:kern w:val="2"/>
                      <w:sz w:val="21"/>
                      <w:szCs w:val="21"/>
                      <w:highlight w:val="none"/>
                      <w:lang w:val="en-US" w:eastAsia="zh-CN"/>
                    </w:rPr>
                    <w:t>，</w:t>
                  </w:r>
                  <w:r>
                    <w:rPr>
                      <w:rFonts w:hint="eastAsia"/>
                      <w:color w:val="000000"/>
                      <w:kern w:val="0"/>
                      <w:sz w:val="21"/>
                      <w:szCs w:val="21"/>
                      <w:lang w:val="en-US" w:eastAsia="zh-CN"/>
                    </w:rPr>
                    <w:t>2</w:t>
                  </w:r>
                  <w:r>
                    <w:rPr>
                      <w:rFonts w:hint="eastAsia" w:ascii="Times New Roman" w:hAnsi="Times New Roman" w:eastAsia="宋体"/>
                      <w:color w:val="000000"/>
                      <w:kern w:val="0"/>
                      <w:sz w:val="21"/>
                      <w:szCs w:val="21"/>
                      <w:lang w:val="en-US" w:eastAsia="zh-CN"/>
                    </w:rPr>
                    <w:t>F</w:t>
                  </w:r>
                  <w:r>
                    <w:rPr>
                      <w:rFonts w:hint="default" w:ascii="宋体" w:hAnsi="宋体" w:eastAsia="宋体" w:cs="宋体"/>
                      <w:color w:val="000000"/>
                      <w:kern w:val="2"/>
                      <w:sz w:val="21"/>
                      <w:szCs w:val="21"/>
                      <w:highlight w:val="none"/>
                      <w:lang w:val="en-US" w:eastAsia="zh-CN"/>
                    </w:rPr>
                    <w:t>，</w:t>
                  </w:r>
                  <w:r>
                    <w:rPr>
                      <w:rFonts w:hint="eastAsia" w:ascii="宋体" w:hAnsi="宋体" w:cs="宋体"/>
                      <w:color w:val="000000"/>
                      <w:kern w:val="2"/>
                      <w:sz w:val="21"/>
                      <w:szCs w:val="21"/>
                      <w:highlight w:val="none"/>
                      <w:lang w:val="en-US" w:eastAsia="zh-CN"/>
                    </w:rPr>
                    <w:t>建筑</w:t>
                  </w:r>
                  <w:r>
                    <w:rPr>
                      <w:rFonts w:hint="default" w:ascii="宋体" w:hAnsi="宋体" w:eastAsia="宋体" w:cs="宋体"/>
                      <w:color w:val="000000"/>
                      <w:kern w:val="2"/>
                      <w:sz w:val="21"/>
                      <w:szCs w:val="21"/>
                      <w:highlight w:val="none"/>
                      <w:lang w:val="en-US" w:eastAsia="zh-CN"/>
                    </w:rPr>
                    <w:t>面积</w:t>
                  </w:r>
                  <w:r>
                    <w:rPr>
                      <w:rFonts w:hint="eastAsia" w:ascii="宋体" w:hAnsi="宋体" w:cs="宋体"/>
                      <w:color w:val="000000"/>
                      <w:kern w:val="2"/>
                      <w:sz w:val="21"/>
                      <w:szCs w:val="21"/>
                      <w:highlight w:val="none"/>
                      <w:lang w:val="en-US" w:eastAsia="zh-CN"/>
                    </w:rPr>
                    <w:t>约</w:t>
                  </w:r>
                  <w:r>
                    <w:rPr>
                      <w:rFonts w:hint="eastAsia"/>
                      <w:color w:val="000000"/>
                      <w:kern w:val="0"/>
                      <w:sz w:val="21"/>
                      <w:szCs w:val="21"/>
                      <w:lang w:val="en-US" w:eastAsia="zh-CN"/>
                    </w:rPr>
                    <w:t>1800</w:t>
                  </w:r>
                  <w:r>
                    <w:rPr>
                      <w:rFonts w:hint="default" w:ascii="Times New Roman" w:hAnsi="Times New Roman" w:eastAsia="宋体"/>
                      <w:color w:val="000000"/>
                      <w:kern w:val="0"/>
                      <w:sz w:val="21"/>
                      <w:szCs w:val="21"/>
                      <w:lang w:val="en-US" w:eastAsia="zh-CN"/>
                    </w:rPr>
                    <w:t>m</w:t>
                  </w:r>
                  <w:r>
                    <w:rPr>
                      <w:rFonts w:hint="default" w:ascii="Times New Roman" w:hAnsi="Times New Roman" w:eastAsia="宋体"/>
                      <w:color w:val="000000"/>
                      <w:kern w:val="0"/>
                      <w:sz w:val="21"/>
                      <w:szCs w:val="21"/>
                      <w:vertAlign w:val="superscript"/>
                      <w:lang w:val="en-US" w:eastAsia="zh-CN"/>
                    </w:rPr>
                    <w:t>2</w:t>
                  </w:r>
                  <w:r>
                    <w:rPr>
                      <w:rFonts w:hint="default" w:ascii="宋体" w:hAnsi="宋体" w:eastAsia="宋体" w:cs="宋体"/>
                      <w:color w:val="000000"/>
                      <w:kern w:val="2"/>
                      <w:sz w:val="21"/>
                      <w:szCs w:val="21"/>
                      <w:highlight w:val="none"/>
                      <w:lang w:val="en-US" w:eastAsia="zh-CN"/>
                    </w:rPr>
                    <w:t>，用于员工</w:t>
                  </w:r>
                  <w:r>
                    <w:rPr>
                      <w:rFonts w:hint="eastAsia" w:ascii="宋体" w:hAnsi="宋体" w:eastAsia="宋体" w:cs="宋体"/>
                      <w:color w:val="000000"/>
                      <w:kern w:val="2"/>
                      <w:sz w:val="21"/>
                      <w:szCs w:val="21"/>
                      <w:highlight w:val="none"/>
                      <w:lang w:val="en-US" w:eastAsia="zh-CN"/>
                    </w:rPr>
                    <w:t>日常</w:t>
                  </w:r>
                  <w:r>
                    <w:rPr>
                      <w:rFonts w:hint="default" w:ascii="宋体" w:hAnsi="宋体" w:eastAsia="宋体" w:cs="宋体"/>
                      <w:color w:val="000000"/>
                      <w:kern w:val="2"/>
                      <w:sz w:val="21"/>
                      <w:szCs w:val="21"/>
                      <w:highlight w:val="none"/>
                      <w:lang w:val="en-US" w:eastAsia="zh-CN"/>
                    </w:rPr>
                    <w:t>办公</w:t>
                  </w:r>
                  <w:r>
                    <w:rPr>
                      <w:rFonts w:hint="eastAsia" w:ascii="宋体" w:hAnsi="宋体" w:eastAsia="宋体" w:cs="宋体"/>
                      <w:color w:val="000000"/>
                      <w:kern w:val="2"/>
                      <w:sz w:val="21"/>
                      <w:szCs w:val="21"/>
                      <w:highlight w:val="none"/>
                      <w:lang w:val="en-US" w:eastAsia="zh-CN"/>
                    </w:rPr>
                    <w:t>。</w:t>
                  </w:r>
                </w:p>
              </w:tc>
              <w:tc>
                <w:tcPr>
                  <w:tcW w:w="2061" w:type="pct"/>
                  <w:tcBorders>
                    <w:tl2br w:val="nil"/>
                    <w:tr2bl w:val="nil"/>
                  </w:tcBorders>
                  <w:shd w:val="clear" w:color="auto" w:fill="auto"/>
                  <w:noWrap/>
                  <w:tcMar>
                    <w:top w:w="57" w:type="dxa"/>
                    <w:left w:w="57" w:type="dxa"/>
                    <w:bottom w:w="57" w:type="dxa"/>
                    <w:right w:w="57" w:type="dxa"/>
                  </w:tcMar>
                  <w:vAlign w:val="center"/>
                </w:tcPr>
                <w:p w14:paraId="562C2B6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本次技改扩建不增加劳动定员，不增加办公使用面积，故依托可行。</w:t>
                  </w:r>
                </w:p>
              </w:tc>
            </w:tr>
            <w:tr w14:paraId="17D4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4" w:type="pct"/>
                  <w:vMerge w:val="continue"/>
                  <w:tcBorders>
                    <w:tl2br w:val="nil"/>
                    <w:tr2bl w:val="nil"/>
                  </w:tcBorders>
                  <w:noWrap/>
                  <w:tcMar>
                    <w:top w:w="57" w:type="dxa"/>
                    <w:left w:w="57" w:type="dxa"/>
                    <w:bottom w:w="57" w:type="dxa"/>
                    <w:right w:w="57" w:type="dxa"/>
                  </w:tcMar>
                  <w:vAlign w:val="center"/>
                </w:tcPr>
                <w:p w14:paraId="65F0FC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485" w:type="pct"/>
                  <w:tcBorders>
                    <w:tl2br w:val="nil"/>
                    <w:tr2bl w:val="nil"/>
                  </w:tcBorders>
                  <w:noWrap/>
                  <w:tcMar>
                    <w:top w:w="57" w:type="dxa"/>
                    <w:left w:w="57" w:type="dxa"/>
                    <w:bottom w:w="57" w:type="dxa"/>
                    <w:right w:w="57" w:type="dxa"/>
                  </w:tcMar>
                  <w:vAlign w:val="center"/>
                </w:tcPr>
                <w:p w14:paraId="4037600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食堂</w:t>
                  </w:r>
                </w:p>
              </w:tc>
              <w:tc>
                <w:tcPr>
                  <w:tcW w:w="2078" w:type="pct"/>
                  <w:tcBorders>
                    <w:tl2br w:val="nil"/>
                    <w:tr2bl w:val="nil"/>
                  </w:tcBorders>
                  <w:noWrap/>
                  <w:tcMar>
                    <w:top w:w="57" w:type="dxa"/>
                    <w:left w:w="57" w:type="dxa"/>
                    <w:bottom w:w="57" w:type="dxa"/>
                    <w:right w:w="57" w:type="dxa"/>
                  </w:tcMar>
                  <w:vAlign w:val="center"/>
                </w:tcPr>
                <w:p w14:paraId="5FD8520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位于</w:t>
                  </w:r>
                  <w:r>
                    <w:rPr>
                      <w:rFonts w:hint="eastAsia" w:ascii="宋体" w:hAnsi="宋体" w:eastAsia="宋体" w:cs="宋体"/>
                      <w:color w:val="000000"/>
                      <w:kern w:val="2"/>
                      <w:sz w:val="21"/>
                      <w:szCs w:val="21"/>
                      <w:highlight w:val="none"/>
                      <w:lang w:val="en-US" w:eastAsia="zh-CN"/>
                    </w:rPr>
                    <w:t>厂区内东</w:t>
                  </w:r>
                  <w:r>
                    <w:rPr>
                      <w:rFonts w:hint="eastAsia" w:ascii="宋体" w:hAnsi="宋体" w:cs="宋体"/>
                      <w:color w:val="000000"/>
                      <w:kern w:val="2"/>
                      <w:sz w:val="21"/>
                      <w:szCs w:val="21"/>
                      <w:highlight w:val="none"/>
                      <w:lang w:val="en-US" w:eastAsia="zh-CN"/>
                    </w:rPr>
                    <w:t>侧</w:t>
                  </w:r>
                  <w:r>
                    <w:rPr>
                      <w:rFonts w:hint="default" w:ascii="宋体" w:hAnsi="宋体" w:eastAsia="宋体" w:cs="宋体"/>
                      <w:color w:val="000000"/>
                      <w:kern w:val="2"/>
                      <w:sz w:val="21"/>
                      <w:szCs w:val="21"/>
                      <w:highlight w:val="none"/>
                      <w:lang w:val="en-US" w:eastAsia="zh-CN"/>
                    </w:rPr>
                    <w:t>，</w:t>
                  </w:r>
                  <w:r>
                    <w:rPr>
                      <w:rFonts w:hint="eastAsia" w:ascii="宋体" w:hAnsi="宋体" w:cs="宋体"/>
                      <w:color w:val="000000"/>
                      <w:kern w:val="2"/>
                      <w:sz w:val="21"/>
                      <w:szCs w:val="21"/>
                      <w:highlight w:val="none"/>
                      <w:lang w:val="en-US" w:eastAsia="zh-CN"/>
                    </w:rPr>
                    <w:t>建筑</w:t>
                  </w:r>
                  <w:r>
                    <w:rPr>
                      <w:rFonts w:hint="default" w:ascii="宋体" w:hAnsi="宋体" w:eastAsia="宋体" w:cs="宋体"/>
                      <w:color w:val="000000"/>
                      <w:kern w:val="2"/>
                      <w:sz w:val="21"/>
                      <w:szCs w:val="21"/>
                      <w:highlight w:val="none"/>
                      <w:lang w:val="en-US" w:eastAsia="zh-CN"/>
                    </w:rPr>
                    <w:t>面积</w:t>
                  </w:r>
                  <w:r>
                    <w:rPr>
                      <w:rFonts w:hint="eastAsia" w:ascii="宋体" w:hAnsi="宋体" w:cs="宋体"/>
                      <w:color w:val="000000"/>
                      <w:kern w:val="2"/>
                      <w:sz w:val="21"/>
                      <w:szCs w:val="21"/>
                      <w:highlight w:val="none"/>
                      <w:lang w:val="en-US" w:eastAsia="zh-CN"/>
                    </w:rPr>
                    <w:t>约</w:t>
                  </w:r>
                  <w:r>
                    <w:rPr>
                      <w:rFonts w:hint="eastAsia"/>
                      <w:color w:val="000000"/>
                      <w:kern w:val="0"/>
                      <w:sz w:val="21"/>
                      <w:szCs w:val="21"/>
                      <w:lang w:val="en-US" w:eastAsia="zh-CN"/>
                    </w:rPr>
                    <w:t>150</w:t>
                  </w:r>
                  <w:r>
                    <w:rPr>
                      <w:rFonts w:hint="default" w:ascii="Times New Roman" w:hAnsi="Times New Roman" w:eastAsia="宋体"/>
                      <w:color w:val="000000"/>
                      <w:kern w:val="0"/>
                      <w:sz w:val="21"/>
                      <w:szCs w:val="21"/>
                      <w:lang w:val="en-US" w:eastAsia="zh-CN"/>
                    </w:rPr>
                    <w:t>m</w:t>
                  </w:r>
                  <w:r>
                    <w:rPr>
                      <w:rFonts w:hint="default" w:ascii="Times New Roman" w:hAnsi="Times New Roman" w:eastAsia="宋体"/>
                      <w:color w:val="000000"/>
                      <w:kern w:val="0"/>
                      <w:sz w:val="21"/>
                      <w:szCs w:val="21"/>
                      <w:vertAlign w:val="superscript"/>
                      <w:lang w:val="en-US" w:eastAsia="zh-CN"/>
                    </w:rPr>
                    <w:t>2</w:t>
                  </w:r>
                  <w:r>
                    <w:rPr>
                      <w:rFonts w:hint="default" w:ascii="宋体" w:hAnsi="宋体" w:eastAsia="宋体" w:cs="宋体"/>
                      <w:color w:val="000000"/>
                      <w:kern w:val="2"/>
                      <w:sz w:val="21"/>
                      <w:szCs w:val="21"/>
                      <w:highlight w:val="none"/>
                      <w:lang w:val="en-US" w:eastAsia="zh-CN"/>
                    </w:rPr>
                    <w:t>，用于</w:t>
                  </w:r>
                  <w:r>
                    <w:rPr>
                      <w:rFonts w:hint="eastAsia" w:ascii="宋体" w:hAnsi="宋体" w:cs="宋体"/>
                      <w:color w:val="000000"/>
                      <w:kern w:val="2"/>
                      <w:sz w:val="21"/>
                      <w:szCs w:val="21"/>
                      <w:highlight w:val="none"/>
                      <w:lang w:val="en-US" w:eastAsia="zh-CN"/>
                    </w:rPr>
                    <w:t>部分</w:t>
                  </w:r>
                  <w:r>
                    <w:rPr>
                      <w:rFonts w:hint="default" w:ascii="宋体" w:hAnsi="宋体" w:eastAsia="宋体" w:cs="宋体"/>
                      <w:color w:val="000000"/>
                      <w:kern w:val="2"/>
                      <w:sz w:val="21"/>
                      <w:szCs w:val="21"/>
                      <w:highlight w:val="none"/>
                      <w:lang w:val="en-US" w:eastAsia="zh-CN"/>
                    </w:rPr>
                    <w:t>员工</w:t>
                  </w:r>
                  <w:r>
                    <w:rPr>
                      <w:rFonts w:hint="eastAsia" w:ascii="宋体" w:hAnsi="宋体" w:cs="宋体"/>
                      <w:color w:val="000000"/>
                      <w:kern w:val="2"/>
                      <w:sz w:val="21"/>
                      <w:szCs w:val="21"/>
                      <w:highlight w:val="none"/>
                      <w:lang w:val="en-US" w:eastAsia="zh-CN"/>
                    </w:rPr>
                    <w:t>午餐使用</w:t>
                  </w:r>
                  <w:r>
                    <w:rPr>
                      <w:rFonts w:hint="eastAsia" w:ascii="宋体" w:hAnsi="宋体" w:eastAsia="宋体" w:cs="宋体"/>
                      <w:color w:val="000000"/>
                      <w:kern w:val="2"/>
                      <w:sz w:val="21"/>
                      <w:szCs w:val="21"/>
                      <w:highlight w:val="none"/>
                      <w:lang w:val="en-US" w:eastAsia="zh-CN"/>
                    </w:rPr>
                    <w:t>。</w:t>
                  </w:r>
                </w:p>
              </w:tc>
              <w:tc>
                <w:tcPr>
                  <w:tcW w:w="2061" w:type="pct"/>
                  <w:tcBorders>
                    <w:tl2br w:val="nil"/>
                    <w:tr2bl w:val="nil"/>
                  </w:tcBorders>
                  <w:noWrap/>
                  <w:tcMar>
                    <w:top w:w="57" w:type="dxa"/>
                    <w:left w:w="57" w:type="dxa"/>
                    <w:bottom w:w="57" w:type="dxa"/>
                    <w:right w:w="57" w:type="dxa"/>
                  </w:tcMar>
                  <w:vAlign w:val="center"/>
                </w:tcPr>
                <w:p w14:paraId="43A513D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bidi="ar-SA"/>
                    </w:rPr>
                    <w:t>本次技改扩建不增加劳动定员，不增加就餐人数，故依托可行。</w:t>
                  </w:r>
                </w:p>
              </w:tc>
            </w:tr>
            <w:tr w14:paraId="30A9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4" w:type="pct"/>
                  <w:vMerge w:val="restart"/>
                  <w:tcBorders>
                    <w:tl2br w:val="nil"/>
                    <w:tr2bl w:val="nil"/>
                  </w:tcBorders>
                  <w:noWrap/>
                  <w:tcMar>
                    <w:top w:w="57" w:type="dxa"/>
                    <w:left w:w="57" w:type="dxa"/>
                    <w:bottom w:w="57" w:type="dxa"/>
                    <w:right w:w="57" w:type="dxa"/>
                  </w:tcMar>
                  <w:vAlign w:val="center"/>
                </w:tcPr>
                <w:p w14:paraId="7A0BFF5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公用工程</w:t>
                  </w:r>
                </w:p>
              </w:tc>
              <w:tc>
                <w:tcPr>
                  <w:tcW w:w="485" w:type="pct"/>
                  <w:tcBorders>
                    <w:tl2br w:val="nil"/>
                    <w:tr2bl w:val="nil"/>
                  </w:tcBorders>
                  <w:noWrap/>
                  <w:tcMar>
                    <w:top w:w="57" w:type="dxa"/>
                    <w:left w:w="57" w:type="dxa"/>
                    <w:bottom w:w="57" w:type="dxa"/>
                    <w:right w:w="57" w:type="dxa"/>
                  </w:tcMar>
                  <w:vAlign w:val="center"/>
                </w:tcPr>
                <w:p w14:paraId="6F567DF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供水</w:t>
                  </w:r>
                </w:p>
              </w:tc>
              <w:tc>
                <w:tcPr>
                  <w:tcW w:w="2078" w:type="pct"/>
                  <w:tcBorders>
                    <w:tl2br w:val="nil"/>
                    <w:tr2bl w:val="nil"/>
                  </w:tcBorders>
                  <w:noWrap/>
                  <w:tcMar>
                    <w:top w:w="57" w:type="dxa"/>
                    <w:left w:w="57" w:type="dxa"/>
                    <w:bottom w:w="57" w:type="dxa"/>
                    <w:right w:w="57" w:type="dxa"/>
                  </w:tcMar>
                  <w:vAlign w:val="center"/>
                </w:tcPr>
                <w:p w14:paraId="64798E2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由市政管网供水，</w:t>
                  </w:r>
                  <w:r>
                    <w:rPr>
                      <w:rFonts w:hint="eastAsia" w:ascii="Times New Roman" w:hAnsi="Times New Roman" w:eastAsia="宋体"/>
                      <w:color w:val="000000"/>
                      <w:kern w:val="0"/>
                      <w:sz w:val="21"/>
                      <w:szCs w:val="21"/>
                      <w:lang w:val="en-US" w:eastAsia="zh-CN"/>
                    </w:rPr>
                    <w:t>新鲜水用量约</w:t>
                  </w:r>
                  <w:r>
                    <w:rPr>
                      <w:rFonts w:hint="eastAsia"/>
                      <w:color w:val="000000"/>
                      <w:kern w:val="0"/>
                      <w:sz w:val="21"/>
                      <w:szCs w:val="21"/>
                      <w:lang w:val="en-US" w:eastAsia="zh-CN"/>
                    </w:rPr>
                    <w:t>1124</w:t>
                  </w:r>
                  <w:r>
                    <w:rPr>
                      <w:rFonts w:hint="eastAsia" w:ascii="Times New Roman" w:hAnsi="Times New Roman" w:eastAsia="宋体"/>
                      <w:color w:val="000000"/>
                      <w:kern w:val="0"/>
                      <w:sz w:val="21"/>
                      <w:szCs w:val="21"/>
                      <w:lang w:val="en-US" w:eastAsia="zh-CN"/>
                    </w:rPr>
                    <w:t>t/a</w:t>
                  </w:r>
                  <w:r>
                    <w:rPr>
                      <w:rFonts w:hint="eastAsia"/>
                      <w:color w:val="000000"/>
                      <w:kern w:val="0"/>
                      <w:sz w:val="21"/>
                      <w:szCs w:val="21"/>
                      <w:lang w:val="en-US" w:eastAsia="zh-CN"/>
                    </w:rPr>
                    <w:t>。</w:t>
                  </w:r>
                </w:p>
              </w:tc>
              <w:tc>
                <w:tcPr>
                  <w:tcW w:w="2061" w:type="pct"/>
                  <w:tcBorders>
                    <w:tl2br w:val="nil"/>
                    <w:tr2bl w:val="nil"/>
                  </w:tcBorders>
                  <w:noWrap/>
                  <w:tcMar>
                    <w:top w:w="57" w:type="dxa"/>
                    <w:left w:w="57" w:type="dxa"/>
                    <w:bottom w:w="57" w:type="dxa"/>
                    <w:right w:w="57" w:type="dxa"/>
                  </w:tcMar>
                  <w:vAlign w:val="center"/>
                </w:tcPr>
                <w:p w14:paraId="5921E3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bidi="ar-SA"/>
                    </w:rPr>
                    <w:t>本次技改不涉及生产用水，技改后用水量减少，故依托可行。</w:t>
                  </w:r>
                </w:p>
              </w:tc>
            </w:tr>
            <w:tr w14:paraId="7C30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4" w:type="pct"/>
                  <w:vMerge w:val="continue"/>
                  <w:tcBorders>
                    <w:tl2br w:val="nil"/>
                    <w:tr2bl w:val="nil"/>
                  </w:tcBorders>
                  <w:noWrap/>
                  <w:tcMar>
                    <w:top w:w="57" w:type="dxa"/>
                    <w:left w:w="57" w:type="dxa"/>
                    <w:bottom w:w="57" w:type="dxa"/>
                    <w:right w:w="57" w:type="dxa"/>
                  </w:tcMar>
                  <w:vAlign w:val="center"/>
                </w:tcPr>
                <w:p w14:paraId="58AC109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485" w:type="pct"/>
                  <w:tcBorders>
                    <w:tl2br w:val="nil"/>
                    <w:tr2bl w:val="nil"/>
                  </w:tcBorders>
                  <w:shd w:val="clear" w:color="auto" w:fill="auto"/>
                  <w:noWrap/>
                  <w:tcMar>
                    <w:top w:w="57" w:type="dxa"/>
                    <w:left w:w="57" w:type="dxa"/>
                    <w:bottom w:w="57" w:type="dxa"/>
                    <w:right w:w="57" w:type="dxa"/>
                  </w:tcMar>
                  <w:vAlign w:val="center"/>
                </w:tcPr>
                <w:p w14:paraId="5B26EC1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供电</w:t>
                  </w:r>
                </w:p>
              </w:tc>
              <w:tc>
                <w:tcPr>
                  <w:tcW w:w="2078" w:type="pct"/>
                  <w:tcBorders>
                    <w:tl2br w:val="nil"/>
                    <w:tr2bl w:val="nil"/>
                  </w:tcBorders>
                  <w:shd w:val="clear" w:color="auto" w:fill="auto"/>
                  <w:noWrap/>
                  <w:tcMar>
                    <w:top w:w="57" w:type="dxa"/>
                    <w:left w:w="57" w:type="dxa"/>
                    <w:bottom w:w="57" w:type="dxa"/>
                    <w:right w:w="57" w:type="dxa"/>
                  </w:tcMar>
                  <w:vAlign w:val="center"/>
                </w:tcPr>
                <w:p w14:paraId="7C705D4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olor w:val="000000"/>
                      <w:kern w:val="0"/>
                      <w:sz w:val="21"/>
                      <w:szCs w:val="21"/>
                      <w:lang w:val="en-US" w:eastAsia="zh-CN"/>
                    </w:rPr>
                    <w:t>市政供电管网，年用电量为40万kw/h。</w:t>
                  </w:r>
                </w:p>
              </w:tc>
              <w:tc>
                <w:tcPr>
                  <w:tcW w:w="2061" w:type="pct"/>
                  <w:tcBorders>
                    <w:tl2br w:val="nil"/>
                    <w:tr2bl w:val="nil"/>
                  </w:tcBorders>
                  <w:noWrap/>
                  <w:tcMar>
                    <w:top w:w="57" w:type="dxa"/>
                    <w:left w:w="57" w:type="dxa"/>
                    <w:bottom w:w="57" w:type="dxa"/>
                    <w:right w:w="57" w:type="dxa"/>
                  </w:tcMar>
                  <w:vAlign w:val="center"/>
                </w:tcPr>
                <w:p w14:paraId="32B4158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本次技改扩建不增加产能</w:t>
                  </w:r>
                  <w:r>
                    <w:rPr>
                      <w:rFonts w:hint="eastAsia" w:ascii="宋体" w:hAnsi="宋体" w:cs="宋体"/>
                      <w:color w:val="000000"/>
                      <w:kern w:val="2"/>
                      <w:sz w:val="21"/>
                      <w:szCs w:val="21"/>
                      <w:highlight w:val="none"/>
                      <w:lang w:val="en-US" w:eastAsia="zh-CN" w:bidi="ar-SA"/>
                    </w:rPr>
                    <w:t>，供电线路满足新增用电需求，故依托可行。</w:t>
                  </w:r>
                </w:p>
              </w:tc>
            </w:tr>
            <w:tr w14:paraId="4E18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4" w:type="pct"/>
                  <w:vMerge w:val="continue"/>
                  <w:tcBorders>
                    <w:tl2br w:val="nil"/>
                    <w:tr2bl w:val="nil"/>
                  </w:tcBorders>
                  <w:noWrap/>
                  <w:tcMar>
                    <w:top w:w="57" w:type="dxa"/>
                    <w:left w:w="57" w:type="dxa"/>
                    <w:bottom w:w="57" w:type="dxa"/>
                    <w:right w:w="57" w:type="dxa"/>
                  </w:tcMar>
                  <w:vAlign w:val="center"/>
                </w:tcPr>
                <w:p w14:paraId="436CEC6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485" w:type="pct"/>
                  <w:tcBorders>
                    <w:tl2br w:val="nil"/>
                    <w:tr2bl w:val="nil"/>
                  </w:tcBorders>
                  <w:noWrap/>
                  <w:tcMar>
                    <w:top w:w="57" w:type="dxa"/>
                    <w:left w:w="57" w:type="dxa"/>
                    <w:bottom w:w="57" w:type="dxa"/>
                    <w:right w:w="57" w:type="dxa"/>
                  </w:tcMar>
                  <w:vAlign w:val="center"/>
                </w:tcPr>
                <w:p w14:paraId="43A398A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排水</w:t>
                  </w:r>
                </w:p>
              </w:tc>
              <w:tc>
                <w:tcPr>
                  <w:tcW w:w="2078" w:type="pct"/>
                  <w:tcBorders>
                    <w:tl2br w:val="nil"/>
                    <w:tr2bl w:val="nil"/>
                  </w:tcBorders>
                  <w:noWrap/>
                  <w:tcMar>
                    <w:top w:w="57" w:type="dxa"/>
                    <w:left w:w="57" w:type="dxa"/>
                    <w:bottom w:w="57" w:type="dxa"/>
                    <w:right w:w="57" w:type="dxa"/>
                  </w:tcMar>
                  <w:vAlign w:val="center"/>
                </w:tcPr>
                <w:p w14:paraId="4504FEF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color w:val="000000"/>
                      <w:kern w:val="0"/>
                      <w:sz w:val="21"/>
                      <w:szCs w:val="21"/>
                      <w:lang w:val="en-US" w:eastAsia="zh-CN"/>
                    </w:rPr>
                    <w:t>厂区内雨污分流，雨水经厂区雨水管道排入市政雨水管网，食堂废水与生活污水一起通过污水管网排入淮北经济开发区新区污水处理厂。</w:t>
                  </w:r>
                </w:p>
              </w:tc>
              <w:tc>
                <w:tcPr>
                  <w:tcW w:w="2061" w:type="pct"/>
                  <w:tcBorders>
                    <w:tl2br w:val="nil"/>
                    <w:tr2bl w:val="nil"/>
                  </w:tcBorders>
                  <w:shd w:val="clear" w:color="auto" w:fill="auto"/>
                  <w:noWrap/>
                  <w:tcMar>
                    <w:top w:w="57" w:type="dxa"/>
                    <w:left w:w="57" w:type="dxa"/>
                    <w:bottom w:w="57" w:type="dxa"/>
                    <w:right w:w="57" w:type="dxa"/>
                  </w:tcMar>
                  <w:vAlign w:val="center"/>
                </w:tcPr>
                <w:p w14:paraId="368DF36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本次技改扩建不增加废水排放量，故依托可行。</w:t>
                  </w:r>
                </w:p>
              </w:tc>
            </w:tr>
            <w:tr w14:paraId="52C5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4" w:type="pct"/>
                  <w:vMerge w:val="restart"/>
                  <w:tcBorders>
                    <w:tl2br w:val="nil"/>
                    <w:tr2bl w:val="nil"/>
                  </w:tcBorders>
                  <w:noWrap/>
                  <w:tcMar>
                    <w:top w:w="57" w:type="dxa"/>
                    <w:left w:w="57" w:type="dxa"/>
                    <w:bottom w:w="57" w:type="dxa"/>
                    <w:right w:w="57" w:type="dxa"/>
                  </w:tcMar>
                  <w:vAlign w:val="center"/>
                </w:tcPr>
                <w:p w14:paraId="537A539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环保工程</w:t>
                  </w:r>
                </w:p>
              </w:tc>
              <w:tc>
                <w:tcPr>
                  <w:tcW w:w="485" w:type="pct"/>
                  <w:tcBorders>
                    <w:tl2br w:val="nil"/>
                    <w:tr2bl w:val="nil"/>
                  </w:tcBorders>
                  <w:noWrap/>
                  <w:tcMar>
                    <w:top w:w="57" w:type="dxa"/>
                    <w:left w:w="57" w:type="dxa"/>
                    <w:bottom w:w="57" w:type="dxa"/>
                    <w:right w:w="57" w:type="dxa"/>
                  </w:tcMar>
                  <w:vAlign w:val="center"/>
                </w:tcPr>
                <w:p w14:paraId="10B019B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废水</w:t>
                  </w:r>
                  <w:r>
                    <w:rPr>
                      <w:rFonts w:hint="eastAsia" w:ascii="宋体" w:hAnsi="宋体" w:cs="宋体"/>
                      <w:color w:val="000000"/>
                      <w:kern w:val="2"/>
                      <w:sz w:val="21"/>
                      <w:szCs w:val="21"/>
                      <w:highlight w:val="none"/>
                      <w:lang w:val="en-US" w:eastAsia="zh-CN"/>
                    </w:rPr>
                    <w:t>治理</w:t>
                  </w:r>
                </w:p>
              </w:tc>
              <w:tc>
                <w:tcPr>
                  <w:tcW w:w="2078" w:type="pct"/>
                  <w:tcBorders>
                    <w:tl2br w:val="nil"/>
                    <w:tr2bl w:val="nil"/>
                  </w:tcBorders>
                  <w:noWrap/>
                  <w:tcMar>
                    <w:top w:w="57" w:type="dxa"/>
                    <w:left w:w="57" w:type="dxa"/>
                    <w:bottom w:w="57" w:type="dxa"/>
                    <w:right w:w="57" w:type="dxa"/>
                  </w:tcMar>
                  <w:vAlign w:val="center"/>
                </w:tcPr>
                <w:p w14:paraId="73EF87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rPr>
                    <w:t>食堂废水经过隔油池处理后与生活污水共同进入化粪池预处理，然后通过污水管网排入淮北经济开发区新区污水处理厂进行深度处理。</w:t>
                  </w:r>
                </w:p>
              </w:tc>
              <w:tc>
                <w:tcPr>
                  <w:tcW w:w="2061" w:type="pct"/>
                  <w:tcBorders>
                    <w:tl2br w:val="nil"/>
                    <w:tr2bl w:val="nil"/>
                  </w:tcBorders>
                  <w:shd w:val="clear" w:color="auto" w:fill="auto"/>
                  <w:noWrap/>
                  <w:tcMar>
                    <w:top w:w="57" w:type="dxa"/>
                    <w:left w:w="57" w:type="dxa"/>
                    <w:bottom w:w="57" w:type="dxa"/>
                    <w:right w:w="57" w:type="dxa"/>
                  </w:tcMar>
                  <w:vAlign w:val="center"/>
                </w:tcPr>
                <w:p w14:paraId="0A0BE2B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本次技改扩建不新增生活污水、食堂废水，不增加用水量，故依托可行。</w:t>
                  </w:r>
                </w:p>
              </w:tc>
            </w:tr>
            <w:tr w14:paraId="4F97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4" w:type="pct"/>
                  <w:vMerge w:val="continue"/>
                  <w:tcBorders>
                    <w:tl2br w:val="nil"/>
                    <w:tr2bl w:val="nil"/>
                  </w:tcBorders>
                  <w:noWrap/>
                  <w:tcMar>
                    <w:top w:w="57" w:type="dxa"/>
                    <w:left w:w="57" w:type="dxa"/>
                    <w:bottom w:w="57" w:type="dxa"/>
                    <w:right w:w="57" w:type="dxa"/>
                  </w:tcMar>
                  <w:vAlign w:val="center"/>
                </w:tcPr>
                <w:p w14:paraId="42F2AFB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485" w:type="pct"/>
                  <w:tcBorders>
                    <w:tl2br w:val="nil"/>
                    <w:tr2bl w:val="nil"/>
                  </w:tcBorders>
                  <w:noWrap/>
                  <w:tcMar>
                    <w:top w:w="57" w:type="dxa"/>
                    <w:left w:w="57" w:type="dxa"/>
                    <w:bottom w:w="57" w:type="dxa"/>
                    <w:right w:w="57" w:type="dxa"/>
                  </w:tcMar>
                  <w:vAlign w:val="center"/>
                </w:tcPr>
                <w:p w14:paraId="76D453F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废气</w:t>
                  </w:r>
                  <w:r>
                    <w:rPr>
                      <w:rFonts w:hint="eastAsia" w:ascii="宋体" w:hAnsi="宋体" w:cs="宋体"/>
                      <w:color w:val="000000"/>
                      <w:kern w:val="2"/>
                      <w:sz w:val="21"/>
                      <w:szCs w:val="21"/>
                      <w:highlight w:val="none"/>
                      <w:lang w:val="en-US" w:eastAsia="zh-CN"/>
                    </w:rPr>
                    <w:t>治理</w:t>
                  </w:r>
                </w:p>
              </w:tc>
              <w:tc>
                <w:tcPr>
                  <w:tcW w:w="2078" w:type="pct"/>
                  <w:tcBorders>
                    <w:tl2br w:val="nil"/>
                    <w:tr2bl w:val="nil"/>
                  </w:tcBorders>
                  <w:noWrap/>
                  <w:tcMar>
                    <w:top w:w="57" w:type="dxa"/>
                    <w:left w:w="57" w:type="dxa"/>
                    <w:bottom w:w="57" w:type="dxa"/>
                    <w:right w:w="57" w:type="dxa"/>
                  </w:tcMar>
                  <w:vAlign w:val="center"/>
                </w:tcPr>
                <w:p w14:paraId="7CD7C28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color w:val="000000"/>
                      <w:kern w:val="0"/>
                      <w:sz w:val="21"/>
                      <w:szCs w:val="21"/>
                      <w:lang w:val="en-US" w:eastAsia="zh-CN"/>
                    </w:rPr>
                    <w:t>刷漆</w:t>
                  </w:r>
                  <w:r>
                    <w:rPr>
                      <w:rFonts w:hint="eastAsia"/>
                      <w:color w:val="000000"/>
                      <w:kern w:val="0"/>
                      <w:sz w:val="21"/>
                      <w:szCs w:val="21"/>
                      <w:lang w:val="en-US" w:eastAsia="zh-CN"/>
                    </w:rPr>
                    <w:t>晾干工序在密闭空间内进行，产生</w:t>
                  </w:r>
                  <w:r>
                    <w:rPr>
                      <w:rFonts w:hint="default"/>
                      <w:color w:val="000000"/>
                      <w:kern w:val="0"/>
                      <w:sz w:val="21"/>
                      <w:szCs w:val="21"/>
                      <w:lang w:val="en-US" w:eastAsia="zh-CN"/>
                    </w:rPr>
                    <w:t>的废气</w:t>
                  </w:r>
                  <w:r>
                    <w:rPr>
                      <w:rFonts w:hint="eastAsia"/>
                      <w:color w:val="000000"/>
                      <w:kern w:val="0"/>
                      <w:sz w:val="21"/>
                      <w:szCs w:val="21"/>
                      <w:lang w:val="en-US" w:eastAsia="zh-CN"/>
                    </w:rPr>
                    <w:t>经过滤棉+二级活性炭处理后通过15m高排气筒（DA001）排放</w:t>
                  </w:r>
                  <w:r>
                    <w:rPr>
                      <w:rFonts w:hint="default"/>
                      <w:color w:val="000000"/>
                      <w:kern w:val="0"/>
                      <w:sz w:val="21"/>
                      <w:szCs w:val="21"/>
                      <w:lang w:val="en-US" w:eastAsia="zh-CN"/>
                    </w:rPr>
                    <w:t>。</w:t>
                  </w:r>
                  <w:r>
                    <w:rPr>
                      <w:rFonts w:hint="eastAsia"/>
                      <w:color w:val="000000"/>
                      <w:kern w:val="0"/>
                      <w:sz w:val="21"/>
                      <w:szCs w:val="21"/>
                      <w:lang w:val="en-US" w:eastAsia="zh-CN"/>
                    </w:rPr>
                    <w:t>食堂油烟经油烟净化器处理后通过排气筒排放。</w:t>
                  </w:r>
                </w:p>
              </w:tc>
              <w:tc>
                <w:tcPr>
                  <w:tcW w:w="2061" w:type="pct"/>
                  <w:tcBorders>
                    <w:tl2br w:val="nil"/>
                    <w:tr2bl w:val="nil"/>
                  </w:tcBorders>
                  <w:noWrap/>
                  <w:tcMar>
                    <w:top w:w="57" w:type="dxa"/>
                    <w:left w:w="57" w:type="dxa"/>
                    <w:bottom w:w="57" w:type="dxa"/>
                    <w:right w:w="57" w:type="dxa"/>
                  </w:tcMar>
                  <w:vAlign w:val="center"/>
                </w:tcPr>
                <w:p w14:paraId="69FFF3F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本次技改扩建不增加产能</w:t>
                  </w:r>
                  <w:r>
                    <w:rPr>
                      <w:rFonts w:hint="eastAsia" w:ascii="宋体" w:hAnsi="宋体" w:cs="宋体"/>
                      <w:color w:val="000000"/>
                      <w:kern w:val="2"/>
                      <w:sz w:val="21"/>
                      <w:szCs w:val="21"/>
                      <w:highlight w:val="none"/>
                      <w:lang w:val="en-US" w:eastAsia="zh-CN" w:bidi="ar-SA"/>
                    </w:rPr>
                    <w:t>，不增加刷漆晾干废气，</w:t>
                  </w:r>
                  <w:r>
                    <w:rPr>
                      <w:rFonts w:hint="eastAsia"/>
                      <w:color w:val="000000"/>
                      <w:kern w:val="0"/>
                      <w:sz w:val="21"/>
                      <w:szCs w:val="21"/>
                      <w:lang w:val="en-US" w:eastAsia="zh-CN"/>
                    </w:rPr>
                    <w:t>2024年检测</w:t>
                  </w:r>
                  <w:r>
                    <w:rPr>
                      <w:rFonts w:hint="eastAsia" w:ascii="宋体" w:hAnsi="宋体" w:cs="宋体"/>
                      <w:color w:val="000000"/>
                      <w:kern w:val="2"/>
                      <w:sz w:val="21"/>
                      <w:szCs w:val="21"/>
                      <w:highlight w:val="none"/>
                      <w:lang w:val="en-US" w:eastAsia="zh-CN" w:bidi="ar-SA"/>
                    </w:rPr>
                    <w:t>报告废气达标排放，故依托可行。</w:t>
                  </w:r>
                </w:p>
              </w:tc>
            </w:tr>
            <w:tr w14:paraId="4150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4" w:type="pct"/>
                  <w:vMerge w:val="continue"/>
                  <w:tcBorders>
                    <w:tl2br w:val="nil"/>
                    <w:tr2bl w:val="nil"/>
                  </w:tcBorders>
                  <w:noWrap/>
                  <w:tcMar>
                    <w:top w:w="57" w:type="dxa"/>
                    <w:left w:w="57" w:type="dxa"/>
                    <w:bottom w:w="57" w:type="dxa"/>
                    <w:right w:w="57" w:type="dxa"/>
                  </w:tcMar>
                  <w:vAlign w:val="center"/>
                </w:tcPr>
                <w:p w14:paraId="212A2C0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485" w:type="pct"/>
                  <w:tcBorders>
                    <w:tl2br w:val="nil"/>
                    <w:tr2bl w:val="nil"/>
                  </w:tcBorders>
                  <w:noWrap/>
                  <w:tcMar>
                    <w:top w:w="57" w:type="dxa"/>
                    <w:left w:w="57" w:type="dxa"/>
                    <w:bottom w:w="57" w:type="dxa"/>
                    <w:right w:w="57" w:type="dxa"/>
                  </w:tcMar>
                  <w:vAlign w:val="center"/>
                </w:tcPr>
                <w:p w14:paraId="1E6E504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固废治理</w:t>
                  </w:r>
                </w:p>
              </w:tc>
              <w:tc>
                <w:tcPr>
                  <w:tcW w:w="2078" w:type="pct"/>
                  <w:tcBorders>
                    <w:tl2br w:val="nil"/>
                    <w:tr2bl w:val="nil"/>
                  </w:tcBorders>
                  <w:noWrap/>
                  <w:tcMar>
                    <w:top w:w="57" w:type="dxa"/>
                    <w:left w:w="57" w:type="dxa"/>
                    <w:bottom w:w="57" w:type="dxa"/>
                    <w:right w:w="57" w:type="dxa"/>
                  </w:tcMar>
                  <w:vAlign w:val="center"/>
                </w:tcPr>
                <w:p w14:paraId="0561FA6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生活垃圾交由环卫部门统一处理。一般固体废物收集后暂存于一般固废暂存处</w:t>
                  </w:r>
                  <w:r>
                    <w:rPr>
                      <w:rFonts w:hint="eastAsia" w:ascii="宋体" w:hAnsi="宋体" w:cs="宋体"/>
                      <w:color w:val="000000"/>
                      <w:kern w:val="2"/>
                      <w:sz w:val="21"/>
                      <w:szCs w:val="21"/>
                      <w:highlight w:val="none"/>
                      <w:lang w:val="en-US" w:eastAsia="zh-CN"/>
                    </w:rPr>
                    <w:t>定期外售</w:t>
                  </w:r>
                  <w:r>
                    <w:rPr>
                      <w:rFonts w:hint="default" w:ascii="宋体" w:hAnsi="宋体" w:eastAsia="宋体" w:cs="宋体"/>
                      <w:color w:val="000000"/>
                      <w:kern w:val="2"/>
                      <w:sz w:val="21"/>
                      <w:szCs w:val="21"/>
                      <w:highlight w:val="none"/>
                      <w:lang w:val="en-US" w:eastAsia="zh-CN"/>
                    </w:rPr>
                    <w:t>，危险废物在危险废物暂存间暂存后</w:t>
                  </w:r>
                  <w:r>
                    <w:rPr>
                      <w:rFonts w:hint="eastAsia" w:ascii="宋体" w:hAnsi="宋体" w:cs="宋体"/>
                      <w:color w:val="000000"/>
                      <w:kern w:val="2"/>
                      <w:sz w:val="21"/>
                      <w:szCs w:val="21"/>
                      <w:highlight w:val="none"/>
                      <w:lang w:val="en-US" w:eastAsia="zh-CN"/>
                    </w:rPr>
                    <w:t>定期</w:t>
                  </w:r>
                  <w:r>
                    <w:rPr>
                      <w:rFonts w:hint="default" w:ascii="宋体" w:hAnsi="宋体" w:eastAsia="宋体" w:cs="宋体"/>
                      <w:color w:val="000000"/>
                      <w:kern w:val="2"/>
                      <w:sz w:val="21"/>
                      <w:szCs w:val="21"/>
                      <w:highlight w:val="none"/>
                      <w:lang w:val="en-US" w:eastAsia="zh-CN"/>
                    </w:rPr>
                    <w:t>交由有资质单位处理。</w:t>
                  </w:r>
                </w:p>
              </w:tc>
              <w:tc>
                <w:tcPr>
                  <w:tcW w:w="2061" w:type="pct"/>
                  <w:tcBorders>
                    <w:tl2br w:val="nil"/>
                    <w:tr2bl w:val="nil"/>
                  </w:tcBorders>
                  <w:noWrap/>
                  <w:tcMar>
                    <w:top w:w="57" w:type="dxa"/>
                    <w:left w:w="57" w:type="dxa"/>
                    <w:bottom w:w="57" w:type="dxa"/>
                    <w:right w:w="57" w:type="dxa"/>
                  </w:tcMar>
                  <w:vAlign w:val="center"/>
                </w:tcPr>
                <w:p w14:paraId="6719A9D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bidi="ar-SA"/>
                    </w:rPr>
                    <w:t>本次技改扩建不增加劳动定员，不增加危废产生量，现有的一般固废暂存处满足新增的废钢丸等一般固体废物</w:t>
                  </w:r>
                  <w:r>
                    <w:rPr>
                      <w:rFonts w:hint="eastAsia" w:ascii="宋体" w:hAnsi="宋体" w:cs="宋体"/>
                      <w:color w:val="000000"/>
                      <w:kern w:val="2"/>
                      <w:sz w:val="21"/>
                      <w:szCs w:val="21"/>
                      <w:highlight w:val="none"/>
                      <w:lang w:val="en-US" w:eastAsia="zh-CN"/>
                    </w:rPr>
                    <w:t>暂存使用</w:t>
                  </w:r>
                  <w:r>
                    <w:rPr>
                      <w:rFonts w:hint="default" w:ascii="宋体" w:hAnsi="宋体" w:eastAsia="宋体" w:cs="宋体"/>
                      <w:color w:val="000000"/>
                      <w:kern w:val="2"/>
                      <w:sz w:val="21"/>
                      <w:szCs w:val="21"/>
                      <w:highlight w:val="none"/>
                      <w:lang w:val="en-US" w:eastAsia="zh-CN"/>
                    </w:rPr>
                    <w:t>，</w:t>
                  </w:r>
                  <w:r>
                    <w:rPr>
                      <w:rFonts w:hint="eastAsia" w:ascii="宋体" w:hAnsi="宋体" w:cs="宋体"/>
                      <w:color w:val="000000"/>
                      <w:kern w:val="2"/>
                      <w:sz w:val="21"/>
                      <w:szCs w:val="21"/>
                      <w:highlight w:val="none"/>
                      <w:lang w:val="en-US" w:eastAsia="zh-CN" w:bidi="ar-SA"/>
                    </w:rPr>
                    <w:t>故依托可行。</w:t>
                  </w:r>
                </w:p>
              </w:tc>
            </w:tr>
            <w:tr w14:paraId="6567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4" w:type="pct"/>
                  <w:vMerge w:val="continue"/>
                  <w:tcBorders>
                    <w:tl2br w:val="nil"/>
                    <w:tr2bl w:val="nil"/>
                  </w:tcBorders>
                  <w:noWrap/>
                  <w:tcMar>
                    <w:top w:w="57" w:type="dxa"/>
                    <w:left w:w="57" w:type="dxa"/>
                    <w:bottom w:w="57" w:type="dxa"/>
                    <w:right w:w="57" w:type="dxa"/>
                  </w:tcMar>
                  <w:vAlign w:val="center"/>
                </w:tcPr>
                <w:p w14:paraId="6D05A7B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485" w:type="pct"/>
                  <w:tcBorders>
                    <w:tl2br w:val="nil"/>
                    <w:tr2bl w:val="nil"/>
                  </w:tcBorders>
                  <w:noWrap/>
                  <w:tcMar>
                    <w:top w:w="57" w:type="dxa"/>
                    <w:left w:w="57" w:type="dxa"/>
                    <w:bottom w:w="57" w:type="dxa"/>
                    <w:right w:w="57" w:type="dxa"/>
                  </w:tcMar>
                  <w:vAlign w:val="center"/>
                </w:tcPr>
                <w:p w14:paraId="27652D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宋体" w:hAnsi="宋体" w:eastAsia="宋体" w:cs="宋体"/>
                      <w:color w:val="000000"/>
                      <w:kern w:val="2"/>
                      <w:sz w:val="21"/>
                      <w:szCs w:val="21"/>
                      <w:highlight w:val="none"/>
                      <w:lang w:val="en-US" w:eastAsia="zh-CN"/>
                    </w:rPr>
                    <w:t>地下水、土壤</w:t>
                  </w:r>
                </w:p>
              </w:tc>
              <w:tc>
                <w:tcPr>
                  <w:tcW w:w="2078" w:type="pct"/>
                  <w:tcBorders>
                    <w:tl2br w:val="nil"/>
                    <w:tr2bl w:val="nil"/>
                  </w:tcBorders>
                  <w:noWrap/>
                  <w:tcMar>
                    <w:top w:w="57" w:type="dxa"/>
                    <w:left w:w="57" w:type="dxa"/>
                    <w:bottom w:w="57" w:type="dxa"/>
                    <w:right w:w="57" w:type="dxa"/>
                  </w:tcMar>
                  <w:vAlign w:val="center"/>
                </w:tcPr>
                <w:p w14:paraId="72AB4A0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default" w:ascii="宋体" w:hAnsi="宋体" w:eastAsia="宋体" w:cs="宋体"/>
                      <w:color w:val="000000"/>
                      <w:kern w:val="2"/>
                      <w:sz w:val="21"/>
                      <w:szCs w:val="21"/>
                      <w:highlight w:val="none"/>
                      <w:lang w:val="en-US" w:eastAsia="zh-CN"/>
                    </w:rPr>
                    <w:t>化粪池、</w:t>
                  </w:r>
                  <w:r>
                    <w:rPr>
                      <w:rFonts w:hint="eastAsia" w:ascii="宋体" w:hAnsi="宋体" w:eastAsia="宋体" w:cs="宋体"/>
                      <w:color w:val="000000"/>
                      <w:kern w:val="2"/>
                      <w:sz w:val="21"/>
                      <w:szCs w:val="21"/>
                      <w:highlight w:val="none"/>
                      <w:lang w:val="en-US" w:eastAsia="zh-CN"/>
                    </w:rPr>
                    <w:t>危废</w:t>
                  </w:r>
                  <w:r>
                    <w:rPr>
                      <w:rFonts w:hint="default" w:ascii="宋体" w:hAnsi="宋体" w:eastAsia="宋体" w:cs="宋体"/>
                      <w:color w:val="000000"/>
                      <w:kern w:val="2"/>
                      <w:sz w:val="21"/>
                      <w:szCs w:val="21"/>
                      <w:highlight w:val="none"/>
                      <w:lang w:val="en-US" w:eastAsia="zh-CN"/>
                    </w:rPr>
                    <w:t>暂存间</w:t>
                  </w:r>
                  <w:r>
                    <w:rPr>
                      <w:rFonts w:hint="eastAsia" w:ascii="宋体" w:hAnsi="宋体" w:cs="宋体"/>
                      <w:color w:val="000000"/>
                      <w:kern w:val="2"/>
                      <w:sz w:val="21"/>
                      <w:szCs w:val="21"/>
                      <w:highlight w:val="none"/>
                      <w:lang w:val="en-US" w:eastAsia="zh-CN"/>
                    </w:rPr>
                    <w:t>、事故应急池等</w:t>
                  </w:r>
                  <w:r>
                    <w:rPr>
                      <w:rFonts w:hint="default" w:ascii="宋体" w:hAnsi="宋体" w:eastAsia="宋体" w:cs="宋体"/>
                      <w:color w:val="000000"/>
                      <w:kern w:val="2"/>
                      <w:sz w:val="21"/>
                      <w:szCs w:val="21"/>
                      <w:highlight w:val="none"/>
                      <w:lang w:val="en-US" w:eastAsia="zh-CN"/>
                    </w:rPr>
                    <w:t>采取</w:t>
                  </w:r>
                  <w:r>
                    <w:rPr>
                      <w:rFonts w:hint="eastAsia" w:ascii="宋体" w:hAnsi="宋体" w:cs="宋体"/>
                      <w:color w:val="000000"/>
                      <w:kern w:val="2"/>
                      <w:sz w:val="21"/>
                      <w:szCs w:val="21"/>
                      <w:highlight w:val="none"/>
                      <w:lang w:val="en-US" w:eastAsia="zh-CN"/>
                    </w:rPr>
                    <w:t>重点</w:t>
                  </w:r>
                  <w:r>
                    <w:rPr>
                      <w:rFonts w:hint="default" w:ascii="宋体" w:hAnsi="宋体" w:eastAsia="宋体" w:cs="宋体"/>
                      <w:color w:val="000000"/>
                      <w:kern w:val="2"/>
                      <w:sz w:val="21"/>
                      <w:szCs w:val="21"/>
                      <w:highlight w:val="none"/>
                      <w:lang w:val="en-US" w:eastAsia="zh-CN"/>
                    </w:rPr>
                    <w:t>防渗措施</w:t>
                  </w:r>
                  <w:r>
                    <w:rPr>
                      <w:rFonts w:hint="eastAsia" w:ascii="宋体" w:hAnsi="宋体" w:cs="宋体"/>
                      <w:color w:val="000000"/>
                      <w:kern w:val="2"/>
                      <w:sz w:val="21"/>
                      <w:szCs w:val="21"/>
                      <w:highlight w:val="none"/>
                      <w:lang w:val="en-US" w:eastAsia="zh-CN"/>
                    </w:rPr>
                    <w:t>，生产车间、成品仓库等区域采取</w:t>
                  </w:r>
                  <w:r>
                    <w:rPr>
                      <w:rFonts w:hint="default" w:ascii="宋体" w:hAnsi="宋体" w:eastAsia="宋体" w:cs="宋体"/>
                      <w:color w:val="000000"/>
                      <w:kern w:val="2"/>
                      <w:sz w:val="21"/>
                      <w:szCs w:val="21"/>
                      <w:highlight w:val="none"/>
                      <w:lang w:val="en-US" w:eastAsia="zh-CN"/>
                    </w:rPr>
                    <w:t>一般防渗</w:t>
                  </w:r>
                  <w:r>
                    <w:rPr>
                      <w:rFonts w:hint="eastAsia" w:ascii="宋体" w:hAnsi="宋体" w:cs="宋体"/>
                      <w:color w:val="000000"/>
                      <w:kern w:val="2"/>
                      <w:sz w:val="21"/>
                      <w:szCs w:val="21"/>
                      <w:highlight w:val="none"/>
                      <w:lang w:val="en-US" w:eastAsia="zh-CN"/>
                    </w:rPr>
                    <w:t>措施。</w:t>
                  </w:r>
                </w:p>
              </w:tc>
              <w:tc>
                <w:tcPr>
                  <w:tcW w:w="2061" w:type="pct"/>
                  <w:tcBorders>
                    <w:tl2br w:val="nil"/>
                    <w:tr2bl w:val="nil"/>
                  </w:tcBorders>
                  <w:shd w:val="clear" w:color="auto" w:fill="auto"/>
                  <w:noWrap/>
                  <w:tcMar>
                    <w:top w:w="57" w:type="dxa"/>
                    <w:left w:w="57" w:type="dxa"/>
                    <w:bottom w:w="57" w:type="dxa"/>
                    <w:right w:w="57" w:type="dxa"/>
                  </w:tcMar>
                  <w:vAlign w:val="center"/>
                </w:tcPr>
                <w:p w14:paraId="4789E23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本次技改扩建不新增可能污染土壤和地下水的原辅材料和工艺，故依托可行。</w:t>
                  </w:r>
                </w:p>
              </w:tc>
            </w:tr>
            <w:tr w14:paraId="05AF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4" w:type="pct"/>
                  <w:vMerge w:val="continue"/>
                  <w:tcBorders>
                    <w:tl2br w:val="nil"/>
                    <w:tr2bl w:val="nil"/>
                  </w:tcBorders>
                  <w:noWrap/>
                  <w:tcMar>
                    <w:top w:w="57" w:type="dxa"/>
                    <w:left w:w="57" w:type="dxa"/>
                    <w:bottom w:w="57" w:type="dxa"/>
                    <w:right w:w="57" w:type="dxa"/>
                  </w:tcMar>
                  <w:vAlign w:val="center"/>
                </w:tcPr>
                <w:p w14:paraId="4BD2EBE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p>
              </w:tc>
              <w:tc>
                <w:tcPr>
                  <w:tcW w:w="485" w:type="pct"/>
                  <w:tcBorders>
                    <w:tl2br w:val="nil"/>
                    <w:tr2bl w:val="nil"/>
                  </w:tcBorders>
                  <w:noWrap/>
                  <w:tcMar>
                    <w:top w:w="57" w:type="dxa"/>
                    <w:left w:w="57" w:type="dxa"/>
                    <w:bottom w:w="57" w:type="dxa"/>
                    <w:right w:w="57" w:type="dxa"/>
                  </w:tcMar>
                  <w:vAlign w:val="center"/>
                </w:tcPr>
                <w:p w14:paraId="7B4A343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环境风险</w:t>
                  </w:r>
                </w:p>
              </w:tc>
              <w:tc>
                <w:tcPr>
                  <w:tcW w:w="2078" w:type="pct"/>
                  <w:tcBorders>
                    <w:tl2br w:val="nil"/>
                    <w:tr2bl w:val="nil"/>
                  </w:tcBorders>
                  <w:noWrap/>
                  <w:tcMar>
                    <w:top w:w="57" w:type="dxa"/>
                    <w:left w:w="57" w:type="dxa"/>
                    <w:bottom w:w="57" w:type="dxa"/>
                    <w:right w:w="57" w:type="dxa"/>
                  </w:tcMar>
                  <w:vAlign w:val="center"/>
                </w:tcPr>
                <w:p w14:paraId="5F6F60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已建成事故应急池、危废暂存间，</w:t>
                  </w:r>
                  <w:r>
                    <w:rPr>
                      <w:rFonts w:hint="default" w:ascii="宋体" w:hAnsi="宋体" w:eastAsia="宋体" w:cs="宋体"/>
                      <w:color w:val="000000"/>
                      <w:kern w:val="2"/>
                      <w:sz w:val="21"/>
                      <w:szCs w:val="21"/>
                      <w:highlight w:val="none"/>
                      <w:lang w:val="en-US" w:eastAsia="zh-CN"/>
                    </w:rPr>
                    <w:t>制定</w:t>
                  </w:r>
                  <w:r>
                    <w:rPr>
                      <w:rFonts w:hint="eastAsia" w:ascii="宋体" w:hAnsi="宋体" w:cs="宋体"/>
                      <w:color w:val="000000"/>
                      <w:kern w:val="2"/>
                      <w:sz w:val="21"/>
                      <w:szCs w:val="21"/>
                      <w:highlight w:val="none"/>
                      <w:lang w:val="en-US" w:eastAsia="zh-CN"/>
                    </w:rPr>
                    <w:t>突发环境事件</w:t>
                  </w:r>
                  <w:r>
                    <w:rPr>
                      <w:rFonts w:hint="default" w:ascii="宋体" w:hAnsi="宋体" w:eastAsia="宋体" w:cs="宋体"/>
                      <w:color w:val="000000"/>
                      <w:kern w:val="2"/>
                      <w:sz w:val="21"/>
                      <w:szCs w:val="21"/>
                      <w:highlight w:val="none"/>
                      <w:lang w:val="en-US" w:eastAsia="zh-CN"/>
                    </w:rPr>
                    <w:t>应急预案</w:t>
                  </w:r>
                  <w:r>
                    <w:rPr>
                      <w:rFonts w:hint="eastAsia" w:ascii="宋体" w:hAnsi="宋体" w:cs="宋体"/>
                      <w:color w:val="000000"/>
                      <w:kern w:val="2"/>
                      <w:sz w:val="21"/>
                      <w:szCs w:val="21"/>
                      <w:highlight w:val="none"/>
                      <w:lang w:val="en-US" w:eastAsia="zh-CN"/>
                    </w:rPr>
                    <w:t>并定期演练</w:t>
                  </w:r>
                  <w:r>
                    <w:rPr>
                      <w:rFonts w:hint="default" w:ascii="宋体" w:hAnsi="宋体" w:eastAsia="宋体" w:cs="宋体"/>
                      <w:color w:val="000000"/>
                      <w:kern w:val="2"/>
                      <w:sz w:val="21"/>
                      <w:szCs w:val="21"/>
                      <w:highlight w:val="none"/>
                      <w:lang w:val="en-US" w:eastAsia="zh-CN"/>
                    </w:rPr>
                    <w:t>等</w:t>
                  </w:r>
                  <w:r>
                    <w:rPr>
                      <w:rFonts w:hint="eastAsia" w:ascii="宋体" w:hAnsi="宋体" w:cs="宋体"/>
                      <w:color w:val="000000"/>
                      <w:kern w:val="2"/>
                      <w:sz w:val="21"/>
                      <w:szCs w:val="21"/>
                      <w:highlight w:val="none"/>
                      <w:lang w:val="en-US" w:eastAsia="zh-CN"/>
                    </w:rPr>
                    <w:t>。</w:t>
                  </w:r>
                </w:p>
              </w:tc>
              <w:tc>
                <w:tcPr>
                  <w:tcW w:w="2061" w:type="pct"/>
                  <w:tcBorders>
                    <w:tl2br w:val="nil"/>
                    <w:tr2bl w:val="nil"/>
                  </w:tcBorders>
                  <w:noWrap/>
                  <w:tcMar>
                    <w:top w:w="57" w:type="dxa"/>
                    <w:left w:w="57" w:type="dxa"/>
                    <w:bottom w:w="57" w:type="dxa"/>
                    <w:right w:w="57" w:type="dxa"/>
                  </w:tcMar>
                  <w:vAlign w:val="center"/>
                </w:tcPr>
                <w:p w14:paraId="1AB853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bidi="ar-SA"/>
                    </w:rPr>
                    <w:t>本次技改扩建不增加危废产生量，事故应急池容积可以满足事故状态下废水收集的要求，故依托可行。</w:t>
                  </w:r>
                </w:p>
              </w:tc>
            </w:tr>
          </w:tbl>
          <w:p w14:paraId="470FE1F8">
            <w:pPr>
              <w:bidi w:val="0"/>
              <w:rPr>
                <w:rFonts w:hint="eastAsia"/>
                <w:lang w:val="en-US" w:eastAsia="zh-CN"/>
              </w:rPr>
            </w:pPr>
          </w:p>
          <w:p w14:paraId="25B0D986">
            <w:pPr>
              <w:autoSpaceDE w:val="0"/>
              <w:autoSpaceDN w:val="0"/>
              <w:adjustRightInd w:val="0"/>
              <w:snapToGrid w:val="0"/>
              <w:spacing w:line="360" w:lineRule="auto"/>
              <w:jc w:val="both"/>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4、产品方案</w:t>
            </w:r>
          </w:p>
          <w:p w14:paraId="4F4F76E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建设单位主要产品为浓缩机、加药机、振动筛、搅拌桶、矿浆准备器，产品均无固定规格尺寸，根据下游客户订单需求制作，尺寸范围在5m至100m不等。</w:t>
            </w:r>
          </w:p>
          <w:p w14:paraId="2A553427">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其中SN型高效深锥（膏体）浓缩机主要适用于煤炭、化工、冶金以及非金属矿山的精矿、尾矿脱水处理，NZ浓缩机、NXZ型浓缩机、ZYT型高效浓缩机主要适用于煤炭、冶金、化工等稠重料浆的处理，GZN型高效浓缩机主要适用于处理稠重的工业料浆如煤泥水、冶金废水、化工料浆等。加药机主要用于矿山企业污水处理厂中，用于投加絮凝剂、助凝剂等。振动筛主要应用于矿石筛选、砂石分级、煤炭加工、粉末筛分等。搅拌桶主要用于矿山企业污水处理过程中的药剂搅拌混合。矿浆准备器主要用于选煤领域以及其他矿石的浮选前预处理。</w:t>
            </w:r>
          </w:p>
          <w:p w14:paraId="77EE53DE">
            <w:pPr>
              <w:autoSpaceDE w:val="0"/>
              <w:autoSpaceDN w:val="0"/>
              <w:adjustRightInd w:val="0"/>
              <w:snapToGrid w:val="0"/>
              <w:spacing w:line="360" w:lineRule="auto"/>
              <w:ind w:firstLine="480" w:firstLineChars="200"/>
              <w:jc w:val="both"/>
              <w:rPr>
                <w:rFonts w:hint="eastAsia" w:ascii="宋体" w:hAnsi="宋体" w:cs="宋体"/>
                <w:b w:val="0"/>
                <w:bCs w:val="0"/>
                <w:kern w:val="0"/>
                <w:sz w:val="24"/>
                <w:szCs w:val="24"/>
                <w:lang w:val="en-US" w:eastAsia="zh-CN"/>
              </w:rPr>
            </w:pPr>
            <w:r>
              <w:rPr>
                <w:rFonts w:hint="eastAsia"/>
                <w:color w:val="000000"/>
                <w:kern w:val="0"/>
                <w:sz w:val="24"/>
                <w:lang w:val="en-US" w:eastAsia="zh-CN"/>
              </w:rPr>
              <w:t>部分产品如下图所示。</w:t>
            </w:r>
          </w:p>
          <w:tbl>
            <w:tblPr>
              <w:tblStyle w:val="16"/>
              <w:tblW w:w="8204" w:type="dxa"/>
              <w:jc w:val="center"/>
              <w:tblBorders>
                <w:top w:val="dashed" w:color="auto" w:sz="8" w:space="0"/>
                <w:left w:val="dashed" w:color="auto" w:sz="8" w:space="0"/>
                <w:bottom w:val="dashed" w:color="auto" w:sz="8" w:space="0"/>
                <w:right w:val="dashed" w:color="auto" w:sz="8" w:space="0"/>
                <w:insideH w:val="dashed" w:color="auto" w:sz="8" w:space="0"/>
                <w:insideV w:val="dashed" w:color="auto" w:sz="8" w:space="0"/>
              </w:tblBorders>
              <w:tblLayout w:type="fixed"/>
              <w:tblCellMar>
                <w:top w:w="0" w:type="dxa"/>
                <w:left w:w="108" w:type="dxa"/>
                <w:bottom w:w="0" w:type="dxa"/>
                <w:right w:w="108" w:type="dxa"/>
              </w:tblCellMar>
            </w:tblPr>
            <w:tblGrid>
              <w:gridCol w:w="720"/>
              <w:gridCol w:w="3742"/>
              <w:gridCol w:w="3742"/>
            </w:tblGrid>
            <w:tr w14:paraId="6FE53E4C">
              <w:tblPrEx>
                <w:tblBorders>
                  <w:top w:val="dashed" w:color="auto" w:sz="8" w:space="0"/>
                  <w:left w:val="dashed" w:color="auto" w:sz="8" w:space="0"/>
                  <w:bottom w:val="dashed" w:color="auto" w:sz="8" w:space="0"/>
                  <w:right w:val="dashed" w:color="auto" w:sz="8" w:space="0"/>
                  <w:insideH w:val="dashed" w:color="auto" w:sz="8" w:space="0"/>
                  <w:insideV w:val="dashed" w:color="auto" w:sz="8" w:space="0"/>
                </w:tblBorders>
                <w:tblCellMar>
                  <w:top w:w="0" w:type="dxa"/>
                  <w:left w:w="108" w:type="dxa"/>
                  <w:bottom w:w="0" w:type="dxa"/>
                  <w:right w:w="108" w:type="dxa"/>
                </w:tblCellMar>
              </w:tblPrEx>
              <w:trPr>
                <w:jc w:val="center"/>
              </w:trPr>
              <w:tc>
                <w:tcPr>
                  <w:tcW w:w="720" w:type="dxa"/>
                  <w:vMerge w:val="restart"/>
                  <w:tcBorders>
                    <w:tl2br w:val="nil"/>
                    <w:tr2bl w:val="nil"/>
                  </w:tcBorders>
                  <w:vAlign w:val="center"/>
                </w:tcPr>
                <w:p w14:paraId="653372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olor w:val="000000"/>
                      <w:kern w:val="0"/>
                      <w:sz w:val="21"/>
                      <w:szCs w:val="21"/>
                      <w:lang w:val="en-US" w:eastAsia="zh-CN"/>
                    </w:rPr>
                  </w:pPr>
                  <w:r>
                    <w:rPr>
                      <w:rFonts w:hint="eastAsia" w:ascii="Times New Roman" w:hAnsi="Times New Roman" w:eastAsia="宋体"/>
                      <w:color w:val="000000"/>
                      <w:kern w:val="0"/>
                      <w:sz w:val="21"/>
                      <w:szCs w:val="21"/>
                      <w:lang w:val="en-US" w:eastAsia="zh-CN"/>
                    </w:rPr>
                    <w:t>浓缩机</w:t>
                  </w:r>
                </w:p>
              </w:tc>
              <w:tc>
                <w:tcPr>
                  <w:tcW w:w="3742" w:type="dxa"/>
                  <w:tcBorders>
                    <w:tl2br w:val="nil"/>
                    <w:tr2bl w:val="nil"/>
                  </w:tcBorders>
                  <w:vAlign w:val="center"/>
                </w:tcPr>
                <w:p w14:paraId="46128B90">
                  <w:pPr>
                    <w:autoSpaceDE w:val="0"/>
                    <w:autoSpaceDN w:val="0"/>
                    <w:adjustRightInd w:val="0"/>
                    <w:snapToGrid w:val="0"/>
                    <w:spacing w:line="360" w:lineRule="auto"/>
                    <w:jc w:val="center"/>
                  </w:pPr>
                  <w:r>
                    <w:drawing>
                      <wp:inline distT="0" distB="0" distL="114300" distR="114300">
                        <wp:extent cx="2101850" cy="2101850"/>
                        <wp:effectExtent l="0" t="0" r="1270" b="1270"/>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10"/>
                                <a:stretch>
                                  <a:fillRect/>
                                </a:stretch>
                              </pic:blipFill>
                              <pic:spPr>
                                <a:xfrm>
                                  <a:off x="0" y="0"/>
                                  <a:ext cx="2101850" cy="2101850"/>
                                </a:xfrm>
                                <a:prstGeom prst="rect">
                                  <a:avLst/>
                                </a:prstGeom>
                                <a:noFill/>
                                <a:ln>
                                  <a:noFill/>
                                </a:ln>
                              </pic:spPr>
                            </pic:pic>
                          </a:graphicData>
                        </a:graphic>
                      </wp:inline>
                    </w:drawing>
                  </w:r>
                </w:p>
                <w:p w14:paraId="53E10006">
                  <w:pPr>
                    <w:autoSpaceDE w:val="0"/>
                    <w:autoSpaceDN w:val="0"/>
                    <w:adjustRightInd w:val="0"/>
                    <w:snapToGrid w:val="0"/>
                    <w:spacing w:line="360" w:lineRule="auto"/>
                    <w:jc w:val="center"/>
                    <w:rPr>
                      <w:rFonts w:hint="eastAsia" w:ascii="宋体" w:hAnsi="宋体" w:cs="宋体"/>
                      <w:b w:val="0"/>
                      <w:bCs w:val="0"/>
                      <w:kern w:val="0"/>
                      <w:sz w:val="24"/>
                      <w:szCs w:val="24"/>
                      <w:vertAlign w:val="baseline"/>
                      <w:lang w:val="en-US" w:eastAsia="zh-CN"/>
                    </w:rPr>
                  </w:pPr>
                  <w:r>
                    <w:rPr>
                      <w:rFonts w:hint="eastAsia"/>
                    </w:rPr>
                    <w:t>SN型高效深锥浓缩机</w:t>
                  </w:r>
                </w:p>
              </w:tc>
              <w:tc>
                <w:tcPr>
                  <w:tcW w:w="3742" w:type="dxa"/>
                  <w:tcBorders>
                    <w:tl2br w:val="nil"/>
                    <w:tr2bl w:val="nil"/>
                  </w:tcBorders>
                  <w:vAlign w:val="center"/>
                </w:tcPr>
                <w:p w14:paraId="12CE190F">
                  <w:pPr>
                    <w:autoSpaceDE w:val="0"/>
                    <w:autoSpaceDN w:val="0"/>
                    <w:adjustRightInd w:val="0"/>
                    <w:snapToGrid w:val="0"/>
                    <w:spacing w:line="360" w:lineRule="auto"/>
                    <w:jc w:val="center"/>
                    <w:rPr>
                      <w:rFonts w:hint="eastAsia" w:ascii="宋体" w:hAnsi="宋体" w:cs="宋体"/>
                      <w:b w:val="0"/>
                      <w:bCs w:val="0"/>
                      <w:kern w:val="0"/>
                      <w:sz w:val="24"/>
                      <w:szCs w:val="24"/>
                      <w:vertAlign w:val="baseline"/>
                      <w:lang w:val="en-US" w:eastAsia="zh-CN"/>
                    </w:rPr>
                  </w:pPr>
                  <w:r>
                    <w:drawing>
                      <wp:inline distT="0" distB="0" distL="114300" distR="114300">
                        <wp:extent cx="2208530" cy="2208530"/>
                        <wp:effectExtent l="0" t="0" r="1270" b="1270"/>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11"/>
                                <a:stretch>
                                  <a:fillRect/>
                                </a:stretch>
                              </pic:blipFill>
                              <pic:spPr>
                                <a:xfrm>
                                  <a:off x="0" y="0"/>
                                  <a:ext cx="2208530" cy="2208530"/>
                                </a:xfrm>
                                <a:prstGeom prst="rect">
                                  <a:avLst/>
                                </a:prstGeom>
                                <a:noFill/>
                                <a:ln>
                                  <a:noFill/>
                                </a:ln>
                              </pic:spPr>
                            </pic:pic>
                          </a:graphicData>
                        </a:graphic>
                      </wp:inline>
                    </w:drawing>
                  </w:r>
                  <w:r>
                    <w:rPr>
                      <w:rFonts w:hint="eastAsia"/>
                    </w:rPr>
                    <w:t>NXZ型浓缩机</w:t>
                  </w:r>
                </w:p>
              </w:tc>
            </w:tr>
            <w:tr w14:paraId="69BFFA50">
              <w:tblPrEx>
                <w:tblBorders>
                  <w:top w:val="dashed" w:color="auto" w:sz="8" w:space="0"/>
                  <w:left w:val="dashed" w:color="auto" w:sz="8" w:space="0"/>
                  <w:bottom w:val="dashed" w:color="auto" w:sz="8" w:space="0"/>
                  <w:right w:val="dashed" w:color="auto" w:sz="8" w:space="0"/>
                  <w:insideH w:val="dashed" w:color="auto" w:sz="8" w:space="0"/>
                  <w:insideV w:val="dashed" w:color="auto" w:sz="8" w:space="0"/>
                </w:tblBorders>
                <w:tblCellMar>
                  <w:top w:w="0" w:type="dxa"/>
                  <w:left w:w="108" w:type="dxa"/>
                  <w:bottom w:w="0" w:type="dxa"/>
                  <w:right w:w="108" w:type="dxa"/>
                </w:tblCellMar>
              </w:tblPrEx>
              <w:trPr>
                <w:jc w:val="center"/>
              </w:trPr>
              <w:tc>
                <w:tcPr>
                  <w:tcW w:w="720" w:type="dxa"/>
                  <w:vMerge w:val="continue"/>
                  <w:tcBorders>
                    <w:tl2br w:val="nil"/>
                    <w:tr2bl w:val="nil"/>
                  </w:tcBorders>
                  <w:vAlign w:val="center"/>
                </w:tcPr>
                <w:p w14:paraId="77D9BA6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olor w:val="000000"/>
                      <w:kern w:val="0"/>
                      <w:sz w:val="21"/>
                      <w:szCs w:val="21"/>
                      <w:lang w:val="en-US" w:eastAsia="zh-CN"/>
                    </w:rPr>
                  </w:pPr>
                </w:p>
              </w:tc>
              <w:tc>
                <w:tcPr>
                  <w:tcW w:w="3742" w:type="dxa"/>
                  <w:tcBorders>
                    <w:tl2br w:val="nil"/>
                    <w:tr2bl w:val="nil"/>
                  </w:tcBorders>
                  <w:vAlign w:val="center"/>
                </w:tcPr>
                <w:p w14:paraId="341203F3">
                  <w:pPr>
                    <w:autoSpaceDE w:val="0"/>
                    <w:autoSpaceDN w:val="0"/>
                    <w:adjustRightInd w:val="0"/>
                    <w:snapToGrid w:val="0"/>
                    <w:spacing w:line="360" w:lineRule="auto"/>
                    <w:jc w:val="center"/>
                  </w:pPr>
                  <w:r>
                    <w:drawing>
                      <wp:inline distT="0" distB="0" distL="114300" distR="114300">
                        <wp:extent cx="2235200" cy="2235200"/>
                        <wp:effectExtent l="0" t="0" r="5080" b="5080"/>
                        <wp:docPr id="2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
                                <pic:cNvPicPr>
                                  <a:picLocks noChangeAspect="1"/>
                                </pic:cNvPicPr>
                              </pic:nvPicPr>
                              <pic:blipFill>
                                <a:blip r:embed="rId12"/>
                                <a:stretch>
                                  <a:fillRect/>
                                </a:stretch>
                              </pic:blipFill>
                              <pic:spPr>
                                <a:xfrm>
                                  <a:off x="0" y="0"/>
                                  <a:ext cx="2235200" cy="2235200"/>
                                </a:xfrm>
                                <a:prstGeom prst="rect">
                                  <a:avLst/>
                                </a:prstGeom>
                                <a:noFill/>
                                <a:ln>
                                  <a:noFill/>
                                </a:ln>
                              </pic:spPr>
                            </pic:pic>
                          </a:graphicData>
                        </a:graphic>
                      </wp:inline>
                    </w:drawing>
                  </w:r>
                </w:p>
                <w:p w14:paraId="498A8652">
                  <w:pPr>
                    <w:autoSpaceDE w:val="0"/>
                    <w:autoSpaceDN w:val="0"/>
                    <w:adjustRightInd w:val="0"/>
                    <w:snapToGrid w:val="0"/>
                    <w:spacing w:line="360" w:lineRule="auto"/>
                    <w:jc w:val="center"/>
                    <w:rPr>
                      <w:rFonts w:hint="eastAsia" w:ascii="宋体" w:hAnsi="宋体" w:cs="宋体"/>
                      <w:b w:val="0"/>
                      <w:bCs w:val="0"/>
                      <w:kern w:val="0"/>
                      <w:sz w:val="24"/>
                      <w:szCs w:val="24"/>
                      <w:vertAlign w:val="baseline"/>
                      <w:lang w:val="en-US" w:eastAsia="zh-CN"/>
                    </w:rPr>
                  </w:pPr>
                  <w:r>
                    <w:rPr>
                      <w:rFonts w:hint="eastAsia"/>
                      <w:lang w:val="en-US" w:eastAsia="zh-CN"/>
                    </w:rPr>
                    <w:t>ZYT型高效浓缩机</w:t>
                  </w:r>
                </w:p>
              </w:tc>
              <w:tc>
                <w:tcPr>
                  <w:tcW w:w="3742" w:type="dxa"/>
                  <w:tcBorders>
                    <w:tl2br w:val="nil"/>
                    <w:tr2bl w:val="nil"/>
                  </w:tcBorders>
                  <w:vAlign w:val="center"/>
                </w:tcPr>
                <w:p w14:paraId="5C8F171E">
                  <w:pPr>
                    <w:autoSpaceDE w:val="0"/>
                    <w:autoSpaceDN w:val="0"/>
                    <w:adjustRightInd w:val="0"/>
                    <w:snapToGrid w:val="0"/>
                    <w:spacing w:line="360" w:lineRule="auto"/>
                    <w:jc w:val="both"/>
                    <w:rPr>
                      <w:rFonts w:hint="eastAsia" w:ascii="宋体" w:hAnsi="宋体" w:cs="宋体"/>
                      <w:b w:val="0"/>
                      <w:bCs w:val="0"/>
                      <w:kern w:val="0"/>
                      <w:sz w:val="24"/>
                      <w:szCs w:val="24"/>
                      <w:vertAlign w:val="baseline"/>
                      <w:lang w:val="en-US" w:eastAsia="zh-CN"/>
                    </w:rPr>
                  </w:pPr>
                  <w:r>
                    <w:drawing>
                      <wp:inline distT="0" distB="0" distL="114300" distR="114300">
                        <wp:extent cx="2235200" cy="2235200"/>
                        <wp:effectExtent l="0" t="0" r="5080" b="5080"/>
                        <wp:docPr id="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
                                <pic:cNvPicPr>
                                  <a:picLocks noChangeAspect="1"/>
                                </pic:cNvPicPr>
                              </pic:nvPicPr>
                              <pic:blipFill>
                                <a:blip r:embed="rId13"/>
                                <a:stretch>
                                  <a:fillRect/>
                                </a:stretch>
                              </pic:blipFill>
                              <pic:spPr>
                                <a:xfrm>
                                  <a:off x="0" y="0"/>
                                  <a:ext cx="2235200" cy="2235200"/>
                                </a:xfrm>
                                <a:prstGeom prst="rect">
                                  <a:avLst/>
                                </a:prstGeom>
                                <a:noFill/>
                                <a:ln>
                                  <a:noFill/>
                                </a:ln>
                              </pic:spPr>
                            </pic:pic>
                          </a:graphicData>
                        </a:graphic>
                      </wp:inline>
                    </w:drawing>
                  </w:r>
                </w:p>
                <w:p w14:paraId="5779C07F">
                  <w:pPr>
                    <w:autoSpaceDE w:val="0"/>
                    <w:autoSpaceDN w:val="0"/>
                    <w:adjustRightInd w:val="0"/>
                    <w:snapToGrid w:val="0"/>
                    <w:spacing w:line="360" w:lineRule="auto"/>
                    <w:jc w:val="center"/>
                    <w:rPr>
                      <w:rFonts w:hint="eastAsia" w:ascii="宋体" w:hAnsi="宋体" w:cs="宋体"/>
                      <w:b w:val="0"/>
                      <w:bCs w:val="0"/>
                      <w:kern w:val="0"/>
                      <w:sz w:val="24"/>
                      <w:szCs w:val="24"/>
                      <w:vertAlign w:val="baseline"/>
                      <w:lang w:val="en-US" w:eastAsia="zh-CN"/>
                    </w:rPr>
                  </w:pPr>
                  <w:r>
                    <w:rPr>
                      <w:rFonts w:hint="eastAsia"/>
                      <w:lang w:val="en-US" w:eastAsia="zh-CN"/>
                    </w:rPr>
                    <w:t>GZN型高效浓缩机</w:t>
                  </w:r>
                </w:p>
              </w:tc>
            </w:tr>
            <w:tr w14:paraId="080DDB40">
              <w:tblPrEx>
                <w:tblBorders>
                  <w:top w:val="dashed" w:color="auto" w:sz="8" w:space="0"/>
                  <w:left w:val="dashed" w:color="auto" w:sz="8" w:space="0"/>
                  <w:bottom w:val="dashed" w:color="auto" w:sz="8" w:space="0"/>
                  <w:right w:val="dashed" w:color="auto" w:sz="8" w:space="0"/>
                  <w:insideH w:val="dashed" w:color="auto" w:sz="8" w:space="0"/>
                  <w:insideV w:val="dashed" w:color="auto" w:sz="8" w:space="0"/>
                </w:tblBorders>
                <w:tblCellMar>
                  <w:top w:w="0" w:type="dxa"/>
                  <w:left w:w="108" w:type="dxa"/>
                  <w:bottom w:w="0" w:type="dxa"/>
                  <w:right w:w="108" w:type="dxa"/>
                </w:tblCellMar>
              </w:tblPrEx>
              <w:trPr>
                <w:jc w:val="center"/>
              </w:trPr>
              <w:tc>
                <w:tcPr>
                  <w:tcW w:w="720" w:type="dxa"/>
                  <w:tcBorders>
                    <w:tl2br w:val="nil"/>
                    <w:tr2bl w:val="nil"/>
                  </w:tcBorders>
                  <w:vAlign w:val="center"/>
                </w:tcPr>
                <w:p w14:paraId="6C730C7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加药机</w:t>
                  </w:r>
                </w:p>
              </w:tc>
              <w:tc>
                <w:tcPr>
                  <w:tcW w:w="3742" w:type="dxa"/>
                  <w:tcBorders>
                    <w:tl2br w:val="nil"/>
                    <w:tr2bl w:val="nil"/>
                  </w:tcBorders>
                  <w:vAlign w:val="center"/>
                </w:tcPr>
                <w:p w14:paraId="5245EBEC">
                  <w:pPr>
                    <w:autoSpaceDE w:val="0"/>
                    <w:autoSpaceDN w:val="0"/>
                    <w:adjustRightInd w:val="0"/>
                    <w:snapToGrid w:val="0"/>
                    <w:spacing w:line="360" w:lineRule="auto"/>
                    <w:jc w:val="center"/>
                    <w:rPr>
                      <w:rFonts w:hint="eastAsia"/>
                      <w:lang w:val="en-US" w:eastAsia="zh-CN"/>
                    </w:rPr>
                  </w:pPr>
                  <w:r>
                    <w:drawing>
                      <wp:inline distT="0" distB="0" distL="114300" distR="114300">
                        <wp:extent cx="2235200" cy="2235200"/>
                        <wp:effectExtent l="0" t="0" r="5080"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2235200" cy="2235200"/>
                                </a:xfrm>
                                <a:prstGeom prst="rect">
                                  <a:avLst/>
                                </a:prstGeom>
                                <a:noFill/>
                                <a:ln>
                                  <a:noFill/>
                                </a:ln>
                              </pic:spPr>
                            </pic:pic>
                          </a:graphicData>
                        </a:graphic>
                      </wp:inline>
                    </w:drawing>
                  </w:r>
                  <w:r>
                    <w:rPr>
                      <w:rFonts w:hint="eastAsia"/>
                    </w:rPr>
                    <w:t>ZJY型加药机</w:t>
                  </w:r>
                </w:p>
              </w:tc>
              <w:tc>
                <w:tcPr>
                  <w:tcW w:w="3742" w:type="dxa"/>
                  <w:tcBorders>
                    <w:tl2br w:val="nil"/>
                    <w:tr2bl w:val="nil"/>
                  </w:tcBorders>
                  <w:vAlign w:val="center"/>
                </w:tcPr>
                <w:p w14:paraId="300FC6B8">
                  <w:pPr>
                    <w:autoSpaceDE w:val="0"/>
                    <w:autoSpaceDN w:val="0"/>
                    <w:adjustRightInd w:val="0"/>
                    <w:snapToGrid w:val="0"/>
                    <w:spacing w:line="360" w:lineRule="auto"/>
                    <w:jc w:val="center"/>
                    <w:rPr>
                      <w:rFonts w:hint="default"/>
                      <w:lang w:val="en-US" w:eastAsia="zh-CN"/>
                    </w:rPr>
                  </w:pPr>
                  <w:r>
                    <w:rPr>
                      <w:rFonts w:hint="eastAsia"/>
                      <w:lang w:val="en-US" w:eastAsia="zh-CN"/>
                    </w:rPr>
                    <w:drawing>
                      <wp:inline distT="0" distB="0" distL="114300" distR="114300">
                        <wp:extent cx="2235200" cy="2235200"/>
                        <wp:effectExtent l="0" t="0" r="5080" b="5080"/>
                        <wp:docPr id="252" name="图片 252" descr="20200911162759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202009111627599062"/>
                                <pic:cNvPicPr>
                                  <a:picLocks noChangeAspect="1"/>
                                </pic:cNvPicPr>
                              </pic:nvPicPr>
                              <pic:blipFill>
                                <a:blip r:embed="rId15"/>
                                <a:stretch>
                                  <a:fillRect/>
                                </a:stretch>
                              </pic:blipFill>
                              <pic:spPr>
                                <a:xfrm>
                                  <a:off x="0" y="0"/>
                                  <a:ext cx="2235200" cy="2235200"/>
                                </a:xfrm>
                                <a:prstGeom prst="rect">
                                  <a:avLst/>
                                </a:prstGeom>
                              </pic:spPr>
                            </pic:pic>
                          </a:graphicData>
                        </a:graphic>
                      </wp:inline>
                    </w:drawing>
                  </w:r>
                  <w:r>
                    <w:rPr>
                      <w:rFonts w:hint="eastAsia"/>
                      <w:lang w:val="en-US" w:eastAsia="zh-CN"/>
                    </w:rPr>
                    <w:t>ZSC型加药机</w:t>
                  </w:r>
                </w:p>
              </w:tc>
            </w:tr>
            <w:tr w14:paraId="30DD3703">
              <w:tblPrEx>
                <w:tblBorders>
                  <w:top w:val="dashed" w:color="auto" w:sz="8" w:space="0"/>
                  <w:left w:val="dashed" w:color="auto" w:sz="8" w:space="0"/>
                  <w:bottom w:val="dashed" w:color="auto" w:sz="8" w:space="0"/>
                  <w:right w:val="dashed" w:color="auto" w:sz="8" w:space="0"/>
                  <w:insideH w:val="dashed" w:color="auto" w:sz="8" w:space="0"/>
                  <w:insideV w:val="dashed" w:color="auto" w:sz="8" w:space="0"/>
                </w:tblBorders>
                <w:tblCellMar>
                  <w:top w:w="0" w:type="dxa"/>
                  <w:left w:w="108" w:type="dxa"/>
                  <w:bottom w:w="0" w:type="dxa"/>
                  <w:right w:w="108" w:type="dxa"/>
                </w:tblCellMar>
              </w:tblPrEx>
              <w:trPr>
                <w:jc w:val="center"/>
              </w:trPr>
              <w:tc>
                <w:tcPr>
                  <w:tcW w:w="720" w:type="dxa"/>
                  <w:tcBorders>
                    <w:tl2br w:val="nil"/>
                    <w:tr2bl w:val="nil"/>
                  </w:tcBorders>
                  <w:vAlign w:val="center"/>
                </w:tcPr>
                <w:p w14:paraId="49998F1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振动筛</w:t>
                  </w:r>
                </w:p>
              </w:tc>
              <w:tc>
                <w:tcPr>
                  <w:tcW w:w="3742" w:type="dxa"/>
                  <w:tcBorders>
                    <w:tl2br w:val="nil"/>
                    <w:tr2bl w:val="nil"/>
                  </w:tcBorders>
                  <w:vAlign w:val="center"/>
                </w:tcPr>
                <w:p w14:paraId="7D82915D">
                  <w:pPr>
                    <w:autoSpaceDE w:val="0"/>
                    <w:autoSpaceDN w:val="0"/>
                    <w:adjustRightInd w:val="0"/>
                    <w:snapToGrid w:val="0"/>
                    <w:spacing w:line="360" w:lineRule="auto"/>
                    <w:jc w:val="center"/>
                    <w:rPr>
                      <w:rFonts w:hint="eastAsia"/>
                      <w:lang w:val="en-US" w:eastAsia="zh-CN"/>
                    </w:rPr>
                  </w:pPr>
                  <w:r>
                    <w:rPr>
                      <w:rFonts w:hint="eastAsia"/>
                      <w:lang w:val="en-US" w:eastAsia="zh-CN"/>
                    </w:rPr>
                    <w:drawing>
                      <wp:inline distT="0" distB="0" distL="114300" distR="114300">
                        <wp:extent cx="2235835" cy="1677670"/>
                        <wp:effectExtent l="0" t="0" r="4445" b="13970"/>
                        <wp:docPr id="254" name="图片 254" descr="c69b1a939868d4c9740d58d3c817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c69b1a939868d4c9740d58d3c8173474"/>
                                <pic:cNvPicPr>
                                  <a:picLocks noChangeAspect="1"/>
                                </pic:cNvPicPr>
                              </pic:nvPicPr>
                              <pic:blipFill>
                                <a:blip r:embed="rId16"/>
                                <a:stretch>
                                  <a:fillRect/>
                                </a:stretch>
                              </pic:blipFill>
                              <pic:spPr>
                                <a:xfrm>
                                  <a:off x="0" y="0"/>
                                  <a:ext cx="2235835" cy="1677670"/>
                                </a:xfrm>
                                <a:prstGeom prst="rect">
                                  <a:avLst/>
                                </a:prstGeom>
                              </pic:spPr>
                            </pic:pic>
                          </a:graphicData>
                        </a:graphic>
                      </wp:inline>
                    </w:drawing>
                  </w:r>
                </w:p>
              </w:tc>
              <w:tc>
                <w:tcPr>
                  <w:tcW w:w="3742" w:type="dxa"/>
                  <w:tcBorders>
                    <w:tl2br w:val="nil"/>
                    <w:tr2bl w:val="nil"/>
                  </w:tcBorders>
                  <w:vAlign w:val="center"/>
                </w:tcPr>
                <w:p w14:paraId="2DB1F028">
                  <w:pPr>
                    <w:autoSpaceDE w:val="0"/>
                    <w:autoSpaceDN w:val="0"/>
                    <w:adjustRightInd w:val="0"/>
                    <w:snapToGrid w:val="0"/>
                    <w:spacing w:line="360" w:lineRule="auto"/>
                    <w:jc w:val="center"/>
                    <w:rPr>
                      <w:rFonts w:hint="eastAsia"/>
                      <w:lang w:val="en-US" w:eastAsia="zh-CN"/>
                    </w:rPr>
                  </w:pPr>
                  <w:r>
                    <w:rPr>
                      <w:rFonts w:hint="eastAsia"/>
                      <w:lang w:val="en-US" w:eastAsia="zh-CN"/>
                    </w:rPr>
                    <w:drawing>
                      <wp:inline distT="0" distB="0" distL="114300" distR="114300">
                        <wp:extent cx="2233295" cy="1922780"/>
                        <wp:effectExtent l="0" t="0" r="0" b="0"/>
                        <wp:docPr id="253" name="图片 253" descr="192cd96e22eb14c1869d8cdf9f3a4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192cd96e22eb14c1869d8cdf9f3a425e"/>
                                <pic:cNvPicPr>
                                  <a:picLocks noChangeAspect="1"/>
                                </pic:cNvPicPr>
                              </pic:nvPicPr>
                              <pic:blipFill>
                                <a:blip r:embed="rId17"/>
                                <a:srcRect t="11348" b="24061"/>
                                <a:stretch>
                                  <a:fillRect/>
                                </a:stretch>
                              </pic:blipFill>
                              <pic:spPr>
                                <a:xfrm>
                                  <a:off x="0" y="0"/>
                                  <a:ext cx="2233295" cy="1922780"/>
                                </a:xfrm>
                                <a:prstGeom prst="rect">
                                  <a:avLst/>
                                </a:prstGeom>
                              </pic:spPr>
                            </pic:pic>
                          </a:graphicData>
                        </a:graphic>
                      </wp:inline>
                    </w:drawing>
                  </w:r>
                </w:p>
              </w:tc>
            </w:tr>
            <w:tr w14:paraId="519ACA0B">
              <w:tblPrEx>
                <w:tblBorders>
                  <w:top w:val="dashed" w:color="auto" w:sz="8" w:space="0"/>
                  <w:left w:val="dashed" w:color="auto" w:sz="8" w:space="0"/>
                  <w:bottom w:val="dashed" w:color="auto" w:sz="8" w:space="0"/>
                  <w:right w:val="dashed" w:color="auto" w:sz="8" w:space="0"/>
                  <w:insideH w:val="dashed" w:color="auto" w:sz="8" w:space="0"/>
                  <w:insideV w:val="dashed" w:color="auto" w:sz="8" w:space="0"/>
                </w:tblBorders>
                <w:tblCellMar>
                  <w:top w:w="0" w:type="dxa"/>
                  <w:left w:w="108" w:type="dxa"/>
                  <w:bottom w:w="0" w:type="dxa"/>
                  <w:right w:w="108" w:type="dxa"/>
                </w:tblCellMar>
              </w:tblPrEx>
              <w:trPr>
                <w:jc w:val="center"/>
              </w:trPr>
              <w:tc>
                <w:tcPr>
                  <w:tcW w:w="720" w:type="dxa"/>
                  <w:tcBorders>
                    <w:tl2br w:val="nil"/>
                    <w:tr2bl w:val="nil"/>
                  </w:tcBorders>
                  <w:vAlign w:val="center"/>
                </w:tcPr>
                <w:p w14:paraId="46F699F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搅拌桶</w:t>
                  </w:r>
                </w:p>
              </w:tc>
              <w:tc>
                <w:tcPr>
                  <w:tcW w:w="7484" w:type="dxa"/>
                  <w:gridSpan w:val="2"/>
                  <w:tcBorders>
                    <w:tl2br w:val="nil"/>
                    <w:tr2bl w:val="nil"/>
                  </w:tcBorders>
                  <w:vAlign w:val="center"/>
                </w:tcPr>
                <w:p w14:paraId="273AE5D6">
                  <w:pPr>
                    <w:autoSpaceDE w:val="0"/>
                    <w:autoSpaceDN w:val="0"/>
                    <w:adjustRightInd w:val="0"/>
                    <w:snapToGrid w:val="0"/>
                    <w:spacing w:line="360" w:lineRule="auto"/>
                    <w:jc w:val="center"/>
                    <w:rPr>
                      <w:rFonts w:hint="eastAsia"/>
                      <w:lang w:val="en-US" w:eastAsia="zh-CN"/>
                    </w:rPr>
                  </w:pPr>
                  <w:r>
                    <w:drawing>
                      <wp:inline distT="0" distB="0" distL="114300" distR="114300">
                        <wp:extent cx="2999740" cy="3858895"/>
                        <wp:effectExtent l="0" t="0" r="2540" b="12065"/>
                        <wp:docPr id="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
                                <pic:cNvPicPr>
                                  <a:picLocks noChangeAspect="1"/>
                                </pic:cNvPicPr>
                              </pic:nvPicPr>
                              <pic:blipFill>
                                <a:blip r:embed="rId18"/>
                                <a:stretch>
                                  <a:fillRect/>
                                </a:stretch>
                              </pic:blipFill>
                              <pic:spPr>
                                <a:xfrm>
                                  <a:off x="0" y="0"/>
                                  <a:ext cx="2999740" cy="3858895"/>
                                </a:xfrm>
                                <a:prstGeom prst="rect">
                                  <a:avLst/>
                                </a:prstGeom>
                                <a:noFill/>
                                <a:ln>
                                  <a:noFill/>
                                </a:ln>
                              </pic:spPr>
                            </pic:pic>
                          </a:graphicData>
                        </a:graphic>
                      </wp:inline>
                    </w:drawing>
                  </w:r>
                </w:p>
              </w:tc>
            </w:tr>
            <w:tr w14:paraId="55D01E9E">
              <w:tblPrEx>
                <w:tblBorders>
                  <w:top w:val="dashed" w:color="auto" w:sz="8" w:space="0"/>
                  <w:left w:val="dashed" w:color="auto" w:sz="8" w:space="0"/>
                  <w:bottom w:val="dashed" w:color="auto" w:sz="8" w:space="0"/>
                  <w:right w:val="dashed" w:color="auto" w:sz="8" w:space="0"/>
                  <w:insideH w:val="dashed" w:color="auto" w:sz="8" w:space="0"/>
                  <w:insideV w:val="dashed" w:color="auto" w:sz="8" w:space="0"/>
                </w:tblBorders>
                <w:tblCellMar>
                  <w:top w:w="0" w:type="dxa"/>
                  <w:left w:w="108" w:type="dxa"/>
                  <w:bottom w:w="0" w:type="dxa"/>
                  <w:right w:w="108" w:type="dxa"/>
                </w:tblCellMar>
              </w:tblPrEx>
              <w:trPr>
                <w:jc w:val="center"/>
              </w:trPr>
              <w:tc>
                <w:tcPr>
                  <w:tcW w:w="720" w:type="dxa"/>
                  <w:tcBorders>
                    <w:tl2br w:val="nil"/>
                    <w:tr2bl w:val="nil"/>
                  </w:tcBorders>
                  <w:vAlign w:val="center"/>
                </w:tcPr>
                <w:p w14:paraId="0AE4CEA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矿浆准备器</w:t>
                  </w:r>
                </w:p>
              </w:tc>
              <w:tc>
                <w:tcPr>
                  <w:tcW w:w="7484" w:type="dxa"/>
                  <w:gridSpan w:val="2"/>
                  <w:tcBorders>
                    <w:tl2br w:val="nil"/>
                    <w:tr2bl w:val="nil"/>
                  </w:tcBorders>
                  <w:vAlign w:val="center"/>
                </w:tcPr>
                <w:p w14:paraId="6519D437">
                  <w:pPr>
                    <w:autoSpaceDE w:val="0"/>
                    <w:autoSpaceDN w:val="0"/>
                    <w:adjustRightInd w:val="0"/>
                    <w:snapToGrid w:val="0"/>
                    <w:spacing w:line="360" w:lineRule="auto"/>
                    <w:jc w:val="center"/>
                    <w:rPr>
                      <w:rFonts w:hint="eastAsia"/>
                      <w:lang w:val="en-US" w:eastAsia="zh-CN"/>
                    </w:rPr>
                  </w:pPr>
                  <w:r>
                    <w:rPr>
                      <w:rFonts w:hint="eastAsia"/>
                      <w:lang w:val="en-US" w:eastAsia="zh-CN"/>
                    </w:rPr>
                    <w:drawing>
                      <wp:inline distT="0" distB="0" distL="114300" distR="114300">
                        <wp:extent cx="3767455" cy="3776345"/>
                        <wp:effectExtent l="0" t="0" r="12065" b="3175"/>
                        <wp:docPr id="256" name="图片 256" descr="5dea5bc24692e3600c262a2405dfe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5dea5bc24692e3600c262a2405dfe65a"/>
                                <pic:cNvPicPr>
                                  <a:picLocks noChangeAspect="1"/>
                                </pic:cNvPicPr>
                              </pic:nvPicPr>
                              <pic:blipFill>
                                <a:blip r:embed="rId19"/>
                                <a:stretch>
                                  <a:fillRect/>
                                </a:stretch>
                              </pic:blipFill>
                              <pic:spPr>
                                <a:xfrm>
                                  <a:off x="0" y="0"/>
                                  <a:ext cx="3767455" cy="3776345"/>
                                </a:xfrm>
                                <a:prstGeom prst="rect">
                                  <a:avLst/>
                                </a:prstGeom>
                              </pic:spPr>
                            </pic:pic>
                          </a:graphicData>
                        </a:graphic>
                      </wp:inline>
                    </w:drawing>
                  </w:r>
                </w:p>
              </w:tc>
            </w:tr>
          </w:tbl>
          <w:p w14:paraId="49A1A937">
            <w:pPr>
              <w:bidi w:val="0"/>
              <w:rPr>
                <w:rFonts w:hint="eastAsia"/>
                <w:lang w:val="en-US" w:eastAsia="zh-CN"/>
              </w:rPr>
            </w:pPr>
          </w:p>
          <w:p w14:paraId="2AB31109">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建设单位主要产品及生产规模见下表。</w:t>
            </w:r>
          </w:p>
          <w:p w14:paraId="49F2956C">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ascii="宋体" w:hAnsi="宋体" w:cs="宋体"/>
                <w:b w:val="0"/>
                <w:bCs w:val="0"/>
                <w:kern w:val="0"/>
                <w:sz w:val="24"/>
                <w:szCs w:val="24"/>
                <w:lang w:val="en-US" w:eastAsia="zh-CN"/>
              </w:rPr>
            </w:pPr>
            <w:r>
              <w:rPr>
                <w:rFonts w:hint="default" w:ascii="宋体" w:hAnsi="宋体" w:eastAsia="宋体" w:cs="宋体"/>
                <w:b/>
                <w:bCs/>
                <w:sz w:val="22"/>
                <w:szCs w:val="22"/>
                <w:lang w:val="en-US" w:eastAsia="zh-CN"/>
              </w:rPr>
              <w:t>表</w:t>
            </w:r>
            <w:r>
              <w:rPr>
                <w:rFonts w:hint="eastAsia" w:ascii="Times New Roman" w:hAnsi="Times New Roman" w:eastAsia="宋体" w:cs="Times New Roman"/>
                <w:b/>
                <w:bCs/>
                <w:sz w:val="22"/>
                <w:szCs w:val="22"/>
                <w:lang w:val="en-US" w:eastAsia="zh-CN"/>
              </w:rPr>
              <w:t>2-</w:t>
            </w:r>
            <w:r>
              <w:rPr>
                <w:rFonts w:hint="eastAsia" w:cs="Times New Roman"/>
                <w:b/>
                <w:bCs/>
                <w:sz w:val="22"/>
                <w:szCs w:val="22"/>
                <w:lang w:val="en-US" w:eastAsia="zh-CN"/>
              </w:rPr>
              <w:t>3</w:t>
            </w:r>
            <w:r>
              <w:rPr>
                <w:rFonts w:hint="default" w:ascii="宋体" w:hAnsi="宋体" w:eastAsia="宋体" w:cs="宋体"/>
                <w:b/>
                <w:bCs/>
                <w:sz w:val="22"/>
                <w:szCs w:val="22"/>
                <w:lang w:val="en-US" w:eastAsia="zh-CN"/>
              </w:rPr>
              <w:t xml:space="preserve">  </w:t>
            </w:r>
            <w:r>
              <w:rPr>
                <w:rFonts w:hint="eastAsia" w:ascii="宋体" w:hAnsi="宋体" w:cs="宋体"/>
                <w:b/>
                <w:bCs/>
                <w:sz w:val="22"/>
                <w:szCs w:val="22"/>
                <w:lang w:val="en-US" w:eastAsia="zh-CN"/>
              </w:rPr>
              <w:t>建设单位</w:t>
            </w:r>
            <w:r>
              <w:rPr>
                <w:rFonts w:hint="eastAsia" w:ascii="宋体" w:hAnsi="宋体" w:eastAsia="宋体" w:cs="宋体"/>
                <w:b/>
                <w:bCs/>
                <w:sz w:val="22"/>
                <w:szCs w:val="22"/>
                <w:lang w:val="en-US" w:eastAsia="zh-CN"/>
              </w:rPr>
              <w:t>产品方案</w:t>
            </w:r>
            <w:r>
              <w:rPr>
                <w:rFonts w:hint="default" w:ascii="Times New Roman" w:hAnsi="Times New Roman" w:eastAsia="宋体" w:cs="Times New Roman"/>
                <w:b/>
                <w:bCs/>
                <w:sz w:val="22"/>
                <w:szCs w:val="22"/>
                <w:lang w:val="en-US" w:eastAsia="zh-CN"/>
              </w:rPr>
              <w:t>一览表</w:t>
            </w:r>
          </w:p>
          <w:tbl>
            <w:tblPr>
              <w:tblStyle w:val="15"/>
              <w:tblW w:w="8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67"/>
              <w:gridCol w:w="1672"/>
              <w:gridCol w:w="1188"/>
              <w:gridCol w:w="1344"/>
              <w:gridCol w:w="1728"/>
              <w:gridCol w:w="1740"/>
            </w:tblGrid>
            <w:tr w14:paraId="1DB6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344" w:type="pct"/>
                  <w:noWrap w:val="0"/>
                  <w:vAlign w:val="center"/>
                </w:tcPr>
                <w:p w14:paraId="777B35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b/>
                      <w:bCs/>
                      <w:color w:val="000000"/>
                      <w:kern w:val="0"/>
                      <w:sz w:val="22"/>
                      <w:szCs w:val="22"/>
                      <w:lang w:val="en-US" w:eastAsia="zh-CN"/>
                    </w:rPr>
                  </w:pPr>
                  <w:r>
                    <w:rPr>
                      <w:rFonts w:hint="eastAsia" w:ascii="Times New Roman" w:hAnsi="Times New Roman" w:eastAsia="宋体"/>
                      <w:b/>
                      <w:bCs/>
                      <w:color w:val="000000"/>
                      <w:kern w:val="0"/>
                      <w:sz w:val="22"/>
                      <w:szCs w:val="22"/>
                      <w:lang w:val="en-US" w:eastAsia="zh-CN"/>
                    </w:rPr>
                    <w:t>序号</w:t>
                  </w:r>
                </w:p>
              </w:tc>
              <w:tc>
                <w:tcPr>
                  <w:tcW w:w="1014" w:type="pct"/>
                  <w:noWrap w:val="0"/>
                  <w:vAlign w:val="center"/>
                </w:tcPr>
                <w:p w14:paraId="6A3E72A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b/>
                      <w:bCs/>
                      <w:color w:val="000000"/>
                      <w:kern w:val="0"/>
                      <w:sz w:val="22"/>
                      <w:szCs w:val="22"/>
                      <w:lang w:val="en-US" w:eastAsia="zh-CN"/>
                    </w:rPr>
                  </w:pPr>
                  <w:r>
                    <w:rPr>
                      <w:rFonts w:hint="eastAsia" w:ascii="Times New Roman" w:hAnsi="Times New Roman" w:eastAsia="宋体"/>
                      <w:b/>
                      <w:bCs/>
                      <w:color w:val="000000"/>
                      <w:kern w:val="0"/>
                      <w:sz w:val="22"/>
                      <w:szCs w:val="22"/>
                      <w:lang w:val="en-US" w:eastAsia="zh-CN"/>
                    </w:rPr>
                    <w:t>产品名称</w:t>
                  </w:r>
                </w:p>
              </w:tc>
              <w:tc>
                <w:tcPr>
                  <w:tcW w:w="720" w:type="pct"/>
                  <w:noWrap w:val="0"/>
                  <w:vAlign w:val="center"/>
                </w:tcPr>
                <w:p w14:paraId="3694D8C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b/>
                      <w:bCs/>
                      <w:color w:val="000000"/>
                      <w:kern w:val="0"/>
                      <w:sz w:val="22"/>
                      <w:szCs w:val="22"/>
                      <w:lang w:val="en-US" w:eastAsia="zh-CN"/>
                    </w:rPr>
                  </w:pPr>
                  <w:r>
                    <w:rPr>
                      <w:rFonts w:hint="eastAsia" w:ascii="Times New Roman" w:hAnsi="Times New Roman" w:eastAsia="宋体"/>
                      <w:b/>
                      <w:bCs/>
                      <w:color w:val="000000"/>
                      <w:kern w:val="0"/>
                      <w:sz w:val="22"/>
                      <w:szCs w:val="22"/>
                      <w:lang w:val="en-US" w:eastAsia="zh-CN"/>
                    </w:rPr>
                    <w:t>计量单位</w:t>
                  </w:r>
                </w:p>
              </w:tc>
              <w:tc>
                <w:tcPr>
                  <w:tcW w:w="815" w:type="pct"/>
                  <w:noWrap w:val="0"/>
                  <w:vAlign w:val="center"/>
                </w:tcPr>
                <w:p w14:paraId="6549473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原项目产能</w:t>
                  </w:r>
                </w:p>
              </w:tc>
              <w:tc>
                <w:tcPr>
                  <w:tcW w:w="1048" w:type="pct"/>
                  <w:noWrap w:val="0"/>
                  <w:vAlign w:val="center"/>
                </w:tcPr>
                <w:p w14:paraId="198C00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技改新增产能</w:t>
                  </w:r>
                </w:p>
              </w:tc>
              <w:tc>
                <w:tcPr>
                  <w:tcW w:w="1055" w:type="pct"/>
                  <w:noWrap w:val="0"/>
                  <w:vAlign w:val="center"/>
                </w:tcPr>
                <w:p w14:paraId="3D1522A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技改后全厂产能</w:t>
                  </w:r>
                </w:p>
              </w:tc>
            </w:tr>
            <w:tr w14:paraId="5F3B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4" w:type="pct"/>
                  <w:noWrap w:val="0"/>
                  <w:vAlign w:val="center"/>
                </w:tcPr>
                <w:p w14:paraId="3841F57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olor w:val="000000"/>
                      <w:kern w:val="0"/>
                      <w:sz w:val="21"/>
                      <w:szCs w:val="21"/>
                      <w:lang w:val="en-US" w:eastAsia="zh-CN"/>
                    </w:rPr>
                  </w:pPr>
                  <w:r>
                    <w:rPr>
                      <w:rFonts w:hint="eastAsia" w:ascii="Times New Roman" w:hAnsi="Times New Roman" w:eastAsia="宋体"/>
                      <w:color w:val="000000"/>
                      <w:kern w:val="0"/>
                      <w:sz w:val="21"/>
                      <w:szCs w:val="21"/>
                      <w:lang w:val="en-US" w:eastAsia="zh-CN"/>
                    </w:rPr>
                    <w:t>1</w:t>
                  </w:r>
                </w:p>
              </w:tc>
              <w:tc>
                <w:tcPr>
                  <w:tcW w:w="1014" w:type="pct"/>
                  <w:shd w:val="clear" w:color="auto" w:fill="auto"/>
                  <w:noWrap w:val="0"/>
                  <w:vAlign w:val="center"/>
                </w:tcPr>
                <w:p w14:paraId="2F486DE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olor w:val="000000"/>
                      <w:kern w:val="0"/>
                      <w:sz w:val="21"/>
                      <w:szCs w:val="21"/>
                      <w:lang w:val="en-US" w:eastAsia="zh-CN"/>
                    </w:rPr>
                  </w:pPr>
                  <w:r>
                    <w:rPr>
                      <w:rFonts w:hint="eastAsia" w:ascii="Times New Roman" w:hAnsi="Times New Roman" w:eastAsia="宋体"/>
                      <w:color w:val="000000"/>
                      <w:kern w:val="0"/>
                      <w:sz w:val="21"/>
                      <w:szCs w:val="21"/>
                      <w:lang w:val="en-US" w:eastAsia="zh-CN"/>
                    </w:rPr>
                    <w:t>浓缩机</w:t>
                  </w:r>
                </w:p>
              </w:tc>
              <w:tc>
                <w:tcPr>
                  <w:tcW w:w="720" w:type="pct"/>
                  <w:shd w:val="clear" w:color="auto" w:fill="auto"/>
                  <w:noWrap w:val="0"/>
                  <w:vAlign w:val="center"/>
                </w:tcPr>
                <w:p w14:paraId="345CE0C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台/年</w:t>
                  </w:r>
                </w:p>
              </w:tc>
              <w:tc>
                <w:tcPr>
                  <w:tcW w:w="815" w:type="pct"/>
                  <w:shd w:val="clear" w:color="auto" w:fill="auto"/>
                  <w:noWrap w:val="0"/>
                  <w:vAlign w:val="center"/>
                </w:tcPr>
                <w:p w14:paraId="35F8B1F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80</w:t>
                  </w:r>
                </w:p>
              </w:tc>
              <w:tc>
                <w:tcPr>
                  <w:tcW w:w="1048" w:type="pct"/>
                  <w:shd w:val="clear" w:color="auto" w:fill="auto"/>
                  <w:noWrap w:val="0"/>
                  <w:vAlign w:val="center"/>
                </w:tcPr>
                <w:p w14:paraId="66E2B7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0</w:t>
                  </w:r>
                </w:p>
              </w:tc>
              <w:tc>
                <w:tcPr>
                  <w:tcW w:w="1055" w:type="pct"/>
                  <w:shd w:val="clear" w:color="auto" w:fill="auto"/>
                  <w:noWrap w:val="0"/>
                  <w:vAlign w:val="center"/>
                </w:tcPr>
                <w:p w14:paraId="2490E51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olor w:val="000000"/>
                      <w:kern w:val="0"/>
                      <w:sz w:val="21"/>
                      <w:szCs w:val="21"/>
                      <w:lang w:val="en-US" w:eastAsia="zh-CN"/>
                    </w:rPr>
                    <w:t>80</w:t>
                  </w:r>
                </w:p>
              </w:tc>
            </w:tr>
            <w:tr w14:paraId="6270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4" w:type="pct"/>
                  <w:noWrap w:val="0"/>
                  <w:vAlign w:val="center"/>
                </w:tcPr>
                <w:p w14:paraId="60CEC57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2</w:t>
                  </w:r>
                </w:p>
              </w:tc>
              <w:tc>
                <w:tcPr>
                  <w:tcW w:w="1014" w:type="pct"/>
                  <w:shd w:val="clear" w:color="auto" w:fill="auto"/>
                  <w:noWrap w:val="0"/>
                  <w:vAlign w:val="center"/>
                </w:tcPr>
                <w:p w14:paraId="7AC3FAD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加药机</w:t>
                  </w:r>
                </w:p>
              </w:tc>
              <w:tc>
                <w:tcPr>
                  <w:tcW w:w="720" w:type="pct"/>
                  <w:shd w:val="clear" w:color="auto" w:fill="auto"/>
                  <w:noWrap w:val="0"/>
                  <w:vAlign w:val="center"/>
                </w:tcPr>
                <w:p w14:paraId="15B4545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台/年</w:t>
                  </w:r>
                </w:p>
              </w:tc>
              <w:tc>
                <w:tcPr>
                  <w:tcW w:w="815" w:type="pct"/>
                  <w:shd w:val="clear" w:color="auto" w:fill="auto"/>
                  <w:noWrap w:val="0"/>
                  <w:vAlign w:val="center"/>
                </w:tcPr>
                <w:p w14:paraId="2BE6E82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60</w:t>
                  </w:r>
                </w:p>
              </w:tc>
              <w:tc>
                <w:tcPr>
                  <w:tcW w:w="1048" w:type="pct"/>
                  <w:shd w:val="clear" w:color="auto" w:fill="auto"/>
                  <w:noWrap w:val="0"/>
                  <w:vAlign w:val="center"/>
                </w:tcPr>
                <w:p w14:paraId="17A8184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0</w:t>
                  </w:r>
                </w:p>
              </w:tc>
              <w:tc>
                <w:tcPr>
                  <w:tcW w:w="1055" w:type="pct"/>
                  <w:shd w:val="clear" w:color="auto" w:fill="auto"/>
                  <w:noWrap w:val="0"/>
                  <w:vAlign w:val="center"/>
                </w:tcPr>
                <w:p w14:paraId="2B4A322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color w:val="000000"/>
                      <w:kern w:val="0"/>
                      <w:sz w:val="21"/>
                      <w:szCs w:val="21"/>
                      <w:lang w:val="en-US" w:eastAsia="zh-CN"/>
                    </w:rPr>
                    <w:t>60</w:t>
                  </w:r>
                </w:p>
              </w:tc>
            </w:tr>
            <w:tr w14:paraId="39D4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4" w:type="pct"/>
                  <w:noWrap w:val="0"/>
                  <w:vAlign w:val="center"/>
                </w:tcPr>
                <w:p w14:paraId="218F75B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3</w:t>
                  </w:r>
                </w:p>
              </w:tc>
              <w:tc>
                <w:tcPr>
                  <w:tcW w:w="1014" w:type="pct"/>
                  <w:shd w:val="clear" w:color="auto" w:fill="auto"/>
                  <w:noWrap w:val="0"/>
                  <w:vAlign w:val="center"/>
                </w:tcPr>
                <w:p w14:paraId="123671C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振动筛</w:t>
                  </w:r>
                </w:p>
              </w:tc>
              <w:tc>
                <w:tcPr>
                  <w:tcW w:w="720" w:type="pct"/>
                  <w:shd w:val="clear" w:color="auto" w:fill="auto"/>
                  <w:noWrap w:val="0"/>
                  <w:vAlign w:val="center"/>
                </w:tcPr>
                <w:p w14:paraId="124E7DF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台/年</w:t>
                  </w:r>
                </w:p>
              </w:tc>
              <w:tc>
                <w:tcPr>
                  <w:tcW w:w="815" w:type="pct"/>
                  <w:shd w:val="clear" w:color="auto" w:fill="auto"/>
                  <w:noWrap w:val="0"/>
                  <w:vAlign w:val="center"/>
                </w:tcPr>
                <w:p w14:paraId="246D9AD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20</w:t>
                  </w:r>
                </w:p>
              </w:tc>
              <w:tc>
                <w:tcPr>
                  <w:tcW w:w="1048" w:type="pct"/>
                  <w:shd w:val="clear" w:color="auto" w:fill="auto"/>
                  <w:noWrap w:val="0"/>
                  <w:vAlign w:val="center"/>
                </w:tcPr>
                <w:p w14:paraId="3AE4C1B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0</w:t>
                  </w:r>
                </w:p>
              </w:tc>
              <w:tc>
                <w:tcPr>
                  <w:tcW w:w="1055" w:type="pct"/>
                  <w:shd w:val="clear" w:color="auto" w:fill="auto"/>
                  <w:noWrap w:val="0"/>
                  <w:vAlign w:val="center"/>
                </w:tcPr>
                <w:p w14:paraId="4678280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color w:val="000000"/>
                      <w:kern w:val="0"/>
                      <w:sz w:val="21"/>
                      <w:szCs w:val="21"/>
                      <w:lang w:val="en-US" w:eastAsia="zh-CN"/>
                    </w:rPr>
                    <w:t>20</w:t>
                  </w:r>
                </w:p>
              </w:tc>
            </w:tr>
            <w:tr w14:paraId="0542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4" w:type="pct"/>
                  <w:noWrap w:val="0"/>
                  <w:vAlign w:val="center"/>
                </w:tcPr>
                <w:p w14:paraId="0B32ADF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4</w:t>
                  </w:r>
                </w:p>
              </w:tc>
              <w:tc>
                <w:tcPr>
                  <w:tcW w:w="1014" w:type="pct"/>
                  <w:shd w:val="clear" w:color="auto" w:fill="auto"/>
                  <w:noWrap w:val="0"/>
                  <w:vAlign w:val="center"/>
                </w:tcPr>
                <w:p w14:paraId="0741841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搅拌桶</w:t>
                  </w:r>
                </w:p>
              </w:tc>
              <w:tc>
                <w:tcPr>
                  <w:tcW w:w="720" w:type="pct"/>
                  <w:shd w:val="clear" w:color="auto" w:fill="auto"/>
                  <w:noWrap w:val="0"/>
                  <w:vAlign w:val="center"/>
                </w:tcPr>
                <w:p w14:paraId="5A7B287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台/年</w:t>
                  </w:r>
                </w:p>
              </w:tc>
              <w:tc>
                <w:tcPr>
                  <w:tcW w:w="815" w:type="pct"/>
                  <w:shd w:val="clear" w:color="auto" w:fill="auto"/>
                  <w:noWrap w:val="0"/>
                  <w:vAlign w:val="center"/>
                </w:tcPr>
                <w:p w14:paraId="6736728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20</w:t>
                  </w:r>
                </w:p>
              </w:tc>
              <w:tc>
                <w:tcPr>
                  <w:tcW w:w="1048" w:type="pct"/>
                  <w:shd w:val="clear" w:color="auto" w:fill="auto"/>
                  <w:noWrap w:val="0"/>
                  <w:vAlign w:val="center"/>
                </w:tcPr>
                <w:p w14:paraId="44D494D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0</w:t>
                  </w:r>
                </w:p>
              </w:tc>
              <w:tc>
                <w:tcPr>
                  <w:tcW w:w="1055" w:type="pct"/>
                  <w:shd w:val="clear" w:color="auto" w:fill="auto"/>
                  <w:noWrap w:val="0"/>
                  <w:vAlign w:val="center"/>
                </w:tcPr>
                <w:p w14:paraId="37238EE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color w:val="000000"/>
                      <w:kern w:val="0"/>
                      <w:sz w:val="21"/>
                      <w:szCs w:val="21"/>
                      <w:lang w:val="en-US" w:eastAsia="zh-CN"/>
                    </w:rPr>
                    <w:t>20</w:t>
                  </w:r>
                </w:p>
              </w:tc>
            </w:tr>
            <w:tr w14:paraId="352A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4" w:type="pct"/>
                  <w:noWrap w:val="0"/>
                  <w:vAlign w:val="center"/>
                </w:tcPr>
                <w:p w14:paraId="52FACA6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5</w:t>
                  </w:r>
                </w:p>
              </w:tc>
              <w:tc>
                <w:tcPr>
                  <w:tcW w:w="1014" w:type="pct"/>
                  <w:shd w:val="clear" w:color="auto" w:fill="auto"/>
                  <w:noWrap w:val="0"/>
                  <w:vAlign w:val="center"/>
                </w:tcPr>
                <w:p w14:paraId="7A05A64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1"/>
                      <w:szCs w:val="21"/>
                      <w:lang w:val="en-US" w:eastAsia="zh-CN"/>
                    </w:rPr>
                  </w:pPr>
                  <w:r>
                    <w:rPr>
                      <w:rFonts w:hint="eastAsia"/>
                      <w:color w:val="000000"/>
                      <w:kern w:val="0"/>
                      <w:sz w:val="21"/>
                      <w:szCs w:val="21"/>
                      <w:lang w:val="en-US" w:eastAsia="zh-CN"/>
                    </w:rPr>
                    <w:t>矿浆准备器</w:t>
                  </w:r>
                </w:p>
              </w:tc>
              <w:tc>
                <w:tcPr>
                  <w:tcW w:w="720" w:type="pct"/>
                  <w:shd w:val="clear" w:color="auto" w:fill="auto"/>
                  <w:noWrap w:val="0"/>
                  <w:vAlign w:val="center"/>
                </w:tcPr>
                <w:p w14:paraId="5AAAE15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台/年</w:t>
                  </w:r>
                </w:p>
              </w:tc>
              <w:tc>
                <w:tcPr>
                  <w:tcW w:w="815" w:type="pct"/>
                  <w:shd w:val="clear" w:color="auto" w:fill="auto"/>
                  <w:noWrap w:val="0"/>
                  <w:vAlign w:val="center"/>
                </w:tcPr>
                <w:p w14:paraId="7DB7197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10</w:t>
                  </w:r>
                </w:p>
              </w:tc>
              <w:tc>
                <w:tcPr>
                  <w:tcW w:w="1048" w:type="pct"/>
                  <w:shd w:val="clear" w:color="auto" w:fill="auto"/>
                  <w:noWrap w:val="0"/>
                  <w:vAlign w:val="center"/>
                </w:tcPr>
                <w:p w14:paraId="4781048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0</w:t>
                  </w:r>
                </w:p>
              </w:tc>
              <w:tc>
                <w:tcPr>
                  <w:tcW w:w="1055" w:type="pct"/>
                  <w:shd w:val="clear" w:color="auto" w:fill="auto"/>
                  <w:noWrap w:val="0"/>
                  <w:vAlign w:val="center"/>
                </w:tcPr>
                <w:p w14:paraId="0BF4833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color w:val="000000"/>
                      <w:kern w:val="0"/>
                      <w:sz w:val="21"/>
                      <w:szCs w:val="21"/>
                      <w:lang w:val="en-US" w:eastAsia="zh-CN"/>
                    </w:rPr>
                    <w:t>10</w:t>
                  </w:r>
                </w:p>
              </w:tc>
            </w:tr>
          </w:tbl>
          <w:p w14:paraId="0AF4E938">
            <w:pPr>
              <w:bidi w:val="0"/>
              <w:rPr>
                <w:rFonts w:hint="eastAsia"/>
                <w:lang w:val="en-US" w:eastAsia="zh-CN"/>
              </w:rPr>
            </w:pPr>
          </w:p>
          <w:p w14:paraId="46CB13AA">
            <w:pPr>
              <w:autoSpaceDE w:val="0"/>
              <w:autoSpaceDN w:val="0"/>
              <w:adjustRightInd w:val="0"/>
              <w:snapToGrid w:val="0"/>
              <w:spacing w:line="360" w:lineRule="auto"/>
              <w:jc w:val="both"/>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5、设备一览表</w:t>
            </w:r>
          </w:p>
          <w:p w14:paraId="5710C8B1">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厂区内现有及技改后主要生产设备如下表所示。</w:t>
            </w:r>
          </w:p>
          <w:p w14:paraId="014DA189">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ascii="宋体" w:hAnsi="宋体" w:cs="宋体"/>
                <w:b w:val="0"/>
                <w:bCs w:val="0"/>
                <w:kern w:val="0"/>
                <w:sz w:val="24"/>
                <w:szCs w:val="24"/>
                <w:lang w:val="en-US" w:eastAsia="zh-CN"/>
              </w:rPr>
            </w:pPr>
            <w:r>
              <w:rPr>
                <w:rFonts w:hint="default" w:ascii="宋体" w:hAnsi="宋体" w:eastAsia="宋体" w:cs="宋体"/>
                <w:b/>
                <w:bCs/>
                <w:sz w:val="22"/>
                <w:szCs w:val="22"/>
                <w:lang w:val="en-US" w:eastAsia="zh-CN"/>
              </w:rPr>
              <w:t>表</w:t>
            </w:r>
            <w:r>
              <w:rPr>
                <w:rFonts w:hint="eastAsia" w:cs="Times New Roman"/>
                <w:b/>
                <w:bCs/>
                <w:sz w:val="22"/>
                <w:szCs w:val="22"/>
                <w:lang w:val="en-US" w:eastAsia="zh-CN"/>
              </w:rPr>
              <w:t>2-4</w:t>
            </w:r>
            <w:r>
              <w:rPr>
                <w:rFonts w:hint="default" w:ascii="宋体" w:hAnsi="宋体" w:eastAsia="宋体" w:cs="宋体"/>
                <w:b/>
                <w:bCs/>
                <w:sz w:val="22"/>
                <w:szCs w:val="22"/>
                <w:lang w:val="en-US" w:eastAsia="zh-CN"/>
              </w:rPr>
              <w:t xml:space="preserve">  </w:t>
            </w:r>
            <w:r>
              <w:rPr>
                <w:rFonts w:hint="eastAsia" w:ascii="宋体" w:hAnsi="宋体" w:cs="宋体"/>
                <w:b/>
                <w:bCs/>
                <w:sz w:val="22"/>
                <w:szCs w:val="22"/>
                <w:lang w:val="en-US" w:eastAsia="zh-CN"/>
              </w:rPr>
              <w:t>建设单位生产</w:t>
            </w:r>
            <w:r>
              <w:rPr>
                <w:rFonts w:hint="eastAsia" w:ascii="宋体" w:hAnsi="宋体" w:eastAsia="宋体" w:cs="宋体"/>
                <w:b/>
                <w:bCs/>
                <w:sz w:val="22"/>
                <w:szCs w:val="22"/>
                <w:lang w:val="en-US" w:eastAsia="zh-CN"/>
              </w:rPr>
              <w:t>设备</w:t>
            </w:r>
            <w:r>
              <w:rPr>
                <w:rFonts w:hint="default" w:ascii="Times New Roman" w:hAnsi="Times New Roman" w:eastAsia="宋体" w:cs="Times New Roman"/>
                <w:b/>
                <w:bCs/>
                <w:sz w:val="22"/>
                <w:szCs w:val="22"/>
                <w:lang w:val="en-US" w:eastAsia="zh-CN"/>
              </w:rPr>
              <w:t>一览表</w:t>
            </w:r>
          </w:p>
          <w:tbl>
            <w:tblPr>
              <w:tblStyle w:val="15"/>
              <w:tblW w:w="8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922"/>
              <w:gridCol w:w="2868"/>
              <w:gridCol w:w="888"/>
              <w:gridCol w:w="796"/>
            </w:tblGrid>
            <w:tr w14:paraId="1FD8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0F63589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b/>
                      <w:bCs/>
                      <w:color w:val="000000"/>
                      <w:kern w:val="0"/>
                      <w:sz w:val="22"/>
                      <w:szCs w:val="22"/>
                      <w:lang w:val="en-US" w:eastAsia="zh-CN"/>
                    </w:rPr>
                  </w:pPr>
                  <w:r>
                    <w:rPr>
                      <w:rFonts w:hint="eastAsia" w:ascii="Times New Roman" w:hAnsi="Times New Roman" w:eastAsia="宋体"/>
                      <w:b/>
                      <w:bCs/>
                      <w:color w:val="000000"/>
                      <w:kern w:val="0"/>
                      <w:sz w:val="22"/>
                      <w:szCs w:val="22"/>
                      <w:lang w:val="en-US" w:eastAsia="zh-CN"/>
                    </w:rPr>
                    <w:t>序号</w:t>
                  </w:r>
                </w:p>
              </w:tc>
              <w:tc>
                <w:tcPr>
                  <w:tcW w:w="2922" w:type="dxa"/>
                  <w:noWrap w:val="0"/>
                  <w:vAlign w:val="center"/>
                </w:tcPr>
                <w:p w14:paraId="00CEA7A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b/>
                      <w:bCs/>
                      <w:color w:val="000000"/>
                      <w:kern w:val="0"/>
                      <w:sz w:val="22"/>
                      <w:szCs w:val="22"/>
                      <w:lang w:val="en-US" w:eastAsia="zh-CN"/>
                    </w:rPr>
                  </w:pPr>
                  <w:r>
                    <w:rPr>
                      <w:rFonts w:hint="eastAsia" w:ascii="Times New Roman" w:hAnsi="Times New Roman" w:eastAsia="宋体"/>
                      <w:b/>
                      <w:bCs/>
                      <w:color w:val="000000"/>
                      <w:kern w:val="0"/>
                      <w:sz w:val="22"/>
                      <w:szCs w:val="22"/>
                      <w:lang w:val="en-US" w:eastAsia="zh-CN"/>
                    </w:rPr>
                    <w:t>设施名称</w:t>
                  </w:r>
                </w:p>
              </w:tc>
              <w:tc>
                <w:tcPr>
                  <w:tcW w:w="2868" w:type="dxa"/>
                  <w:noWrap w:val="0"/>
                  <w:vAlign w:val="center"/>
                </w:tcPr>
                <w:p w14:paraId="0984CB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b/>
                      <w:bCs/>
                      <w:color w:val="000000"/>
                      <w:kern w:val="0"/>
                      <w:sz w:val="22"/>
                      <w:szCs w:val="22"/>
                      <w:lang w:val="en-US" w:eastAsia="zh-CN"/>
                    </w:rPr>
                  </w:pPr>
                  <w:r>
                    <w:rPr>
                      <w:rFonts w:hint="eastAsia" w:ascii="Times New Roman" w:hAnsi="Times New Roman" w:eastAsia="宋体"/>
                      <w:b/>
                      <w:bCs/>
                      <w:color w:val="000000"/>
                      <w:kern w:val="0"/>
                      <w:sz w:val="22"/>
                      <w:szCs w:val="22"/>
                      <w:lang w:val="en-US" w:eastAsia="zh-CN"/>
                    </w:rPr>
                    <w:t>型号规格</w:t>
                  </w:r>
                </w:p>
              </w:tc>
              <w:tc>
                <w:tcPr>
                  <w:tcW w:w="888" w:type="dxa"/>
                  <w:noWrap w:val="0"/>
                  <w:vAlign w:val="center"/>
                </w:tcPr>
                <w:p w14:paraId="0AC6C67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b/>
                      <w:bCs/>
                      <w:color w:val="000000"/>
                      <w:kern w:val="0"/>
                      <w:sz w:val="22"/>
                      <w:szCs w:val="22"/>
                      <w:lang w:val="en-US" w:eastAsia="zh-CN"/>
                    </w:rPr>
                  </w:pPr>
                  <w:r>
                    <w:rPr>
                      <w:rFonts w:hint="eastAsia" w:ascii="Times New Roman" w:hAnsi="Times New Roman" w:eastAsia="宋体"/>
                      <w:b/>
                      <w:bCs/>
                      <w:color w:val="000000"/>
                      <w:kern w:val="0"/>
                      <w:sz w:val="22"/>
                      <w:szCs w:val="22"/>
                      <w:lang w:val="en-US" w:eastAsia="zh-CN"/>
                    </w:rPr>
                    <w:t>数量</w:t>
                  </w:r>
                </w:p>
              </w:tc>
              <w:tc>
                <w:tcPr>
                  <w:tcW w:w="796" w:type="dxa"/>
                  <w:noWrap w:val="0"/>
                  <w:vAlign w:val="center"/>
                </w:tcPr>
                <w:p w14:paraId="5B87AFD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备注</w:t>
                  </w:r>
                </w:p>
              </w:tc>
            </w:tr>
            <w:tr w14:paraId="250F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32289BA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1</w:t>
                  </w:r>
                </w:p>
              </w:tc>
              <w:tc>
                <w:tcPr>
                  <w:tcW w:w="2922" w:type="dxa"/>
                  <w:shd w:val="clear" w:color="auto" w:fill="auto"/>
                  <w:noWrap w:val="0"/>
                  <w:vAlign w:val="center"/>
                </w:tcPr>
                <w:p w14:paraId="1A17704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双柱立式车床</w:t>
                  </w:r>
                </w:p>
              </w:tc>
              <w:tc>
                <w:tcPr>
                  <w:tcW w:w="2868" w:type="dxa"/>
                  <w:noWrap w:val="0"/>
                  <w:vAlign w:val="center"/>
                </w:tcPr>
                <w:p w14:paraId="30E8C41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C5225Ф2500*1600</w:t>
                  </w:r>
                </w:p>
              </w:tc>
              <w:tc>
                <w:tcPr>
                  <w:tcW w:w="888" w:type="dxa"/>
                  <w:shd w:val="clear" w:color="auto" w:fill="auto"/>
                  <w:noWrap w:val="0"/>
                  <w:vAlign w:val="center"/>
                </w:tcPr>
                <w:p w14:paraId="2462E65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restart"/>
                  <w:noWrap w:val="0"/>
                  <w:vAlign w:val="center"/>
                </w:tcPr>
                <w:p w14:paraId="0FC41C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原有</w:t>
                  </w:r>
                  <w:r>
                    <w:rPr>
                      <w:rFonts w:hint="eastAsia" w:ascii="宋体" w:hAnsi="宋体" w:cs="宋体"/>
                      <w:i w:val="0"/>
                      <w:iCs w:val="0"/>
                      <w:color w:val="000000"/>
                      <w:kern w:val="0"/>
                      <w:sz w:val="21"/>
                      <w:szCs w:val="21"/>
                      <w:u w:val="none"/>
                      <w:lang w:val="en-US" w:eastAsia="zh-CN" w:bidi="ar"/>
                    </w:rPr>
                    <w:t>生产设备</w:t>
                  </w:r>
                </w:p>
              </w:tc>
            </w:tr>
            <w:tr w14:paraId="0EA8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4DD0EB0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2</w:t>
                  </w:r>
                </w:p>
              </w:tc>
              <w:tc>
                <w:tcPr>
                  <w:tcW w:w="2922" w:type="dxa"/>
                  <w:noWrap w:val="0"/>
                  <w:vAlign w:val="center"/>
                </w:tcPr>
                <w:p w14:paraId="1F6F58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100吨单臂油压机</w:t>
                  </w:r>
                </w:p>
              </w:tc>
              <w:tc>
                <w:tcPr>
                  <w:tcW w:w="2868" w:type="dxa"/>
                  <w:noWrap w:val="0"/>
                  <w:vAlign w:val="center"/>
                </w:tcPr>
                <w:p w14:paraId="5164606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Y12600 8000t</w:t>
                  </w:r>
                </w:p>
              </w:tc>
              <w:tc>
                <w:tcPr>
                  <w:tcW w:w="888" w:type="dxa"/>
                  <w:shd w:val="clear" w:color="auto" w:fill="auto"/>
                  <w:noWrap w:val="0"/>
                  <w:vAlign w:val="center"/>
                </w:tcPr>
                <w:p w14:paraId="3E1BAA7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noWrap w:val="0"/>
                  <w:vAlign w:val="center"/>
                </w:tcPr>
                <w:p w14:paraId="09D8A8C5">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000000"/>
                      <w:kern w:val="0"/>
                      <w:sz w:val="21"/>
                      <w:szCs w:val="21"/>
                      <w:lang w:val="en-US" w:eastAsia="zh-CN"/>
                    </w:rPr>
                  </w:pPr>
                </w:p>
              </w:tc>
            </w:tr>
            <w:tr w14:paraId="0404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1833AB3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3</w:t>
                  </w:r>
                </w:p>
              </w:tc>
              <w:tc>
                <w:tcPr>
                  <w:tcW w:w="2922" w:type="dxa"/>
                  <w:shd w:val="clear" w:color="auto" w:fill="auto"/>
                  <w:noWrap w:val="0"/>
                  <w:vAlign w:val="center"/>
                </w:tcPr>
                <w:p w14:paraId="43D4F41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龙门铣床</w:t>
                  </w:r>
                </w:p>
              </w:tc>
              <w:tc>
                <w:tcPr>
                  <w:tcW w:w="2868" w:type="dxa"/>
                  <w:noWrap w:val="0"/>
                  <w:vAlign w:val="center"/>
                </w:tcPr>
                <w:p w14:paraId="6E2022D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X2012 1250*4000</w:t>
                  </w:r>
                </w:p>
              </w:tc>
              <w:tc>
                <w:tcPr>
                  <w:tcW w:w="888" w:type="dxa"/>
                  <w:shd w:val="clear" w:color="auto" w:fill="auto"/>
                  <w:noWrap w:val="0"/>
                  <w:vAlign w:val="center"/>
                </w:tcPr>
                <w:p w14:paraId="01EAB7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2</w:t>
                  </w:r>
                </w:p>
              </w:tc>
              <w:tc>
                <w:tcPr>
                  <w:tcW w:w="796" w:type="dxa"/>
                  <w:vMerge w:val="continue"/>
                  <w:noWrap w:val="0"/>
                  <w:vAlign w:val="center"/>
                </w:tcPr>
                <w:p w14:paraId="342DCF16">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000000"/>
                      <w:kern w:val="0"/>
                      <w:sz w:val="21"/>
                      <w:szCs w:val="21"/>
                      <w:lang w:val="en-US" w:eastAsia="zh-CN"/>
                    </w:rPr>
                  </w:pPr>
                </w:p>
              </w:tc>
            </w:tr>
            <w:tr w14:paraId="58E6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3011C7B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4</w:t>
                  </w:r>
                </w:p>
              </w:tc>
              <w:tc>
                <w:tcPr>
                  <w:tcW w:w="2922" w:type="dxa"/>
                  <w:shd w:val="clear" w:color="auto" w:fill="auto"/>
                  <w:noWrap w:val="0"/>
                  <w:vAlign w:val="center"/>
                </w:tcPr>
                <w:p w14:paraId="4AAD74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卧式镗床</w:t>
                  </w:r>
                </w:p>
              </w:tc>
              <w:tc>
                <w:tcPr>
                  <w:tcW w:w="2868" w:type="dxa"/>
                  <w:noWrap w:val="0"/>
                  <w:vAlign w:val="center"/>
                </w:tcPr>
                <w:p w14:paraId="7083B2E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T617Ф75</w:t>
                  </w:r>
                </w:p>
              </w:tc>
              <w:tc>
                <w:tcPr>
                  <w:tcW w:w="888" w:type="dxa"/>
                  <w:shd w:val="clear" w:color="auto" w:fill="auto"/>
                  <w:noWrap w:val="0"/>
                  <w:vAlign w:val="center"/>
                </w:tcPr>
                <w:p w14:paraId="3F091A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noWrap w:val="0"/>
                  <w:vAlign w:val="center"/>
                </w:tcPr>
                <w:p w14:paraId="0B412618">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000000"/>
                      <w:kern w:val="0"/>
                      <w:sz w:val="21"/>
                      <w:szCs w:val="21"/>
                      <w:lang w:val="en-US" w:eastAsia="zh-CN"/>
                    </w:rPr>
                  </w:pPr>
                </w:p>
              </w:tc>
            </w:tr>
            <w:tr w14:paraId="5C21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4FC8E43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5</w:t>
                  </w:r>
                </w:p>
              </w:tc>
              <w:tc>
                <w:tcPr>
                  <w:tcW w:w="2922" w:type="dxa"/>
                  <w:shd w:val="clear" w:color="auto" w:fill="auto"/>
                  <w:noWrap w:val="0"/>
                  <w:vAlign w:val="center"/>
                </w:tcPr>
                <w:p w14:paraId="66FC9C5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卧式镗床</w:t>
                  </w:r>
                </w:p>
              </w:tc>
              <w:tc>
                <w:tcPr>
                  <w:tcW w:w="2868" w:type="dxa"/>
                  <w:noWrap w:val="0"/>
                  <w:vAlign w:val="center"/>
                </w:tcPr>
                <w:p w14:paraId="0511B69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T611AФ110</w:t>
                  </w:r>
                </w:p>
              </w:tc>
              <w:tc>
                <w:tcPr>
                  <w:tcW w:w="888" w:type="dxa"/>
                  <w:shd w:val="clear" w:color="auto" w:fill="auto"/>
                  <w:noWrap w:val="0"/>
                  <w:vAlign w:val="center"/>
                </w:tcPr>
                <w:p w14:paraId="6D2AD49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noWrap w:val="0"/>
                  <w:vAlign w:val="center"/>
                </w:tcPr>
                <w:p w14:paraId="4E98E13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000000"/>
                      <w:kern w:val="0"/>
                      <w:sz w:val="21"/>
                      <w:szCs w:val="21"/>
                      <w:lang w:val="en-US" w:eastAsia="zh-CN"/>
                    </w:rPr>
                  </w:pPr>
                </w:p>
              </w:tc>
            </w:tr>
            <w:tr w14:paraId="0AF4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7E0613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6</w:t>
                  </w:r>
                </w:p>
              </w:tc>
              <w:tc>
                <w:tcPr>
                  <w:tcW w:w="2922" w:type="dxa"/>
                  <w:shd w:val="clear" w:color="auto" w:fill="auto"/>
                  <w:noWrap w:val="0"/>
                  <w:vAlign w:val="center"/>
                </w:tcPr>
                <w:p w14:paraId="06F57A6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卧式镗床</w:t>
                  </w:r>
                </w:p>
              </w:tc>
              <w:tc>
                <w:tcPr>
                  <w:tcW w:w="2868" w:type="dxa"/>
                  <w:noWrap w:val="0"/>
                  <w:vAlign w:val="center"/>
                </w:tcPr>
                <w:p w14:paraId="1F2B704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T611BФ110</w:t>
                  </w:r>
                </w:p>
              </w:tc>
              <w:tc>
                <w:tcPr>
                  <w:tcW w:w="888" w:type="dxa"/>
                  <w:shd w:val="clear" w:color="auto" w:fill="auto"/>
                  <w:noWrap w:val="0"/>
                  <w:vAlign w:val="center"/>
                </w:tcPr>
                <w:p w14:paraId="5758391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noWrap w:val="0"/>
                  <w:vAlign w:val="center"/>
                </w:tcPr>
                <w:p w14:paraId="3F23E915">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000000"/>
                      <w:kern w:val="0"/>
                      <w:sz w:val="21"/>
                      <w:szCs w:val="21"/>
                      <w:lang w:val="en-US" w:eastAsia="zh-CN"/>
                    </w:rPr>
                  </w:pPr>
                </w:p>
              </w:tc>
            </w:tr>
            <w:tr w14:paraId="7638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503172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7</w:t>
                  </w:r>
                </w:p>
              </w:tc>
              <w:tc>
                <w:tcPr>
                  <w:tcW w:w="2922" w:type="dxa"/>
                  <w:shd w:val="clear" w:color="auto" w:fill="auto"/>
                  <w:noWrap w:val="0"/>
                  <w:vAlign w:val="center"/>
                </w:tcPr>
                <w:p w14:paraId="3B0B58B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卧式镗床</w:t>
                  </w:r>
                </w:p>
              </w:tc>
              <w:tc>
                <w:tcPr>
                  <w:tcW w:w="2868" w:type="dxa"/>
                  <w:noWrap w:val="0"/>
                  <w:vAlign w:val="center"/>
                </w:tcPr>
                <w:p w14:paraId="1BF8815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T6112Ф125</w:t>
                  </w:r>
                </w:p>
              </w:tc>
              <w:tc>
                <w:tcPr>
                  <w:tcW w:w="888" w:type="dxa"/>
                  <w:shd w:val="clear" w:color="auto" w:fill="auto"/>
                  <w:noWrap w:val="0"/>
                  <w:vAlign w:val="center"/>
                </w:tcPr>
                <w:p w14:paraId="673D055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noWrap w:val="0"/>
                  <w:vAlign w:val="center"/>
                </w:tcPr>
                <w:p w14:paraId="72E709E9">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000000"/>
                      <w:kern w:val="0"/>
                      <w:sz w:val="21"/>
                      <w:szCs w:val="21"/>
                      <w:lang w:val="en-US" w:eastAsia="zh-CN"/>
                    </w:rPr>
                  </w:pPr>
                </w:p>
              </w:tc>
            </w:tr>
            <w:tr w14:paraId="2347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2678158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8</w:t>
                  </w:r>
                </w:p>
              </w:tc>
              <w:tc>
                <w:tcPr>
                  <w:tcW w:w="2922" w:type="dxa"/>
                  <w:shd w:val="clear" w:color="auto" w:fill="auto"/>
                  <w:noWrap w:val="0"/>
                  <w:vAlign w:val="center"/>
                </w:tcPr>
                <w:p w14:paraId="0C7ED9A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深孔钻镗床</w:t>
                  </w:r>
                </w:p>
              </w:tc>
              <w:tc>
                <w:tcPr>
                  <w:tcW w:w="2868" w:type="dxa"/>
                  <w:noWrap w:val="0"/>
                  <w:vAlign w:val="center"/>
                </w:tcPr>
                <w:p w14:paraId="3E7637F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T2120 2000</w:t>
                  </w:r>
                </w:p>
              </w:tc>
              <w:tc>
                <w:tcPr>
                  <w:tcW w:w="888" w:type="dxa"/>
                  <w:shd w:val="clear" w:color="auto" w:fill="auto"/>
                  <w:noWrap w:val="0"/>
                  <w:vAlign w:val="center"/>
                </w:tcPr>
                <w:p w14:paraId="703498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noWrap w:val="0"/>
                  <w:vAlign w:val="center"/>
                </w:tcPr>
                <w:p w14:paraId="2975750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000000"/>
                      <w:kern w:val="0"/>
                      <w:sz w:val="21"/>
                      <w:szCs w:val="21"/>
                      <w:lang w:val="en-US" w:eastAsia="zh-CN"/>
                    </w:rPr>
                  </w:pPr>
                </w:p>
              </w:tc>
            </w:tr>
            <w:tr w14:paraId="0BBB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41655F7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9</w:t>
                  </w:r>
                </w:p>
              </w:tc>
              <w:tc>
                <w:tcPr>
                  <w:tcW w:w="2922" w:type="dxa"/>
                  <w:shd w:val="clear" w:color="auto" w:fill="auto"/>
                  <w:noWrap w:val="0"/>
                  <w:vAlign w:val="center"/>
                </w:tcPr>
                <w:p w14:paraId="60EB20F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剪板机</w:t>
                  </w:r>
                </w:p>
              </w:tc>
              <w:tc>
                <w:tcPr>
                  <w:tcW w:w="2868" w:type="dxa"/>
                  <w:shd w:val="clear" w:color="auto" w:fill="auto"/>
                  <w:noWrap w:val="0"/>
                  <w:vAlign w:val="center"/>
                </w:tcPr>
                <w:p w14:paraId="1F81831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Q11-13 2500</w:t>
                  </w:r>
                </w:p>
              </w:tc>
              <w:tc>
                <w:tcPr>
                  <w:tcW w:w="888" w:type="dxa"/>
                  <w:shd w:val="clear" w:color="auto" w:fill="auto"/>
                  <w:noWrap w:val="0"/>
                  <w:vAlign w:val="center"/>
                </w:tcPr>
                <w:p w14:paraId="3275BBF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5D061C17">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02A2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1189CA8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10</w:t>
                  </w:r>
                </w:p>
              </w:tc>
              <w:tc>
                <w:tcPr>
                  <w:tcW w:w="2922" w:type="dxa"/>
                  <w:shd w:val="clear" w:color="auto" w:fill="auto"/>
                  <w:noWrap w:val="0"/>
                  <w:vAlign w:val="center"/>
                </w:tcPr>
                <w:p w14:paraId="4DACEF1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液压剪板机</w:t>
                  </w:r>
                </w:p>
              </w:tc>
              <w:tc>
                <w:tcPr>
                  <w:tcW w:w="2868" w:type="dxa"/>
                  <w:shd w:val="clear" w:color="auto" w:fill="auto"/>
                  <w:noWrap w:val="0"/>
                  <w:vAlign w:val="center"/>
                </w:tcPr>
                <w:p w14:paraId="7BC789A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Q11Y-16 2500B</w:t>
                  </w:r>
                </w:p>
              </w:tc>
              <w:tc>
                <w:tcPr>
                  <w:tcW w:w="888" w:type="dxa"/>
                  <w:shd w:val="clear" w:color="auto" w:fill="auto"/>
                  <w:noWrap w:val="0"/>
                  <w:vAlign w:val="center"/>
                </w:tcPr>
                <w:p w14:paraId="4E7C0B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34B41BC3">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6F26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445A7F7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11</w:t>
                  </w:r>
                </w:p>
              </w:tc>
              <w:tc>
                <w:tcPr>
                  <w:tcW w:w="2922" w:type="dxa"/>
                  <w:shd w:val="clear" w:color="auto" w:fill="auto"/>
                  <w:noWrap w:val="0"/>
                  <w:vAlign w:val="center"/>
                </w:tcPr>
                <w:p w14:paraId="48288D5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拌料剪板机</w:t>
                  </w:r>
                </w:p>
              </w:tc>
              <w:tc>
                <w:tcPr>
                  <w:tcW w:w="2868" w:type="dxa"/>
                  <w:shd w:val="clear" w:color="auto" w:fill="auto"/>
                  <w:noWrap w:val="0"/>
                  <w:vAlign w:val="center"/>
                </w:tcPr>
                <w:p w14:paraId="4CA0249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Q42-500A 500t</w:t>
                  </w:r>
                </w:p>
              </w:tc>
              <w:tc>
                <w:tcPr>
                  <w:tcW w:w="888" w:type="dxa"/>
                  <w:shd w:val="clear" w:color="auto" w:fill="auto"/>
                  <w:noWrap w:val="0"/>
                  <w:vAlign w:val="center"/>
                </w:tcPr>
                <w:p w14:paraId="1971F0F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060758D4">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0F41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4E09853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12</w:t>
                  </w:r>
                </w:p>
              </w:tc>
              <w:tc>
                <w:tcPr>
                  <w:tcW w:w="2922" w:type="dxa"/>
                  <w:shd w:val="clear" w:color="auto" w:fill="auto"/>
                  <w:noWrap w:val="0"/>
                  <w:vAlign w:val="center"/>
                </w:tcPr>
                <w:p w14:paraId="15F28E0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三棍卷管机</w:t>
                  </w:r>
                </w:p>
              </w:tc>
              <w:tc>
                <w:tcPr>
                  <w:tcW w:w="2868" w:type="dxa"/>
                  <w:shd w:val="clear" w:color="auto" w:fill="auto"/>
                  <w:noWrap w:val="0"/>
                  <w:vAlign w:val="center"/>
                </w:tcPr>
                <w:p w14:paraId="0A3DA90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WB11-32 2000</w:t>
                  </w:r>
                </w:p>
              </w:tc>
              <w:tc>
                <w:tcPr>
                  <w:tcW w:w="888" w:type="dxa"/>
                  <w:shd w:val="clear" w:color="auto" w:fill="auto"/>
                  <w:noWrap w:val="0"/>
                  <w:vAlign w:val="center"/>
                </w:tcPr>
                <w:p w14:paraId="513D79B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3</w:t>
                  </w:r>
                </w:p>
              </w:tc>
              <w:tc>
                <w:tcPr>
                  <w:tcW w:w="796" w:type="dxa"/>
                  <w:vMerge w:val="continue"/>
                  <w:shd w:val="clear" w:color="auto" w:fill="auto"/>
                  <w:noWrap w:val="0"/>
                  <w:vAlign w:val="center"/>
                </w:tcPr>
                <w:p w14:paraId="63A1B461">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3EC5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10EEA24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13</w:t>
                  </w:r>
                </w:p>
              </w:tc>
              <w:tc>
                <w:tcPr>
                  <w:tcW w:w="2922" w:type="dxa"/>
                  <w:shd w:val="clear" w:color="auto" w:fill="auto"/>
                  <w:noWrap w:val="0"/>
                  <w:vAlign w:val="center"/>
                </w:tcPr>
                <w:p w14:paraId="377381A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16吨行车</w:t>
                  </w:r>
                </w:p>
              </w:tc>
              <w:tc>
                <w:tcPr>
                  <w:tcW w:w="2868" w:type="dxa"/>
                  <w:shd w:val="clear" w:color="auto" w:fill="auto"/>
                  <w:noWrap w:val="0"/>
                  <w:vAlign w:val="center"/>
                </w:tcPr>
                <w:p w14:paraId="459E9C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w:t>
                  </w:r>
                </w:p>
              </w:tc>
              <w:tc>
                <w:tcPr>
                  <w:tcW w:w="888" w:type="dxa"/>
                  <w:shd w:val="clear" w:color="auto" w:fill="auto"/>
                  <w:noWrap w:val="0"/>
                  <w:vAlign w:val="center"/>
                </w:tcPr>
                <w:p w14:paraId="5D5386F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2</w:t>
                  </w:r>
                </w:p>
              </w:tc>
              <w:tc>
                <w:tcPr>
                  <w:tcW w:w="796" w:type="dxa"/>
                  <w:vMerge w:val="continue"/>
                  <w:shd w:val="clear" w:color="auto" w:fill="auto"/>
                  <w:noWrap w:val="0"/>
                  <w:vAlign w:val="center"/>
                </w:tcPr>
                <w:p w14:paraId="0CE3CDD7">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6EB4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68747E9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14</w:t>
                  </w:r>
                </w:p>
              </w:tc>
              <w:tc>
                <w:tcPr>
                  <w:tcW w:w="2922" w:type="dxa"/>
                  <w:shd w:val="clear" w:color="auto" w:fill="auto"/>
                  <w:noWrap w:val="0"/>
                  <w:vAlign w:val="center"/>
                </w:tcPr>
                <w:p w14:paraId="684282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10吨行车</w:t>
                  </w:r>
                </w:p>
              </w:tc>
              <w:tc>
                <w:tcPr>
                  <w:tcW w:w="2868" w:type="dxa"/>
                  <w:shd w:val="clear" w:color="auto" w:fill="auto"/>
                  <w:noWrap w:val="0"/>
                  <w:vAlign w:val="center"/>
                </w:tcPr>
                <w:p w14:paraId="4040255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w:t>
                  </w:r>
                </w:p>
              </w:tc>
              <w:tc>
                <w:tcPr>
                  <w:tcW w:w="888" w:type="dxa"/>
                  <w:shd w:val="clear" w:color="auto" w:fill="auto"/>
                  <w:noWrap w:val="0"/>
                  <w:vAlign w:val="center"/>
                </w:tcPr>
                <w:p w14:paraId="69FEC97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16</w:t>
                  </w:r>
                </w:p>
              </w:tc>
              <w:tc>
                <w:tcPr>
                  <w:tcW w:w="796" w:type="dxa"/>
                  <w:vMerge w:val="continue"/>
                  <w:shd w:val="clear" w:color="auto" w:fill="auto"/>
                  <w:noWrap w:val="0"/>
                  <w:vAlign w:val="center"/>
                </w:tcPr>
                <w:p w14:paraId="39BA4AC7">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573D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3561B5E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15</w:t>
                  </w:r>
                </w:p>
              </w:tc>
              <w:tc>
                <w:tcPr>
                  <w:tcW w:w="2922" w:type="dxa"/>
                  <w:shd w:val="clear" w:color="auto" w:fill="auto"/>
                  <w:noWrap w:val="0"/>
                  <w:vAlign w:val="center"/>
                </w:tcPr>
                <w:p w14:paraId="60F1AED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插床</w:t>
                  </w:r>
                </w:p>
              </w:tc>
              <w:tc>
                <w:tcPr>
                  <w:tcW w:w="2868" w:type="dxa"/>
                  <w:shd w:val="clear" w:color="auto" w:fill="auto"/>
                  <w:noWrap w:val="0"/>
                  <w:vAlign w:val="center"/>
                </w:tcPr>
                <w:p w14:paraId="3FE866E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w:t>
                  </w:r>
                </w:p>
              </w:tc>
              <w:tc>
                <w:tcPr>
                  <w:tcW w:w="888" w:type="dxa"/>
                  <w:shd w:val="clear" w:color="auto" w:fill="auto"/>
                  <w:noWrap w:val="0"/>
                  <w:vAlign w:val="center"/>
                </w:tcPr>
                <w:p w14:paraId="550ECA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12D6255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4861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478FA4E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16</w:t>
                  </w:r>
                </w:p>
              </w:tc>
              <w:tc>
                <w:tcPr>
                  <w:tcW w:w="2922" w:type="dxa"/>
                  <w:shd w:val="clear" w:color="auto" w:fill="auto"/>
                  <w:noWrap w:val="0"/>
                  <w:vAlign w:val="center"/>
                </w:tcPr>
                <w:p w14:paraId="2007357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龙门刨床</w:t>
                  </w:r>
                </w:p>
              </w:tc>
              <w:tc>
                <w:tcPr>
                  <w:tcW w:w="2868" w:type="dxa"/>
                  <w:shd w:val="clear" w:color="auto" w:fill="auto"/>
                  <w:noWrap w:val="0"/>
                  <w:vAlign w:val="center"/>
                </w:tcPr>
                <w:p w14:paraId="1E83A04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B2016A 1600*4000</w:t>
                  </w:r>
                </w:p>
              </w:tc>
              <w:tc>
                <w:tcPr>
                  <w:tcW w:w="888" w:type="dxa"/>
                  <w:shd w:val="clear" w:color="auto" w:fill="auto"/>
                  <w:noWrap w:val="0"/>
                  <w:vAlign w:val="center"/>
                </w:tcPr>
                <w:p w14:paraId="59F0B73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16E9BD42">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2022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3905625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17</w:t>
                  </w:r>
                </w:p>
              </w:tc>
              <w:tc>
                <w:tcPr>
                  <w:tcW w:w="2922" w:type="dxa"/>
                  <w:shd w:val="clear" w:color="auto" w:fill="auto"/>
                  <w:noWrap w:val="0"/>
                  <w:vAlign w:val="center"/>
                </w:tcPr>
                <w:p w14:paraId="3E9F88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龙门刨床</w:t>
                  </w:r>
                </w:p>
              </w:tc>
              <w:tc>
                <w:tcPr>
                  <w:tcW w:w="2868" w:type="dxa"/>
                  <w:shd w:val="clear" w:color="auto" w:fill="auto"/>
                  <w:noWrap w:val="0"/>
                  <w:vAlign w:val="center"/>
                </w:tcPr>
                <w:p w14:paraId="6845911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B2020Q 2000*4000</w:t>
                  </w:r>
                </w:p>
              </w:tc>
              <w:tc>
                <w:tcPr>
                  <w:tcW w:w="888" w:type="dxa"/>
                  <w:shd w:val="clear" w:color="auto" w:fill="auto"/>
                  <w:noWrap w:val="0"/>
                  <w:vAlign w:val="center"/>
                </w:tcPr>
                <w:p w14:paraId="7F87EDF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13D51B25">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291D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3062DC7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18</w:t>
                  </w:r>
                </w:p>
              </w:tc>
              <w:tc>
                <w:tcPr>
                  <w:tcW w:w="2922" w:type="dxa"/>
                  <w:shd w:val="clear" w:color="auto" w:fill="auto"/>
                  <w:noWrap w:val="0"/>
                  <w:vAlign w:val="center"/>
                </w:tcPr>
                <w:p w14:paraId="7EB126A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单臂刨床</w:t>
                  </w:r>
                </w:p>
              </w:tc>
              <w:tc>
                <w:tcPr>
                  <w:tcW w:w="2868" w:type="dxa"/>
                  <w:shd w:val="clear" w:color="auto" w:fill="auto"/>
                  <w:noWrap w:val="0"/>
                  <w:vAlign w:val="center"/>
                </w:tcPr>
                <w:p w14:paraId="71A721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B1010A 1000*4000</w:t>
                  </w:r>
                </w:p>
              </w:tc>
              <w:tc>
                <w:tcPr>
                  <w:tcW w:w="888" w:type="dxa"/>
                  <w:shd w:val="clear" w:color="auto" w:fill="auto"/>
                  <w:noWrap w:val="0"/>
                  <w:vAlign w:val="center"/>
                </w:tcPr>
                <w:p w14:paraId="0E331F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22E85B06">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2473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482F900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19</w:t>
                  </w:r>
                </w:p>
              </w:tc>
              <w:tc>
                <w:tcPr>
                  <w:tcW w:w="2922" w:type="dxa"/>
                  <w:shd w:val="clear" w:color="auto" w:fill="auto"/>
                  <w:noWrap w:val="0"/>
                  <w:vAlign w:val="center"/>
                </w:tcPr>
                <w:p w14:paraId="3F7D42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摇臂钻床</w:t>
                  </w:r>
                </w:p>
              </w:tc>
              <w:tc>
                <w:tcPr>
                  <w:tcW w:w="2868" w:type="dxa"/>
                  <w:shd w:val="clear" w:color="auto" w:fill="auto"/>
                  <w:noWrap w:val="0"/>
                  <w:vAlign w:val="center"/>
                </w:tcPr>
                <w:p w14:paraId="0308A44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Z3080Ф80*2500</w:t>
                  </w:r>
                </w:p>
              </w:tc>
              <w:tc>
                <w:tcPr>
                  <w:tcW w:w="888" w:type="dxa"/>
                  <w:shd w:val="clear" w:color="auto" w:fill="auto"/>
                  <w:noWrap w:val="0"/>
                  <w:vAlign w:val="center"/>
                </w:tcPr>
                <w:p w14:paraId="1539F7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4</w:t>
                  </w:r>
                </w:p>
              </w:tc>
              <w:tc>
                <w:tcPr>
                  <w:tcW w:w="796" w:type="dxa"/>
                  <w:vMerge w:val="continue"/>
                  <w:shd w:val="clear" w:color="auto" w:fill="auto"/>
                  <w:noWrap w:val="0"/>
                  <w:vAlign w:val="center"/>
                </w:tcPr>
                <w:p w14:paraId="30642042">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3299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03418CA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20</w:t>
                  </w:r>
                </w:p>
              </w:tc>
              <w:tc>
                <w:tcPr>
                  <w:tcW w:w="2922" w:type="dxa"/>
                  <w:shd w:val="clear" w:color="auto" w:fill="auto"/>
                  <w:noWrap w:val="0"/>
                  <w:vAlign w:val="center"/>
                </w:tcPr>
                <w:p w14:paraId="4699B5B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数控车床</w:t>
                  </w:r>
                </w:p>
              </w:tc>
              <w:tc>
                <w:tcPr>
                  <w:tcW w:w="2868" w:type="dxa"/>
                  <w:shd w:val="clear" w:color="auto" w:fill="auto"/>
                  <w:noWrap w:val="0"/>
                  <w:vAlign w:val="center"/>
                </w:tcPr>
                <w:p w14:paraId="5A28BC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CJK6136AФ360*650</w:t>
                  </w:r>
                </w:p>
              </w:tc>
              <w:tc>
                <w:tcPr>
                  <w:tcW w:w="888" w:type="dxa"/>
                  <w:shd w:val="clear" w:color="auto" w:fill="auto"/>
                  <w:noWrap w:val="0"/>
                  <w:vAlign w:val="center"/>
                </w:tcPr>
                <w:p w14:paraId="2FA9AB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2</w:t>
                  </w:r>
                </w:p>
              </w:tc>
              <w:tc>
                <w:tcPr>
                  <w:tcW w:w="796" w:type="dxa"/>
                  <w:vMerge w:val="continue"/>
                  <w:shd w:val="clear" w:color="auto" w:fill="auto"/>
                  <w:noWrap w:val="0"/>
                  <w:vAlign w:val="center"/>
                </w:tcPr>
                <w:p w14:paraId="6A52421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7131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14DFAAF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21</w:t>
                  </w:r>
                </w:p>
              </w:tc>
              <w:tc>
                <w:tcPr>
                  <w:tcW w:w="2922" w:type="dxa"/>
                  <w:shd w:val="clear" w:color="auto" w:fill="auto"/>
                  <w:noWrap w:val="0"/>
                  <w:vAlign w:val="center"/>
                </w:tcPr>
                <w:p w14:paraId="5BDF68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普通车床</w:t>
                  </w:r>
                </w:p>
              </w:tc>
              <w:tc>
                <w:tcPr>
                  <w:tcW w:w="2868" w:type="dxa"/>
                  <w:shd w:val="clear" w:color="auto" w:fill="auto"/>
                  <w:noWrap w:val="0"/>
                  <w:vAlign w:val="center"/>
                </w:tcPr>
                <w:p w14:paraId="52AC354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CW61100Ф1000*500</w:t>
                  </w:r>
                </w:p>
              </w:tc>
              <w:tc>
                <w:tcPr>
                  <w:tcW w:w="888" w:type="dxa"/>
                  <w:vMerge w:val="restart"/>
                  <w:shd w:val="clear" w:color="auto" w:fill="auto"/>
                  <w:noWrap w:val="0"/>
                  <w:vAlign w:val="center"/>
                </w:tcPr>
                <w:p w14:paraId="2FD6530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10</w:t>
                  </w:r>
                </w:p>
              </w:tc>
              <w:tc>
                <w:tcPr>
                  <w:tcW w:w="796" w:type="dxa"/>
                  <w:vMerge w:val="continue"/>
                  <w:shd w:val="clear" w:color="auto" w:fill="auto"/>
                  <w:noWrap w:val="0"/>
                  <w:vAlign w:val="center"/>
                </w:tcPr>
                <w:p w14:paraId="6B40DF7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4532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617FF73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22</w:t>
                  </w:r>
                </w:p>
              </w:tc>
              <w:tc>
                <w:tcPr>
                  <w:tcW w:w="2922" w:type="dxa"/>
                  <w:shd w:val="clear" w:color="auto" w:fill="auto"/>
                  <w:noWrap w:val="0"/>
                  <w:vAlign w:val="center"/>
                </w:tcPr>
                <w:p w14:paraId="0BA2BC4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普通车床</w:t>
                  </w:r>
                </w:p>
              </w:tc>
              <w:tc>
                <w:tcPr>
                  <w:tcW w:w="2868" w:type="dxa"/>
                  <w:shd w:val="clear" w:color="auto" w:fill="auto"/>
                  <w:noWrap w:val="0"/>
                  <w:vAlign w:val="center"/>
                </w:tcPr>
                <w:p w14:paraId="7AAC64B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CW61100Ф1000*300</w:t>
                  </w:r>
                </w:p>
              </w:tc>
              <w:tc>
                <w:tcPr>
                  <w:tcW w:w="888" w:type="dxa"/>
                  <w:vMerge w:val="continue"/>
                  <w:shd w:val="clear" w:color="auto" w:fill="auto"/>
                  <w:noWrap w:val="0"/>
                  <w:vAlign w:val="center"/>
                </w:tcPr>
                <w:p w14:paraId="7E42EE8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p>
              </w:tc>
              <w:tc>
                <w:tcPr>
                  <w:tcW w:w="796" w:type="dxa"/>
                  <w:vMerge w:val="continue"/>
                  <w:shd w:val="clear" w:color="auto" w:fill="auto"/>
                  <w:noWrap w:val="0"/>
                  <w:vAlign w:val="center"/>
                </w:tcPr>
                <w:p w14:paraId="7063017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7B34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25DFCE2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23</w:t>
                  </w:r>
                </w:p>
              </w:tc>
              <w:tc>
                <w:tcPr>
                  <w:tcW w:w="2922" w:type="dxa"/>
                  <w:shd w:val="clear" w:color="auto" w:fill="auto"/>
                  <w:noWrap w:val="0"/>
                  <w:vAlign w:val="center"/>
                </w:tcPr>
                <w:p w14:paraId="3D238CD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砂轮机</w:t>
                  </w:r>
                </w:p>
              </w:tc>
              <w:tc>
                <w:tcPr>
                  <w:tcW w:w="2868" w:type="dxa"/>
                  <w:shd w:val="clear" w:color="auto" w:fill="auto"/>
                  <w:noWrap w:val="0"/>
                  <w:vAlign w:val="center"/>
                </w:tcPr>
                <w:p w14:paraId="6B86040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w:t>
                  </w:r>
                </w:p>
              </w:tc>
              <w:tc>
                <w:tcPr>
                  <w:tcW w:w="888" w:type="dxa"/>
                  <w:shd w:val="clear" w:color="auto" w:fill="auto"/>
                  <w:noWrap w:val="0"/>
                  <w:vAlign w:val="center"/>
                </w:tcPr>
                <w:p w14:paraId="4B2ABE4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2</w:t>
                  </w:r>
                </w:p>
              </w:tc>
              <w:tc>
                <w:tcPr>
                  <w:tcW w:w="796" w:type="dxa"/>
                  <w:vMerge w:val="continue"/>
                  <w:shd w:val="clear" w:color="auto" w:fill="auto"/>
                  <w:noWrap w:val="0"/>
                  <w:vAlign w:val="center"/>
                </w:tcPr>
                <w:p w14:paraId="5E6C4A1E">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5ABF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40CF14D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default"/>
                      <w:color w:val="000000"/>
                      <w:kern w:val="0"/>
                      <w:sz w:val="21"/>
                      <w:szCs w:val="21"/>
                      <w:lang w:val="en-US" w:eastAsia="zh-CN"/>
                    </w:rPr>
                    <w:t>24</w:t>
                  </w:r>
                </w:p>
              </w:tc>
              <w:tc>
                <w:tcPr>
                  <w:tcW w:w="2922" w:type="dxa"/>
                  <w:shd w:val="clear" w:color="auto" w:fill="auto"/>
                  <w:noWrap w:val="0"/>
                  <w:vAlign w:val="center"/>
                </w:tcPr>
                <w:p w14:paraId="58AFB80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二保焊机</w:t>
                  </w:r>
                </w:p>
              </w:tc>
              <w:tc>
                <w:tcPr>
                  <w:tcW w:w="2868" w:type="dxa"/>
                  <w:shd w:val="clear" w:color="auto" w:fill="auto"/>
                  <w:noWrap w:val="0"/>
                  <w:vAlign w:val="center"/>
                </w:tcPr>
                <w:p w14:paraId="339BBDD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w:t>
                  </w:r>
                </w:p>
              </w:tc>
              <w:tc>
                <w:tcPr>
                  <w:tcW w:w="888" w:type="dxa"/>
                  <w:shd w:val="clear" w:color="auto" w:fill="auto"/>
                  <w:noWrap w:val="0"/>
                  <w:vAlign w:val="center"/>
                </w:tcPr>
                <w:p w14:paraId="344F014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4</w:t>
                  </w:r>
                </w:p>
              </w:tc>
              <w:tc>
                <w:tcPr>
                  <w:tcW w:w="796" w:type="dxa"/>
                  <w:vMerge w:val="continue"/>
                  <w:shd w:val="clear" w:color="auto" w:fill="auto"/>
                  <w:noWrap w:val="0"/>
                  <w:vAlign w:val="center"/>
                </w:tcPr>
                <w:p w14:paraId="690EE7A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31DF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4480C8C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25</w:t>
                  </w:r>
                </w:p>
              </w:tc>
              <w:tc>
                <w:tcPr>
                  <w:tcW w:w="2922" w:type="dxa"/>
                  <w:shd w:val="clear" w:color="auto" w:fill="auto"/>
                  <w:noWrap w:val="0"/>
                  <w:vAlign w:val="center"/>
                </w:tcPr>
                <w:p w14:paraId="03E1FD9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手把焊机</w:t>
                  </w:r>
                </w:p>
              </w:tc>
              <w:tc>
                <w:tcPr>
                  <w:tcW w:w="2868" w:type="dxa"/>
                  <w:shd w:val="clear" w:color="auto" w:fill="auto"/>
                  <w:noWrap w:val="0"/>
                  <w:vAlign w:val="center"/>
                </w:tcPr>
                <w:p w14:paraId="2E8952D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w:t>
                  </w:r>
                </w:p>
              </w:tc>
              <w:tc>
                <w:tcPr>
                  <w:tcW w:w="888" w:type="dxa"/>
                  <w:shd w:val="clear" w:color="auto" w:fill="auto"/>
                  <w:noWrap w:val="0"/>
                  <w:vAlign w:val="center"/>
                </w:tcPr>
                <w:p w14:paraId="5669934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2</w:t>
                  </w:r>
                </w:p>
              </w:tc>
              <w:tc>
                <w:tcPr>
                  <w:tcW w:w="796" w:type="dxa"/>
                  <w:vMerge w:val="continue"/>
                  <w:shd w:val="clear" w:color="auto" w:fill="auto"/>
                  <w:noWrap w:val="0"/>
                  <w:vAlign w:val="center"/>
                </w:tcPr>
                <w:p w14:paraId="38B38D07">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086D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6F5A129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26</w:t>
                  </w:r>
                </w:p>
              </w:tc>
              <w:tc>
                <w:tcPr>
                  <w:tcW w:w="2922" w:type="dxa"/>
                  <w:shd w:val="clear" w:color="auto" w:fill="auto"/>
                  <w:noWrap w:val="0"/>
                  <w:vAlign w:val="center"/>
                </w:tcPr>
                <w:p w14:paraId="071FCA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二氧化碳气体保护焊机</w:t>
                  </w:r>
                </w:p>
              </w:tc>
              <w:tc>
                <w:tcPr>
                  <w:tcW w:w="2868" w:type="dxa"/>
                  <w:shd w:val="clear" w:color="auto" w:fill="auto"/>
                  <w:noWrap w:val="0"/>
                  <w:vAlign w:val="center"/>
                </w:tcPr>
                <w:p w14:paraId="6ACCB13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ZY-600</w:t>
                  </w:r>
                </w:p>
              </w:tc>
              <w:tc>
                <w:tcPr>
                  <w:tcW w:w="888" w:type="dxa"/>
                  <w:shd w:val="clear" w:color="auto" w:fill="auto"/>
                  <w:noWrap w:val="0"/>
                  <w:vAlign w:val="center"/>
                </w:tcPr>
                <w:p w14:paraId="2EE6AD7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7</w:t>
                  </w:r>
                </w:p>
              </w:tc>
              <w:tc>
                <w:tcPr>
                  <w:tcW w:w="796" w:type="dxa"/>
                  <w:vMerge w:val="continue"/>
                  <w:shd w:val="clear" w:color="auto" w:fill="auto"/>
                  <w:noWrap w:val="0"/>
                  <w:vAlign w:val="center"/>
                </w:tcPr>
                <w:p w14:paraId="29278AA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39B8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0EFED9D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27</w:t>
                  </w:r>
                </w:p>
              </w:tc>
              <w:tc>
                <w:tcPr>
                  <w:tcW w:w="2922" w:type="dxa"/>
                  <w:shd w:val="clear" w:color="auto" w:fill="auto"/>
                  <w:noWrap w:val="0"/>
                  <w:vAlign w:val="center"/>
                </w:tcPr>
                <w:p w14:paraId="08868EB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电焊机</w:t>
                  </w:r>
                </w:p>
              </w:tc>
              <w:tc>
                <w:tcPr>
                  <w:tcW w:w="2868" w:type="dxa"/>
                  <w:shd w:val="clear" w:color="auto" w:fill="auto"/>
                  <w:noWrap w:val="0"/>
                  <w:vAlign w:val="center"/>
                </w:tcPr>
                <w:p w14:paraId="14F0D3F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w:t>
                  </w:r>
                </w:p>
              </w:tc>
              <w:tc>
                <w:tcPr>
                  <w:tcW w:w="888" w:type="dxa"/>
                  <w:shd w:val="clear" w:color="auto" w:fill="auto"/>
                  <w:noWrap w:val="0"/>
                  <w:vAlign w:val="center"/>
                </w:tcPr>
                <w:p w14:paraId="2B190C1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3</w:t>
                  </w:r>
                </w:p>
              </w:tc>
              <w:tc>
                <w:tcPr>
                  <w:tcW w:w="796" w:type="dxa"/>
                  <w:vMerge w:val="continue"/>
                  <w:shd w:val="clear" w:color="auto" w:fill="auto"/>
                  <w:noWrap w:val="0"/>
                  <w:vAlign w:val="center"/>
                </w:tcPr>
                <w:p w14:paraId="1CF9E3F8">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0114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34726E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28</w:t>
                  </w:r>
                </w:p>
              </w:tc>
              <w:tc>
                <w:tcPr>
                  <w:tcW w:w="2922" w:type="dxa"/>
                  <w:shd w:val="clear" w:color="auto" w:fill="auto"/>
                  <w:noWrap w:val="0"/>
                  <w:vAlign w:val="center"/>
                </w:tcPr>
                <w:p w14:paraId="0CE7F80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闭式单点压力机</w:t>
                  </w:r>
                </w:p>
              </w:tc>
              <w:tc>
                <w:tcPr>
                  <w:tcW w:w="2868" w:type="dxa"/>
                  <w:shd w:val="clear" w:color="auto" w:fill="auto"/>
                  <w:noWrap w:val="0"/>
                  <w:vAlign w:val="center"/>
                </w:tcPr>
                <w:p w14:paraId="65A1737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J31-250 250t</w:t>
                  </w:r>
                </w:p>
              </w:tc>
              <w:tc>
                <w:tcPr>
                  <w:tcW w:w="888" w:type="dxa"/>
                  <w:shd w:val="clear" w:color="auto" w:fill="auto"/>
                  <w:noWrap w:val="0"/>
                  <w:vAlign w:val="center"/>
                </w:tcPr>
                <w:p w14:paraId="7C3A263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429DCBC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7F18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1D226E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29</w:t>
                  </w:r>
                </w:p>
              </w:tc>
              <w:tc>
                <w:tcPr>
                  <w:tcW w:w="2922" w:type="dxa"/>
                  <w:shd w:val="clear" w:color="auto" w:fill="auto"/>
                  <w:noWrap w:val="0"/>
                  <w:vAlign w:val="center"/>
                </w:tcPr>
                <w:p w14:paraId="4F5F144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摩擦压力机</w:t>
                  </w:r>
                </w:p>
              </w:tc>
              <w:tc>
                <w:tcPr>
                  <w:tcW w:w="2868" w:type="dxa"/>
                  <w:shd w:val="clear" w:color="auto" w:fill="auto"/>
                  <w:noWrap w:val="0"/>
                  <w:vAlign w:val="center"/>
                </w:tcPr>
                <w:p w14:paraId="4470AE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J53-100A 1000t</w:t>
                  </w:r>
                </w:p>
              </w:tc>
              <w:tc>
                <w:tcPr>
                  <w:tcW w:w="888" w:type="dxa"/>
                  <w:shd w:val="clear" w:color="auto" w:fill="auto"/>
                  <w:noWrap w:val="0"/>
                  <w:vAlign w:val="center"/>
                </w:tcPr>
                <w:p w14:paraId="2E6BF07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5C3C971D">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07EF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7E770B2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30</w:t>
                  </w:r>
                </w:p>
              </w:tc>
              <w:tc>
                <w:tcPr>
                  <w:tcW w:w="2922" w:type="dxa"/>
                  <w:shd w:val="clear" w:color="auto" w:fill="auto"/>
                  <w:noWrap w:val="0"/>
                  <w:vAlign w:val="center"/>
                </w:tcPr>
                <w:p w14:paraId="0AE5A0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四柱液压机</w:t>
                  </w:r>
                </w:p>
              </w:tc>
              <w:tc>
                <w:tcPr>
                  <w:tcW w:w="2868" w:type="dxa"/>
                  <w:shd w:val="clear" w:color="auto" w:fill="auto"/>
                  <w:noWrap w:val="0"/>
                  <w:vAlign w:val="center"/>
                </w:tcPr>
                <w:p w14:paraId="1B4AD07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BY32-300 300t</w:t>
                  </w:r>
                </w:p>
              </w:tc>
              <w:tc>
                <w:tcPr>
                  <w:tcW w:w="888" w:type="dxa"/>
                  <w:shd w:val="clear" w:color="auto" w:fill="auto"/>
                  <w:noWrap w:val="0"/>
                  <w:vAlign w:val="center"/>
                </w:tcPr>
                <w:p w14:paraId="272BC55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556B2AD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55AD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553DAAE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31</w:t>
                  </w:r>
                </w:p>
              </w:tc>
              <w:tc>
                <w:tcPr>
                  <w:tcW w:w="2922" w:type="dxa"/>
                  <w:shd w:val="clear" w:color="auto" w:fill="auto"/>
                  <w:noWrap w:val="0"/>
                  <w:vAlign w:val="center"/>
                </w:tcPr>
                <w:p w14:paraId="0C13A50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四柱液压机</w:t>
                  </w:r>
                </w:p>
              </w:tc>
              <w:tc>
                <w:tcPr>
                  <w:tcW w:w="2868" w:type="dxa"/>
                  <w:shd w:val="clear" w:color="auto" w:fill="auto"/>
                  <w:noWrap w:val="0"/>
                  <w:vAlign w:val="center"/>
                </w:tcPr>
                <w:p w14:paraId="3892469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Y32-315 315t</w:t>
                  </w:r>
                </w:p>
              </w:tc>
              <w:tc>
                <w:tcPr>
                  <w:tcW w:w="888" w:type="dxa"/>
                  <w:shd w:val="clear" w:color="auto" w:fill="auto"/>
                  <w:noWrap w:val="0"/>
                  <w:vAlign w:val="center"/>
                </w:tcPr>
                <w:p w14:paraId="7B970C6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29DF131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3CC4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048E484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32</w:t>
                  </w:r>
                </w:p>
              </w:tc>
              <w:tc>
                <w:tcPr>
                  <w:tcW w:w="2922" w:type="dxa"/>
                  <w:shd w:val="clear" w:color="auto" w:fill="auto"/>
                  <w:noWrap w:val="0"/>
                  <w:vAlign w:val="center"/>
                </w:tcPr>
                <w:p w14:paraId="51E669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空气锤</w:t>
                  </w:r>
                </w:p>
              </w:tc>
              <w:tc>
                <w:tcPr>
                  <w:tcW w:w="2868" w:type="dxa"/>
                  <w:shd w:val="clear" w:color="auto" w:fill="auto"/>
                  <w:noWrap w:val="0"/>
                  <w:vAlign w:val="center"/>
                </w:tcPr>
                <w:p w14:paraId="02A32E8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C41-750 750kg</w:t>
                  </w:r>
                </w:p>
              </w:tc>
              <w:tc>
                <w:tcPr>
                  <w:tcW w:w="888" w:type="dxa"/>
                  <w:shd w:val="clear" w:color="auto" w:fill="auto"/>
                  <w:noWrap w:val="0"/>
                  <w:vAlign w:val="center"/>
                </w:tcPr>
                <w:p w14:paraId="297CF34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26EE74AE">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35FB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1183F0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33</w:t>
                  </w:r>
                </w:p>
              </w:tc>
              <w:tc>
                <w:tcPr>
                  <w:tcW w:w="2922" w:type="dxa"/>
                  <w:shd w:val="clear" w:color="auto" w:fill="auto"/>
                  <w:noWrap w:val="0"/>
                  <w:vAlign w:val="center"/>
                </w:tcPr>
                <w:p w14:paraId="5134A0A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空气锤</w:t>
                  </w:r>
                </w:p>
              </w:tc>
              <w:tc>
                <w:tcPr>
                  <w:tcW w:w="2868" w:type="dxa"/>
                  <w:shd w:val="clear" w:color="auto" w:fill="auto"/>
                  <w:noWrap w:val="0"/>
                  <w:vAlign w:val="center"/>
                </w:tcPr>
                <w:p w14:paraId="7397E3E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C41-750 560kg</w:t>
                  </w:r>
                </w:p>
              </w:tc>
              <w:tc>
                <w:tcPr>
                  <w:tcW w:w="888" w:type="dxa"/>
                  <w:shd w:val="clear" w:color="auto" w:fill="auto"/>
                  <w:noWrap w:val="0"/>
                  <w:vAlign w:val="center"/>
                </w:tcPr>
                <w:p w14:paraId="4219DE9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2D0FABC4">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25D8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70F92FA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34</w:t>
                  </w:r>
                </w:p>
              </w:tc>
              <w:tc>
                <w:tcPr>
                  <w:tcW w:w="2922" w:type="dxa"/>
                  <w:shd w:val="clear" w:color="auto" w:fill="auto"/>
                  <w:noWrap w:val="0"/>
                  <w:vAlign w:val="center"/>
                </w:tcPr>
                <w:p w14:paraId="5C3627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滚齿机</w:t>
                  </w:r>
                </w:p>
              </w:tc>
              <w:tc>
                <w:tcPr>
                  <w:tcW w:w="2868" w:type="dxa"/>
                  <w:shd w:val="clear" w:color="auto" w:fill="auto"/>
                  <w:noWrap w:val="0"/>
                  <w:vAlign w:val="center"/>
                </w:tcPr>
                <w:p w14:paraId="153D2F9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YN31125Ф1250*M16</w:t>
                  </w:r>
                </w:p>
              </w:tc>
              <w:tc>
                <w:tcPr>
                  <w:tcW w:w="888" w:type="dxa"/>
                  <w:shd w:val="clear" w:color="auto" w:fill="auto"/>
                  <w:noWrap w:val="0"/>
                  <w:vAlign w:val="center"/>
                </w:tcPr>
                <w:p w14:paraId="4607B5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restart"/>
                  <w:shd w:val="clear" w:color="auto" w:fill="auto"/>
                  <w:noWrap w:val="0"/>
                  <w:vAlign w:val="center"/>
                </w:tcPr>
                <w:p w14:paraId="1523A1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新增</w:t>
                  </w:r>
                  <w:r>
                    <w:rPr>
                      <w:rFonts w:hint="eastAsia" w:ascii="宋体" w:hAnsi="宋体" w:cs="宋体"/>
                      <w:i w:val="0"/>
                      <w:iCs w:val="0"/>
                      <w:color w:val="000000"/>
                      <w:kern w:val="0"/>
                      <w:sz w:val="21"/>
                      <w:szCs w:val="21"/>
                      <w:u w:val="none"/>
                      <w:lang w:val="en-US" w:eastAsia="zh-CN" w:bidi="ar"/>
                    </w:rPr>
                    <w:t>生产设备</w:t>
                  </w:r>
                </w:p>
              </w:tc>
            </w:tr>
            <w:tr w14:paraId="163E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12EF519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35</w:t>
                  </w:r>
                </w:p>
              </w:tc>
              <w:tc>
                <w:tcPr>
                  <w:tcW w:w="2922" w:type="dxa"/>
                  <w:shd w:val="clear" w:color="auto" w:fill="auto"/>
                  <w:noWrap w:val="0"/>
                  <w:vAlign w:val="center"/>
                </w:tcPr>
                <w:p w14:paraId="04F7833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滚齿机</w:t>
                  </w:r>
                </w:p>
              </w:tc>
              <w:tc>
                <w:tcPr>
                  <w:tcW w:w="2868" w:type="dxa"/>
                  <w:shd w:val="clear" w:color="auto" w:fill="auto"/>
                  <w:noWrap w:val="0"/>
                  <w:vAlign w:val="center"/>
                </w:tcPr>
                <w:p w14:paraId="65ED60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Y58Ф800*M12</w:t>
                  </w:r>
                </w:p>
              </w:tc>
              <w:tc>
                <w:tcPr>
                  <w:tcW w:w="888" w:type="dxa"/>
                  <w:shd w:val="clear" w:color="auto" w:fill="auto"/>
                  <w:noWrap w:val="0"/>
                  <w:vAlign w:val="center"/>
                </w:tcPr>
                <w:p w14:paraId="16B23C2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5ACB3A26">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49E7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6A86E3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36</w:t>
                  </w:r>
                </w:p>
              </w:tc>
              <w:tc>
                <w:tcPr>
                  <w:tcW w:w="2922" w:type="dxa"/>
                  <w:shd w:val="clear" w:color="auto" w:fill="auto"/>
                  <w:noWrap w:val="0"/>
                  <w:vAlign w:val="center"/>
                </w:tcPr>
                <w:p w14:paraId="1FE49A4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外圆磨床</w:t>
                  </w:r>
                </w:p>
              </w:tc>
              <w:tc>
                <w:tcPr>
                  <w:tcW w:w="2868" w:type="dxa"/>
                  <w:shd w:val="clear" w:color="auto" w:fill="auto"/>
                  <w:noWrap w:val="0"/>
                  <w:vAlign w:val="center"/>
                </w:tcPr>
                <w:p w14:paraId="467ECF8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M1450AФ500*2000</w:t>
                  </w:r>
                </w:p>
              </w:tc>
              <w:tc>
                <w:tcPr>
                  <w:tcW w:w="888" w:type="dxa"/>
                  <w:shd w:val="clear" w:color="auto" w:fill="auto"/>
                  <w:noWrap w:val="0"/>
                  <w:vAlign w:val="center"/>
                </w:tcPr>
                <w:p w14:paraId="2F19475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5304451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29C1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0507BAF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37</w:t>
                  </w:r>
                </w:p>
              </w:tc>
              <w:tc>
                <w:tcPr>
                  <w:tcW w:w="2922" w:type="dxa"/>
                  <w:shd w:val="clear" w:color="auto" w:fill="auto"/>
                  <w:noWrap w:val="0"/>
                  <w:vAlign w:val="center"/>
                </w:tcPr>
                <w:p w14:paraId="12BC0A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外圆磨床</w:t>
                  </w:r>
                </w:p>
              </w:tc>
              <w:tc>
                <w:tcPr>
                  <w:tcW w:w="2868" w:type="dxa"/>
                  <w:shd w:val="clear" w:color="auto" w:fill="auto"/>
                  <w:noWrap w:val="0"/>
                  <w:vAlign w:val="center"/>
                </w:tcPr>
                <w:p w14:paraId="0F5128A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MQ1350AФ500*200</w:t>
                  </w:r>
                </w:p>
              </w:tc>
              <w:tc>
                <w:tcPr>
                  <w:tcW w:w="888" w:type="dxa"/>
                  <w:shd w:val="clear" w:color="auto" w:fill="auto"/>
                  <w:noWrap w:val="0"/>
                  <w:vAlign w:val="center"/>
                </w:tcPr>
                <w:p w14:paraId="132F56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3A12B0C7">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4BE1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48FAC5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38</w:t>
                  </w:r>
                </w:p>
              </w:tc>
              <w:tc>
                <w:tcPr>
                  <w:tcW w:w="2922" w:type="dxa"/>
                  <w:shd w:val="clear" w:color="auto" w:fill="auto"/>
                  <w:noWrap w:val="0"/>
                  <w:vAlign w:val="center"/>
                </w:tcPr>
                <w:p w14:paraId="6A68E21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卧式拉床</w:t>
                  </w:r>
                </w:p>
              </w:tc>
              <w:tc>
                <w:tcPr>
                  <w:tcW w:w="2868" w:type="dxa"/>
                  <w:shd w:val="clear" w:color="auto" w:fill="auto"/>
                  <w:noWrap w:val="0"/>
                  <w:vAlign w:val="center"/>
                </w:tcPr>
                <w:p w14:paraId="29D0E9A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L6120 1600*20t250t</w:t>
                  </w:r>
                </w:p>
              </w:tc>
              <w:tc>
                <w:tcPr>
                  <w:tcW w:w="888" w:type="dxa"/>
                  <w:shd w:val="clear" w:color="auto" w:fill="auto"/>
                  <w:noWrap w:val="0"/>
                  <w:vAlign w:val="center"/>
                </w:tcPr>
                <w:p w14:paraId="2082CCA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56EF62F3">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5208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18769D7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39</w:t>
                  </w:r>
                </w:p>
              </w:tc>
              <w:tc>
                <w:tcPr>
                  <w:tcW w:w="2922" w:type="dxa"/>
                  <w:shd w:val="clear" w:color="auto" w:fill="auto"/>
                  <w:noWrap w:val="0"/>
                  <w:vAlign w:val="center"/>
                </w:tcPr>
                <w:p w14:paraId="242C6CD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管子车床</w:t>
                  </w:r>
                </w:p>
              </w:tc>
              <w:tc>
                <w:tcPr>
                  <w:tcW w:w="2868" w:type="dxa"/>
                  <w:shd w:val="clear" w:color="auto" w:fill="auto"/>
                  <w:noWrap w:val="0"/>
                  <w:vAlign w:val="center"/>
                </w:tcPr>
                <w:p w14:paraId="24A84C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SI-127Ф127</w:t>
                  </w:r>
                </w:p>
              </w:tc>
              <w:tc>
                <w:tcPr>
                  <w:tcW w:w="888" w:type="dxa"/>
                  <w:shd w:val="clear" w:color="auto" w:fill="auto"/>
                  <w:noWrap w:val="0"/>
                  <w:vAlign w:val="center"/>
                </w:tcPr>
                <w:p w14:paraId="0A0460B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7D162799">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6D4A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351B431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40</w:t>
                  </w:r>
                </w:p>
              </w:tc>
              <w:tc>
                <w:tcPr>
                  <w:tcW w:w="2922" w:type="dxa"/>
                  <w:shd w:val="clear" w:color="auto" w:fill="auto"/>
                  <w:noWrap w:val="0"/>
                  <w:vAlign w:val="center"/>
                </w:tcPr>
                <w:p w14:paraId="4EECDB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落地立车</w:t>
                  </w:r>
                </w:p>
              </w:tc>
              <w:tc>
                <w:tcPr>
                  <w:tcW w:w="2868" w:type="dxa"/>
                  <w:shd w:val="clear" w:color="auto" w:fill="auto"/>
                  <w:noWrap w:val="0"/>
                  <w:vAlign w:val="center"/>
                </w:tcPr>
                <w:p w14:paraId="31D6F70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C6031Ф3150*1000</w:t>
                  </w:r>
                </w:p>
              </w:tc>
              <w:tc>
                <w:tcPr>
                  <w:tcW w:w="888" w:type="dxa"/>
                  <w:shd w:val="clear" w:color="auto" w:fill="auto"/>
                  <w:noWrap w:val="0"/>
                  <w:vAlign w:val="center"/>
                </w:tcPr>
                <w:p w14:paraId="64E05D5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13D7C94A">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6E86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5DC83D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41</w:t>
                  </w:r>
                </w:p>
              </w:tc>
              <w:tc>
                <w:tcPr>
                  <w:tcW w:w="2922" w:type="dxa"/>
                  <w:shd w:val="clear" w:color="auto" w:fill="auto"/>
                  <w:noWrap w:val="0"/>
                  <w:vAlign w:val="center"/>
                </w:tcPr>
                <w:p w14:paraId="168CADB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单柱立车</w:t>
                  </w:r>
                </w:p>
              </w:tc>
              <w:tc>
                <w:tcPr>
                  <w:tcW w:w="2868" w:type="dxa"/>
                  <w:shd w:val="clear" w:color="auto" w:fill="auto"/>
                  <w:noWrap w:val="0"/>
                  <w:vAlign w:val="center"/>
                </w:tcPr>
                <w:p w14:paraId="1CF1CDD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C5116AФ1600*1000</w:t>
                  </w:r>
                </w:p>
              </w:tc>
              <w:tc>
                <w:tcPr>
                  <w:tcW w:w="888" w:type="dxa"/>
                  <w:shd w:val="clear" w:color="auto" w:fill="auto"/>
                  <w:noWrap w:val="0"/>
                  <w:vAlign w:val="center"/>
                </w:tcPr>
                <w:p w14:paraId="0548650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6A87342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6EB9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3E98A08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42</w:t>
                  </w:r>
                </w:p>
              </w:tc>
              <w:tc>
                <w:tcPr>
                  <w:tcW w:w="2922" w:type="dxa"/>
                  <w:shd w:val="clear" w:color="auto" w:fill="auto"/>
                  <w:noWrap w:val="0"/>
                  <w:vAlign w:val="center"/>
                </w:tcPr>
                <w:p w14:paraId="68A4EC6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单柱立车</w:t>
                  </w:r>
                </w:p>
              </w:tc>
              <w:tc>
                <w:tcPr>
                  <w:tcW w:w="2868" w:type="dxa"/>
                  <w:shd w:val="clear" w:color="auto" w:fill="auto"/>
                  <w:noWrap w:val="0"/>
                  <w:vAlign w:val="center"/>
                </w:tcPr>
                <w:p w14:paraId="636234E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C5112AФ1250*1000</w:t>
                  </w:r>
                </w:p>
              </w:tc>
              <w:tc>
                <w:tcPr>
                  <w:tcW w:w="888" w:type="dxa"/>
                  <w:shd w:val="clear" w:color="auto" w:fill="auto"/>
                  <w:noWrap w:val="0"/>
                  <w:vAlign w:val="center"/>
                </w:tcPr>
                <w:p w14:paraId="6D66EBE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548F6F6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46DC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75AD18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43</w:t>
                  </w:r>
                </w:p>
              </w:tc>
              <w:tc>
                <w:tcPr>
                  <w:tcW w:w="2922" w:type="dxa"/>
                  <w:shd w:val="clear" w:color="auto" w:fill="auto"/>
                  <w:noWrap w:val="0"/>
                  <w:vAlign w:val="center"/>
                </w:tcPr>
                <w:p w14:paraId="714F7EB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数控等离子切割机</w:t>
                  </w:r>
                </w:p>
              </w:tc>
              <w:tc>
                <w:tcPr>
                  <w:tcW w:w="2868" w:type="dxa"/>
                  <w:shd w:val="clear" w:color="auto" w:fill="auto"/>
                  <w:noWrap w:val="0"/>
                  <w:vAlign w:val="center"/>
                </w:tcPr>
                <w:p w14:paraId="358594B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HW.HW.6011 4000A</w:t>
                  </w:r>
                </w:p>
              </w:tc>
              <w:tc>
                <w:tcPr>
                  <w:tcW w:w="888" w:type="dxa"/>
                  <w:shd w:val="clear" w:color="auto" w:fill="auto"/>
                  <w:noWrap w:val="0"/>
                  <w:vAlign w:val="center"/>
                </w:tcPr>
                <w:p w14:paraId="0603B07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4A37820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0F34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6AB63D8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44</w:t>
                  </w:r>
                </w:p>
              </w:tc>
              <w:tc>
                <w:tcPr>
                  <w:tcW w:w="2922" w:type="dxa"/>
                  <w:shd w:val="clear" w:color="auto" w:fill="auto"/>
                  <w:noWrap w:val="0"/>
                  <w:vAlign w:val="center"/>
                </w:tcPr>
                <w:p w14:paraId="29834CD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联合冲剪机</w:t>
                  </w:r>
                </w:p>
              </w:tc>
              <w:tc>
                <w:tcPr>
                  <w:tcW w:w="2868" w:type="dxa"/>
                  <w:shd w:val="clear" w:color="auto" w:fill="auto"/>
                  <w:noWrap w:val="0"/>
                  <w:vAlign w:val="center"/>
                </w:tcPr>
                <w:p w14:paraId="32909AA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QA34-25</w:t>
                  </w:r>
                </w:p>
              </w:tc>
              <w:tc>
                <w:tcPr>
                  <w:tcW w:w="888" w:type="dxa"/>
                  <w:shd w:val="clear" w:color="auto" w:fill="auto"/>
                  <w:noWrap w:val="0"/>
                  <w:vAlign w:val="center"/>
                </w:tcPr>
                <w:p w14:paraId="730AF1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413EF9F1">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1005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2CFC39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45</w:t>
                  </w:r>
                </w:p>
              </w:tc>
              <w:tc>
                <w:tcPr>
                  <w:tcW w:w="2922" w:type="dxa"/>
                  <w:shd w:val="clear" w:color="auto" w:fill="auto"/>
                  <w:noWrap w:val="0"/>
                  <w:vAlign w:val="center"/>
                </w:tcPr>
                <w:p w14:paraId="10B1516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校直机</w:t>
                  </w:r>
                </w:p>
              </w:tc>
              <w:tc>
                <w:tcPr>
                  <w:tcW w:w="2868" w:type="dxa"/>
                  <w:shd w:val="clear" w:color="auto" w:fill="auto"/>
                  <w:noWrap w:val="0"/>
                  <w:vAlign w:val="center"/>
                </w:tcPr>
                <w:p w14:paraId="7B44937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DHC-CNC 10M</w:t>
                  </w:r>
                </w:p>
              </w:tc>
              <w:tc>
                <w:tcPr>
                  <w:tcW w:w="888" w:type="dxa"/>
                  <w:shd w:val="clear" w:color="auto" w:fill="auto"/>
                  <w:noWrap w:val="0"/>
                  <w:vAlign w:val="center"/>
                </w:tcPr>
                <w:p w14:paraId="685C96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64B569C3">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69EB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3531CE7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46</w:t>
                  </w:r>
                </w:p>
              </w:tc>
              <w:tc>
                <w:tcPr>
                  <w:tcW w:w="2922" w:type="dxa"/>
                  <w:shd w:val="clear" w:color="auto" w:fill="auto"/>
                  <w:noWrap w:val="0"/>
                  <w:vAlign w:val="center"/>
                </w:tcPr>
                <w:p w14:paraId="35E0930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数控折边机</w:t>
                  </w:r>
                </w:p>
              </w:tc>
              <w:tc>
                <w:tcPr>
                  <w:tcW w:w="2868" w:type="dxa"/>
                  <w:shd w:val="clear" w:color="auto" w:fill="auto"/>
                  <w:noWrap w:val="0"/>
                  <w:vAlign w:val="center"/>
                </w:tcPr>
                <w:p w14:paraId="1F1C76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w:t>
                  </w:r>
                </w:p>
              </w:tc>
              <w:tc>
                <w:tcPr>
                  <w:tcW w:w="888" w:type="dxa"/>
                  <w:shd w:val="clear" w:color="auto" w:fill="auto"/>
                  <w:noWrap w:val="0"/>
                  <w:vAlign w:val="center"/>
                </w:tcPr>
                <w:p w14:paraId="7A49CE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01C50A03">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30F1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3CBC888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47</w:t>
                  </w:r>
                </w:p>
              </w:tc>
              <w:tc>
                <w:tcPr>
                  <w:tcW w:w="2922" w:type="dxa"/>
                  <w:shd w:val="clear" w:color="auto" w:fill="auto"/>
                  <w:noWrap w:val="0"/>
                  <w:vAlign w:val="center"/>
                </w:tcPr>
                <w:p w14:paraId="01AAD74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数控抛丸机</w:t>
                  </w:r>
                </w:p>
              </w:tc>
              <w:tc>
                <w:tcPr>
                  <w:tcW w:w="2868" w:type="dxa"/>
                  <w:shd w:val="clear" w:color="auto" w:fill="auto"/>
                  <w:noWrap w:val="0"/>
                  <w:vAlign w:val="center"/>
                </w:tcPr>
                <w:p w14:paraId="79CB01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Q3020-14</w:t>
                  </w:r>
                </w:p>
              </w:tc>
              <w:tc>
                <w:tcPr>
                  <w:tcW w:w="888" w:type="dxa"/>
                  <w:shd w:val="clear" w:color="auto" w:fill="auto"/>
                  <w:noWrap w:val="0"/>
                  <w:vAlign w:val="center"/>
                </w:tcPr>
                <w:p w14:paraId="2D9C368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32AE1BB4">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r w14:paraId="2E99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noWrap w:val="0"/>
                  <w:vAlign w:val="center"/>
                </w:tcPr>
                <w:p w14:paraId="048DA25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1"/>
                      <w:szCs w:val="21"/>
                      <w:lang w:val="en-US" w:eastAsia="zh-CN"/>
                    </w:rPr>
                  </w:pPr>
                  <w:r>
                    <w:rPr>
                      <w:rFonts w:hint="default"/>
                      <w:color w:val="000000"/>
                      <w:kern w:val="0"/>
                      <w:sz w:val="21"/>
                      <w:szCs w:val="21"/>
                      <w:lang w:val="en-US" w:eastAsia="zh-CN"/>
                    </w:rPr>
                    <w:t>48</w:t>
                  </w:r>
                </w:p>
              </w:tc>
              <w:tc>
                <w:tcPr>
                  <w:tcW w:w="2922" w:type="dxa"/>
                  <w:shd w:val="clear" w:color="auto" w:fill="auto"/>
                  <w:noWrap w:val="0"/>
                  <w:vAlign w:val="center"/>
                </w:tcPr>
                <w:p w14:paraId="198768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锯床</w:t>
                  </w:r>
                </w:p>
              </w:tc>
              <w:tc>
                <w:tcPr>
                  <w:tcW w:w="2868" w:type="dxa"/>
                  <w:shd w:val="clear" w:color="auto" w:fill="auto"/>
                  <w:noWrap w:val="0"/>
                  <w:vAlign w:val="center"/>
                </w:tcPr>
                <w:p w14:paraId="60C03B9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w:t>
                  </w:r>
                </w:p>
              </w:tc>
              <w:tc>
                <w:tcPr>
                  <w:tcW w:w="888" w:type="dxa"/>
                  <w:shd w:val="clear" w:color="auto" w:fill="auto"/>
                  <w:noWrap w:val="0"/>
                  <w:vAlign w:val="center"/>
                </w:tcPr>
                <w:p w14:paraId="55E426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olor w:val="000000"/>
                      <w:kern w:val="0"/>
                      <w:sz w:val="21"/>
                      <w:szCs w:val="21"/>
                      <w:lang w:val="en-US" w:eastAsia="zh-CN"/>
                    </w:rPr>
                  </w:pPr>
                  <w:r>
                    <w:rPr>
                      <w:rFonts w:hint="eastAsia"/>
                      <w:color w:val="000000"/>
                      <w:kern w:val="0"/>
                      <w:sz w:val="21"/>
                      <w:szCs w:val="21"/>
                      <w:lang w:val="en-US" w:eastAsia="zh-CN"/>
                    </w:rPr>
                    <w:t>1</w:t>
                  </w:r>
                </w:p>
              </w:tc>
              <w:tc>
                <w:tcPr>
                  <w:tcW w:w="796" w:type="dxa"/>
                  <w:vMerge w:val="continue"/>
                  <w:shd w:val="clear" w:color="auto" w:fill="auto"/>
                  <w:noWrap w:val="0"/>
                  <w:vAlign w:val="center"/>
                </w:tcPr>
                <w:p w14:paraId="610BAF9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kern w:val="0"/>
                      <w:sz w:val="21"/>
                      <w:szCs w:val="21"/>
                      <w:lang w:val="en-US" w:eastAsia="zh-CN" w:bidi="ar-SA"/>
                    </w:rPr>
                  </w:pPr>
                </w:p>
              </w:tc>
            </w:tr>
          </w:tbl>
          <w:p w14:paraId="5073FDAE">
            <w:pPr>
              <w:bidi w:val="0"/>
              <w:rPr>
                <w:rFonts w:hint="eastAsia"/>
                <w:lang w:val="en-US" w:eastAsia="zh-CN"/>
              </w:rPr>
            </w:pPr>
          </w:p>
          <w:p w14:paraId="4E6B38A1">
            <w:pPr>
              <w:autoSpaceDE w:val="0"/>
              <w:autoSpaceDN w:val="0"/>
              <w:adjustRightInd w:val="0"/>
              <w:snapToGrid w:val="0"/>
              <w:spacing w:line="360" w:lineRule="auto"/>
              <w:jc w:val="both"/>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6、主要原辅材料及用量</w:t>
            </w:r>
          </w:p>
          <w:p w14:paraId="6A76914E">
            <w:pPr>
              <w:autoSpaceDE w:val="0"/>
              <w:autoSpaceDN w:val="0"/>
              <w:adjustRightInd w:val="0"/>
              <w:snapToGrid w:val="0"/>
              <w:spacing w:line="360" w:lineRule="auto"/>
              <w:ind w:firstLine="480" w:firstLineChars="200"/>
              <w:jc w:val="left"/>
              <w:rPr>
                <w:rFonts w:hint="default"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建设单位主要原辅材料及用量见下表。</w:t>
            </w:r>
          </w:p>
          <w:p w14:paraId="22922265">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ascii="宋体" w:hAnsi="宋体" w:cs="宋体"/>
                <w:b w:val="0"/>
                <w:bCs w:val="0"/>
                <w:kern w:val="0"/>
                <w:sz w:val="24"/>
                <w:szCs w:val="24"/>
                <w:lang w:val="en-US" w:eastAsia="zh-CN"/>
              </w:rPr>
            </w:pPr>
            <w:r>
              <w:rPr>
                <w:rFonts w:hint="default" w:ascii="宋体" w:hAnsi="宋体" w:eastAsia="宋体" w:cs="宋体"/>
                <w:b/>
                <w:bCs/>
                <w:sz w:val="22"/>
                <w:szCs w:val="22"/>
                <w:lang w:val="en-US" w:eastAsia="zh-CN"/>
              </w:rPr>
              <w:t>表</w:t>
            </w:r>
            <w:r>
              <w:rPr>
                <w:rFonts w:hint="eastAsia" w:cs="Times New Roman"/>
                <w:b/>
                <w:bCs/>
                <w:sz w:val="22"/>
                <w:szCs w:val="22"/>
                <w:lang w:val="en-US" w:eastAsia="zh-CN"/>
              </w:rPr>
              <w:t>2-5</w:t>
            </w:r>
            <w:r>
              <w:rPr>
                <w:rFonts w:hint="default" w:ascii="宋体" w:hAnsi="宋体" w:eastAsia="宋体" w:cs="宋体"/>
                <w:b/>
                <w:bCs/>
                <w:sz w:val="22"/>
                <w:szCs w:val="22"/>
                <w:lang w:val="en-US" w:eastAsia="zh-CN"/>
              </w:rPr>
              <w:t xml:space="preserve">  </w:t>
            </w:r>
            <w:r>
              <w:rPr>
                <w:rFonts w:hint="eastAsia" w:ascii="宋体" w:hAnsi="宋体" w:eastAsia="宋体" w:cs="宋体"/>
                <w:b/>
                <w:bCs/>
                <w:sz w:val="22"/>
                <w:szCs w:val="22"/>
                <w:lang w:val="en-US" w:eastAsia="zh-CN"/>
              </w:rPr>
              <w:t>各产品原辅材料使用情况一览表</w:t>
            </w:r>
          </w:p>
          <w:tbl>
            <w:tblPr>
              <w:tblStyle w:val="15"/>
              <w:tblW w:w="46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44"/>
              <w:gridCol w:w="1935"/>
              <w:gridCol w:w="1631"/>
              <w:gridCol w:w="1546"/>
              <w:gridCol w:w="1877"/>
            </w:tblGrid>
            <w:tr w14:paraId="5874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vMerge w:val="restart"/>
                  <w:noWrap w:val="0"/>
                  <w:vAlign w:val="center"/>
                </w:tcPr>
                <w:p w14:paraId="63C80BC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b/>
                      <w:bCs/>
                      <w:color w:val="000000"/>
                      <w:kern w:val="0"/>
                      <w:sz w:val="22"/>
                      <w:szCs w:val="22"/>
                      <w:lang w:val="en-US" w:eastAsia="zh-CN"/>
                    </w:rPr>
                  </w:pPr>
                  <w:r>
                    <w:rPr>
                      <w:rFonts w:hint="eastAsia" w:ascii="Times New Roman" w:hAnsi="Times New Roman" w:eastAsia="宋体"/>
                      <w:b/>
                      <w:bCs/>
                      <w:color w:val="000000"/>
                      <w:kern w:val="0"/>
                      <w:sz w:val="22"/>
                      <w:szCs w:val="22"/>
                      <w:lang w:val="en-US" w:eastAsia="zh-CN"/>
                    </w:rPr>
                    <w:t>序号</w:t>
                  </w:r>
                </w:p>
              </w:tc>
              <w:tc>
                <w:tcPr>
                  <w:tcW w:w="1251" w:type="pct"/>
                  <w:vMerge w:val="restart"/>
                  <w:noWrap w:val="0"/>
                  <w:vAlign w:val="center"/>
                </w:tcPr>
                <w:p w14:paraId="04580F1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原辅材料</w:t>
                  </w:r>
                  <w:r>
                    <w:rPr>
                      <w:rFonts w:hint="eastAsia" w:ascii="Times New Roman" w:hAnsi="Times New Roman" w:eastAsia="宋体"/>
                      <w:b/>
                      <w:bCs/>
                      <w:color w:val="000000"/>
                      <w:kern w:val="0"/>
                      <w:sz w:val="22"/>
                      <w:szCs w:val="22"/>
                      <w:lang w:val="en-US" w:eastAsia="zh-CN"/>
                    </w:rPr>
                    <w:t>名称</w:t>
                  </w:r>
                </w:p>
              </w:tc>
              <w:tc>
                <w:tcPr>
                  <w:tcW w:w="3267" w:type="pct"/>
                  <w:gridSpan w:val="3"/>
                  <w:noWrap w:val="0"/>
                  <w:vAlign w:val="center"/>
                </w:tcPr>
                <w:p w14:paraId="28F477A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原辅材料消耗量</w:t>
                  </w:r>
                  <w:r>
                    <w:rPr>
                      <w:rFonts w:hint="eastAsia" w:ascii="Times New Roman" w:hAnsi="Times New Roman" w:eastAsia="宋体"/>
                      <w:b/>
                      <w:bCs/>
                      <w:color w:val="000000"/>
                      <w:kern w:val="0"/>
                      <w:sz w:val="22"/>
                      <w:szCs w:val="22"/>
                      <w:lang w:val="en-US" w:eastAsia="zh-CN"/>
                    </w:rPr>
                    <w:t>（t/a）</w:t>
                  </w:r>
                </w:p>
              </w:tc>
            </w:tr>
            <w:tr w14:paraId="72E2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vMerge w:val="continue"/>
                  <w:noWrap w:val="0"/>
                  <w:vAlign w:val="center"/>
                </w:tcPr>
                <w:p w14:paraId="475A7C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b/>
                      <w:bCs/>
                      <w:color w:val="000000"/>
                      <w:kern w:val="0"/>
                      <w:sz w:val="22"/>
                      <w:szCs w:val="22"/>
                      <w:lang w:val="en-US" w:eastAsia="zh-CN"/>
                    </w:rPr>
                  </w:pPr>
                </w:p>
              </w:tc>
              <w:tc>
                <w:tcPr>
                  <w:tcW w:w="1251" w:type="pct"/>
                  <w:vMerge w:val="continue"/>
                  <w:noWrap w:val="0"/>
                  <w:vAlign w:val="center"/>
                </w:tcPr>
                <w:p w14:paraId="3B162DE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b/>
                      <w:bCs/>
                      <w:color w:val="000000"/>
                      <w:kern w:val="0"/>
                      <w:sz w:val="22"/>
                      <w:szCs w:val="22"/>
                      <w:lang w:val="en-US" w:eastAsia="zh-CN"/>
                    </w:rPr>
                  </w:pPr>
                </w:p>
              </w:tc>
              <w:tc>
                <w:tcPr>
                  <w:tcW w:w="1054" w:type="pct"/>
                  <w:noWrap w:val="0"/>
                  <w:vAlign w:val="center"/>
                </w:tcPr>
                <w:p w14:paraId="500E3BD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原项目使用</w:t>
                  </w:r>
                </w:p>
              </w:tc>
              <w:tc>
                <w:tcPr>
                  <w:tcW w:w="999" w:type="pct"/>
                  <w:noWrap w:val="0"/>
                  <w:vAlign w:val="center"/>
                </w:tcPr>
                <w:p w14:paraId="0EA9C22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本次技改新增</w:t>
                  </w:r>
                </w:p>
              </w:tc>
              <w:tc>
                <w:tcPr>
                  <w:tcW w:w="1213" w:type="pct"/>
                  <w:noWrap w:val="0"/>
                  <w:vAlign w:val="center"/>
                </w:tcPr>
                <w:p w14:paraId="5B39AD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技改后全厂使用</w:t>
                  </w:r>
                </w:p>
              </w:tc>
            </w:tr>
            <w:tr w14:paraId="7505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5000" w:type="pct"/>
                  <w:gridSpan w:val="5"/>
                  <w:noWrap w:val="0"/>
                  <w:vAlign w:val="center"/>
                </w:tcPr>
                <w:p w14:paraId="3A56289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2"/>
                      <w:szCs w:val="22"/>
                      <w:lang w:val="en-US" w:eastAsia="zh-CN"/>
                    </w:rPr>
                  </w:pPr>
                  <w:r>
                    <w:rPr>
                      <w:rFonts w:hint="eastAsia"/>
                      <w:b/>
                      <w:bCs/>
                      <w:color w:val="000000"/>
                      <w:kern w:val="0"/>
                      <w:sz w:val="22"/>
                      <w:szCs w:val="22"/>
                      <w:lang w:val="en-US" w:eastAsia="zh-CN"/>
                    </w:rPr>
                    <w:t>浓缩机</w:t>
                  </w:r>
                </w:p>
              </w:tc>
            </w:tr>
            <w:tr w14:paraId="6FDD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1" w:type="pct"/>
                  <w:noWrap w:val="0"/>
                  <w:vAlign w:val="center"/>
                </w:tcPr>
                <w:p w14:paraId="0056D8B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olor w:val="000000"/>
                      <w:kern w:val="0"/>
                      <w:sz w:val="22"/>
                      <w:szCs w:val="22"/>
                      <w:lang w:val="en-US" w:eastAsia="zh-CN"/>
                    </w:rPr>
                  </w:pPr>
                  <w:r>
                    <w:rPr>
                      <w:rFonts w:hint="eastAsia" w:ascii="Times New Roman" w:hAnsi="Times New Roman" w:eastAsia="宋体"/>
                      <w:color w:val="000000"/>
                      <w:kern w:val="0"/>
                      <w:sz w:val="22"/>
                      <w:szCs w:val="22"/>
                      <w:lang w:val="en-US" w:eastAsia="zh-CN"/>
                    </w:rPr>
                    <w:t>1</w:t>
                  </w:r>
                </w:p>
              </w:tc>
              <w:tc>
                <w:tcPr>
                  <w:tcW w:w="1251" w:type="pct"/>
                  <w:shd w:val="clear" w:color="auto" w:fill="auto"/>
                  <w:noWrap w:val="0"/>
                  <w:vAlign w:val="center"/>
                </w:tcPr>
                <w:p w14:paraId="060857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钢材</w:t>
                  </w:r>
                </w:p>
              </w:tc>
              <w:tc>
                <w:tcPr>
                  <w:tcW w:w="1054" w:type="pct"/>
                  <w:shd w:val="clear" w:color="auto" w:fill="auto"/>
                  <w:noWrap w:val="0"/>
                  <w:vAlign w:val="center"/>
                </w:tcPr>
                <w:p w14:paraId="5C5336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3680</w:t>
                  </w:r>
                </w:p>
              </w:tc>
              <w:tc>
                <w:tcPr>
                  <w:tcW w:w="999" w:type="pct"/>
                  <w:shd w:val="clear" w:color="auto" w:fill="auto"/>
                  <w:noWrap w:val="0"/>
                  <w:vAlign w:val="center"/>
                </w:tcPr>
                <w:p w14:paraId="1A6A80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23F228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3680</w:t>
                  </w:r>
                </w:p>
              </w:tc>
            </w:tr>
            <w:tr w14:paraId="35FD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noWrap w:val="0"/>
                  <w:vAlign w:val="center"/>
                </w:tcPr>
                <w:p w14:paraId="5886F5A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2"/>
                      <w:szCs w:val="22"/>
                      <w:lang w:val="en-US" w:eastAsia="zh-CN"/>
                    </w:rPr>
                  </w:pPr>
                  <w:r>
                    <w:rPr>
                      <w:rFonts w:hint="eastAsia" w:ascii="Times New Roman" w:hAnsi="Times New Roman" w:eastAsia="宋体"/>
                      <w:color w:val="000000"/>
                      <w:kern w:val="0"/>
                      <w:sz w:val="22"/>
                      <w:szCs w:val="22"/>
                      <w:lang w:val="en-US" w:eastAsia="zh-CN"/>
                    </w:rPr>
                    <w:t>2</w:t>
                  </w:r>
                </w:p>
              </w:tc>
              <w:tc>
                <w:tcPr>
                  <w:tcW w:w="1251" w:type="pct"/>
                  <w:shd w:val="clear" w:color="auto" w:fill="auto"/>
                  <w:noWrap w:val="0"/>
                  <w:vAlign w:val="center"/>
                </w:tcPr>
                <w:p w14:paraId="0C46F9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底漆</w:t>
                  </w:r>
                </w:p>
              </w:tc>
              <w:tc>
                <w:tcPr>
                  <w:tcW w:w="1054" w:type="pct"/>
                  <w:shd w:val="clear" w:color="auto" w:fill="auto"/>
                  <w:noWrap w:val="0"/>
                  <w:vAlign w:val="center"/>
                </w:tcPr>
                <w:p w14:paraId="5DA5EF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kern w:val="0"/>
                      <w:sz w:val="22"/>
                      <w:szCs w:val="22"/>
                      <w:lang w:val="en-US" w:eastAsia="zh-CN"/>
                    </w:rPr>
                  </w:pPr>
                  <w:r>
                    <w:rPr>
                      <w:rFonts w:hint="eastAsia" w:cs="Times New Roman"/>
                      <w:i w:val="0"/>
                      <w:iCs w:val="0"/>
                      <w:color w:val="000000"/>
                      <w:kern w:val="0"/>
                      <w:sz w:val="22"/>
                      <w:szCs w:val="22"/>
                      <w:u w:val="none"/>
                      <w:lang w:val="en-US" w:eastAsia="zh-CN" w:bidi="ar"/>
                    </w:rPr>
                    <w:t>3.2</w:t>
                  </w:r>
                </w:p>
              </w:tc>
              <w:tc>
                <w:tcPr>
                  <w:tcW w:w="999" w:type="pct"/>
                  <w:shd w:val="clear" w:color="auto" w:fill="auto"/>
                  <w:noWrap w:val="0"/>
                  <w:vAlign w:val="center"/>
                </w:tcPr>
                <w:p w14:paraId="2FF7D5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45D4CC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000000"/>
                      <w:kern w:val="0"/>
                      <w:sz w:val="22"/>
                      <w:szCs w:val="22"/>
                      <w:lang w:val="en-US" w:eastAsia="zh-CN"/>
                    </w:rPr>
                  </w:pPr>
                  <w:r>
                    <w:rPr>
                      <w:rFonts w:hint="eastAsia" w:cs="Times New Roman"/>
                      <w:i w:val="0"/>
                      <w:iCs w:val="0"/>
                      <w:color w:val="000000"/>
                      <w:kern w:val="0"/>
                      <w:sz w:val="22"/>
                      <w:szCs w:val="22"/>
                      <w:u w:val="none"/>
                      <w:lang w:val="en-US" w:eastAsia="zh-CN" w:bidi="ar"/>
                    </w:rPr>
                    <w:t>3.2</w:t>
                  </w:r>
                </w:p>
              </w:tc>
            </w:tr>
            <w:tr w14:paraId="0966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noWrap w:val="0"/>
                  <w:vAlign w:val="center"/>
                </w:tcPr>
                <w:p w14:paraId="5F2133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olor w:val="000000"/>
                      <w:kern w:val="0"/>
                      <w:sz w:val="22"/>
                      <w:szCs w:val="22"/>
                      <w:lang w:val="en-US" w:eastAsia="zh-CN"/>
                    </w:rPr>
                    <w:t>3</w:t>
                  </w:r>
                </w:p>
              </w:tc>
              <w:tc>
                <w:tcPr>
                  <w:tcW w:w="1251" w:type="pct"/>
                  <w:shd w:val="clear" w:color="auto" w:fill="auto"/>
                  <w:noWrap w:val="0"/>
                  <w:vAlign w:val="center"/>
                </w:tcPr>
                <w:p w14:paraId="4BF508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面漆</w:t>
                  </w:r>
                </w:p>
              </w:tc>
              <w:tc>
                <w:tcPr>
                  <w:tcW w:w="1054" w:type="pct"/>
                  <w:shd w:val="clear" w:color="auto" w:fill="auto"/>
                  <w:noWrap w:val="0"/>
                  <w:vAlign w:val="center"/>
                </w:tcPr>
                <w:p w14:paraId="6E6FF9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999" w:type="pct"/>
                  <w:shd w:val="clear" w:color="auto" w:fill="auto"/>
                  <w:noWrap w:val="0"/>
                  <w:vAlign w:val="center"/>
                </w:tcPr>
                <w:p w14:paraId="670639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2B10AF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2.3</w:t>
                  </w:r>
                </w:p>
              </w:tc>
            </w:tr>
            <w:tr w14:paraId="371D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01A81A1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olor w:val="000000"/>
                      <w:kern w:val="0"/>
                      <w:sz w:val="22"/>
                      <w:szCs w:val="22"/>
                      <w:lang w:val="en-US" w:eastAsia="zh-CN"/>
                    </w:rPr>
                    <w:t>4</w:t>
                  </w:r>
                </w:p>
              </w:tc>
              <w:tc>
                <w:tcPr>
                  <w:tcW w:w="1251" w:type="pct"/>
                  <w:shd w:val="clear" w:color="auto" w:fill="auto"/>
                  <w:noWrap w:val="0"/>
                  <w:vAlign w:val="center"/>
                </w:tcPr>
                <w:p w14:paraId="18A54F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焊条</w:t>
                  </w:r>
                </w:p>
              </w:tc>
              <w:tc>
                <w:tcPr>
                  <w:tcW w:w="1054" w:type="pct"/>
                  <w:shd w:val="clear" w:color="auto" w:fill="auto"/>
                  <w:noWrap w:val="0"/>
                  <w:vAlign w:val="center"/>
                </w:tcPr>
                <w:p w14:paraId="2D1EA9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999" w:type="pct"/>
                  <w:shd w:val="clear" w:color="auto" w:fill="auto"/>
                  <w:noWrap w:val="0"/>
                  <w:vAlign w:val="center"/>
                </w:tcPr>
                <w:p w14:paraId="03D9E3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046B1B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w:t>
                  </w:r>
                </w:p>
              </w:tc>
            </w:tr>
            <w:tr w14:paraId="70FB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79E9ADE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olor w:val="000000"/>
                      <w:kern w:val="0"/>
                      <w:sz w:val="22"/>
                      <w:szCs w:val="22"/>
                      <w:lang w:val="en-US" w:eastAsia="zh-CN"/>
                    </w:rPr>
                    <w:t>5</w:t>
                  </w:r>
                </w:p>
              </w:tc>
              <w:tc>
                <w:tcPr>
                  <w:tcW w:w="1251" w:type="pct"/>
                  <w:shd w:val="clear" w:color="auto" w:fill="auto"/>
                  <w:noWrap w:val="0"/>
                  <w:vAlign w:val="center"/>
                </w:tcPr>
                <w:p w14:paraId="09B99E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焊丝</w:t>
                  </w:r>
                </w:p>
              </w:tc>
              <w:tc>
                <w:tcPr>
                  <w:tcW w:w="1054" w:type="pct"/>
                  <w:shd w:val="clear" w:color="auto" w:fill="auto"/>
                  <w:noWrap w:val="0"/>
                  <w:vAlign w:val="center"/>
                </w:tcPr>
                <w:p w14:paraId="0C2463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999" w:type="pct"/>
                  <w:shd w:val="clear" w:color="auto" w:fill="auto"/>
                  <w:noWrap w:val="0"/>
                  <w:vAlign w:val="center"/>
                </w:tcPr>
                <w:p w14:paraId="086AEB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30C488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11</w:t>
                  </w:r>
                </w:p>
              </w:tc>
            </w:tr>
            <w:tr w14:paraId="79E8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5000" w:type="pct"/>
                  <w:gridSpan w:val="5"/>
                  <w:shd w:val="clear" w:color="auto" w:fill="auto"/>
                  <w:noWrap w:val="0"/>
                  <w:vAlign w:val="center"/>
                </w:tcPr>
                <w:p w14:paraId="286FAEA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2"/>
                      <w:szCs w:val="22"/>
                      <w:lang w:val="en-US" w:eastAsia="zh-CN"/>
                    </w:rPr>
                  </w:pPr>
                  <w:r>
                    <w:rPr>
                      <w:rFonts w:hint="eastAsia"/>
                      <w:b/>
                      <w:bCs/>
                      <w:color w:val="000000"/>
                      <w:kern w:val="0"/>
                      <w:sz w:val="22"/>
                      <w:szCs w:val="22"/>
                      <w:lang w:val="en-US" w:eastAsia="zh-CN"/>
                    </w:rPr>
                    <w:t>加药机</w:t>
                  </w:r>
                </w:p>
              </w:tc>
            </w:tr>
            <w:tr w14:paraId="7063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0E35B68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olor w:val="000000"/>
                      <w:kern w:val="0"/>
                      <w:sz w:val="22"/>
                      <w:szCs w:val="22"/>
                      <w:lang w:val="en-US" w:eastAsia="zh-CN"/>
                    </w:rPr>
                    <w:t>1</w:t>
                  </w:r>
                </w:p>
              </w:tc>
              <w:tc>
                <w:tcPr>
                  <w:tcW w:w="1251" w:type="pct"/>
                  <w:shd w:val="clear" w:color="auto" w:fill="auto"/>
                  <w:noWrap w:val="0"/>
                  <w:vAlign w:val="center"/>
                </w:tcPr>
                <w:p w14:paraId="63A943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钢材</w:t>
                  </w:r>
                </w:p>
              </w:tc>
              <w:tc>
                <w:tcPr>
                  <w:tcW w:w="1054" w:type="pct"/>
                  <w:shd w:val="clear" w:color="auto" w:fill="auto"/>
                  <w:noWrap w:val="0"/>
                  <w:vAlign w:val="center"/>
                </w:tcPr>
                <w:p w14:paraId="5490BD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999" w:type="pct"/>
                  <w:shd w:val="clear" w:color="auto" w:fill="auto"/>
                  <w:noWrap w:val="0"/>
                  <w:vAlign w:val="center"/>
                </w:tcPr>
                <w:p w14:paraId="2F6016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4F9355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40</w:t>
                  </w:r>
                </w:p>
              </w:tc>
            </w:tr>
            <w:tr w14:paraId="18EE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5CC4866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2"/>
                      <w:szCs w:val="22"/>
                      <w:lang w:val="en-US" w:eastAsia="zh-CN"/>
                    </w:rPr>
                  </w:pPr>
                  <w:r>
                    <w:rPr>
                      <w:rFonts w:hint="eastAsia"/>
                      <w:color w:val="000000"/>
                      <w:kern w:val="0"/>
                      <w:sz w:val="22"/>
                      <w:szCs w:val="22"/>
                      <w:lang w:val="en-US" w:eastAsia="zh-CN"/>
                    </w:rPr>
                    <w:t>2</w:t>
                  </w:r>
                </w:p>
              </w:tc>
              <w:tc>
                <w:tcPr>
                  <w:tcW w:w="1251" w:type="pct"/>
                  <w:shd w:val="clear" w:color="auto" w:fill="auto"/>
                  <w:noWrap w:val="0"/>
                  <w:vAlign w:val="center"/>
                </w:tcPr>
                <w:p w14:paraId="6D7BA6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底漆</w:t>
                  </w:r>
                </w:p>
              </w:tc>
              <w:tc>
                <w:tcPr>
                  <w:tcW w:w="1054" w:type="pct"/>
                  <w:shd w:val="clear" w:color="auto" w:fill="auto"/>
                  <w:noWrap w:val="0"/>
                  <w:vAlign w:val="center"/>
                </w:tcPr>
                <w:p w14:paraId="34D0A3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r>
                    <w:rPr>
                      <w:rFonts w:hint="eastAsia" w:cs="Times New Roman"/>
                      <w:i w:val="0"/>
                      <w:iCs w:val="0"/>
                      <w:color w:val="000000"/>
                      <w:kern w:val="0"/>
                      <w:sz w:val="22"/>
                      <w:szCs w:val="22"/>
                      <w:u w:val="none"/>
                      <w:lang w:val="en-US" w:eastAsia="zh-CN" w:bidi="ar"/>
                    </w:rPr>
                    <w:t>2</w:t>
                  </w:r>
                </w:p>
              </w:tc>
              <w:tc>
                <w:tcPr>
                  <w:tcW w:w="999" w:type="pct"/>
                  <w:shd w:val="clear" w:color="auto" w:fill="auto"/>
                  <w:noWrap w:val="0"/>
                  <w:vAlign w:val="center"/>
                </w:tcPr>
                <w:p w14:paraId="19EED1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75A010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color w:val="000000"/>
                      <w:kern w:val="0"/>
                      <w:sz w:val="22"/>
                      <w:szCs w:val="22"/>
                      <w:lang w:val="en-US" w:eastAsia="zh-CN" w:bidi="ar-SA"/>
                    </w:rPr>
                  </w:pPr>
                  <w:r>
                    <w:rPr>
                      <w:rFonts w:hint="eastAsia" w:cs="Times New Roman"/>
                      <w:i w:val="0"/>
                      <w:iCs w:val="0"/>
                      <w:color w:val="000000"/>
                      <w:kern w:val="0"/>
                      <w:sz w:val="22"/>
                      <w:szCs w:val="22"/>
                      <w:u w:val="none"/>
                      <w:lang w:val="en-US" w:eastAsia="zh-CN" w:bidi="ar"/>
                    </w:rPr>
                    <w:t>0.2</w:t>
                  </w:r>
                </w:p>
              </w:tc>
            </w:tr>
            <w:tr w14:paraId="715C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4AE297C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2"/>
                      <w:szCs w:val="22"/>
                      <w:lang w:val="en-US" w:eastAsia="zh-CN"/>
                    </w:rPr>
                  </w:pPr>
                  <w:r>
                    <w:rPr>
                      <w:rFonts w:hint="eastAsia"/>
                      <w:color w:val="000000"/>
                      <w:kern w:val="0"/>
                      <w:sz w:val="22"/>
                      <w:szCs w:val="22"/>
                      <w:lang w:val="en-US" w:eastAsia="zh-CN"/>
                    </w:rPr>
                    <w:t>3</w:t>
                  </w:r>
                </w:p>
              </w:tc>
              <w:tc>
                <w:tcPr>
                  <w:tcW w:w="1251" w:type="pct"/>
                  <w:shd w:val="clear" w:color="auto" w:fill="auto"/>
                  <w:noWrap w:val="0"/>
                  <w:vAlign w:val="center"/>
                </w:tcPr>
                <w:p w14:paraId="29E4BB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面漆</w:t>
                  </w:r>
                </w:p>
              </w:tc>
              <w:tc>
                <w:tcPr>
                  <w:tcW w:w="1054" w:type="pct"/>
                  <w:shd w:val="clear" w:color="auto" w:fill="auto"/>
                  <w:noWrap w:val="0"/>
                  <w:vAlign w:val="center"/>
                </w:tcPr>
                <w:p w14:paraId="596CD6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0.1</w:t>
                  </w:r>
                </w:p>
              </w:tc>
              <w:tc>
                <w:tcPr>
                  <w:tcW w:w="999" w:type="pct"/>
                  <w:shd w:val="clear" w:color="auto" w:fill="auto"/>
                  <w:noWrap w:val="0"/>
                  <w:vAlign w:val="center"/>
                </w:tcPr>
                <w:p w14:paraId="46F667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330D47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0.1</w:t>
                  </w:r>
                </w:p>
              </w:tc>
            </w:tr>
            <w:tr w14:paraId="7098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345FB4F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kern w:val="0"/>
                      <w:sz w:val="22"/>
                      <w:szCs w:val="22"/>
                      <w:lang w:val="en-US" w:eastAsia="zh-CN"/>
                    </w:rPr>
                  </w:pPr>
                  <w:r>
                    <w:rPr>
                      <w:rFonts w:hint="eastAsia"/>
                      <w:color w:val="000000"/>
                      <w:kern w:val="0"/>
                      <w:sz w:val="22"/>
                      <w:szCs w:val="22"/>
                      <w:lang w:val="en-US" w:eastAsia="zh-CN"/>
                    </w:rPr>
                    <w:t>4</w:t>
                  </w:r>
                </w:p>
              </w:tc>
              <w:tc>
                <w:tcPr>
                  <w:tcW w:w="1251" w:type="pct"/>
                  <w:shd w:val="clear" w:color="auto" w:fill="auto"/>
                  <w:noWrap w:val="0"/>
                  <w:vAlign w:val="center"/>
                </w:tcPr>
                <w:p w14:paraId="5F9329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焊丝</w:t>
                  </w:r>
                </w:p>
              </w:tc>
              <w:tc>
                <w:tcPr>
                  <w:tcW w:w="1054" w:type="pct"/>
                  <w:shd w:val="clear" w:color="auto" w:fill="auto"/>
                  <w:noWrap w:val="0"/>
                  <w:vAlign w:val="center"/>
                </w:tcPr>
                <w:p w14:paraId="5054DA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999" w:type="pct"/>
                  <w:shd w:val="clear" w:color="auto" w:fill="auto"/>
                  <w:noWrap w:val="0"/>
                  <w:vAlign w:val="center"/>
                </w:tcPr>
                <w:p w14:paraId="00B50B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66B9B8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0.5</w:t>
                  </w:r>
                </w:p>
              </w:tc>
            </w:tr>
            <w:tr w14:paraId="54E5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5000" w:type="pct"/>
                  <w:gridSpan w:val="5"/>
                  <w:shd w:val="clear" w:color="auto" w:fill="auto"/>
                  <w:noWrap w:val="0"/>
                  <w:vAlign w:val="center"/>
                </w:tcPr>
                <w:p w14:paraId="079AE6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2"/>
                      <w:szCs w:val="22"/>
                      <w:lang w:val="en-US" w:eastAsia="zh-CN"/>
                    </w:rPr>
                  </w:pPr>
                  <w:r>
                    <w:rPr>
                      <w:rFonts w:hint="eastAsia"/>
                      <w:b/>
                      <w:bCs/>
                      <w:color w:val="000000"/>
                      <w:kern w:val="0"/>
                      <w:sz w:val="22"/>
                      <w:szCs w:val="22"/>
                      <w:lang w:val="en-US" w:eastAsia="zh-CN"/>
                    </w:rPr>
                    <w:t>振动筛</w:t>
                  </w:r>
                </w:p>
              </w:tc>
            </w:tr>
            <w:tr w14:paraId="0A59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1C745BB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olor w:val="000000"/>
                      <w:kern w:val="0"/>
                      <w:sz w:val="22"/>
                      <w:szCs w:val="22"/>
                      <w:lang w:val="en-US" w:eastAsia="zh-CN"/>
                    </w:rPr>
                    <w:t>1</w:t>
                  </w:r>
                </w:p>
              </w:tc>
              <w:tc>
                <w:tcPr>
                  <w:tcW w:w="1251" w:type="pct"/>
                  <w:shd w:val="clear" w:color="auto" w:fill="auto"/>
                  <w:noWrap w:val="0"/>
                  <w:vAlign w:val="center"/>
                </w:tcPr>
                <w:p w14:paraId="437A2C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钢材</w:t>
                  </w:r>
                </w:p>
              </w:tc>
              <w:tc>
                <w:tcPr>
                  <w:tcW w:w="1054" w:type="pct"/>
                  <w:shd w:val="clear" w:color="auto" w:fill="auto"/>
                  <w:noWrap w:val="0"/>
                  <w:vAlign w:val="center"/>
                </w:tcPr>
                <w:p w14:paraId="56FA8A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999" w:type="pct"/>
                  <w:shd w:val="clear" w:color="auto" w:fill="auto"/>
                  <w:noWrap w:val="0"/>
                  <w:vAlign w:val="center"/>
                </w:tcPr>
                <w:p w14:paraId="120AB7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097FC0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300</w:t>
                  </w:r>
                </w:p>
              </w:tc>
            </w:tr>
            <w:tr w14:paraId="5AFC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56E5D87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color w:val="000000"/>
                      <w:kern w:val="0"/>
                      <w:sz w:val="22"/>
                      <w:szCs w:val="22"/>
                      <w:lang w:val="en-US" w:eastAsia="zh-CN"/>
                    </w:rPr>
                    <w:t>2</w:t>
                  </w:r>
                </w:p>
              </w:tc>
              <w:tc>
                <w:tcPr>
                  <w:tcW w:w="1251" w:type="pct"/>
                  <w:shd w:val="clear" w:color="auto" w:fill="auto"/>
                  <w:noWrap w:val="0"/>
                  <w:vAlign w:val="center"/>
                </w:tcPr>
                <w:p w14:paraId="157D03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底漆</w:t>
                  </w:r>
                </w:p>
              </w:tc>
              <w:tc>
                <w:tcPr>
                  <w:tcW w:w="1054" w:type="pct"/>
                  <w:shd w:val="clear" w:color="auto" w:fill="auto"/>
                  <w:noWrap w:val="0"/>
                  <w:vAlign w:val="center"/>
                </w:tcPr>
                <w:p w14:paraId="0F3CB2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cs="Times New Roman"/>
                      <w:i w:val="0"/>
                      <w:iCs w:val="0"/>
                      <w:color w:val="000000"/>
                      <w:kern w:val="0"/>
                      <w:sz w:val="22"/>
                      <w:szCs w:val="22"/>
                      <w:u w:val="none"/>
                      <w:lang w:val="en-US" w:eastAsia="zh-CN" w:bidi="ar"/>
                    </w:rPr>
                    <w:t>0.4</w:t>
                  </w:r>
                </w:p>
              </w:tc>
              <w:tc>
                <w:tcPr>
                  <w:tcW w:w="999" w:type="pct"/>
                  <w:shd w:val="clear" w:color="auto" w:fill="auto"/>
                  <w:noWrap w:val="0"/>
                  <w:vAlign w:val="center"/>
                </w:tcPr>
                <w:p w14:paraId="2EFFAA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0EBC38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cs="Times New Roman"/>
                      <w:i w:val="0"/>
                      <w:iCs w:val="0"/>
                      <w:color w:val="000000"/>
                      <w:kern w:val="0"/>
                      <w:sz w:val="22"/>
                      <w:szCs w:val="22"/>
                      <w:u w:val="none"/>
                      <w:lang w:val="en-US" w:eastAsia="zh-CN" w:bidi="ar"/>
                    </w:rPr>
                    <w:t>0.4</w:t>
                  </w:r>
                </w:p>
              </w:tc>
            </w:tr>
            <w:tr w14:paraId="2422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138C117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color w:val="000000"/>
                      <w:kern w:val="0"/>
                      <w:sz w:val="22"/>
                      <w:szCs w:val="22"/>
                      <w:lang w:val="en-US" w:eastAsia="zh-CN"/>
                    </w:rPr>
                    <w:t>3</w:t>
                  </w:r>
                </w:p>
              </w:tc>
              <w:tc>
                <w:tcPr>
                  <w:tcW w:w="1251" w:type="pct"/>
                  <w:shd w:val="clear" w:color="auto" w:fill="auto"/>
                  <w:noWrap w:val="0"/>
                  <w:vAlign w:val="center"/>
                </w:tcPr>
                <w:p w14:paraId="134205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面漆</w:t>
                  </w:r>
                </w:p>
              </w:tc>
              <w:tc>
                <w:tcPr>
                  <w:tcW w:w="1054" w:type="pct"/>
                  <w:shd w:val="clear" w:color="auto" w:fill="auto"/>
                  <w:noWrap w:val="0"/>
                  <w:vAlign w:val="center"/>
                </w:tcPr>
                <w:p w14:paraId="02DFEB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0.3</w:t>
                  </w:r>
                </w:p>
              </w:tc>
              <w:tc>
                <w:tcPr>
                  <w:tcW w:w="999" w:type="pct"/>
                  <w:shd w:val="clear" w:color="auto" w:fill="auto"/>
                  <w:noWrap w:val="0"/>
                  <w:vAlign w:val="center"/>
                </w:tcPr>
                <w:p w14:paraId="235B9E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4AF639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0.3</w:t>
                  </w:r>
                </w:p>
              </w:tc>
            </w:tr>
            <w:tr w14:paraId="15B2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0ABBA48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color w:val="000000"/>
                      <w:kern w:val="0"/>
                      <w:sz w:val="22"/>
                      <w:szCs w:val="22"/>
                      <w:lang w:val="en-US" w:eastAsia="zh-CN"/>
                    </w:rPr>
                    <w:t>4</w:t>
                  </w:r>
                </w:p>
              </w:tc>
              <w:tc>
                <w:tcPr>
                  <w:tcW w:w="1251" w:type="pct"/>
                  <w:shd w:val="clear" w:color="auto" w:fill="auto"/>
                  <w:noWrap w:val="0"/>
                  <w:vAlign w:val="center"/>
                </w:tcPr>
                <w:p w14:paraId="6340BF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焊丝</w:t>
                  </w:r>
                </w:p>
              </w:tc>
              <w:tc>
                <w:tcPr>
                  <w:tcW w:w="1054" w:type="pct"/>
                  <w:shd w:val="clear" w:color="auto" w:fill="auto"/>
                  <w:noWrap w:val="0"/>
                  <w:vAlign w:val="center"/>
                </w:tcPr>
                <w:p w14:paraId="231950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999" w:type="pct"/>
                  <w:shd w:val="clear" w:color="auto" w:fill="auto"/>
                  <w:noWrap w:val="0"/>
                  <w:vAlign w:val="center"/>
                </w:tcPr>
                <w:p w14:paraId="27623E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2C942F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1.5</w:t>
                  </w:r>
                </w:p>
              </w:tc>
            </w:tr>
            <w:tr w14:paraId="40D3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5000" w:type="pct"/>
                  <w:gridSpan w:val="5"/>
                  <w:shd w:val="clear" w:color="auto" w:fill="auto"/>
                  <w:noWrap w:val="0"/>
                  <w:vAlign w:val="center"/>
                </w:tcPr>
                <w:p w14:paraId="52ABE27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2"/>
                      <w:szCs w:val="22"/>
                      <w:lang w:val="en-US" w:eastAsia="zh-CN"/>
                    </w:rPr>
                  </w:pPr>
                  <w:r>
                    <w:rPr>
                      <w:rFonts w:hint="eastAsia"/>
                      <w:b/>
                      <w:bCs/>
                      <w:color w:val="000000"/>
                      <w:kern w:val="0"/>
                      <w:sz w:val="22"/>
                      <w:szCs w:val="22"/>
                      <w:lang w:val="en-US" w:eastAsia="zh-CN"/>
                    </w:rPr>
                    <w:t>搅拌桶</w:t>
                  </w:r>
                </w:p>
              </w:tc>
            </w:tr>
            <w:tr w14:paraId="3E48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4E90CCB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olor w:val="000000"/>
                      <w:kern w:val="0"/>
                      <w:sz w:val="22"/>
                      <w:szCs w:val="22"/>
                      <w:lang w:val="en-US" w:eastAsia="zh-CN"/>
                    </w:rPr>
                    <w:t>1</w:t>
                  </w:r>
                </w:p>
              </w:tc>
              <w:tc>
                <w:tcPr>
                  <w:tcW w:w="1251" w:type="pct"/>
                  <w:shd w:val="clear" w:color="auto" w:fill="auto"/>
                  <w:noWrap w:val="0"/>
                  <w:vAlign w:val="center"/>
                </w:tcPr>
                <w:p w14:paraId="4ACCBE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钢材</w:t>
                  </w:r>
                </w:p>
              </w:tc>
              <w:tc>
                <w:tcPr>
                  <w:tcW w:w="1054" w:type="pct"/>
                  <w:shd w:val="clear" w:color="auto" w:fill="auto"/>
                  <w:noWrap w:val="0"/>
                  <w:vAlign w:val="center"/>
                </w:tcPr>
                <w:p w14:paraId="74C580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240</w:t>
                  </w:r>
                </w:p>
              </w:tc>
              <w:tc>
                <w:tcPr>
                  <w:tcW w:w="999" w:type="pct"/>
                  <w:shd w:val="clear" w:color="auto" w:fill="auto"/>
                  <w:noWrap w:val="0"/>
                  <w:vAlign w:val="center"/>
                </w:tcPr>
                <w:p w14:paraId="4F0526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0967F2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240</w:t>
                  </w:r>
                </w:p>
              </w:tc>
            </w:tr>
            <w:tr w14:paraId="3124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091D5E3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color w:val="000000"/>
                      <w:kern w:val="0"/>
                      <w:sz w:val="22"/>
                      <w:szCs w:val="22"/>
                      <w:lang w:val="en-US" w:eastAsia="zh-CN"/>
                    </w:rPr>
                    <w:t>2</w:t>
                  </w:r>
                </w:p>
              </w:tc>
              <w:tc>
                <w:tcPr>
                  <w:tcW w:w="1251" w:type="pct"/>
                  <w:shd w:val="clear" w:color="auto" w:fill="auto"/>
                  <w:noWrap w:val="0"/>
                  <w:vAlign w:val="center"/>
                </w:tcPr>
                <w:p w14:paraId="5C586F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底漆</w:t>
                  </w:r>
                </w:p>
              </w:tc>
              <w:tc>
                <w:tcPr>
                  <w:tcW w:w="1054" w:type="pct"/>
                  <w:shd w:val="clear" w:color="auto" w:fill="auto"/>
                  <w:noWrap w:val="0"/>
                  <w:vAlign w:val="center"/>
                </w:tcPr>
                <w:p w14:paraId="32602A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0.4</w:t>
                  </w:r>
                </w:p>
              </w:tc>
              <w:tc>
                <w:tcPr>
                  <w:tcW w:w="999" w:type="pct"/>
                  <w:shd w:val="clear" w:color="auto" w:fill="auto"/>
                  <w:noWrap w:val="0"/>
                  <w:vAlign w:val="center"/>
                </w:tcPr>
                <w:p w14:paraId="739AC8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69F7A7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0.4</w:t>
                  </w:r>
                </w:p>
              </w:tc>
            </w:tr>
            <w:tr w14:paraId="1208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197D80B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color w:val="000000"/>
                      <w:kern w:val="0"/>
                      <w:sz w:val="22"/>
                      <w:szCs w:val="22"/>
                      <w:lang w:val="en-US" w:eastAsia="zh-CN"/>
                    </w:rPr>
                    <w:t>3</w:t>
                  </w:r>
                </w:p>
              </w:tc>
              <w:tc>
                <w:tcPr>
                  <w:tcW w:w="1251" w:type="pct"/>
                  <w:shd w:val="clear" w:color="auto" w:fill="auto"/>
                  <w:noWrap w:val="0"/>
                  <w:vAlign w:val="center"/>
                </w:tcPr>
                <w:p w14:paraId="588233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面漆</w:t>
                  </w:r>
                </w:p>
              </w:tc>
              <w:tc>
                <w:tcPr>
                  <w:tcW w:w="1054" w:type="pct"/>
                  <w:shd w:val="clear" w:color="auto" w:fill="auto"/>
                  <w:noWrap w:val="0"/>
                  <w:vAlign w:val="center"/>
                </w:tcPr>
                <w:p w14:paraId="2B9090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0.2</w:t>
                  </w:r>
                </w:p>
              </w:tc>
              <w:tc>
                <w:tcPr>
                  <w:tcW w:w="999" w:type="pct"/>
                  <w:shd w:val="clear" w:color="auto" w:fill="auto"/>
                  <w:noWrap w:val="0"/>
                  <w:vAlign w:val="center"/>
                </w:tcPr>
                <w:p w14:paraId="7743E7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455CE7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0.2</w:t>
                  </w:r>
                </w:p>
              </w:tc>
            </w:tr>
            <w:tr w14:paraId="276B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691CD8C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color w:val="000000"/>
                      <w:kern w:val="0"/>
                      <w:sz w:val="22"/>
                      <w:szCs w:val="22"/>
                      <w:lang w:val="en-US" w:eastAsia="zh-CN"/>
                    </w:rPr>
                    <w:t>4</w:t>
                  </w:r>
                </w:p>
              </w:tc>
              <w:tc>
                <w:tcPr>
                  <w:tcW w:w="1251" w:type="pct"/>
                  <w:shd w:val="clear" w:color="auto" w:fill="auto"/>
                  <w:noWrap w:val="0"/>
                  <w:vAlign w:val="center"/>
                </w:tcPr>
                <w:p w14:paraId="0AE7D7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焊丝</w:t>
                  </w:r>
                </w:p>
              </w:tc>
              <w:tc>
                <w:tcPr>
                  <w:tcW w:w="1054" w:type="pct"/>
                  <w:shd w:val="clear" w:color="auto" w:fill="auto"/>
                  <w:noWrap w:val="0"/>
                  <w:vAlign w:val="center"/>
                </w:tcPr>
                <w:p w14:paraId="27ECF8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999" w:type="pct"/>
                  <w:shd w:val="clear" w:color="auto" w:fill="auto"/>
                  <w:noWrap w:val="0"/>
                  <w:vAlign w:val="center"/>
                </w:tcPr>
                <w:p w14:paraId="4010AA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553011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1.5</w:t>
                  </w:r>
                </w:p>
              </w:tc>
            </w:tr>
            <w:tr w14:paraId="0E53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5000" w:type="pct"/>
                  <w:gridSpan w:val="5"/>
                  <w:shd w:val="clear" w:color="auto" w:fill="auto"/>
                  <w:noWrap w:val="0"/>
                  <w:vAlign w:val="center"/>
                </w:tcPr>
                <w:p w14:paraId="5D51ADE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olor w:val="000000"/>
                      <w:kern w:val="0"/>
                      <w:sz w:val="22"/>
                      <w:szCs w:val="22"/>
                      <w:lang w:val="en-US" w:eastAsia="zh-CN"/>
                    </w:rPr>
                  </w:pPr>
                  <w:r>
                    <w:rPr>
                      <w:rFonts w:hint="eastAsia"/>
                      <w:b/>
                      <w:bCs/>
                      <w:color w:val="000000"/>
                      <w:kern w:val="0"/>
                      <w:sz w:val="22"/>
                      <w:szCs w:val="22"/>
                      <w:lang w:val="en-US" w:eastAsia="zh-CN"/>
                    </w:rPr>
                    <w:t>矿浆准备器</w:t>
                  </w:r>
                </w:p>
              </w:tc>
            </w:tr>
            <w:tr w14:paraId="6244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689A8EA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olor w:val="000000"/>
                      <w:kern w:val="0"/>
                      <w:sz w:val="22"/>
                      <w:szCs w:val="22"/>
                      <w:lang w:val="en-US" w:eastAsia="zh-CN"/>
                    </w:rPr>
                    <w:t>1</w:t>
                  </w:r>
                </w:p>
              </w:tc>
              <w:tc>
                <w:tcPr>
                  <w:tcW w:w="1251" w:type="pct"/>
                  <w:shd w:val="clear" w:color="auto" w:fill="auto"/>
                  <w:noWrap w:val="0"/>
                  <w:vAlign w:val="center"/>
                </w:tcPr>
                <w:p w14:paraId="7E704F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钢材</w:t>
                  </w:r>
                </w:p>
              </w:tc>
              <w:tc>
                <w:tcPr>
                  <w:tcW w:w="1054" w:type="pct"/>
                  <w:shd w:val="clear" w:color="auto" w:fill="auto"/>
                  <w:noWrap w:val="0"/>
                  <w:vAlign w:val="center"/>
                </w:tcPr>
                <w:p w14:paraId="6EC5D2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70</w:t>
                  </w:r>
                </w:p>
              </w:tc>
              <w:tc>
                <w:tcPr>
                  <w:tcW w:w="999" w:type="pct"/>
                  <w:shd w:val="clear" w:color="auto" w:fill="auto"/>
                  <w:noWrap w:val="0"/>
                  <w:vAlign w:val="center"/>
                </w:tcPr>
                <w:p w14:paraId="1DFB5B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46AD82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70</w:t>
                  </w:r>
                </w:p>
              </w:tc>
            </w:tr>
            <w:tr w14:paraId="01C2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47359CB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olor w:val="000000"/>
                      <w:kern w:val="0"/>
                      <w:sz w:val="22"/>
                      <w:szCs w:val="22"/>
                      <w:lang w:val="en-US" w:eastAsia="zh-CN"/>
                    </w:rPr>
                    <w:t>2</w:t>
                  </w:r>
                </w:p>
              </w:tc>
              <w:tc>
                <w:tcPr>
                  <w:tcW w:w="1251" w:type="pct"/>
                  <w:shd w:val="clear" w:color="auto" w:fill="auto"/>
                  <w:noWrap w:val="0"/>
                  <w:vAlign w:val="center"/>
                </w:tcPr>
                <w:p w14:paraId="04D805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底漆</w:t>
                  </w:r>
                </w:p>
              </w:tc>
              <w:tc>
                <w:tcPr>
                  <w:tcW w:w="1054" w:type="pct"/>
                  <w:shd w:val="clear" w:color="auto" w:fill="auto"/>
                  <w:noWrap w:val="0"/>
                  <w:vAlign w:val="center"/>
                </w:tcPr>
                <w:p w14:paraId="7A21F8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cs="Times New Roman"/>
                      <w:i w:val="0"/>
                      <w:iCs w:val="0"/>
                      <w:color w:val="000000"/>
                      <w:kern w:val="0"/>
                      <w:sz w:val="22"/>
                      <w:szCs w:val="22"/>
                      <w:u w:val="none"/>
                      <w:lang w:val="en-US" w:eastAsia="zh-CN" w:bidi="ar"/>
                    </w:rPr>
                    <w:t>0.2</w:t>
                  </w:r>
                </w:p>
              </w:tc>
              <w:tc>
                <w:tcPr>
                  <w:tcW w:w="999" w:type="pct"/>
                  <w:shd w:val="clear" w:color="auto" w:fill="auto"/>
                  <w:noWrap w:val="0"/>
                  <w:vAlign w:val="center"/>
                </w:tcPr>
                <w:p w14:paraId="1FAFB5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631FD5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cs="Times New Roman"/>
                      <w:i w:val="0"/>
                      <w:iCs w:val="0"/>
                      <w:color w:val="000000"/>
                      <w:kern w:val="0"/>
                      <w:sz w:val="22"/>
                      <w:szCs w:val="22"/>
                      <w:u w:val="none"/>
                      <w:lang w:val="en-US" w:eastAsia="zh-CN" w:bidi="ar"/>
                    </w:rPr>
                    <w:t>0.2</w:t>
                  </w:r>
                </w:p>
              </w:tc>
            </w:tr>
            <w:tr w14:paraId="3EDA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2A63441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olor w:val="000000"/>
                      <w:kern w:val="0"/>
                      <w:sz w:val="22"/>
                      <w:szCs w:val="22"/>
                      <w:lang w:val="en-US" w:eastAsia="zh-CN"/>
                    </w:rPr>
                    <w:t>3</w:t>
                  </w:r>
                </w:p>
              </w:tc>
              <w:tc>
                <w:tcPr>
                  <w:tcW w:w="1251" w:type="pct"/>
                  <w:shd w:val="clear" w:color="auto" w:fill="auto"/>
                  <w:noWrap w:val="0"/>
                  <w:vAlign w:val="center"/>
                </w:tcPr>
                <w:p w14:paraId="341DF4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面漆</w:t>
                  </w:r>
                </w:p>
              </w:tc>
              <w:tc>
                <w:tcPr>
                  <w:tcW w:w="1054" w:type="pct"/>
                  <w:shd w:val="clear" w:color="auto" w:fill="auto"/>
                  <w:noWrap w:val="0"/>
                  <w:vAlign w:val="center"/>
                </w:tcPr>
                <w:p w14:paraId="6A5059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0.1</w:t>
                  </w:r>
                </w:p>
              </w:tc>
              <w:tc>
                <w:tcPr>
                  <w:tcW w:w="999" w:type="pct"/>
                  <w:shd w:val="clear" w:color="auto" w:fill="auto"/>
                  <w:noWrap w:val="0"/>
                  <w:vAlign w:val="center"/>
                </w:tcPr>
                <w:p w14:paraId="49024B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74C913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0.1</w:t>
                  </w:r>
                </w:p>
              </w:tc>
            </w:tr>
            <w:tr w14:paraId="62E0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81" w:type="pct"/>
                  <w:shd w:val="clear" w:color="auto" w:fill="auto"/>
                  <w:noWrap w:val="0"/>
                  <w:vAlign w:val="center"/>
                </w:tcPr>
                <w:p w14:paraId="5935E50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olor w:val="000000"/>
                      <w:kern w:val="0"/>
                      <w:sz w:val="22"/>
                      <w:szCs w:val="22"/>
                      <w:lang w:val="en-US" w:eastAsia="zh-CN"/>
                    </w:rPr>
                    <w:t>4</w:t>
                  </w:r>
                </w:p>
              </w:tc>
              <w:tc>
                <w:tcPr>
                  <w:tcW w:w="1251" w:type="pct"/>
                  <w:shd w:val="clear" w:color="auto" w:fill="auto"/>
                  <w:noWrap w:val="0"/>
                  <w:vAlign w:val="center"/>
                </w:tcPr>
                <w:p w14:paraId="5E55DC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焊丝</w:t>
                  </w:r>
                </w:p>
              </w:tc>
              <w:tc>
                <w:tcPr>
                  <w:tcW w:w="1054" w:type="pct"/>
                  <w:shd w:val="clear" w:color="auto" w:fill="auto"/>
                  <w:noWrap w:val="0"/>
                  <w:vAlign w:val="center"/>
                </w:tcPr>
                <w:p w14:paraId="09CEF4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999" w:type="pct"/>
                  <w:shd w:val="clear" w:color="auto" w:fill="auto"/>
                  <w:noWrap w:val="0"/>
                  <w:vAlign w:val="center"/>
                </w:tcPr>
                <w:p w14:paraId="152904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213" w:type="pct"/>
                  <w:shd w:val="clear" w:color="auto" w:fill="auto"/>
                  <w:noWrap w:val="0"/>
                  <w:vAlign w:val="center"/>
                </w:tcPr>
                <w:p w14:paraId="393206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0.5</w:t>
                  </w:r>
                </w:p>
              </w:tc>
            </w:tr>
          </w:tbl>
          <w:p w14:paraId="239E5EA5">
            <w:pPr>
              <w:bidi w:val="0"/>
              <w:rPr>
                <w:rFonts w:hint="eastAsia"/>
                <w:lang w:val="en-US" w:eastAsia="zh-CN"/>
              </w:rPr>
            </w:pPr>
          </w:p>
          <w:p w14:paraId="6DA4E1FA">
            <w:pPr>
              <w:bidi w:val="0"/>
              <w:jc w:val="center"/>
              <w:rPr>
                <w:rFonts w:hint="eastAsia"/>
                <w:lang w:val="en-US" w:eastAsia="zh-CN"/>
              </w:rPr>
            </w:pPr>
            <w:r>
              <w:rPr>
                <w:rFonts w:hint="default" w:ascii="宋体" w:hAnsi="宋体" w:eastAsia="宋体" w:cs="宋体"/>
                <w:b/>
                <w:bCs/>
                <w:sz w:val="22"/>
                <w:szCs w:val="22"/>
                <w:lang w:val="en-US" w:eastAsia="zh-CN"/>
              </w:rPr>
              <w:t>表</w:t>
            </w:r>
            <w:r>
              <w:rPr>
                <w:rFonts w:hint="eastAsia" w:cs="Times New Roman"/>
                <w:b/>
                <w:bCs/>
                <w:sz w:val="22"/>
                <w:szCs w:val="22"/>
                <w:lang w:val="en-US" w:eastAsia="zh-CN"/>
              </w:rPr>
              <w:t>2-6</w:t>
            </w:r>
            <w:r>
              <w:rPr>
                <w:rFonts w:hint="default" w:ascii="宋体" w:hAnsi="宋体" w:eastAsia="宋体" w:cs="宋体"/>
                <w:b/>
                <w:bCs/>
                <w:sz w:val="22"/>
                <w:szCs w:val="22"/>
                <w:lang w:val="en-US" w:eastAsia="zh-CN"/>
              </w:rPr>
              <w:t xml:space="preserve">  </w:t>
            </w:r>
            <w:r>
              <w:rPr>
                <w:rFonts w:hint="eastAsia" w:ascii="宋体" w:hAnsi="宋体" w:cs="宋体"/>
                <w:b/>
                <w:bCs/>
                <w:sz w:val="22"/>
                <w:szCs w:val="22"/>
                <w:lang w:val="en-US" w:eastAsia="zh-CN"/>
              </w:rPr>
              <w:t>技改后全厂</w:t>
            </w:r>
            <w:r>
              <w:rPr>
                <w:rFonts w:hint="eastAsia" w:ascii="宋体" w:hAnsi="宋体" w:eastAsia="宋体" w:cs="宋体"/>
                <w:b/>
                <w:bCs/>
                <w:sz w:val="22"/>
                <w:szCs w:val="22"/>
                <w:lang w:val="en-US" w:eastAsia="zh-CN"/>
              </w:rPr>
              <w:t>原辅材料使用</w:t>
            </w:r>
            <w:r>
              <w:rPr>
                <w:rFonts w:hint="eastAsia" w:ascii="宋体" w:hAnsi="宋体" w:cs="宋体"/>
                <w:b/>
                <w:bCs/>
                <w:sz w:val="22"/>
                <w:szCs w:val="22"/>
                <w:lang w:val="en-US" w:eastAsia="zh-CN"/>
              </w:rPr>
              <w:t>及最大暂存情况</w:t>
            </w:r>
            <w:r>
              <w:rPr>
                <w:rFonts w:hint="default" w:ascii="Times New Roman" w:hAnsi="Times New Roman" w:eastAsia="宋体" w:cs="Times New Roman"/>
                <w:b/>
                <w:bCs/>
                <w:sz w:val="22"/>
                <w:szCs w:val="22"/>
                <w:lang w:val="en-US" w:eastAsia="zh-CN"/>
              </w:rPr>
              <w:t>一览表</w:t>
            </w:r>
          </w:p>
          <w:tbl>
            <w:tblPr>
              <w:tblStyle w:val="15"/>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77"/>
              <w:gridCol w:w="2387"/>
              <w:gridCol w:w="1044"/>
              <w:gridCol w:w="984"/>
              <w:gridCol w:w="1284"/>
              <w:gridCol w:w="1164"/>
              <w:gridCol w:w="843"/>
            </w:tblGrid>
            <w:tr w14:paraId="6D53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vMerge w:val="restart"/>
                  <w:noWrap w:val="0"/>
                  <w:vAlign w:val="center"/>
                </w:tcPr>
                <w:p w14:paraId="2E191A3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序号</w:t>
                  </w:r>
                </w:p>
              </w:tc>
              <w:tc>
                <w:tcPr>
                  <w:tcW w:w="1440" w:type="pct"/>
                  <w:vMerge w:val="restart"/>
                  <w:noWrap w:val="0"/>
                  <w:vAlign w:val="center"/>
                </w:tcPr>
                <w:p w14:paraId="1BB4038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原辅料名称</w:t>
                  </w:r>
                </w:p>
              </w:tc>
              <w:tc>
                <w:tcPr>
                  <w:tcW w:w="1999" w:type="pct"/>
                  <w:gridSpan w:val="3"/>
                  <w:noWrap w:val="0"/>
                  <w:vAlign w:val="center"/>
                </w:tcPr>
                <w:p w14:paraId="3E988D5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原辅料消耗量（t/a）</w:t>
                  </w:r>
                </w:p>
              </w:tc>
              <w:tc>
                <w:tcPr>
                  <w:tcW w:w="702" w:type="pct"/>
                  <w:vMerge w:val="restart"/>
                  <w:noWrap w:val="0"/>
                  <w:vAlign w:val="center"/>
                </w:tcPr>
                <w:p w14:paraId="174B96E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最大暂存量（t）</w:t>
                  </w:r>
                </w:p>
              </w:tc>
              <w:tc>
                <w:tcPr>
                  <w:tcW w:w="508" w:type="pct"/>
                  <w:vMerge w:val="restart"/>
                  <w:noWrap w:val="0"/>
                  <w:vAlign w:val="center"/>
                </w:tcPr>
                <w:p w14:paraId="3273DEC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备注</w:t>
                  </w:r>
                </w:p>
              </w:tc>
            </w:tr>
            <w:tr w14:paraId="4D94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vMerge w:val="continue"/>
                  <w:noWrap w:val="0"/>
                  <w:vAlign w:val="center"/>
                </w:tcPr>
                <w:p w14:paraId="026822D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p>
              </w:tc>
              <w:tc>
                <w:tcPr>
                  <w:tcW w:w="1440" w:type="pct"/>
                  <w:vMerge w:val="continue"/>
                  <w:noWrap w:val="0"/>
                  <w:vAlign w:val="center"/>
                </w:tcPr>
                <w:p w14:paraId="5EF141E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p>
              </w:tc>
              <w:tc>
                <w:tcPr>
                  <w:tcW w:w="630" w:type="pct"/>
                  <w:noWrap w:val="0"/>
                  <w:vAlign w:val="center"/>
                </w:tcPr>
                <w:p w14:paraId="7E4A24C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原项目</w:t>
                  </w:r>
                </w:p>
              </w:tc>
              <w:tc>
                <w:tcPr>
                  <w:tcW w:w="593" w:type="pct"/>
                  <w:noWrap w:val="0"/>
                  <w:vAlign w:val="center"/>
                </w:tcPr>
                <w:p w14:paraId="08E2469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本项目</w:t>
                  </w:r>
                </w:p>
              </w:tc>
              <w:tc>
                <w:tcPr>
                  <w:tcW w:w="775" w:type="pct"/>
                  <w:noWrap w:val="0"/>
                  <w:vAlign w:val="center"/>
                </w:tcPr>
                <w:p w14:paraId="2A98E14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r>
                    <w:rPr>
                      <w:rFonts w:hint="eastAsia"/>
                      <w:b/>
                      <w:bCs/>
                      <w:color w:val="000000"/>
                      <w:kern w:val="0"/>
                      <w:sz w:val="22"/>
                      <w:szCs w:val="22"/>
                      <w:lang w:val="en-US" w:eastAsia="zh-CN"/>
                    </w:rPr>
                    <w:t>技改后全厂</w:t>
                  </w:r>
                </w:p>
              </w:tc>
              <w:tc>
                <w:tcPr>
                  <w:tcW w:w="702" w:type="pct"/>
                  <w:vMerge w:val="continue"/>
                  <w:noWrap w:val="0"/>
                  <w:vAlign w:val="center"/>
                </w:tcPr>
                <w:p w14:paraId="5FB7851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p>
              </w:tc>
              <w:tc>
                <w:tcPr>
                  <w:tcW w:w="508" w:type="pct"/>
                  <w:vMerge w:val="continue"/>
                  <w:noWrap w:val="0"/>
                  <w:vAlign w:val="center"/>
                </w:tcPr>
                <w:p w14:paraId="1A851A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color w:val="000000"/>
                      <w:kern w:val="0"/>
                      <w:sz w:val="22"/>
                      <w:szCs w:val="22"/>
                      <w:lang w:val="en-US" w:eastAsia="zh-CN"/>
                    </w:rPr>
                  </w:pPr>
                </w:p>
              </w:tc>
            </w:tr>
            <w:tr w14:paraId="2B2D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noWrap w:val="0"/>
                  <w:vAlign w:val="center"/>
                </w:tcPr>
                <w:p w14:paraId="5E7DF40A">
                  <w:pPr>
                    <w:keepNext w:val="0"/>
                    <w:keepLines w:val="0"/>
                    <w:widowControl/>
                    <w:suppressLineNumbers w:val="0"/>
                    <w:jc w:val="center"/>
                    <w:textAlignment w:val="center"/>
                    <w:rPr>
                      <w:rFonts w:hint="eastAsia" w:ascii="Times New Roman" w:hAnsi="Times New Roman" w:eastAsia="宋体"/>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440" w:type="pct"/>
                  <w:shd w:val="clear" w:color="auto" w:fill="auto"/>
                  <w:noWrap w:val="0"/>
                  <w:vAlign w:val="center"/>
                </w:tcPr>
                <w:p w14:paraId="2C7ADBDD">
                  <w:pPr>
                    <w:keepNext w:val="0"/>
                    <w:keepLines w:val="0"/>
                    <w:widowControl/>
                    <w:suppressLineNumbers w:val="0"/>
                    <w:jc w:val="center"/>
                    <w:textAlignment w:val="center"/>
                    <w:rPr>
                      <w:rFonts w:hint="eastAsia" w:ascii="Times New Roman" w:hAnsi="Times New Roman" w:eastAsia="宋体"/>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钢材</w:t>
                  </w:r>
                </w:p>
              </w:tc>
              <w:tc>
                <w:tcPr>
                  <w:tcW w:w="630" w:type="pct"/>
                  <w:shd w:val="clear" w:color="auto" w:fill="auto"/>
                  <w:noWrap w:val="0"/>
                  <w:vAlign w:val="center"/>
                </w:tcPr>
                <w:p w14:paraId="75ADE1D7">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4330</w:t>
                  </w:r>
                </w:p>
              </w:tc>
              <w:tc>
                <w:tcPr>
                  <w:tcW w:w="593" w:type="pct"/>
                  <w:shd w:val="clear" w:color="auto" w:fill="auto"/>
                  <w:noWrap w:val="0"/>
                  <w:vAlign w:val="center"/>
                </w:tcPr>
                <w:p w14:paraId="63026F99">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noWrap w:val="0"/>
                  <w:vAlign w:val="center"/>
                </w:tcPr>
                <w:p w14:paraId="4CFDC95A">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4330</w:t>
                  </w:r>
                </w:p>
              </w:tc>
              <w:tc>
                <w:tcPr>
                  <w:tcW w:w="702" w:type="pct"/>
                  <w:shd w:val="clear" w:color="auto" w:fill="auto"/>
                  <w:noWrap w:val="0"/>
                  <w:vAlign w:val="center"/>
                </w:tcPr>
                <w:p w14:paraId="67AB4EC4">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150</w:t>
                  </w:r>
                </w:p>
              </w:tc>
              <w:tc>
                <w:tcPr>
                  <w:tcW w:w="508" w:type="pct"/>
                  <w:noWrap w:val="0"/>
                  <w:vAlign w:val="center"/>
                </w:tcPr>
                <w:p w14:paraId="1E3E6B8D">
                  <w:pPr>
                    <w:keepNext w:val="0"/>
                    <w:keepLines w:val="0"/>
                    <w:widowControl/>
                    <w:suppressLineNumbers w:val="0"/>
                    <w:jc w:val="center"/>
                    <w:textAlignment w:val="center"/>
                    <w:rPr>
                      <w:rFonts w:hint="default" w:ascii="Times New Roman" w:hAnsi="Times New Roman" w:eastAsia="宋体"/>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678D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noWrap w:val="0"/>
                  <w:vAlign w:val="center"/>
                </w:tcPr>
                <w:p w14:paraId="3E5BB470">
                  <w:pPr>
                    <w:keepNext w:val="0"/>
                    <w:keepLines w:val="0"/>
                    <w:widowControl/>
                    <w:suppressLineNumbers w:val="0"/>
                    <w:jc w:val="center"/>
                    <w:textAlignment w:val="center"/>
                    <w:rPr>
                      <w:rFonts w:hint="default" w:ascii="Times New Roman" w:hAnsi="Times New Roman" w:eastAsia="宋体"/>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40" w:type="pct"/>
                  <w:shd w:val="clear" w:color="auto" w:fill="auto"/>
                  <w:noWrap w:val="0"/>
                  <w:vAlign w:val="center"/>
                </w:tcPr>
                <w:p w14:paraId="5C64E629">
                  <w:pPr>
                    <w:keepNext w:val="0"/>
                    <w:keepLines w:val="0"/>
                    <w:widowControl/>
                    <w:suppressLineNumbers w:val="0"/>
                    <w:jc w:val="center"/>
                    <w:textAlignment w:val="center"/>
                    <w:rPr>
                      <w:rFonts w:hint="default" w:ascii="Times New Roman" w:hAnsi="Times New Roman" w:eastAsia="宋体"/>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焊条</w:t>
                  </w:r>
                </w:p>
              </w:tc>
              <w:tc>
                <w:tcPr>
                  <w:tcW w:w="630" w:type="pct"/>
                  <w:shd w:val="clear" w:color="auto" w:fill="auto"/>
                  <w:noWrap w:val="0"/>
                  <w:vAlign w:val="center"/>
                </w:tcPr>
                <w:p w14:paraId="41246409">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593" w:type="pct"/>
                  <w:shd w:val="clear" w:color="auto" w:fill="auto"/>
                  <w:noWrap w:val="0"/>
                  <w:vAlign w:val="center"/>
                </w:tcPr>
                <w:p w14:paraId="43F1E7F3">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noWrap w:val="0"/>
                  <w:vAlign w:val="center"/>
                </w:tcPr>
                <w:p w14:paraId="5561B56C">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02" w:type="pct"/>
                  <w:shd w:val="clear" w:color="auto" w:fill="auto"/>
                  <w:noWrap w:val="0"/>
                  <w:vAlign w:val="center"/>
                </w:tcPr>
                <w:p w14:paraId="5866F0E4">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0.1</w:t>
                  </w:r>
                </w:p>
              </w:tc>
              <w:tc>
                <w:tcPr>
                  <w:tcW w:w="508" w:type="pct"/>
                  <w:noWrap w:val="0"/>
                  <w:vAlign w:val="center"/>
                </w:tcPr>
                <w:p w14:paraId="404401B5">
                  <w:pPr>
                    <w:keepNext w:val="0"/>
                    <w:keepLines w:val="0"/>
                    <w:widowControl/>
                    <w:suppressLineNumbers w:val="0"/>
                    <w:jc w:val="center"/>
                    <w:textAlignment w:val="center"/>
                    <w:rPr>
                      <w:rFonts w:hint="default" w:ascii="Times New Roman" w:hAnsi="Times New Roman" w:eastAsia="宋体"/>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6C4C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noWrap w:val="0"/>
                  <w:vAlign w:val="center"/>
                </w:tcPr>
                <w:p w14:paraId="5AA6BBAF">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440" w:type="pct"/>
                  <w:shd w:val="clear" w:color="auto" w:fill="auto"/>
                  <w:noWrap w:val="0"/>
                  <w:vAlign w:val="center"/>
                </w:tcPr>
                <w:p w14:paraId="7A9A0AAE">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焊丝</w:t>
                  </w:r>
                </w:p>
              </w:tc>
              <w:tc>
                <w:tcPr>
                  <w:tcW w:w="630" w:type="pct"/>
                  <w:shd w:val="clear" w:color="auto" w:fill="auto"/>
                  <w:noWrap w:val="0"/>
                  <w:vAlign w:val="center"/>
                </w:tcPr>
                <w:p w14:paraId="47744208">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593" w:type="pct"/>
                  <w:shd w:val="clear" w:color="auto" w:fill="auto"/>
                  <w:noWrap w:val="0"/>
                  <w:vAlign w:val="center"/>
                </w:tcPr>
                <w:p w14:paraId="4D759E3E">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noWrap w:val="0"/>
                  <w:vAlign w:val="center"/>
                </w:tcPr>
                <w:p w14:paraId="6D01C114">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702" w:type="pct"/>
                  <w:shd w:val="clear" w:color="auto" w:fill="auto"/>
                  <w:noWrap w:val="0"/>
                  <w:vAlign w:val="center"/>
                </w:tcPr>
                <w:p w14:paraId="5A19569C">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508" w:type="pct"/>
                  <w:noWrap w:val="0"/>
                  <w:vAlign w:val="center"/>
                </w:tcPr>
                <w:p w14:paraId="7DADF3CB">
                  <w:pPr>
                    <w:keepNext w:val="0"/>
                    <w:keepLines w:val="0"/>
                    <w:widowControl/>
                    <w:suppressLineNumbers w:val="0"/>
                    <w:jc w:val="center"/>
                    <w:textAlignment w:val="center"/>
                    <w:rPr>
                      <w:rFonts w:hint="default" w:ascii="Times New Roman" w:hAnsi="Times New Roman" w:eastAsia="宋体"/>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5AFC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noWrap w:val="0"/>
                  <w:vAlign w:val="center"/>
                </w:tcPr>
                <w:p w14:paraId="3214BE12">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440" w:type="pct"/>
                  <w:shd w:val="clear" w:color="auto" w:fill="auto"/>
                  <w:noWrap w:val="0"/>
                  <w:vAlign w:val="center"/>
                </w:tcPr>
                <w:p w14:paraId="70548CE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双组份环氧富锌底漆</w:t>
                  </w:r>
                </w:p>
                <w:p w14:paraId="450B4DA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（A组分）</w:t>
                  </w:r>
                </w:p>
              </w:tc>
              <w:tc>
                <w:tcPr>
                  <w:tcW w:w="630" w:type="pct"/>
                  <w:shd w:val="clear" w:color="auto" w:fill="auto"/>
                  <w:noWrap w:val="0"/>
                  <w:vAlign w:val="center"/>
                </w:tcPr>
                <w:p w14:paraId="3D86D98C">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cs="Times New Roman"/>
                      <w:i w:val="0"/>
                      <w:iCs w:val="0"/>
                      <w:color w:val="000000"/>
                      <w:kern w:val="0"/>
                      <w:sz w:val="22"/>
                      <w:szCs w:val="22"/>
                      <w:u w:val="none"/>
                      <w:lang w:val="en-US" w:eastAsia="zh-CN" w:bidi="ar"/>
                    </w:rPr>
                    <w:t>4</w:t>
                  </w:r>
                </w:p>
              </w:tc>
              <w:tc>
                <w:tcPr>
                  <w:tcW w:w="593" w:type="pct"/>
                  <w:shd w:val="clear" w:color="auto" w:fill="auto"/>
                  <w:noWrap w:val="0"/>
                  <w:vAlign w:val="center"/>
                </w:tcPr>
                <w:p w14:paraId="3EF0F7A1">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noWrap w:val="0"/>
                  <w:vAlign w:val="center"/>
                </w:tcPr>
                <w:p w14:paraId="40F3ED4E">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cs="Times New Roman"/>
                      <w:i w:val="0"/>
                      <w:iCs w:val="0"/>
                      <w:color w:val="000000"/>
                      <w:kern w:val="0"/>
                      <w:sz w:val="22"/>
                      <w:szCs w:val="22"/>
                      <w:u w:val="none"/>
                      <w:lang w:val="en-US" w:eastAsia="zh-CN" w:bidi="ar"/>
                    </w:rPr>
                    <w:t>4</w:t>
                  </w:r>
                </w:p>
              </w:tc>
              <w:tc>
                <w:tcPr>
                  <w:tcW w:w="702" w:type="pct"/>
                  <w:shd w:val="clear" w:color="auto" w:fill="auto"/>
                  <w:noWrap w:val="0"/>
                  <w:vAlign w:val="center"/>
                </w:tcPr>
                <w:p w14:paraId="76BD9B24">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508" w:type="pct"/>
                  <w:noWrap w:val="0"/>
                  <w:vAlign w:val="center"/>
                </w:tcPr>
                <w:p w14:paraId="12A9C8B4">
                  <w:pPr>
                    <w:keepNext w:val="0"/>
                    <w:keepLines w:val="0"/>
                    <w:widowControl/>
                    <w:suppressLineNumbers w:val="0"/>
                    <w:jc w:val="center"/>
                    <w:textAlignment w:val="center"/>
                    <w:rPr>
                      <w:rFonts w:hint="default" w:ascii="Times New Roman" w:hAnsi="Times New Roman" w:eastAsia="宋体"/>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1FAA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noWrap w:val="0"/>
                  <w:vAlign w:val="center"/>
                </w:tcPr>
                <w:p w14:paraId="04177F58">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440" w:type="pct"/>
                  <w:shd w:val="clear" w:color="auto" w:fill="auto"/>
                  <w:noWrap w:val="0"/>
                  <w:vAlign w:val="center"/>
                </w:tcPr>
                <w:p w14:paraId="5F055CD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双组份环氧富锌底漆</w:t>
                  </w:r>
                </w:p>
                <w:p w14:paraId="31EDC4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（B组分）</w:t>
                  </w:r>
                </w:p>
              </w:tc>
              <w:tc>
                <w:tcPr>
                  <w:tcW w:w="630" w:type="pct"/>
                  <w:shd w:val="clear" w:color="auto" w:fill="auto"/>
                  <w:noWrap w:val="0"/>
                  <w:vAlign w:val="center"/>
                </w:tcPr>
                <w:p w14:paraId="4D8CDC52">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r>
                    <w:rPr>
                      <w:rFonts w:hint="eastAsia" w:cs="Times New Roman"/>
                      <w:i w:val="0"/>
                      <w:iCs w:val="0"/>
                      <w:color w:val="000000"/>
                      <w:kern w:val="0"/>
                      <w:sz w:val="22"/>
                      <w:szCs w:val="22"/>
                      <w:u w:val="none"/>
                      <w:lang w:val="en-US" w:eastAsia="zh-CN" w:bidi="ar"/>
                    </w:rPr>
                    <w:t>.4</w:t>
                  </w:r>
                </w:p>
              </w:tc>
              <w:tc>
                <w:tcPr>
                  <w:tcW w:w="593" w:type="pct"/>
                  <w:shd w:val="clear" w:color="auto" w:fill="auto"/>
                  <w:noWrap w:val="0"/>
                  <w:vAlign w:val="center"/>
                </w:tcPr>
                <w:p w14:paraId="73724606">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noWrap w:val="0"/>
                  <w:vAlign w:val="center"/>
                </w:tcPr>
                <w:p w14:paraId="151216C8">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cs="Times New Roman"/>
                      <w:i w:val="0"/>
                      <w:iCs w:val="0"/>
                      <w:color w:val="000000"/>
                      <w:kern w:val="0"/>
                      <w:sz w:val="22"/>
                      <w:szCs w:val="22"/>
                      <w:u w:val="none"/>
                      <w:lang w:val="en-US" w:eastAsia="zh-CN" w:bidi="ar"/>
                    </w:rPr>
                    <w:t>0.4</w:t>
                  </w:r>
                </w:p>
              </w:tc>
              <w:tc>
                <w:tcPr>
                  <w:tcW w:w="702" w:type="pct"/>
                  <w:shd w:val="clear" w:color="auto" w:fill="auto"/>
                  <w:noWrap w:val="0"/>
                  <w:vAlign w:val="center"/>
                </w:tcPr>
                <w:p w14:paraId="6490E62D">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0.1</w:t>
                  </w:r>
                </w:p>
              </w:tc>
              <w:tc>
                <w:tcPr>
                  <w:tcW w:w="508" w:type="pct"/>
                  <w:noWrap w:val="0"/>
                  <w:vAlign w:val="center"/>
                </w:tcPr>
                <w:p w14:paraId="6363F514">
                  <w:pPr>
                    <w:keepNext w:val="0"/>
                    <w:keepLines w:val="0"/>
                    <w:widowControl/>
                    <w:suppressLineNumbers w:val="0"/>
                    <w:jc w:val="center"/>
                    <w:textAlignment w:val="center"/>
                    <w:rPr>
                      <w:rFonts w:hint="default" w:ascii="Times New Roman" w:hAnsi="Times New Roman" w:eastAsia="宋体"/>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150E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noWrap w:val="0"/>
                  <w:vAlign w:val="center"/>
                </w:tcPr>
                <w:p w14:paraId="62BD0DD8">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440" w:type="pct"/>
                  <w:shd w:val="clear" w:color="auto" w:fill="auto"/>
                  <w:noWrap w:val="0"/>
                  <w:vAlign w:val="center"/>
                </w:tcPr>
                <w:p w14:paraId="69494C3C">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MC-3黑色快干醇酸面漆</w:t>
                  </w:r>
                </w:p>
              </w:tc>
              <w:tc>
                <w:tcPr>
                  <w:tcW w:w="630" w:type="pct"/>
                  <w:shd w:val="clear" w:color="auto" w:fill="auto"/>
                  <w:noWrap w:val="0"/>
                  <w:vAlign w:val="center"/>
                </w:tcPr>
                <w:p w14:paraId="0C56CFCB">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593" w:type="pct"/>
                  <w:shd w:val="clear" w:color="auto" w:fill="auto"/>
                  <w:noWrap w:val="0"/>
                  <w:vAlign w:val="center"/>
                </w:tcPr>
                <w:p w14:paraId="1EDE6C2C">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noWrap w:val="0"/>
                  <w:vAlign w:val="center"/>
                </w:tcPr>
                <w:p w14:paraId="358D4A6F">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702" w:type="pct"/>
                  <w:shd w:val="clear" w:color="auto" w:fill="auto"/>
                  <w:noWrap w:val="0"/>
                  <w:vAlign w:val="center"/>
                </w:tcPr>
                <w:p w14:paraId="7E0C293E">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508" w:type="pct"/>
                  <w:noWrap w:val="0"/>
                  <w:vAlign w:val="center"/>
                </w:tcPr>
                <w:p w14:paraId="7E841FC6">
                  <w:pPr>
                    <w:keepNext w:val="0"/>
                    <w:keepLines w:val="0"/>
                    <w:widowControl/>
                    <w:suppressLineNumbers w:val="0"/>
                    <w:jc w:val="center"/>
                    <w:textAlignment w:val="center"/>
                    <w:rPr>
                      <w:rFonts w:hint="default" w:ascii="Times New Roman" w:hAnsi="Times New Roman" w:eastAsia="宋体"/>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414F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vAlign w:val="center"/>
                </w:tcPr>
                <w:p w14:paraId="2EE2CF5D">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440" w:type="pct"/>
                  <w:shd w:val="clear" w:color="auto" w:fill="auto"/>
                  <w:vAlign w:val="center"/>
                </w:tcPr>
                <w:p w14:paraId="36FA7EC7">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稀释剂</w:t>
                  </w:r>
                </w:p>
              </w:tc>
              <w:tc>
                <w:tcPr>
                  <w:tcW w:w="630" w:type="pct"/>
                  <w:shd w:val="clear" w:color="auto" w:fill="auto"/>
                  <w:vAlign w:val="center"/>
                </w:tcPr>
                <w:p w14:paraId="0994F451">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593" w:type="pct"/>
                  <w:shd w:val="clear" w:color="auto" w:fill="auto"/>
                  <w:vAlign w:val="center"/>
                </w:tcPr>
                <w:p w14:paraId="5B9114EC">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vAlign w:val="center"/>
                </w:tcPr>
                <w:p w14:paraId="1AEC85E5">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702" w:type="pct"/>
                  <w:shd w:val="clear" w:color="auto" w:fill="auto"/>
                  <w:vAlign w:val="center"/>
                </w:tcPr>
                <w:p w14:paraId="1AEFC442">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0.1</w:t>
                  </w:r>
                </w:p>
              </w:tc>
              <w:tc>
                <w:tcPr>
                  <w:tcW w:w="508" w:type="pct"/>
                  <w:vAlign w:val="center"/>
                </w:tcPr>
                <w:p w14:paraId="61DFE2B3">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6582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vAlign w:val="center"/>
                </w:tcPr>
                <w:p w14:paraId="47E90356">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440" w:type="pct"/>
                  <w:shd w:val="clear" w:color="auto" w:fill="auto"/>
                  <w:vAlign w:val="center"/>
                </w:tcPr>
                <w:p w14:paraId="48227880">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钢丸</w:t>
                  </w:r>
                </w:p>
              </w:tc>
              <w:tc>
                <w:tcPr>
                  <w:tcW w:w="630" w:type="pct"/>
                  <w:shd w:val="clear" w:color="auto" w:fill="auto"/>
                  <w:vAlign w:val="center"/>
                </w:tcPr>
                <w:p w14:paraId="74691E87">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593" w:type="pct"/>
                  <w:shd w:val="clear" w:color="auto" w:fill="auto"/>
                  <w:vAlign w:val="center"/>
                </w:tcPr>
                <w:p w14:paraId="46AF748A">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75" w:type="pct"/>
                  <w:shd w:val="clear" w:color="auto" w:fill="auto"/>
                  <w:vAlign w:val="center"/>
                </w:tcPr>
                <w:p w14:paraId="711A01B2">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02" w:type="pct"/>
                  <w:shd w:val="clear" w:color="auto" w:fill="auto"/>
                  <w:vAlign w:val="center"/>
                </w:tcPr>
                <w:p w14:paraId="5BA52F29">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508" w:type="pct"/>
                  <w:vAlign w:val="center"/>
                </w:tcPr>
                <w:p w14:paraId="48504DAB">
                  <w:pPr>
                    <w:keepNext w:val="0"/>
                    <w:keepLines w:val="0"/>
                    <w:widowControl/>
                    <w:suppressLineNumbers w:val="0"/>
                    <w:jc w:val="center"/>
                    <w:textAlignment w:val="center"/>
                    <w:rPr>
                      <w:rFonts w:hint="default" w:ascii="Times New Roman" w:hAnsi="Times New Roman" w:eastAsia="宋体"/>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7E7C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vAlign w:val="center"/>
                </w:tcPr>
                <w:p w14:paraId="3DBAC703">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440" w:type="pct"/>
                  <w:shd w:val="clear" w:color="auto" w:fill="auto"/>
                  <w:vAlign w:val="center"/>
                </w:tcPr>
                <w:p w14:paraId="48393252">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机油</w:t>
                  </w:r>
                </w:p>
              </w:tc>
              <w:tc>
                <w:tcPr>
                  <w:tcW w:w="630" w:type="pct"/>
                  <w:shd w:val="clear" w:color="auto" w:fill="auto"/>
                  <w:vAlign w:val="center"/>
                </w:tcPr>
                <w:p w14:paraId="4298E252">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w:t>
                  </w:r>
                </w:p>
              </w:tc>
              <w:tc>
                <w:tcPr>
                  <w:tcW w:w="593" w:type="pct"/>
                  <w:shd w:val="clear" w:color="auto" w:fill="auto"/>
                  <w:vAlign w:val="center"/>
                </w:tcPr>
                <w:p w14:paraId="6E9550F2">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vAlign w:val="center"/>
                </w:tcPr>
                <w:p w14:paraId="77EE6944">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w:t>
                  </w:r>
                </w:p>
              </w:tc>
              <w:tc>
                <w:tcPr>
                  <w:tcW w:w="702" w:type="pct"/>
                  <w:shd w:val="clear" w:color="auto" w:fill="auto"/>
                  <w:vAlign w:val="center"/>
                </w:tcPr>
                <w:p w14:paraId="3E8403A1">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508" w:type="pct"/>
                  <w:vAlign w:val="center"/>
                </w:tcPr>
                <w:p w14:paraId="74015797">
                  <w:pPr>
                    <w:keepNext w:val="0"/>
                    <w:keepLines w:val="0"/>
                    <w:widowControl/>
                    <w:suppressLineNumbers w:val="0"/>
                    <w:jc w:val="center"/>
                    <w:textAlignment w:val="center"/>
                    <w:rPr>
                      <w:rFonts w:hint="default" w:ascii="Times New Roman" w:hAnsi="Times New Roman" w:eastAsia="宋体"/>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4A71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vAlign w:val="center"/>
                </w:tcPr>
                <w:p w14:paraId="3E7B4AAE">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440" w:type="pct"/>
                  <w:shd w:val="clear" w:color="auto" w:fill="auto"/>
                  <w:vAlign w:val="center"/>
                </w:tcPr>
                <w:p w14:paraId="5D31EC8C">
                  <w:pPr>
                    <w:keepNext w:val="0"/>
                    <w:keepLines w:val="0"/>
                    <w:widowControl/>
                    <w:suppressLineNumbers w:val="0"/>
                    <w:jc w:val="center"/>
                    <w:textAlignment w:val="center"/>
                    <w:rPr>
                      <w:rFonts w:hint="default"/>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液压油</w:t>
                  </w:r>
                </w:p>
              </w:tc>
              <w:tc>
                <w:tcPr>
                  <w:tcW w:w="630" w:type="pct"/>
                  <w:shd w:val="clear" w:color="auto" w:fill="auto"/>
                  <w:vAlign w:val="center"/>
                </w:tcPr>
                <w:p w14:paraId="5EA0509C">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593" w:type="pct"/>
                  <w:shd w:val="clear" w:color="auto" w:fill="auto"/>
                  <w:vAlign w:val="center"/>
                </w:tcPr>
                <w:p w14:paraId="0DC3DB94">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vAlign w:val="center"/>
                </w:tcPr>
                <w:p w14:paraId="06600B37">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702" w:type="pct"/>
                  <w:shd w:val="clear" w:color="auto" w:fill="auto"/>
                  <w:vAlign w:val="center"/>
                </w:tcPr>
                <w:p w14:paraId="4AC09CD6">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508" w:type="pct"/>
                  <w:vAlign w:val="center"/>
                </w:tcPr>
                <w:p w14:paraId="7FF6EBBB">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44CE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vAlign w:val="center"/>
                </w:tcPr>
                <w:p w14:paraId="6F1F82DD">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440" w:type="pct"/>
                  <w:shd w:val="clear" w:color="auto" w:fill="auto"/>
                  <w:vAlign w:val="center"/>
                </w:tcPr>
                <w:p w14:paraId="62883675">
                  <w:pPr>
                    <w:keepNext w:val="0"/>
                    <w:keepLines w:val="0"/>
                    <w:widowControl/>
                    <w:suppressLineNumbers w:val="0"/>
                    <w:jc w:val="center"/>
                    <w:textAlignment w:val="center"/>
                    <w:rPr>
                      <w:rFonts w:hint="default"/>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切削液</w:t>
                  </w:r>
                </w:p>
              </w:tc>
              <w:tc>
                <w:tcPr>
                  <w:tcW w:w="630" w:type="pct"/>
                  <w:shd w:val="clear" w:color="auto" w:fill="auto"/>
                  <w:vAlign w:val="center"/>
                </w:tcPr>
                <w:p w14:paraId="6D0DA89B">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0.2</w:t>
                  </w:r>
                </w:p>
              </w:tc>
              <w:tc>
                <w:tcPr>
                  <w:tcW w:w="593" w:type="pct"/>
                  <w:shd w:val="clear" w:color="auto" w:fill="auto"/>
                  <w:vAlign w:val="center"/>
                </w:tcPr>
                <w:p w14:paraId="5C74F3FF">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vAlign w:val="center"/>
                </w:tcPr>
                <w:p w14:paraId="290F7C6C">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0.2</w:t>
                  </w:r>
                </w:p>
              </w:tc>
              <w:tc>
                <w:tcPr>
                  <w:tcW w:w="702" w:type="pct"/>
                  <w:shd w:val="clear" w:color="auto" w:fill="auto"/>
                  <w:vAlign w:val="center"/>
                </w:tcPr>
                <w:p w14:paraId="550B2A69">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508" w:type="pct"/>
                  <w:vAlign w:val="center"/>
                </w:tcPr>
                <w:p w14:paraId="61490D5F">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2DF6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vAlign w:val="center"/>
                </w:tcPr>
                <w:p w14:paraId="3CBBA7BF">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440" w:type="pct"/>
                  <w:shd w:val="clear" w:color="auto" w:fill="auto"/>
                  <w:vAlign w:val="center"/>
                </w:tcPr>
                <w:p w14:paraId="4DF9CC8F">
                  <w:pPr>
                    <w:keepNext w:val="0"/>
                    <w:keepLines w:val="0"/>
                    <w:widowControl/>
                    <w:suppressLineNumbers w:val="0"/>
                    <w:jc w:val="center"/>
                    <w:textAlignment w:val="center"/>
                    <w:rPr>
                      <w:rFonts w:hint="default"/>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液态二氧化碳</w:t>
                  </w:r>
                </w:p>
              </w:tc>
              <w:tc>
                <w:tcPr>
                  <w:tcW w:w="630" w:type="pct"/>
                  <w:shd w:val="clear" w:color="auto" w:fill="auto"/>
                  <w:vAlign w:val="center"/>
                </w:tcPr>
                <w:p w14:paraId="76E7D0DD">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593" w:type="pct"/>
                  <w:shd w:val="clear" w:color="auto" w:fill="auto"/>
                  <w:vAlign w:val="center"/>
                </w:tcPr>
                <w:p w14:paraId="13022E25">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vAlign w:val="center"/>
                </w:tcPr>
                <w:p w14:paraId="35E3182C">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702" w:type="pct"/>
                  <w:shd w:val="clear" w:color="auto" w:fill="auto"/>
                  <w:vAlign w:val="center"/>
                </w:tcPr>
                <w:p w14:paraId="05F4449B">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508" w:type="pct"/>
                  <w:vAlign w:val="center"/>
                </w:tcPr>
                <w:p w14:paraId="2A78077A">
                  <w:pPr>
                    <w:keepNext w:val="0"/>
                    <w:keepLines w:val="0"/>
                    <w:widowControl/>
                    <w:suppressLineNumbers w:val="0"/>
                    <w:jc w:val="center"/>
                    <w:textAlignment w:val="center"/>
                    <w:rPr>
                      <w:rFonts w:hint="default"/>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7DF9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vAlign w:val="center"/>
                </w:tcPr>
                <w:p w14:paraId="29C66E22">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440" w:type="pct"/>
                  <w:shd w:val="clear" w:color="auto" w:fill="auto"/>
                  <w:vAlign w:val="center"/>
                </w:tcPr>
                <w:p w14:paraId="12835067">
                  <w:pPr>
                    <w:keepNext w:val="0"/>
                    <w:keepLines w:val="0"/>
                    <w:widowControl/>
                    <w:suppressLineNumbers w:val="0"/>
                    <w:jc w:val="center"/>
                    <w:textAlignment w:val="center"/>
                    <w:rPr>
                      <w:rFonts w:hint="default" w:ascii="Times New Roman" w:hAnsi="Times New Roman" w:eastAsia="宋体"/>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液态氩气</w:t>
                  </w:r>
                </w:p>
              </w:tc>
              <w:tc>
                <w:tcPr>
                  <w:tcW w:w="630" w:type="pct"/>
                  <w:shd w:val="clear" w:color="auto" w:fill="auto"/>
                  <w:vAlign w:val="center"/>
                </w:tcPr>
                <w:p w14:paraId="0146E865">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593" w:type="pct"/>
                  <w:shd w:val="clear" w:color="auto" w:fill="auto"/>
                  <w:vAlign w:val="center"/>
                </w:tcPr>
                <w:p w14:paraId="621512B2">
                  <w:pPr>
                    <w:keepNext w:val="0"/>
                    <w:keepLines w:val="0"/>
                    <w:widowControl/>
                    <w:suppressLineNumbers w:val="0"/>
                    <w:jc w:val="center"/>
                    <w:textAlignment w:val="center"/>
                    <w:rPr>
                      <w:rFonts w:hint="default" w:ascii="Times New Roman" w:hAnsi="Times New Roman" w:eastAsia="宋体"/>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vAlign w:val="center"/>
                </w:tcPr>
                <w:p w14:paraId="5D4296C1">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702" w:type="pct"/>
                  <w:shd w:val="clear" w:color="auto" w:fill="auto"/>
                  <w:vAlign w:val="center"/>
                </w:tcPr>
                <w:p w14:paraId="0DBA8B43">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508" w:type="pct"/>
                  <w:vAlign w:val="center"/>
                </w:tcPr>
                <w:p w14:paraId="7B241AC5">
                  <w:pPr>
                    <w:keepNext w:val="0"/>
                    <w:keepLines w:val="0"/>
                    <w:widowControl/>
                    <w:suppressLineNumbers w:val="0"/>
                    <w:jc w:val="center"/>
                    <w:textAlignment w:val="center"/>
                    <w:rPr>
                      <w:rFonts w:hint="default" w:ascii="Times New Roman" w:hAnsi="Times New Roman" w:eastAsia="宋体"/>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4AAB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vAlign w:val="center"/>
                </w:tcPr>
                <w:p w14:paraId="569505E2">
                  <w:pPr>
                    <w:keepNext w:val="0"/>
                    <w:keepLines w:val="0"/>
                    <w:widowControl/>
                    <w:suppressLineNumbers w:val="0"/>
                    <w:jc w:val="center"/>
                    <w:textAlignment w:val="center"/>
                    <w:rPr>
                      <w:rFonts w:hint="eastAsia"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440" w:type="pct"/>
                  <w:shd w:val="clear" w:color="auto" w:fill="auto"/>
                  <w:vAlign w:val="center"/>
                </w:tcPr>
                <w:p w14:paraId="131D4700">
                  <w:pPr>
                    <w:keepNext w:val="0"/>
                    <w:keepLines w:val="0"/>
                    <w:widowControl/>
                    <w:suppressLineNumbers w:val="0"/>
                    <w:jc w:val="center"/>
                    <w:textAlignment w:val="center"/>
                    <w:rPr>
                      <w:rFonts w:hint="eastAsia"/>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液态氧气</w:t>
                  </w:r>
                </w:p>
              </w:tc>
              <w:tc>
                <w:tcPr>
                  <w:tcW w:w="630" w:type="pct"/>
                  <w:shd w:val="clear" w:color="auto" w:fill="auto"/>
                  <w:vAlign w:val="center"/>
                </w:tcPr>
                <w:p w14:paraId="0504A546">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593" w:type="pct"/>
                  <w:shd w:val="clear" w:color="auto" w:fill="auto"/>
                  <w:vAlign w:val="center"/>
                </w:tcPr>
                <w:p w14:paraId="7C0EE8D7">
                  <w:pPr>
                    <w:keepNext w:val="0"/>
                    <w:keepLines w:val="0"/>
                    <w:widowControl/>
                    <w:suppressLineNumbers w:val="0"/>
                    <w:jc w:val="center"/>
                    <w:textAlignment w:val="center"/>
                    <w:rPr>
                      <w:rFonts w:hint="eastAsia"/>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vAlign w:val="center"/>
                </w:tcPr>
                <w:p w14:paraId="3A9962F1">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702" w:type="pct"/>
                  <w:shd w:val="clear" w:color="auto" w:fill="auto"/>
                  <w:vAlign w:val="center"/>
                </w:tcPr>
                <w:p w14:paraId="3A84D401">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508" w:type="pct"/>
                  <w:vAlign w:val="center"/>
                </w:tcPr>
                <w:p w14:paraId="312A7BEF">
                  <w:pPr>
                    <w:keepNext w:val="0"/>
                    <w:keepLines w:val="0"/>
                    <w:widowControl/>
                    <w:suppressLineNumbers w:val="0"/>
                    <w:jc w:val="center"/>
                    <w:textAlignment w:val="center"/>
                    <w:rPr>
                      <w:rFonts w:hint="eastAsia"/>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59F7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vAlign w:val="center"/>
                </w:tcPr>
                <w:p w14:paraId="59A48865">
                  <w:pPr>
                    <w:keepNext w:val="0"/>
                    <w:keepLines w:val="0"/>
                    <w:widowControl/>
                    <w:suppressLineNumbers w:val="0"/>
                    <w:jc w:val="center"/>
                    <w:textAlignment w:val="center"/>
                    <w:rPr>
                      <w:rFonts w:hint="eastAsia"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440" w:type="pct"/>
                  <w:shd w:val="clear" w:color="auto" w:fill="auto"/>
                  <w:vAlign w:val="center"/>
                </w:tcPr>
                <w:p w14:paraId="6A316C62">
                  <w:pPr>
                    <w:keepNext w:val="0"/>
                    <w:keepLines w:val="0"/>
                    <w:widowControl/>
                    <w:suppressLineNumbers w:val="0"/>
                    <w:jc w:val="center"/>
                    <w:textAlignment w:val="center"/>
                    <w:rPr>
                      <w:rFonts w:hint="eastAsia"/>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液化气</w:t>
                  </w:r>
                </w:p>
              </w:tc>
              <w:tc>
                <w:tcPr>
                  <w:tcW w:w="630" w:type="pct"/>
                  <w:shd w:val="clear" w:color="auto" w:fill="auto"/>
                  <w:vAlign w:val="center"/>
                </w:tcPr>
                <w:p w14:paraId="09C63D7F">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593" w:type="pct"/>
                  <w:shd w:val="clear" w:color="auto" w:fill="auto"/>
                  <w:vAlign w:val="center"/>
                </w:tcPr>
                <w:p w14:paraId="525574BF">
                  <w:pPr>
                    <w:keepNext w:val="0"/>
                    <w:keepLines w:val="0"/>
                    <w:widowControl/>
                    <w:suppressLineNumbers w:val="0"/>
                    <w:jc w:val="center"/>
                    <w:textAlignment w:val="center"/>
                    <w:rPr>
                      <w:rFonts w:hint="eastAsia"/>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vAlign w:val="center"/>
                </w:tcPr>
                <w:p w14:paraId="1EEA0CFE">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702" w:type="pct"/>
                  <w:shd w:val="clear" w:color="auto" w:fill="auto"/>
                  <w:vAlign w:val="center"/>
                </w:tcPr>
                <w:p w14:paraId="0B94A64D">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0.02</w:t>
                  </w:r>
                </w:p>
              </w:tc>
              <w:tc>
                <w:tcPr>
                  <w:tcW w:w="508" w:type="pct"/>
                  <w:vAlign w:val="center"/>
                </w:tcPr>
                <w:p w14:paraId="393BD3D0">
                  <w:pPr>
                    <w:keepNext w:val="0"/>
                    <w:keepLines w:val="0"/>
                    <w:widowControl/>
                    <w:suppressLineNumbers w:val="0"/>
                    <w:jc w:val="center"/>
                    <w:textAlignment w:val="center"/>
                    <w:rPr>
                      <w:rFonts w:hint="eastAsia"/>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13</w:t>
                  </w:r>
                  <w:r>
                    <w:rPr>
                      <w:rFonts w:hint="eastAsia" w:ascii="宋体" w:hAnsi="宋体" w:eastAsia="宋体" w:cs="宋体"/>
                      <w:i w:val="0"/>
                      <w:iCs w:val="0"/>
                      <w:color w:val="000000"/>
                      <w:kern w:val="0"/>
                      <w:sz w:val="22"/>
                      <w:szCs w:val="22"/>
                      <w:u w:val="none"/>
                      <w:lang w:val="en-US" w:eastAsia="zh-CN" w:bidi="ar"/>
                    </w:rPr>
                    <w:t>公斤</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罐</w:t>
                  </w:r>
                </w:p>
              </w:tc>
            </w:tr>
            <w:tr w14:paraId="3EB6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vAlign w:val="center"/>
                </w:tcPr>
                <w:p w14:paraId="38AE2711">
                  <w:pPr>
                    <w:keepNext w:val="0"/>
                    <w:keepLines w:val="0"/>
                    <w:widowControl/>
                    <w:suppressLineNumbers w:val="0"/>
                    <w:jc w:val="center"/>
                    <w:textAlignment w:val="center"/>
                    <w:rPr>
                      <w:rFonts w:hint="eastAsia"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440" w:type="pct"/>
                  <w:shd w:val="clear" w:color="auto" w:fill="auto"/>
                  <w:vAlign w:val="center"/>
                </w:tcPr>
                <w:p w14:paraId="7CF2F909">
                  <w:pPr>
                    <w:keepNext w:val="0"/>
                    <w:keepLines w:val="0"/>
                    <w:widowControl/>
                    <w:suppressLineNumbers w:val="0"/>
                    <w:jc w:val="center"/>
                    <w:textAlignment w:val="center"/>
                    <w:rPr>
                      <w:rFonts w:hint="eastAsia"/>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w:t>
                  </w:r>
                </w:p>
              </w:tc>
              <w:tc>
                <w:tcPr>
                  <w:tcW w:w="630" w:type="pct"/>
                  <w:shd w:val="clear" w:color="auto" w:fill="auto"/>
                  <w:vAlign w:val="center"/>
                </w:tcPr>
                <w:p w14:paraId="1A83C2E5">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593" w:type="pct"/>
                  <w:shd w:val="clear" w:color="auto" w:fill="auto"/>
                  <w:vAlign w:val="center"/>
                </w:tcPr>
                <w:p w14:paraId="125B922A">
                  <w:pPr>
                    <w:keepNext w:val="0"/>
                    <w:keepLines w:val="0"/>
                    <w:widowControl/>
                    <w:suppressLineNumbers w:val="0"/>
                    <w:jc w:val="center"/>
                    <w:textAlignment w:val="center"/>
                    <w:rPr>
                      <w:rFonts w:hint="eastAsia"/>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vAlign w:val="center"/>
                </w:tcPr>
                <w:p w14:paraId="4C9F090E">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702" w:type="pct"/>
                  <w:shd w:val="clear" w:color="auto" w:fill="auto"/>
                  <w:vAlign w:val="center"/>
                </w:tcPr>
                <w:p w14:paraId="7B37AF65">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w:t>
                  </w:r>
                </w:p>
              </w:tc>
              <w:tc>
                <w:tcPr>
                  <w:tcW w:w="508" w:type="pct"/>
                  <w:vAlign w:val="center"/>
                </w:tcPr>
                <w:p w14:paraId="477F6852">
                  <w:pPr>
                    <w:keepNext w:val="0"/>
                    <w:keepLines w:val="0"/>
                    <w:widowControl/>
                    <w:suppressLineNumbers w:val="0"/>
                    <w:jc w:val="center"/>
                    <w:textAlignment w:val="center"/>
                    <w:rPr>
                      <w:rFonts w:hint="eastAsia"/>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r w14:paraId="137D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348" w:type="pct"/>
                  <w:shd w:val="clear" w:color="auto" w:fill="auto"/>
                  <w:vAlign w:val="center"/>
                </w:tcPr>
                <w:p w14:paraId="048923FA">
                  <w:pPr>
                    <w:keepNext w:val="0"/>
                    <w:keepLines w:val="0"/>
                    <w:widowControl/>
                    <w:suppressLineNumbers w:val="0"/>
                    <w:jc w:val="center"/>
                    <w:textAlignment w:val="center"/>
                    <w:rPr>
                      <w:rFonts w:hint="eastAsia"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1440" w:type="pct"/>
                  <w:shd w:val="clear" w:color="auto" w:fill="auto"/>
                  <w:vAlign w:val="center"/>
                </w:tcPr>
                <w:p w14:paraId="7236176F">
                  <w:pPr>
                    <w:keepNext w:val="0"/>
                    <w:keepLines w:val="0"/>
                    <w:widowControl/>
                    <w:suppressLineNumbers w:val="0"/>
                    <w:jc w:val="center"/>
                    <w:textAlignment w:val="top"/>
                    <w:rPr>
                      <w:rFonts w:hint="eastAsia"/>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水</w:t>
                  </w:r>
                </w:p>
              </w:tc>
              <w:tc>
                <w:tcPr>
                  <w:tcW w:w="630" w:type="pct"/>
                  <w:shd w:val="clear" w:color="auto" w:fill="auto"/>
                  <w:vAlign w:val="center"/>
                </w:tcPr>
                <w:p w14:paraId="228AE1AE">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1420</w:t>
                  </w:r>
                </w:p>
              </w:tc>
              <w:tc>
                <w:tcPr>
                  <w:tcW w:w="593" w:type="pct"/>
                  <w:shd w:val="clear" w:color="auto" w:fill="auto"/>
                  <w:vAlign w:val="center"/>
                </w:tcPr>
                <w:p w14:paraId="2F8E905F">
                  <w:pPr>
                    <w:keepNext w:val="0"/>
                    <w:keepLines w:val="0"/>
                    <w:widowControl/>
                    <w:suppressLineNumbers w:val="0"/>
                    <w:jc w:val="center"/>
                    <w:textAlignment w:val="center"/>
                    <w:rPr>
                      <w:rFonts w:hint="eastAsia"/>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75" w:type="pct"/>
                  <w:shd w:val="clear" w:color="auto" w:fill="auto"/>
                  <w:vAlign w:val="center"/>
                </w:tcPr>
                <w:p w14:paraId="46F6847C">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1420</w:t>
                  </w:r>
                </w:p>
              </w:tc>
              <w:tc>
                <w:tcPr>
                  <w:tcW w:w="702" w:type="pct"/>
                  <w:shd w:val="clear" w:color="auto" w:fill="auto"/>
                  <w:vAlign w:val="center"/>
                </w:tcPr>
                <w:p w14:paraId="1503F7E7">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w:t>
                  </w:r>
                </w:p>
              </w:tc>
              <w:tc>
                <w:tcPr>
                  <w:tcW w:w="508" w:type="pct"/>
                  <w:vAlign w:val="center"/>
                </w:tcPr>
                <w:p w14:paraId="3C67FB77">
                  <w:pPr>
                    <w:keepNext w:val="0"/>
                    <w:keepLines w:val="0"/>
                    <w:widowControl/>
                    <w:suppressLineNumbers w:val="0"/>
                    <w:jc w:val="center"/>
                    <w:textAlignment w:val="center"/>
                    <w:rPr>
                      <w:rFonts w:hint="eastAsia"/>
                      <w:color w:val="000000"/>
                      <w:kern w:val="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r>
          </w:tbl>
          <w:p w14:paraId="6901393F">
            <w:pPr>
              <w:bidi w:val="0"/>
              <w:rPr>
                <w:rFonts w:hint="eastAsia"/>
                <w:lang w:val="en-US" w:eastAsia="zh-CN"/>
              </w:rPr>
            </w:pPr>
          </w:p>
          <w:p w14:paraId="0CB24612">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ascii="宋体" w:hAnsi="宋体" w:cs="宋体"/>
                <w:b w:val="0"/>
                <w:bCs w:val="0"/>
                <w:kern w:val="0"/>
                <w:sz w:val="24"/>
                <w:szCs w:val="24"/>
                <w:lang w:val="en-US" w:eastAsia="zh-CN"/>
              </w:rPr>
            </w:pPr>
            <w:r>
              <w:rPr>
                <w:rFonts w:hint="default" w:ascii="宋体" w:hAnsi="宋体" w:eastAsia="宋体" w:cs="宋体"/>
                <w:b/>
                <w:bCs/>
                <w:sz w:val="22"/>
                <w:szCs w:val="22"/>
                <w:lang w:val="en-US" w:eastAsia="zh-CN"/>
              </w:rPr>
              <w:t>表</w:t>
            </w:r>
            <w:r>
              <w:rPr>
                <w:rFonts w:hint="eastAsia" w:cs="Times New Roman"/>
                <w:b/>
                <w:bCs/>
                <w:sz w:val="22"/>
                <w:szCs w:val="22"/>
                <w:lang w:val="en-US" w:eastAsia="zh-CN"/>
              </w:rPr>
              <w:t>2-7</w:t>
            </w:r>
            <w:r>
              <w:rPr>
                <w:rFonts w:hint="default" w:ascii="宋体" w:hAnsi="宋体" w:eastAsia="宋体" w:cs="宋体"/>
                <w:b/>
                <w:bCs/>
                <w:sz w:val="22"/>
                <w:szCs w:val="22"/>
                <w:lang w:val="en-US" w:eastAsia="zh-CN"/>
              </w:rPr>
              <w:t xml:space="preserve">  </w:t>
            </w:r>
            <w:r>
              <w:rPr>
                <w:rFonts w:hint="eastAsia" w:ascii="宋体" w:hAnsi="宋体" w:eastAsia="宋体" w:cs="宋体"/>
                <w:b/>
                <w:bCs/>
                <w:sz w:val="22"/>
                <w:szCs w:val="22"/>
                <w:lang w:val="en-US" w:eastAsia="zh-CN"/>
              </w:rPr>
              <w:t>项目辅料理化性质一览表</w:t>
            </w:r>
          </w:p>
          <w:tbl>
            <w:tblPr>
              <w:tblStyle w:val="15"/>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17"/>
              <w:gridCol w:w="1116"/>
              <w:gridCol w:w="1692"/>
              <w:gridCol w:w="2568"/>
              <w:gridCol w:w="792"/>
              <w:gridCol w:w="1690"/>
            </w:tblGrid>
            <w:tr w14:paraId="7279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51" w:type="pct"/>
                  <w:vMerge w:val="restart"/>
                  <w:shd w:val="clear" w:color="auto" w:fill="auto"/>
                  <w:noWrap w:val="0"/>
                  <w:vAlign w:val="center"/>
                </w:tcPr>
                <w:p w14:paraId="3ABF6AE3">
                  <w:pPr>
                    <w:bidi w:val="0"/>
                    <w:jc w:val="center"/>
                    <w:rPr>
                      <w:rFonts w:hint="eastAsia"/>
                      <w:b/>
                      <w:bCs/>
                      <w:sz w:val="22"/>
                      <w:szCs w:val="22"/>
                      <w:lang w:val="en-US" w:eastAsia="zh-CN"/>
                    </w:rPr>
                  </w:pPr>
                  <w:r>
                    <w:rPr>
                      <w:rFonts w:hint="eastAsia"/>
                      <w:b/>
                      <w:bCs/>
                      <w:sz w:val="22"/>
                      <w:szCs w:val="22"/>
                      <w:lang w:val="en-US" w:eastAsia="zh-CN"/>
                    </w:rPr>
                    <w:t>序号</w:t>
                  </w:r>
                </w:p>
              </w:tc>
              <w:tc>
                <w:tcPr>
                  <w:tcW w:w="674" w:type="pct"/>
                  <w:vMerge w:val="restart"/>
                  <w:shd w:val="clear" w:color="auto" w:fill="auto"/>
                  <w:noWrap w:val="0"/>
                  <w:vAlign w:val="center"/>
                </w:tcPr>
                <w:p w14:paraId="5EF8AF8E">
                  <w:pPr>
                    <w:bidi w:val="0"/>
                    <w:jc w:val="center"/>
                    <w:rPr>
                      <w:rFonts w:hint="eastAsia"/>
                      <w:b/>
                      <w:bCs/>
                      <w:sz w:val="22"/>
                      <w:szCs w:val="22"/>
                      <w:lang w:val="en-US" w:eastAsia="zh-CN"/>
                    </w:rPr>
                  </w:pPr>
                  <w:r>
                    <w:rPr>
                      <w:rFonts w:hint="eastAsia"/>
                      <w:b/>
                      <w:bCs/>
                      <w:sz w:val="22"/>
                      <w:szCs w:val="22"/>
                      <w:lang w:val="en-US" w:eastAsia="zh-CN"/>
                    </w:rPr>
                    <w:t>名称</w:t>
                  </w:r>
                </w:p>
              </w:tc>
              <w:tc>
                <w:tcPr>
                  <w:tcW w:w="1022" w:type="pct"/>
                  <w:vMerge w:val="restart"/>
                  <w:shd w:val="clear" w:color="auto" w:fill="auto"/>
                  <w:noWrap w:val="0"/>
                  <w:vAlign w:val="center"/>
                </w:tcPr>
                <w:p w14:paraId="3CC58C8E">
                  <w:pPr>
                    <w:bidi w:val="0"/>
                    <w:jc w:val="center"/>
                    <w:rPr>
                      <w:rFonts w:hint="default"/>
                      <w:b/>
                      <w:bCs/>
                      <w:sz w:val="22"/>
                      <w:szCs w:val="22"/>
                      <w:lang w:val="en-US" w:eastAsia="zh-CN"/>
                    </w:rPr>
                  </w:pPr>
                  <w:r>
                    <w:rPr>
                      <w:rFonts w:hint="eastAsia"/>
                      <w:b/>
                      <w:bCs/>
                      <w:sz w:val="22"/>
                      <w:szCs w:val="22"/>
                      <w:lang w:val="en-US" w:eastAsia="zh-CN"/>
                    </w:rPr>
                    <w:t>成分</w:t>
                  </w:r>
                </w:p>
              </w:tc>
              <w:tc>
                <w:tcPr>
                  <w:tcW w:w="1551" w:type="pct"/>
                  <w:vMerge w:val="restart"/>
                  <w:shd w:val="clear" w:color="auto" w:fill="auto"/>
                  <w:noWrap w:val="0"/>
                  <w:vAlign w:val="center"/>
                </w:tcPr>
                <w:p w14:paraId="67CDAD97">
                  <w:pPr>
                    <w:bidi w:val="0"/>
                    <w:jc w:val="center"/>
                    <w:rPr>
                      <w:rFonts w:hint="default"/>
                      <w:b/>
                      <w:bCs/>
                      <w:sz w:val="22"/>
                      <w:szCs w:val="22"/>
                      <w:lang w:val="en-US" w:eastAsia="zh-CN"/>
                    </w:rPr>
                  </w:pPr>
                  <w:r>
                    <w:rPr>
                      <w:rFonts w:hint="eastAsia"/>
                      <w:b/>
                      <w:bCs/>
                      <w:sz w:val="22"/>
                      <w:szCs w:val="22"/>
                      <w:lang w:val="en-US" w:eastAsia="zh-CN"/>
                    </w:rPr>
                    <w:t>理化性质</w:t>
                  </w:r>
                </w:p>
              </w:tc>
              <w:tc>
                <w:tcPr>
                  <w:tcW w:w="478" w:type="pct"/>
                  <w:vMerge w:val="restart"/>
                  <w:shd w:val="clear" w:color="auto" w:fill="auto"/>
                  <w:noWrap w:val="0"/>
                  <w:vAlign w:val="center"/>
                </w:tcPr>
                <w:p w14:paraId="7464DB59">
                  <w:pPr>
                    <w:bidi w:val="0"/>
                    <w:jc w:val="center"/>
                    <w:rPr>
                      <w:rFonts w:hint="eastAsia"/>
                      <w:b/>
                      <w:bCs/>
                      <w:sz w:val="22"/>
                      <w:szCs w:val="22"/>
                      <w:lang w:val="en-US" w:eastAsia="zh-CN"/>
                    </w:rPr>
                  </w:pPr>
                  <w:r>
                    <w:rPr>
                      <w:rFonts w:hint="eastAsia"/>
                      <w:b/>
                      <w:bCs/>
                      <w:sz w:val="22"/>
                      <w:szCs w:val="22"/>
                      <w:lang w:val="en-US" w:eastAsia="zh-CN"/>
                    </w:rPr>
                    <w:t>燃烧爆炸性</w:t>
                  </w:r>
                </w:p>
              </w:tc>
              <w:tc>
                <w:tcPr>
                  <w:tcW w:w="1021" w:type="pct"/>
                  <w:vMerge w:val="restart"/>
                  <w:shd w:val="clear" w:color="auto" w:fill="auto"/>
                  <w:noWrap w:val="0"/>
                  <w:vAlign w:val="center"/>
                </w:tcPr>
                <w:p w14:paraId="07652F8D">
                  <w:pPr>
                    <w:bidi w:val="0"/>
                    <w:jc w:val="center"/>
                    <w:rPr>
                      <w:rFonts w:hint="eastAsia"/>
                      <w:b/>
                      <w:bCs/>
                      <w:sz w:val="22"/>
                      <w:szCs w:val="22"/>
                      <w:lang w:val="en-US" w:eastAsia="zh-CN"/>
                    </w:rPr>
                  </w:pPr>
                  <w:r>
                    <w:rPr>
                      <w:rFonts w:hint="eastAsia"/>
                      <w:b/>
                      <w:bCs/>
                      <w:sz w:val="22"/>
                      <w:szCs w:val="22"/>
                      <w:lang w:val="en-US" w:eastAsia="zh-CN"/>
                    </w:rPr>
                    <w:t>毒理毒性</w:t>
                  </w:r>
                </w:p>
              </w:tc>
            </w:tr>
            <w:tr w14:paraId="2F89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2" w:hRule="atLeast"/>
                <w:jc w:val="center"/>
              </w:trPr>
              <w:tc>
                <w:tcPr>
                  <w:tcW w:w="251" w:type="pct"/>
                  <w:vMerge w:val="continue"/>
                  <w:noWrap w:val="0"/>
                  <w:vAlign w:val="center"/>
                </w:tcPr>
                <w:p w14:paraId="01F5ED54">
                  <w:pPr>
                    <w:bidi w:val="0"/>
                    <w:jc w:val="center"/>
                    <w:rPr>
                      <w:rFonts w:hint="eastAsia"/>
                      <w:sz w:val="22"/>
                      <w:szCs w:val="22"/>
                      <w:lang w:val="en-US" w:eastAsia="zh-CN"/>
                    </w:rPr>
                  </w:pPr>
                </w:p>
              </w:tc>
              <w:tc>
                <w:tcPr>
                  <w:tcW w:w="674" w:type="pct"/>
                  <w:vMerge w:val="continue"/>
                  <w:noWrap w:val="0"/>
                  <w:vAlign w:val="center"/>
                </w:tcPr>
                <w:p w14:paraId="300F2E5B">
                  <w:pPr>
                    <w:bidi w:val="0"/>
                    <w:jc w:val="center"/>
                    <w:rPr>
                      <w:rFonts w:hint="eastAsia"/>
                      <w:sz w:val="22"/>
                      <w:szCs w:val="22"/>
                      <w:lang w:val="en-US" w:eastAsia="zh-CN"/>
                    </w:rPr>
                  </w:pPr>
                </w:p>
              </w:tc>
              <w:tc>
                <w:tcPr>
                  <w:tcW w:w="1022" w:type="pct"/>
                  <w:vMerge w:val="continue"/>
                  <w:noWrap w:val="0"/>
                  <w:vAlign w:val="center"/>
                </w:tcPr>
                <w:p w14:paraId="52907397">
                  <w:pPr>
                    <w:bidi w:val="0"/>
                    <w:jc w:val="center"/>
                    <w:rPr>
                      <w:rFonts w:hint="eastAsia"/>
                      <w:sz w:val="22"/>
                      <w:szCs w:val="22"/>
                      <w:lang w:val="en-US" w:eastAsia="zh-CN"/>
                    </w:rPr>
                  </w:pPr>
                </w:p>
              </w:tc>
              <w:tc>
                <w:tcPr>
                  <w:tcW w:w="1551" w:type="pct"/>
                  <w:vMerge w:val="continue"/>
                  <w:noWrap w:val="0"/>
                  <w:vAlign w:val="center"/>
                </w:tcPr>
                <w:p w14:paraId="1A5AF441">
                  <w:pPr>
                    <w:bidi w:val="0"/>
                    <w:jc w:val="center"/>
                    <w:rPr>
                      <w:rFonts w:hint="default"/>
                      <w:sz w:val="22"/>
                      <w:szCs w:val="22"/>
                      <w:lang w:val="en-US" w:eastAsia="zh-CN"/>
                    </w:rPr>
                  </w:pPr>
                </w:p>
              </w:tc>
              <w:tc>
                <w:tcPr>
                  <w:tcW w:w="478" w:type="pct"/>
                  <w:vMerge w:val="continue"/>
                  <w:noWrap w:val="0"/>
                  <w:vAlign w:val="center"/>
                </w:tcPr>
                <w:p w14:paraId="3EE6A9E3">
                  <w:pPr>
                    <w:bidi w:val="0"/>
                    <w:jc w:val="center"/>
                    <w:rPr>
                      <w:rFonts w:hint="default"/>
                      <w:sz w:val="22"/>
                      <w:szCs w:val="22"/>
                      <w:lang w:val="en-US" w:eastAsia="zh-CN"/>
                    </w:rPr>
                  </w:pPr>
                </w:p>
              </w:tc>
              <w:tc>
                <w:tcPr>
                  <w:tcW w:w="1021" w:type="pct"/>
                  <w:vMerge w:val="continue"/>
                  <w:noWrap w:val="0"/>
                  <w:vAlign w:val="center"/>
                </w:tcPr>
                <w:p w14:paraId="0470290D">
                  <w:pPr>
                    <w:bidi w:val="0"/>
                    <w:jc w:val="center"/>
                    <w:rPr>
                      <w:rFonts w:hint="eastAsia"/>
                      <w:sz w:val="22"/>
                      <w:szCs w:val="22"/>
                      <w:lang w:val="en-US" w:eastAsia="zh-CN"/>
                    </w:rPr>
                  </w:pPr>
                </w:p>
              </w:tc>
            </w:tr>
            <w:tr w14:paraId="398C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51" w:type="pct"/>
                  <w:shd w:val="clear" w:color="auto" w:fill="auto"/>
                  <w:noWrap w:val="0"/>
                  <w:vAlign w:val="center"/>
                </w:tcPr>
                <w:p w14:paraId="4E77F92D">
                  <w:pPr>
                    <w:bidi w:val="0"/>
                    <w:jc w:val="center"/>
                    <w:rPr>
                      <w:rFonts w:hint="eastAsia" w:ascii="Times New Roman" w:hAnsi="Times New Roman" w:eastAsia="宋体" w:cs="Times New Roman"/>
                      <w:kern w:val="2"/>
                      <w:sz w:val="22"/>
                      <w:szCs w:val="22"/>
                      <w:lang w:val="en-US" w:eastAsia="zh-CN" w:bidi="ar-SA"/>
                    </w:rPr>
                  </w:pPr>
                  <w:r>
                    <w:rPr>
                      <w:rFonts w:hint="eastAsia"/>
                      <w:sz w:val="22"/>
                      <w:szCs w:val="22"/>
                      <w:lang w:val="en-US" w:eastAsia="zh-CN"/>
                    </w:rPr>
                    <w:t>1</w:t>
                  </w:r>
                </w:p>
              </w:tc>
              <w:tc>
                <w:tcPr>
                  <w:tcW w:w="674" w:type="pct"/>
                  <w:shd w:val="clear" w:color="auto" w:fill="auto"/>
                  <w:noWrap w:val="0"/>
                  <w:vAlign w:val="center"/>
                </w:tcPr>
                <w:p w14:paraId="450D44A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双组份环氧富锌底漆</w:t>
                  </w:r>
                </w:p>
                <w:p w14:paraId="5F4CC21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（A组分）</w:t>
                  </w:r>
                </w:p>
              </w:tc>
              <w:tc>
                <w:tcPr>
                  <w:tcW w:w="1022" w:type="pct"/>
                  <w:shd w:val="clear" w:color="auto" w:fill="auto"/>
                  <w:noWrap w:val="0"/>
                  <w:vAlign w:val="center"/>
                </w:tcPr>
                <w:p w14:paraId="6B0575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改性环氧</w:t>
                  </w:r>
                  <w:r>
                    <w:rPr>
                      <w:rFonts w:hint="eastAsia" w:ascii="宋体" w:hAnsi="宋体" w:eastAsia="宋体" w:cs="宋体"/>
                      <w:i w:val="0"/>
                      <w:iCs w:val="0"/>
                      <w:color w:val="000000"/>
                      <w:kern w:val="0"/>
                      <w:sz w:val="22"/>
                      <w:szCs w:val="22"/>
                      <w:u w:val="none"/>
                      <w:lang w:val="en-US" w:eastAsia="zh-CN" w:bidi="ar"/>
                    </w:rPr>
                    <w:t>树脂</w:t>
                  </w:r>
                  <w:r>
                    <w:rPr>
                      <w:rFonts w:hint="eastAsia" w:cs="Times New Roman"/>
                      <w:i w:val="0"/>
                      <w:iCs w:val="0"/>
                      <w:color w:val="000000"/>
                      <w:sz w:val="22"/>
                      <w:szCs w:val="22"/>
                      <w:u w:val="none"/>
                      <w:lang w:val="en-US" w:eastAsia="zh-CN"/>
                    </w:rPr>
                    <w:t>20</w:t>
                  </w:r>
                  <w:r>
                    <w:rPr>
                      <w:rFonts w:hint="eastAsia" w:ascii="Times New Roman" w:hAnsi="Times New Roman" w:eastAsia="宋体" w:cs="Times New Roman"/>
                      <w:i w:val="0"/>
                      <w:iCs w:val="0"/>
                      <w:color w:val="000000"/>
                      <w:sz w:val="22"/>
                      <w:szCs w:val="22"/>
                      <w:u w:val="none"/>
                      <w:lang w:val="en-US" w:eastAsia="zh-CN"/>
                    </w:rPr>
                    <w:t>~</w:t>
                  </w:r>
                  <w:r>
                    <w:rPr>
                      <w:rFonts w:hint="eastAsia" w:cs="Times New Roman"/>
                      <w:i w:val="0"/>
                      <w:iCs w:val="0"/>
                      <w:color w:val="000000"/>
                      <w:sz w:val="22"/>
                      <w:szCs w:val="22"/>
                      <w:u w:val="none"/>
                      <w:lang w:val="en-US" w:eastAsia="zh-CN"/>
                    </w:rPr>
                    <w:t>3</w:t>
                  </w:r>
                  <w:r>
                    <w:rPr>
                      <w:rFonts w:hint="eastAsia" w:ascii="Times New Roman" w:hAnsi="Times New Roman" w:eastAsia="宋体" w:cs="Times New Roman"/>
                      <w:i w:val="0"/>
                      <w:iCs w:val="0"/>
                      <w:color w:val="000000"/>
                      <w:sz w:val="22"/>
                      <w:szCs w:val="22"/>
                      <w:u w:val="none"/>
                      <w:lang w:val="en-US" w:eastAsia="zh-CN"/>
                    </w:rPr>
                    <w:t>0%、</w:t>
                  </w:r>
                  <w:r>
                    <w:rPr>
                      <w:rFonts w:hint="eastAsia" w:cs="Times New Roman"/>
                      <w:i w:val="0"/>
                      <w:iCs w:val="0"/>
                      <w:color w:val="000000"/>
                      <w:sz w:val="22"/>
                      <w:szCs w:val="22"/>
                      <w:u w:val="none"/>
                      <w:lang w:val="en-US" w:eastAsia="zh-CN"/>
                    </w:rPr>
                    <w:t>助剂2</w:t>
                  </w:r>
                  <w:r>
                    <w:rPr>
                      <w:rFonts w:hint="eastAsia" w:ascii="Times New Roman" w:hAnsi="Times New Roman" w:eastAsia="宋体" w:cs="Times New Roman"/>
                      <w:i w:val="0"/>
                      <w:iCs w:val="0"/>
                      <w:color w:val="000000"/>
                      <w:sz w:val="22"/>
                      <w:szCs w:val="22"/>
                      <w:u w:val="none"/>
                      <w:lang w:val="en-US" w:eastAsia="zh-CN"/>
                    </w:rPr>
                    <w:t>~</w:t>
                  </w:r>
                  <w:r>
                    <w:rPr>
                      <w:rFonts w:hint="eastAsia" w:cs="Times New Roman"/>
                      <w:i w:val="0"/>
                      <w:iCs w:val="0"/>
                      <w:color w:val="000000"/>
                      <w:sz w:val="22"/>
                      <w:szCs w:val="22"/>
                      <w:u w:val="none"/>
                      <w:lang w:val="en-US" w:eastAsia="zh-CN"/>
                    </w:rPr>
                    <w:t>4</w:t>
                  </w:r>
                  <w:r>
                    <w:rPr>
                      <w:rFonts w:hint="eastAsia" w:ascii="Times New Roman" w:hAnsi="Times New Roman" w:eastAsia="宋体" w:cs="Times New Roman"/>
                      <w:i w:val="0"/>
                      <w:iCs w:val="0"/>
                      <w:color w:val="000000"/>
                      <w:sz w:val="22"/>
                      <w:szCs w:val="22"/>
                      <w:u w:val="none"/>
                      <w:lang w:val="en-US" w:eastAsia="zh-CN"/>
                    </w:rPr>
                    <w:t>%、</w:t>
                  </w:r>
                  <w:r>
                    <w:rPr>
                      <w:rFonts w:hint="eastAsia" w:cs="Times New Roman"/>
                      <w:i w:val="0"/>
                      <w:iCs w:val="0"/>
                      <w:color w:val="000000"/>
                      <w:sz w:val="22"/>
                      <w:szCs w:val="22"/>
                      <w:u w:val="none"/>
                      <w:lang w:val="en-US" w:eastAsia="zh-CN"/>
                    </w:rPr>
                    <w:t>防锈颜填</w:t>
                  </w:r>
                  <w:r>
                    <w:rPr>
                      <w:rFonts w:hint="eastAsia" w:ascii="Times New Roman" w:hAnsi="Times New Roman" w:eastAsia="宋体" w:cs="Times New Roman"/>
                      <w:i w:val="0"/>
                      <w:iCs w:val="0"/>
                      <w:color w:val="000000"/>
                      <w:sz w:val="22"/>
                      <w:szCs w:val="22"/>
                      <w:u w:val="none"/>
                      <w:lang w:val="en-US" w:eastAsia="zh-CN"/>
                    </w:rPr>
                    <w:t>料</w:t>
                  </w:r>
                  <w:r>
                    <w:rPr>
                      <w:rFonts w:hint="eastAsia" w:cs="Times New Roman"/>
                      <w:i w:val="0"/>
                      <w:iCs w:val="0"/>
                      <w:color w:val="000000"/>
                      <w:sz w:val="22"/>
                      <w:szCs w:val="22"/>
                      <w:u w:val="none"/>
                      <w:lang w:val="en-US" w:eastAsia="zh-CN"/>
                    </w:rPr>
                    <w:t>50</w:t>
                  </w:r>
                  <w:r>
                    <w:rPr>
                      <w:rFonts w:hint="eastAsia" w:ascii="Times New Roman" w:hAnsi="Times New Roman" w:eastAsia="宋体" w:cs="Times New Roman"/>
                      <w:i w:val="0"/>
                      <w:iCs w:val="0"/>
                      <w:color w:val="000000"/>
                      <w:sz w:val="22"/>
                      <w:szCs w:val="22"/>
                      <w:u w:val="none"/>
                      <w:lang w:val="en-US" w:eastAsia="zh-CN"/>
                    </w:rPr>
                    <w:t>~</w:t>
                  </w:r>
                  <w:r>
                    <w:rPr>
                      <w:rFonts w:hint="eastAsia" w:cs="Times New Roman"/>
                      <w:i w:val="0"/>
                      <w:iCs w:val="0"/>
                      <w:color w:val="000000"/>
                      <w:sz w:val="22"/>
                      <w:szCs w:val="22"/>
                      <w:u w:val="none"/>
                      <w:lang w:val="en-US" w:eastAsia="zh-CN"/>
                    </w:rPr>
                    <w:t>6</w:t>
                  </w:r>
                  <w:r>
                    <w:rPr>
                      <w:rFonts w:hint="eastAsia" w:ascii="Times New Roman" w:hAnsi="Times New Roman" w:eastAsia="宋体" w:cs="Times New Roman"/>
                      <w:i w:val="0"/>
                      <w:iCs w:val="0"/>
                      <w:color w:val="000000"/>
                      <w:sz w:val="22"/>
                      <w:szCs w:val="22"/>
                      <w:u w:val="none"/>
                      <w:lang w:val="en-US" w:eastAsia="zh-CN"/>
                    </w:rPr>
                    <w:t>0%</w:t>
                  </w:r>
                  <w:r>
                    <w:rPr>
                      <w:rFonts w:hint="eastAsia" w:cs="Times New Roman"/>
                      <w:i w:val="0"/>
                      <w:iCs w:val="0"/>
                      <w:color w:val="000000"/>
                      <w:sz w:val="22"/>
                      <w:szCs w:val="22"/>
                      <w:u w:val="none"/>
                      <w:lang w:val="en-US" w:eastAsia="zh-CN"/>
                    </w:rPr>
                    <w:t>、二甲苯及异构体1</w:t>
                  </w:r>
                  <w:r>
                    <w:rPr>
                      <w:rFonts w:hint="eastAsia" w:ascii="Times New Roman" w:hAnsi="Times New Roman" w:eastAsia="宋体" w:cs="Times New Roman"/>
                      <w:i w:val="0"/>
                      <w:iCs w:val="0"/>
                      <w:color w:val="000000"/>
                      <w:sz w:val="22"/>
                      <w:szCs w:val="22"/>
                      <w:u w:val="none"/>
                      <w:lang w:val="en-US" w:eastAsia="zh-CN"/>
                    </w:rPr>
                    <w:t>~</w:t>
                  </w:r>
                  <w:r>
                    <w:rPr>
                      <w:rFonts w:hint="eastAsia" w:cs="Times New Roman"/>
                      <w:i w:val="0"/>
                      <w:iCs w:val="0"/>
                      <w:color w:val="000000"/>
                      <w:sz w:val="22"/>
                      <w:szCs w:val="22"/>
                      <w:u w:val="none"/>
                      <w:lang w:val="en-US" w:eastAsia="zh-CN"/>
                    </w:rPr>
                    <w:t>1</w:t>
                  </w:r>
                  <w:r>
                    <w:rPr>
                      <w:rFonts w:hint="eastAsia" w:ascii="Times New Roman" w:hAnsi="Times New Roman" w:eastAsia="宋体" w:cs="Times New Roman"/>
                      <w:i w:val="0"/>
                      <w:iCs w:val="0"/>
                      <w:color w:val="000000"/>
                      <w:sz w:val="22"/>
                      <w:szCs w:val="22"/>
                      <w:u w:val="none"/>
                      <w:lang w:val="en-US" w:eastAsia="zh-CN"/>
                    </w:rPr>
                    <w:t>0%</w:t>
                  </w:r>
                  <w:r>
                    <w:rPr>
                      <w:rFonts w:hint="eastAsia" w:cs="Times New Roman"/>
                      <w:i w:val="0"/>
                      <w:iCs w:val="0"/>
                      <w:color w:val="000000"/>
                      <w:sz w:val="22"/>
                      <w:szCs w:val="22"/>
                      <w:u w:val="none"/>
                      <w:lang w:val="en-US" w:eastAsia="zh-CN"/>
                    </w:rPr>
                    <w:t>、丙二醇单甲醚1</w:t>
                  </w:r>
                  <w:r>
                    <w:rPr>
                      <w:rFonts w:hint="eastAsia" w:ascii="Times New Roman" w:hAnsi="Times New Roman" w:eastAsia="宋体" w:cs="Times New Roman"/>
                      <w:i w:val="0"/>
                      <w:iCs w:val="0"/>
                      <w:color w:val="000000"/>
                      <w:sz w:val="22"/>
                      <w:szCs w:val="22"/>
                      <w:u w:val="none"/>
                      <w:lang w:val="en-US" w:eastAsia="zh-CN"/>
                    </w:rPr>
                    <w:t>~</w:t>
                  </w:r>
                  <w:r>
                    <w:rPr>
                      <w:rFonts w:hint="eastAsia" w:cs="Times New Roman"/>
                      <w:i w:val="0"/>
                      <w:iCs w:val="0"/>
                      <w:color w:val="000000"/>
                      <w:sz w:val="22"/>
                      <w:szCs w:val="22"/>
                      <w:u w:val="none"/>
                      <w:lang w:val="en-US" w:eastAsia="zh-CN"/>
                    </w:rPr>
                    <w:t>1</w:t>
                  </w:r>
                  <w:r>
                    <w:rPr>
                      <w:rFonts w:hint="eastAsia" w:ascii="Times New Roman" w:hAnsi="Times New Roman" w:eastAsia="宋体" w:cs="Times New Roman"/>
                      <w:i w:val="0"/>
                      <w:iCs w:val="0"/>
                      <w:color w:val="000000"/>
                      <w:sz w:val="22"/>
                      <w:szCs w:val="22"/>
                      <w:u w:val="none"/>
                      <w:lang w:val="en-US" w:eastAsia="zh-CN"/>
                    </w:rPr>
                    <w:t>0%</w:t>
                  </w:r>
                </w:p>
              </w:tc>
              <w:tc>
                <w:tcPr>
                  <w:tcW w:w="1551" w:type="pct"/>
                  <w:shd w:val="clear" w:color="auto" w:fill="auto"/>
                  <w:noWrap w:val="0"/>
                  <w:vAlign w:val="center"/>
                </w:tcPr>
                <w:p w14:paraId="044482E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液体，初始沸点和沸腾范围&gt;37℃</w:t>
                  </w:r>
                  <w:r>
                    <w:rPr>
                      <w:rFonts w:hint="eastAsia" w:cs="Times New Roman"/>
                      <w:i w:val="0"/>
                      <w:iCs w:val="0"/>
                      <w:color w:val="000000"/>
                      <w:sz w:val="22"/>
                      <w:szCs w:val="22"/>
                      <w:u w:val="none"/>
                      <w:lang w:val="en-US" w:eastAsia="zh-CN"/>
                    </w:rPr>
                    <w:t>，自燃温度270℃</w:t>
                  </w:r>
                  <w:r>
                    <w:rPr>
                      <w:rFonts w:hint="eastAsia" w:ascii="Times New Roman" w:hAnsi="Times New Roman" w:eastAsia="宋体" w:cs="Times New Roman"/>
                      <w:i w:val="0"/>
                      <w:iCs w:val="0"/>
                      <w:color w:val="000000"/>
                      <w:sz w:val="22"/>
                      <w:szCs w:val="22"/>
                      <w:u w:val="none"/>
                      <w:lang w:val="en-US" w:eastAsia="zh-CN"/>
                    </w:rPr>
                    <w:t>。爆炸上限</w:t>
                  </w:r>
                  <w:r>
                    <w:rPr>
                      <w:rFonts w:hint="eastAsia" w:cs="Times New Roman"/>
                      <w:i w:val="0"/>
                      <w:iCs w:val="0"/>
                      <w:color w:val="000000"/>
                      <w:sz w:val="22"/>
                      <w:szCs w:val="22"/>
                      <w:u w:val="none"/>
                      <w:lang w:val="en-US" w:eastAsia="zh-CN"/>
                    </w:rPr>
                    <w:t>：6.37</w:t>
                  </w:r>
                  <w:r>
                    <w:rPr>
                      <w:rFonts w:hint="eastAsia" w:ascii="Times New Roman" w:hAnsi="Times New Roman" w:eastAsia="宋体" w:cs="Times New Roman"/>
                      <w:i w:val="0"/>
                      <w:iCs w:val="0"/>
                      <w:color w:val="000000"/>
                      <w:sz w:val="22"/>
                      <w:szCs w:val="22"/>
                      <w:u w:val="none"/>
                      <w:lang w:val="en-US" w:eastAsia="zh-CN"/>
                    </w:rPr>
                    <w:t>%</w:t>
                  </w:r>
                  <w:r>
                    <w:rPr>
                      <w:rFonts w:hint="eastAsia" w:cs="Times New Roman"/>
                      <w:i w:val="0"/>
                      <w:iCs w:val="0"/>
                      <w:color w:val="000000"/>
                      <w:sz w:val="22"/>
                      <w:szCs w:val="22"/>
                      <w:u w:val="none"/>
                      <w:lang w:val="en-US" w:eastAsia="zh-CN"/>
                    </w:rPr>
                    <w:t>；</w:t>
                  </w:r>
                  <w:r>
                    <w:rPr>
                      <w:rFonts w:hint="eastAsia" w:ascii="Times New Roman" w:hAnsi="Times New Roman" w:eastAsia="宋体" w:cs="Times New Roman"/>
                      <w:i w:val="0"/>
                      <w:iCs w:val="0"/>
                      <w:color w:val="000000"/>
                      <w:sz w:val="22"/>
                      <w:szCs w:val="22"/>
                      <w:u w:val="none"/>
                      <w:lang w:val="en-US" w:eastAsia="zh-CN"/>
                    </w:rPr>
                    <w:t>下限</w:t>
                  </w:r>
                  <w:r>
                    <w:rPr>
                      <w:rFonts w:hint="eastAsia" w:cs="Times New Roman"/>
                      <w:i w:val="0"/>
                      <w:iCs w:val="0"/>
                      <w:color w:val="000000"/>
                      <w:sz w:val="22"/>
                      <w:szCs w:val="22"/>
                      <w:u w:val="none"/>
                      <w:lang w:val="en-US" w:eastAsia="zh-CN"/>
                    </w:rPr>
                    <w:t>：</w:t>
                  </w:r>
                  <w:r>
                    <w:rPr>
                      <w:rFonts w:hint="eastAsia" w:ascii="Times New Roman" w:hAnsi="Times New Roman" w:eastAsia="宋体" w:cs="Times New Roman"/>
                      <w:i w:val="0"/>
                      <w:iCs w:val="0"/>
                      <w:color w:val="000000"/>
                      <w:sz w:val="22"/>
                      <w:szCs w:val="22"/>
                      <w:u w:val="none"/>
                      <w:lang w:val="en-US" w:eastAsia="zh-CN"/>
                    </w:rPr>
                    <w:t>0.</w:t>
                  </w:r>
                  <w:r>
                    <w:rPr>
                      <w:rFonts w:hint="eastAsia" w:cs="Times New Roman"/>
                      <w:i w:val="0"/>
                      <w:iCs w:val="0"/>
                      <w:color w:val="000000"/>
                      <w:sz w:val="22"/>
                      <w:szCs w:val="22"/>
                      <w:u w:val="none"/>
                      <w:lang w:val="en-US" w:eastAsia="zh-CN"/>
                    </w:rPr>
                    <w:t>87</w:t>
                  </w:r>
                  <w:r>
                    <w:rPr>
                      <w:rFonts w:hint="eastAsia" w:ascii="Times New Roman" w:hAnsi="Times New Roman" w:eastAsia="宋体" w:cs="Times New Roman"/>
                      <w:i w:val="0"/>
                      <w:iCs w:val="0"/>
                      <w:color w:val="000000"/>
                      <w:sz w:val="22"/>
                      <w:szCs w:val="22"/>
                      <w:u w:val="none"/>
                      <w:lang w:val="en-US" w:eastAsia="zh-CN"/>
                    </w:rPr>
                    <w:t>%[%(v/v)]</w:t>
                  </w:r>
                  <w:r>
                    <w:rPr>
                      <w:rFonts w:hint="eastAsia" w:cs="Times New Roman"/>
                      <w:i w:val="0"/>
                      <w:iCs w:val="0"/>
                      <w:color w:val="000000"/>
                      <w:sz w:val="22"/>
                      <w:szCs w:val="22"/>
                      <w:u w:val="none"/>
                      <w:lang w:val="en-US" w:eastAsia="zh-CN"/>
                    </w:rPr>
                    <w:t>。相对</w:t>
                  </w:r>
                  <w:r>
                    <w:rPr>
                      <w:rFonts w:hint="eastAsia" w:ascii="宋体" w:hAnsi="宋体" w:eastAsia="宋体" w:cs="宋体"/>
                      <w:i w:val="0"/>
                      <w:iCs w:val="0"/>
                      <w:color w:val="000000"/>
                      <w:kern w:val="0"/>
                      <w:sz w:val="22"/>
                      <w:szCs w:val="22"/>
                      <w:u w:val="none"/>
                      <w:lang w:val="en-US" w:eastAsia="zh-CN" w:bidi="ar"/>
                    </w:rPr>
                    <w:t>密度：</w:t>
                  </w:r>
                  <w:r>
                    <w:rPr>
                      <w:rFonts w:hint="eastAsia" w:cs="Times New Roman"/>
                      <w:i w:val="0"/>
                      <w:iCs w:val="0"/>
                      <w:color w:val="000000"/>
                      <w:kern w:val="0"/>
                      <w:sz w:val="22"/>
                      <w:szCs w:val="22"/>
                      <w:u w:val="none"/>
                      <w:lang w:val="en-US" w:eastAsia="zh-CN" w:bidi="ar"/>
                    </w:rPr>
                    <w:t>1.1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cs="Times New Roman"/>
                      <w:i w:val="0"/>
                      <w:iCs w:val="0"/>
                      <w:color w:val="000000"/>
                      <w:kern w:val="0"/>
                      <w:sz w:val="22"/>
                      <w:szCs w:val="22"/>
                      <w:u w:val="none"/>
                      <w:lang w:val="en-US" w:eastAsia="zh-CN" w:bidi="ar"/>
                    </w:rPr>
                    <w:t>1.3</w:t>
                  </w:r>
                  <w:r>
                    <w:rPr>
                      <w:rFonts w:hint="default" w:ascii="Times New Roman" w:hAnsi="Times New Roman" w:eastAsia="宋体" w:cs="Times New Roman"/>
                      <w:i w:val="0"/>
                      <w:iCs w:val="0"/>
                      <w:color w:val="000000"/>
                      <w:kern w:val="0"/>
                      <w:sz w:val="22"/>
                      <w:szCs w:val="22"/>
                      <w:u w:val="none"/>
                      <w:lang w:val="en-US" w:eastAsia="zh-CN" w:bidi="ar"/>
                    </w:rPr>
                    <w:t>g/cm</w:t>
                  </w:r>
                  <w:r>
                    <w:rPr>
                      <w:rFonts w:hint="default" w:ascii="Times New Roman" w:hAnsi="Times New Roman" w:eastAsia="宋体" w:cs="Times New Roman"/>
                      <w:i w:val="0"/>
                      <w:iCs w:val="0"/>
                      <w:color w:val="000000"/>
                      <w:kern w:val="0"/>
                      <w:sz w:val="22"/>
                      <w:szCs w:val="22"/>
                      <w:u w:val="none"/>
                      <w:vertAlign w:val="superscript"/>
                      <w:lang w:val="en-US" w:eastAsia="zh-CN" w:bidi="ar"/>
                    </w:rPr>
                    <w:t>3</w:t>
                  </w:r>
                </w:p>
              </w:tc>
              <w:tc>
                <w:tcPr>
                  <w:tcW w:w="478" w:type="pct"/>
                  <w:shd w:val="clear" w:color="auto" w:fill="auto"/>
                  <w:noWrap w:val="0"/>
                  <w:vAlign w:val="center"/>
                </w:tcPr>
                <w:p w14:paraId="23B6C6CC">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易燃</w:t>
                  </w:r>
                </w:p>
              </w:tc>
              <w:tc>
                <w:tcPr>
                  <w:tcW w:w="1021" w:type="pct"/>
                  <w:vMerge w:val="restart"/>
                  <w:shd w:val="clear" w:color="auto" w:fill="auto"/>
                  <w:noWrap w:val="0"/>
                  <w:vAlign w:val="center"/>
                </w:tcPr>
                <w:p w14:paraId="245D199B">
                  <w:pPr>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急性毒性</w:t>
                  </w:r>
                  <w:r>
                    <w:rPr>
                      <w:rFonts w:hint="eastAsia" w:cs="Times New Roman"/>
                      <w:i w:val="0"/>
                      <w:iCs w:val="0"/>
                      <w:color w:val="000000"/>
                      <w:kern w:val="0"/>
                      <w:sz w:val="22"/>
                      <w:szCs w:val="22"/>
                      <w:u w:val="none"/>
                      <w:lang w:val="en-US" w:eastAsia="zh-CN" w:bidi="ar"/>
                    </w:rPr>
                    <w:t>：</w:t>
                  </w:r>
                  <w:r>
                    <w:rPr>
                      <w:rFonts w:hint="eastAsia" w:ascii="Times New Roman" w:hAnsi="Times New Roman" w:eastAsia="宋体" w:cs="Times New Roman"/>
                      <w:i w:val="0"/>
                      <w:iCs w:val="0"/>
                      <w:color w:val="000000"/>
                      <w:kern w:val="0"/>
                      <w:sz w:val="22"/>
                      <w:szCs w:val="22"/>
                      <w:u w:val="none"/>
                      <w:lang w:val="en-US" w:eastAsia="zh-CN" w:bidi="ar"/>
                    </w:rPr>
                    <w:t>无资料</w:t>
                  </w:r>
                  <w:r>
                    <w:rPr>
                      <w:rFonts w:hint="eastAsia" w:cs="Times New Roman"/>
                      <w:i w:val="0"/>
                      <w:iCs w:val="0"/>
                      <w:color w:val="000000"/>
                      <w:kern w:val="0"/>
                      <w:sz w:val="22"/>
                      <w:szCs w:val="22"/>
                      <w:u w:val="none"/>
                      <w:lang w:val="en-US" w:eastAsia="zh-CN" w:bidi="ar"/>
                    </w:rPr>
                    <w:t>，皮肤腐蚀/刺激：造成皮肤刺激（类别2），严重眼损伤/刺激：造成严重眼刺激（类别2A），皮肤致敏：可能造成皮肤过敏反应（类别1），急性水生毒性：无资料。</w:t>
                  </w:r>
                </w:p>
              </w:tc>
            </w:tr>
            <w:tr w14:paraId="45F5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51" w:type="pct"/>
                  <w:shd w:val="clear" w:color="auto" w:fill="auto"/>
                  <w:noWrap w:val="0"/>
                  <w:vAlign w:val="center"/>
                </w:tcPr>
                <w:p w14:paraId="1E3B536D">
                  <w:pPr>
                    <w:bidi w:val="0"/>
                    <w:jc w:val="center"/>
                    <w:rPr>
                      <w:rFonts w:hint="eastAsia" w:ascii="Times New Roman" w:hAnsi="Times New Roman" w:eastAsia="宋体" w:cs="Times New Roman"/>
                      <w:kern w:val="2"/>
                      <w:sz w:val="22"/>
                      <w:szCs w:val="22"/>
                      <w:lang w:val="en-US" w:eastAsia="zh-CN" w:bidi="ar-SA"/>
                    </w:rPr>
                  </w:pPr>
                  <w:r>
                    <w:rPr>
                      <w:rFonts w:hint="eastAsia"/>
                      <w:sz w:val="22"/>
                      <w:szCs w:val="22"/>
                      <w:lang w:val="en-US" w:eastAsia="zh-CN"/>
                    </w:rPr>
                    <w:t>2</w:t>
                  </w:r>
                </w:p>
              </w:tc>
              <w:tc>
                <w:tcPr>
                  <w:tcW w:w="674" w:type="pct"/>
                  <w:shd w:val="clear" w:color="auto" w:fill="auto"/>
                  <w:noWrap w:val="0"/>
                  <w:vAlign w:val="center"/>
                </w:tcPr>
                <w:p w14:paraId="2716A4C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双组份环氧富锌底漆</w:t>
                  </w:r>
                </w:p>
                <w:p w14:paraId="7297002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（B组分）</w:t>
                  </w:r>
                </w:p>
              </w:tc>
              <w:tc>
                <w:tcPr>
                  <w:tcW w:w="1022" w:type="pct"/>
                  <w:shd w:val="clear" w:color="auto" w:fill="auto"/>
                  <w:noWrap w:val="0"/>
                  <w:vAlign w:val="center"/>
                </w:tcPr>
                <w:p w14:paraId="1EB481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改性胺固化剂</w:t>
                  </w:r>
                  <w:r>
                    <w:rPr>
                      <w:rFonts w:hint="eastAsia" w:cs="Times New Roman"/>
                      <w:i w:val="0"/>
                      <w:iCs w:val="0"/>
                      <w:color w:val="000000"/>
                      <w:sz w:val="22"/>
                      <w:szCs w:val="22"/>
                      <w:u w:val="none"/>
                      <w:lang w:val="en-US" w:eastAsia="zh-CN"/>
                    </w:rPr>
                    <w:t>20</w:t>
                  </w:r>
                  <w:r>
                    <w:rPr>
                      <w:rFonts w:hint="eastAsia" w:ascii="Times New Roman" w:hAnsi="Times New Roman" w:eastAsia="宋体" w:cs="Times New Roman"/>
                      <w:i w:val="0"/>
                      <w:iCs w:val="0"/>
                      <w:color w:val="000000"/>
                      <w:sz w:val="22"/>
                      <w:szCs w:val="22"/>
                      <w:u w:val="none"/>
                      <w:lang w:val="en-US" w:eastAsia="zh-CN"/>
                    </w:rPr>
                    <w:t>~</w:t>
                  </w:r>
                  <w:r>
                    <w:rPr>
                      <w:rFonts w:hint="eastAsia" w:cs="Times New Roman"/>
                      <w:i w:val="0"/>
                      <w:iCs w:val="0"/>
                      <w:color w:val="000000"/>
                      <w:sz w:val="22"/>
                      <w:szCs w:val="22"/>
                      <w:u w:val="none"/>
                      <w:lang w:val="en-US" w:eastAsia="zh-CN"/>
                    </w:rPr>
                    <w:t>8</w:t>
                  </w:r>
                  <w:r>
                    <w:rPr>
                      <w:rFonts w:hint="eastAsia" w:ascii="Times New Roman" w:hAnsi="Times New Roman" w:eastAsia="宋体" w:cs="Times New Roman"/>
                      <w:i w:val="0"/>
                      <w:iCs w:val="0"/>
                      <w:color w:val="000000"/>
                      <w:sz w:val="22"/>
                      <w:szCs w:val="22"/>
                      <w:u w:val="none"/>
                      <w:lang w:val="en-US" w:eastAsia="zh-CN"/>
                    </w:rPr>
                    <w:t>0%、</w:t>
                  </w:r>
                  <w:r>
                    <w:rPr>
                      <w:rFonts w:hint="eastAsia" w:cs="Times New Roman"/>
                      <w:i w:val="0"/>
                      <w:iCs w:val="0"/>
                      <w:color w:val="000000"/>
                      <w:sz w:val="22"/>
                      <w:szCs w:val="22"/>
                      <w:u w:val="none"/>
                      <w:lang w:val="en-US" w:eastAsia="zh-CN"/>
                    </w:rPr>
                    <w:t>二甲苯及异构体1</w:t>
                  </w:r>
                  <w:r>
                    <w:rPr>
                      <w:rFonts w:hint="eastAsia" w:ascii="Times New Roman" w:hAnsi="Times New Roman" w:eastAsia="宋体" w:cs="Times New Roman"/>
                      <w:i w:val="0"/>
                      <w:iCs w:val="0"/>
                      <w:color w:val="000000"/>
                      <w:sz w:val="22"/>
                      <w:szCs w:val="22"/>
                      <w:u w:val="none"/>
                      <w:lang w:val="en-US" w:eastAsia="zh-CN"/>
                    </w:rPr>
                    <w:t>~</w:t>
                  </w:r>
                  <w:r>
                    <w:rPr>
                      <w:rFonts w:hint="eastAsia" w:cs="Times New Roman"/>
                      <w:i w:val="0"/>
                      <w:iCs w:val="0"/>
                      <w:color w:val="000000"/>
                      <w:sz w:val="22"/>
                      <w:szCs w:val="22"/>
                      <w:u w:val="none"/>
                      <w:lang w:val="en-US" w:eastAsia="zh-CN"/>
                    </w:rPr>
                    <w:t>2</w:t>
                  </w:r>
                  <w:r>
                    <w:rPr>
                      <w:rFonts w:hint="eastAsia" w:ascii="Times New Roman" w:hAnsi="Times New Roman" w:eastAsia="宋体" w:cs="Times New Roman"/>
                      <w:i w:val="0"/>
                      <w:iCs w:val="0"/>
                      <w:color w:val="000000"/>
                      <w:sz w:val="22"/>
                      <w:szCs w:val="22"/>
                      <w:u w:val="none"/>
                      <w:lang w:val="en-US" w:eastAsia="zh-CN"/>
                    </w:rPr>
                    <w:t>0%</w:t>
                  </w:r>
                  <w:r>
                    <w:rPr>
                      <w:rFonts w:hint="eastAsia" w:cs="Times New Roman"/>
                      <w:i w:val="0"/>
                      <w:iCs w:val="0"/>
                      <w:color w:val="000000"/>
                      <w:sz w:val="22"/>
                      <w:szCs w:val="22"/>
                      <w:u w:val="none"/>
                      <w:lang w:val="en-US" w:eastAsia="zh-CN"/>
                    </w:rPr>
                    <w:t>、丙二醇单甲醚1</w:t>
                  </w:r>
                  <w:r>
                    <w:rPr>
                      <w:rFonts w:hint="eastAsia" w:ascii="Times New Roman" w:hAnsi="Times New Roman" w:eastAsia="宋体" w:cs="Times New Roman"/>
                      <w:i w:val="0"/>
                      <w:iCs w:val="0"/>
                      <w:color w:val="000000"/>
                      <w:sz w:val="22"/>
                      <w:szCs w:val="22"/>
                      <w:u w:val="none"/>
                      <w:lang w:val="en-US" w:eastAsia="zh-CN"/>
                    </w:rPr>
                    <w:t>~</w:t>
                  </w:r>
                  <w:r>
                    <w:rPr>
                      <w:rFonts w:hint="eastAsia" w:cs="Times New Roman"/>
                      <w:i w:val="0"/>
                      <w:iCs w:val="0"/>
                      <w:color w:val="000000"/>
                      <w:sz w:val="22"/>
                      <w:szCs w:val="22"/>
                      <w:u w:val="none"/>
                      <w:lang w:val="en-US" w:eastAsia="zh-CN"/>
                    </w:rPr>
                    <w:t>1</w:t>
                  </w:r>
                  <w:r>
                    <w:rPr>
                      <w:rFonts w:hint="eastAsia" w:ascii="Times New Roman" w:hAnsi="Times New Roman" w:eastAsia="宋体" w:cs="Times New Roman"/>
                      <w:i w:val="0"/>
                      <w:iCs w:val="0"/>
                      <w:color w:val="000000"/>
                      <w:sz w:val="22"/>
                      <w:szCs w:val="22"/>
                      <w:u w:val="none"/>
                      <w:lang w:val="en-US" w:eastAsia="zh-CN"/>
                    </w:rPr>
                    <w:t>0%</w:t>
                  </w:r>
                </w:p>
              </w:tc>
              <w:tc>
                <w:tcPr>
                  <w:tcW w:w="1551" w:type="pct"/>
                  <w:shd w:val="clear" w:color="auto" w:fill="auto"/>
                  <w:noWrap w:val="0"/>
                  <w:vAlign w:val="center"/>
                </w:tcPr>
                <w:p w14:paraId="5B459844">
                  <w:pPr>
                    <w:keepNext w:val="0"/>
                    <w:keepLines w:val="0"/>
                    <w:widowControl/>
                    <w:suppressLineNumbers w:val="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黄色液体，初始沸点和沸腾范围&gt;37℃</w:t>
                  </w:r>
                  <w:r>
                    <w:rPr>
                      <w:rFonts w:hint="eastAsia" w:cs="Times New Roman"/>
                      <w:i w:val="0"/>
                      <w:iCs w:val="0"/>
                      <w:color w:val="000000"/>
                      <w:sz w:val="22"/>
                      <w:szCs w:val="22"/>
                      <w:u w:val="none"/>
                      <w:lang w:val="en-US" w:eastAsia="zh-CN"/>
                    </w:rPr>
                    <w:t>，自燃温度290℃</w:t>
                  </w:r>
                  <w:r>
                    <w:rPr>
                      <w:rFonts w:hint="eastAsia" w:ascii="Times New Roman" w:hAnsi="Times New Roman" w:eastAsia="宋体" w:cs="Times New Roman"/>
                      <w:i w:val="0"/>
                      <w:iCs w:val="0"/>
                      <w:color w:val="000000"/>
                      <w:sz w:val="22"/>
                      <w:szCs w:val="22"/>
                      <w:u w:val="none"/>
                      <w:lang w:val="en-US" w:eastAsia="zh-CN"/>
                    </w:rPr>
                    <w:t>。爆炸上限</w:t>
                  </w:r>
                  <w:r>
                    <w:rPr>
                      <w:rFonts w:hint="eastAsia" w:cs="Times New Roman"/>
                      <w:i w:val="0"/>
                      <w:iCs w:val="0"/>
                      <w:color w:val="000000"/>
                      <w:sz w:val="22"/>
                      <w:szCs w:val="22"/>
                      <w:u w:val="none"/>
                      <w:lang w:val="en-US" w:eastAsia="zh-CN"/>
                    </w:rPr>
                    <w:t>：</w:t>
                  </w:r>
                  <w:r>
                    <w:rPr>
                      <w:rFonts w:hint="eastAsia" w:ascii="Times New Roman" w:hAnsi="Times New Roman" w:eastAsia="宋体" w:cs="Times New Roman"/>
                      <w:i w:val="0"/>
                      <w:iCs w:val="0"/>
                      <w:color w:val="000000"/>
                      <w:sz w:val="22"/>
                      <w:szCs w:val="22"/>
                      <w:u w:val="none"/>
                      <w:lang w:val="en-US" w:eastAsia="zh-CN"/>
                    </w:rPr>
                    <w:t>9.22%</w:t>
                  </w:r>
                  <w:r>
                    <w:rPr>
                      <w:rFonts w:hint="eastAsia" w:cs="Times New Roman"/>
                      <w:i w:val="0"/>
                      <w:iCs w:val="0"/>
                      <w:color w:val="000000"/>
                      <w:sz w:val="22"/>
                      <w:szCs w:val="22"/>
                      <w:u w:val="none"/>
                      <w:lang w:val="en-US" w:eastAsia="zh-CN"/>
                    </w:rPr>
                    <w:t>；</w:t>
                  </w:r>
                  <w:r>
                    <w:rPr>
                      <w:rFonts w:hint="eastAsia" w:ascii="Times New Roman" w:hAnsi="Times New Roman" w:eastAsia="宋体" w:cs="Times New Roman"/>
                      <w:i w:val="0"/>
                      <w:iCs w:val="0"/>
                      <w:color w:val="000000"/>
                      <w:sz w:val="22"/>
                      <w:szCs w:val="22"/>
                      <w:u w:val="none"/>
                      <w:lang w:val="en-US" w:eastAsia="zh-CN"/>
                    </w:rPr>
                    <w:t>下限</w:t>
                  </w:r>
                  <w:r>
                    <w:rPr>
                      <w:rFonts w:hint="eastAsia" w:cs="Times New Roman"/>
                      <w:i w:val="0"/>
                      <w:iCs w:val="0"/>
                      <w:color w:val="000000"/>
                      <w:sz w:val="22"/>
                      <w:szCs w:val="22"/>
                      <w:u w:val="none"/>
                      <w:lang w:val="en-US" w:eastAsia="zh-CN"/>
                    </w:rPr>
                    <w:t>：</w:t>
                  </w:r>
                  <w:r>
                    <w:rPr>
                      <w:rFonts w:hint="eastAsia" w:ascii="Times New Roman" w:hAnsi="Times New Roman" w:eastAsia="宋体" w:cs="Times New Roman"/>
                      <w:i w:val="0"/>
                      <w:iCs w:val="0"/>
                      <w:color w:val="000000"/>
                      <w:sz w:val="22"/>
                      <w:szCs w:val="22"/>
                      <w:u w:val="none"/>
                      <w:lang w:val="en-US" w:eastAsia="zh-CN"/>
                    </w:rPr>
                    <w:t>0.9%[%(v/v)]</w:t>
                  </w:r>
                  <w:r>
                    <w:rPr>
                      <w:rFonts w:hint="eastAsia" w:cs="Times New Roman"/>
                      <w:i w:val="0"/>
                      <w:iCs w:val="0"/>
                      <w:color w:val="000000"/>
                      <w:sz w:val="22"/>
                      <w:szCs w:val="22"/>
                      <w:u w:val="none"/>
                      <w:lang w:val="en-US" w:eastAsia="zh-CN"/>
                    </w:rPr>
                    <w:t>。相对</w:t>
                  </w:r>
                  <w:r>
                    <w:rPr>
                      <w:rFonts w:hint="eastAsia" w:ascii="宋体" w:hAnsi="宋体" w:eastAsia="宋体" w:cs="宋体"/>
                      <w:i w:val="0"/>
                      <w:iCs w:val="0"/>
                      <w:color w:val="000000"/>
                      <w:kern w:val="0"/>
                      <w:sz w:val="22"/>
                      <w:szCs w:val="22"/>
                      <w:u w:val="none"/>
                      <w:lang w:val="en-US" w:eastAsia="zh-CN" w:bidi="ar"/>
                    </w:rPr>
                    <w:t>密度：</w:t>
                  </w:r>
                  <w:r>
                    <w:rPr>
                      <w:rFonts w:hint="eastAsia" w:cs="Times New Roman"/>
                      <w:i w:val="0"/>
                      <w:iCs w:val="0"/>
                      <w:color w:val="000000"/>
                      <w:kern w:val="0"/>
                      <w:sz w:val="22"/>
                      <w:szCs w:val="22"/>
                      <w:u w:val="none"/>
                      <w:lang w:val="en-US" w:eastAsia="zh-CN" w:bidi="ar"/>
                    </w:rPr>
                    <w:t>0.91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cs="Times New Roman"/>
                      <w:i w:val="0"/>
                      <w:iCs w:val="0"/>
                      <w:color w:val="000000"/>
                      <w:kern w:val="0"/>
                      <w:sz w:val="22"/>
                      <w:szCs w:val="22"/>
                      <w:u w:val="none"/>
                      <w:lang w:val="en-US" w:eastAsia="zh-CN" w:bidi="ar"/>
                    </w:rPr>
                    <w:t>0.96</w:t>
                  </w:r>
                  <w:r>
                    <w:rPr>
                      <w:rFonts w:hint="default" w:ascii="Times New Roman" w:hAnsi="Times New Roman" w:eastAsia="宋体" w:cs="Times New Roman"/>
                      <w:i w:val="0"/>
                      <w:iCs w:val="0"/>
                      <w:color w:val="000000"/>
                      <w:kern w:val="0"/>
                      <w:sz w:val="22"/>
                      <w:szCs w:val="22"/>
                      <w:u w:val="none"/>
                      <w:lang w:val="en-US" w:eastAsia="zh-CN" w:bidi="ar"/>
                    </w:rPr>
                    <w:t>g/cm</w:t>
                  </w:r>
                  <w:r>
                    <w:rPr>
                      <w:rFonts w:hint="default" w:ascii="Times New Roman" w:hAnsi="Times New Roman" w:eastAsia="宋体" w:cs="Times New Roman"/>
                      <w:i w:val="0"/>
                      <w:iCs w:val="0"/>
                      <w:color w:val="000000"/>
                      <w:kern w:val="0"/>
                      <w:sz w:val="22"/>
                      <w:szCs w:val="22"/>
                      <w:u w:val="none"/>
                      <w:vertAlign w:val="superscript"/>
                      <w:lang w:val="en-US" w:eastAsia="zh-CN" w:bidi="ar"/>
                    </w:rPr>
                    <w:t>3</w:t>
                  </w:r>
                </w:p>
              </w:tc>
              <w:tc>
                <w:tcPr>
                  <w:tcW w:w="478" w:type="pct"/>
                  <w:shd w:val="clear" w:color="auto" w:fill="auto"/>
                  <w:noWrap w:val="0"/>
                  <w:vAlign w:val="center"/>
                </w:tcPr>
                <w:p w14:paraId="7EF9BB94">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易燃</w:t>
                  </w:r>
                </w:p>
              </w:tc>
              <w:tc>
                <w:tcPr>
                  <w:tcW w:w="1021" w:type="pct"/>
                  <w:vMerge w:val="continue"/>
                  <w:shd w:val="clear" w:color="auto" w:fill="auto"/>
                  <w:noWrap w:val="0"/>
                  <w:vAlign w:val="center"/>
                </w:tcPr>
                <w:p w14:paraId="71D9EFC3">
                  <w:pPr>
                    <w:jc w:val="center"/>
                    <w:rPr>
                      <w:rFonts w:hint="eastAsia" w:ascii="Times New Roman" w:hAnsi="Times New Roman" w:eastAsia="宋体" w:cs="Times New Roman"/>
                      <w:i w:val="0"/>
                      <w:iCs w:val="0"/>
                      <w:color w:val="000000"/>
                      <w:kern w:val="0"/>
                      <w:sz w:val="22"/>
                      <w:szCs w:val="22"/>
                      <w:u w:val="none"/>
                      <w:lang w:val="en-US" w:eastAsia="zh-CN" w:bidi="ar"/>
                    </w:rPr>
                  </w:pPr>
                </w:p>
              </w:tc>
            </w:tr>
            <w:tr w14:paraId="4126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51" w:type="pct"/>
                  <w:shd w:val="clear" w:color="auto" w:fill="auto"/>
                  <w:noWrap w:val="0"/>
                  <w:vAlign w:val="center"/>
                </w:tcPr>
                <w:p w14:paraId="424EECA1">
                  <w:pPr>
                    <w:bidi w:val="0"/>
                    <w:jc w:val="center"/>
                    <w:rPr>
                      <w:rFonts w:hint="default" w:ascii="Times New Roman" w:hAnsi="Times New Roman" w:eastAsia="宋体" w:cs="Times New Roman"/>
                      <w:kern w:val="2"/>
                      <w:sz w:val="22"/>
                      <w:szCs w:val="22"/>
                      <w:lang w:val="en-US" w:eastAsia="zh-CN" w:bidi="ar-SA"/>
                    </w:rPr>
                  </w:pPr>
                  <w:r>
                    <w:rPr>
                      <w:rFonts w:hint="eastAsia"/>
                      <w:sz w:val="22"/>
                      <w:szCs w:val="22"/>
                      <w:lang w:val="en-US" w:eastAsia="zh-CN"/>
                    </w:rPr>
                    <w:t>3</w:t>
                  </w:r>
                </w:p>
              </w:tc>
              <w:tc>
                <w:tcPr>
                  <w:tcW w:w="674" w:type="pct"/>
                  <w:shd w:val="clear" w:color="auto" w:fill="auto"/>
                  <w:noWrap w:val="0"/>
                  <w:vAlign w:val="center"/>
                </w:tcPr>
                <w:p w14:paraId="5E201C9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MC-3黑色快干醇酸面漆</w:t>
                  </w:r>
                </w:p>
              </w:tc>
              <w:tc>
                <w:tcPr>
                  <w:tcW w:w="1022" w:type="pct"/>
                  <w:shd w:val="clear" w:color="auto" w:fill="auto"/>
                  <w:noWrap w:val="0"/>
                  <w:vAlign w:val="center"/>
                </w:tcPr>
                <w:p w14:paraId="40C48C29">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醇酸树脂</w:t>
                  </w:r>
                  <w:r>
                    <w:rPr>
                      <w:rFonts w:hint="eastAsia" w:ascii="Times New Roman" w:hAnsi="Times New Roman" w:eastAsia="宋体" w:cs="Times New Roman"/>
                      <w:i w:val="0"/>
                      <w:iCs w:val="0"/>
                      <w:color w:val="000000"/>
                      <w:sz w:val="22"/>
                      <w:szCs w:val="22"/>
                      <w:u w:val="none"/>
                      <w:lang w:val="en-US" w:eastAsia="zh-CN"/>
                    </w:rPr>
                    <w:t>55~70%、无机颜料28%、有机颜料12%</w:t>
                  </w:r>
                  <w:r>
                    <w:rPr>
                      <w:rFonts w:hint="eastAsia" w:cs="Times New Roman"/>
                      <w:i w:val="0"/>
                      <w:iCs w:val="0"/>
                      <w:color w:val="000000"/>
                      <w:sz w:val="22"/>
                      <w:szCs w:val="22"/>
                      <w:u w:val="none"/>
                      <w:lang w:val="en-US" w:eastAsia="zh-CN"/>
                    </w:rPr>
                    <w:t>、助剂0.2%</w:t>
                  </w:r>
                </w:p>
              </w:tc>
              <w:tc>
                <w:tcPr>
                  <w:tcW w:w="1551" w:type="pct"/>
                  <w:shd w:val="clear" w:color="auto" w:fill="auto"/>
                  <w:noWrap w:val="0"/>
                  <w:vAlign w:val="center"/>
                </w:tcPr>
                <w:p w14:paraId="26D43A88">
                  <w:pPr>
                    <w:jc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物质状态：粘稠液体，气味：溶剂气味，自燃温度：约</w:t>
                  </w:r>
                  <w:r>
                    <w:rPr>
                      <w:rFonts w:hint="default" w:ascii="Times New Roman" w:hAnsi="Times New Roman" w:eastAsia="宋体" w:cs="Times New Roman"/>
                      <w:i w:val="0"/>
                      <w:iCs w:val="0"/>
                      <w:color w:val="000000"/>
                      <w:sz w:val="22"/>
                      <w:szCs w:val="22"/>
                      <w:u w:val="none"/>
                      <w:lang w:val="en-US" w:eastAsia="zh-CN"/>
                    </w:rPr>
                    <w:t>476</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，密度：</w:t>
                  </w:r>
                  <w:r>
                    <w:rPr>
                      <w:rFonts w:hint="default" w:ascii="Times New Roman" w:hAnsi="Times New Roman" w:eastAsia="宋体" w:cs="Times New Roman"/>
                      <w:i w:val="0"/>
                      <w:iCs w:val="0"/>
                      <w:color w:val="000000"/>
                      <w:kern w:val="0"/>
                      <w:sz w:val="22"/>
                      <w:szCs w:val="22"/>
                      <w:u w:val="none"/>
                      <w:lang w:val="en-US" w:eastAsia="zh-CN" w:bidi="ar"/>
                    </w:rPr>
                    <w:t>1.23~1.31g/cm</w:t>
                  </w:r>
                  <w:r>
                    <w:rPr>
                      <w:rFonts w:hint="default" w:ascii="Times New Roman" w:hAnsi="Times New Roman" w:eastAsia="宋体" w:cs="Times New Roman"/>
                      <w:i w:val="0"/>
                      <w:iCs w:val="0"/>
                      <w:color w:val="000000"/>
                      <w:kern w:val="0"/>
                      <w:sz w:val="22"/>
                      <w:szCs w:val="22"/>
                      <w:u w:val="none"/>
                      <w:vertAlign w:val="superscript"/>
                      <w:lang w:val="en-US" w:eastAsia="zh-CN" w:bidi="ar"/>
                    </w:rPr>
                    <w:t>3</w:t>
                  </w:r>
                  <w:r>
                    <w:rPr>
                      <w:rFonts w:hint="eastAsia" w:ascii="宋体" w:hAnsi="宋体" w:cs="宋体"/>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20℃</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，蒸气压：</w:t>
                  </w:r>
                  <w:r>
                    <w:rPr>
                      <w:rFonts w:hint="default" w:ascii="Times New Roman" w:hAnsi="Times New Roman" w:eastAsia="宋体" w:cs="Times New Roman"/>
                      <w:i w:val="0"/>
                      <w:iCs w:val="0"/>
                      <w:color w:val="000000"/>
                      <w:kern w:val="0"/>
                      <w:sz w:val="22"/>
                      <w:szCs w:val="22"/>
                      <w:u w:val="none"/>
                      <w:lang w:val="en-US" w:eastAsia="zh-CN" w:bidi="ar"/>
                    </w:rPr>
                    <w:t>11mbar</w:t>
                  </w:r>
                  <w:r>
                    <w:rPr>
                      <w:rFonts w:hint="eastAsia" w:ascii="宋体" w:hAnsi="宋体" w:eastAsia="宋体" w:cs="宋体"/>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20℃</w:t>
                  </w:r>
                  <w:r>
                    <w:rPr>
                      <w:rFonts w:hint="eastAsia" w:ascii="宋体" w:hAnsi="宋体" w:eastAsia="宋体" w:cs="宋体"/>
                      <w:i w:val="0"/>
                      <w:iCs w:val="0"/>
                      <w:color w:val="000000"/>
                      <w:kern w:val="0"/>
                      <w:sz w:val="22"/>
                      <w:szCs w:val="22"/>
                      <w:u w:val="none"/>
                      <w:lang w:val="en-US" w:eastAsia="zh-CN" w:bidi="ar"/>
                    </w:rPr>
                    <w:t>），爆炸极限：</w:t>
                  </w:r>
                  <w:r>
                    <w:rPr>
                      <w:rFonts w:hint="default" w:ascii="Times New Roman" w:hAnsi="Times New Roman" w:eastAsia="宋体" w:cs="Times New Roman"/>
                      <w:i w:val="0"/>
                      <w:iCs w:val="0"/>
                      <w:color w:val="000000"/>
                      <w:kern w:val="0"/>
                      <w:sz w:val="22"/>
                      <w:szCs w:val="22"/>
                      <w:u w:val="none"/>
                      <w:lang w:val="en-US" w:eastAsia="zh-CN" w:bidi="ar"/>
                    </w:rPr>
                    <w:t>1.2~7.5%</w:t>
                  </w:r>
                  <w:r>
                    <w:rPr>
                      <w:rFonts w:hint="eastAsia" w:ascii="宋体" w:hAnsi="宋体" w:eastAsia="宋体" w:cs="宋体"/>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v/v</w:t>
                  </w:r>
                  <w:r>
                    <w:rPr>
                      <w:rFonts w:hint="eastAsia" w:ascii="宋体" w:hAnsi="宋体" w:eastAsia="宋体" w:cs="宋体"/>
                      <w:i w:val="0"/>
                      <w:iCs w:val="0"/>
                      <w:color w:val="000000"/>
                      <w:kern w:val="0"/>
                      <w:sz w:val="22"/>
                      <w:szCs w:val="22"/>
                      <w:u w:val="none"/>
                      <w:lang w:val="en-US" w:eastAsia="zh-CN" w:bidi="ar"/>
                    </w:rPr>
                    <w:t>）</w:t>
                  </w:r>
                </w:p>
              </w:tc>
              <w:tc>
                <w:tcPr>
                  <w:tcW w:w="478" w:type="pct"/>
                  <w:shd w:val="clear" w:color="auto" w:fill="auto"/>
                  <w:noWrap w:val="0"/>
                  <w:vAlign w:val="center"/>
                </w:tcPr>
                <w:p w14:paraId="57FC4F42">
                  <w:pPr>
                    <w:jc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易燃</w:t>
                  </w:r>
                </w:p>
              </w:tc>
              <w:tc>
                <w:tcPr>
                  <w:tcW w:w="1021" w:type="pct"/>
                  <w:vMerge w:val="restart"/>
                  <w:shd w:val="clear" w:color="auto" w:fill="auto"/>
                  <w:noWrap w:val="0"/>
                  <w:vAlign w:val="center"/>
                </w:tcPr>
                <w:p w14:paraId="16D297E4">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危险性类别：第</w:t>
                  </w:r>
                  <w:r>
                    <w:rPr>
                      <w:rFonts w:hint="default" w:ascii="Times New Roman" w:hAnsi="Times New Roman" w:eastAsia="宋体" w:cs="Times New Roman"/>
                      <w:i w:val="0"/>
                      <w:iCs w:val="0"/>
                      <w:color w:val="000000"/>
                      <w:kern w:val="0"/>
                      <w:sz w:val="22"/>
                      <w:szCs w:val="22"/>
                      <w:u w:val="none"/>
                      <w:lang w:val="en-US" w:eastAsia="zh-CN" w:bidi="ar"/>
                    </w:rPr>
                    <w:t>3.2</w:t>
                  </w:r>
                  <w:r>
                    <w:rPr>
                      <w:rFonts w:hint="eastAsia" w:ascii="Times New Roman" w:hAnsi="Times New Roman" w:eastAsia="宋体" w:cs="Times New Roman"/>
                      <w:i w:val="0"/>
                      <w:iCs w:val="0"/>
                      <w:color w:val="000000"/>
                      <w:kern w:val="0"/>
                      <w:sz w:val="22"/>
                      <w:szCs w:val="22"/>
                      <w:u w:val="none"/>
                      <w:lang w:val="en-US" w:eastAsia="zh-CN" w:bidi="ar"/>
                    </w:rPr>
                    <w:t>类，健康危害：可对皮肤、粘膜产生刺激作用，对中枢神经系统有麻醉作用，长期作用可影响肝、肾功能。环境危害：该物质对环境有严重的危害，对空气、水环境及水源可造成污染。</w:t>
                  </w:r>
                </w:p>
              </w:tc>
            </w:tr>
            <w:tr w14:paraId="713B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51" w:type="pct"/>
                  <w:shd w:val="clear" w:color="auto" w:fill="auto"/>
                  <w:noWrap w:val="0"/>
                  <w:vAlign w:val="center"/>
                </w:tcPr>
                <w:p w14:paraId="013F3084">
                  <w:pPr>
                    <w:bidi w:val="0"/>
                    <w:jc w:val="center"/>
                    <w:rPr>
                      <w:rFonts w:hint="default" w:ascii="Times New Roman" w:hAnsi="Times New Roman" w:eastAsia="宋体" w:cs="Times New Roman"/>
                      <w:kern w:val="2"/>
                      <w:sz w:val="22"/>
                      <w:szCs w:val="22"/>
                      <w:lang w:val="en-US" w:eastAsia="zh-CN" w:bidi="ar-SA"/>
                    </w:rPr>
                  </w:pPr>
                  <w:r>
                    <w:rPr>
                      <w:rFonts w:hint="eastAsia"/>
                      <w:sz w:val="22"/>
                      <w:szCs w:val="22"/>
                      <w:lang w:val="en-US" w:eastAsia="zh-CN"/>
                    </w:rPr>
                    <w:t>4</w:t>
                  </w:r>
                </w:p>
              </w:tc>
              <w:tc>
                <w:tcPr>
                  <w:tcW w:w="674" w:type="pct"/>
                  <w:shd w:val="clear" w:color="auto" w:fill="auto"/>
                  <w:noWrap w:val="0"/>
                  <w:vAlign w:val="center"/>
                </w:tcPr>
                <w:p w14:paraId="640FB214">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稀释剂</w:t>
                  </w:r>
                </w:p>
              </w:tc>
              <w:tc>
                <w:tcPr>
                  <w:tcW w:w="1022" w:type="pct"/>
                  <w:shd w:val="clear" w:color="auto" w:fill="auto"/>
                  <w:noWrap w:val="0"/>
                  <w:vAlign w:val="center"/>
                </w:tcPr>
                <w:p w14:paraId="362FEB38">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二甲苯</w:t>
                  </w:r>
                  <w:r>
                    <w:rPr>
                      <w:rFonts w:hint="default" w:ascii="Times New Roman" w:hAnsi="Times New Roman" w:eastAsia="宋体" w:cs="Times New Roman"/>
                      <w:i w:val="0"/>
                      <w:iCs w:val="0"/>
                      <w:color w:val="000000"/>
                      <w:kern w:val="0"/>
                      <w:sz w:val="22"/>
                      <w:szCs w:val="22"/>
                      <w:u w:val="none"/>
                      <w:lang w:val="en-US" w:eastAsia="zh-CN" w:bidi="ar"/>
                    </w:rPr>
                    <w:t>20~40%</w:t>
                  </w:r>
                  <w:r>
                    <w:rPr>
                      <w:rFonts w:hint="eastAsia" w:ascii="宋体" w:hAnsi="宋体" w:eastAsia="宋体" w:cs="宋体"/>
                      <w:i w:val="0"/>
                      <w:iCs w:val="0"/>
                      <w:color w:val="000000"/>
                      <w:kern w:val="0"/>
                      <w:sz w:val="22"/>
                      <w:szCs w:val="22"/>
                      <w:u w:val="none"/>
                      <w:lang w:val="en-US" w:eastAsia="zh-CN" w:bidi="ar"/>
                    </w:rPr>
                    <w:t>，甲酯、</w:t>
                  </w:r>
                  <w:r>
                    <w:rPr>
                      <w:rFonts w:hint="eastAsia" w:ascii="宋体" w:hAnsi="宋体" w:cs="宋体"/>
                      <w:i w:val="0"/>
                      <w:iCs w:val="0"/>
                      <w:color w:val="000000"/>
                      <w:kern w:val="0"/>
                      <w:sz w:val="22"/>
                      <w:szCs w:val="22"/>
                      <w:u w:val="none"/>
                      <w:lang w:val="en-US" w:eastAsia="zh-CN" w:bidi="ar"/>
                    </w:rPr>
                    <w:t>乙酯</w:t>
                  </w:r>
                  <w:r>
                    <w:rPr>
                      <w:rFonts w:hint="default" w:ascii="Times New Roman" w:hAnsi="Times New Roman" w:eastAsia="宋体" w:cs="Times New Roman"/>
                      <w:i w:val="0"/>
                      <w:iCs w:val="0"/>
                      <w:color w:val="000000"/>
                      <w:kern w:val="0"/>
                      <w:sz w:val="22"/>
                      <w:szCs w:val="22"/>
                      <w:u w:val="none"/>
                      <w:lang w:val="en-US" w:eastAsia="zh-CN" w:bidi="ar"/>
                    </w:rPr>
                    <w:t>60~80%</w:t>
                  </w:r>
                  <w:r>
                    <w:rPr>
                      <w:rFonts w:hint="eastAsia" w:ascii="宋体" w:hAnsi="宋体" w:eastAsia="宋体" w:cs="宋体"/>
                      <w:i w:val="0"/>
                      <w:iCs w:val="0"/>
                      <w:color w:val="000000"/>
                      <w:kern w:val="0"/>
                      <w:sz w:val="22"/>
                      <w:szCs w:val="22"/>
                      <w:u w:val="none"/>
                      <w:lang w:val="en-US" w:eastAsia="zh-CN" w:bidi="ar"/>
                    </w:rPr>
                    <w:t>，助剂</w:t>
                  </w:r>
                  <w:r>
                    <w:rPr>
                      <w:rFonts w:hint="default" w:ascii="Times New Roman" w:hAnsi="Times New Roman" w:eastAsia="宋体" w:cs="Times New Roman"/>
                      <w:i w:val="0"/>
                      <w:iCs w:val="0"/>
                      <w:color w:val="000000"/>
                      <w:kern w:val="0"/>
                      <w:sz w:val="22"/>
                      <w:szCs w:val="22"/>
                      <w:u w:val="none"/>
                      <w:lang w:val="en-US" w:eastAsia="zh-CN" w:bidi="ar"/>
                    </w:rPr>
                    <w:t>5~10%</w:t>
                  </w:r>
                </w:p>
              </w:tc>
              <w:tc>
                <w:tcPr>
                  <w:tcW w:w="1551" w:type="pct"/>
                  <w:shd w:val="clear" w:color="auto" w:fill="auto"/>
                  <w:noWrap w:val="0"/>
                  <w:vAlign w:val="center"/>
                </w:tcPr>
                <w:p w14:paraId="78766A52">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物质状态：液态，气味：溶剂气味，颜色：水白色，密度：</w:t>
                  </w:r>
                  <w:r>
                    <w:rPr>
                      <w:rFonts w:hint="default" w:ascii="Times New Roman" w:hAnsi="Times New Roman" w:eastAsia="宋体" w:cs="Times New Roman"/>
                      <w:i w:val="0"/>
                      <w:iCs w:val="0"/>
                      <w:color w:val="000000"/>
                      <w:kern w:val="0"/>
                      <w:sz w:val="22"/>
                      <w:szCs w:val="22"/>
                      <w:u w:val="none"/>
                      <w:lang w:val="en-US" w:eastAsia="zh-CN" w:bidi="ar"/>
                    </w:rPr>
                    <w:t>0.886g/cm</w:t>
                  </w:r>
                  <w:r>
                    <w:rPr>
                      <w:rFonts w:hint="default" w:ascii="Times New Roman" w:hAnsi="Times New Roman" w:eastAsia="宋体" w:cs="Times New Roman"/>
                      <w:i w:val="0"/>
                      <w:iCs w:val="0"/>
                      <w:color w:val="000000"/>
                      <w:kern w:val="0"/>
                      <w:sz w:val="22"/>
                      <w:szCs w:val="22"/>
                      <w:u w:val="none"/>
                      <w:vertAlign w:val="superscript"/>
                      <w:lang w:val="en-US" w:eastAsia="zh-CN" w:bidi="ar"/>
                    </w:rPr>
                    <w:t>3</w:t>
                  </w:r>
                  <w:r>
                    <w:rPr>
                      <w:rFonts w:hint="eastAsia" w:ascii="宋体" w:hAnsi="宋体" w:cs="宋体"/>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20℃</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自燃温度：</w:t>
                  </w:r>
                  <w:r>
                    <w:rPr>
                      <w:rFonts w:hint="default" w:ascii="Times New Roman" w:hAnsi="Times New Roman" w:eastAsia="宋体" w:cs="Times New Roman"/>
                      <w:i w:val="0"/>
                      <w:iCs w:val="0"/>
                      <w:color w:val="000000"/>
                      <w:kern w:val="0"/>
                      <w:sz w:val="22"/>
                      <w:szCs w:val="22"/>
                      <w:u w:val="none"/>
                      <w:lang w:val="en-US" w:eastAsia="zh-CN" w:bidi="ar"/>
                    </w:rPr>
                    <w:t>407℃</w:t>
                  </w:r>
                  <w:r>
                    <w:rPr>
                      <w:rFonts w:hint="eastAsia" w:ascii="宋体" w:hAnsi="宋体" w:eastAsia="宋体" w:cs="宋体"/>
                      <w:i w:val="0"/>
                      <w:iCs w:val="0"/>
                      <w:color w:val="000000"/>
                      <w:kern w:val="0"/>
                      <w:sz w:val="22"/>
                      <w:szCs w:val="22"/>
                      <w:u w:val="none"/>
                      <w:lang w:val="en-US" w:eastAsia="zh-CN" w:bidi="ar"/>
                    </w:rPr>
                    <w:t>，爆炸极限：</w:t>
                  </w:r>
                  <w:r>
                    <w:rPr>
                      <w:rFonts w:hint="default" w:ascii="Times New Roman" w:hAnsi="Times New Roman" w:eastAsia="宋体" w:cs="Times New Roman"/>
                      <w:i w:val="0"/>
                      <w:iCs w:val="0"/>
                      <w:color w:val="000000"/>
                      <w:kern w:val="0"/>
                      <w:sz w:val="22"/>
                      <w:szCs w:val="22"/>
                      <w:u w:val="none"/>
                      <w:lang w:val="en-US" w:eastAsia="zh-CN" w:bidi="ar"/>
                    </w:rPr>
                    <w:t>1.0~7.5%</w:t>
                  </w:r>
                  <w:r>
                    <w:rPr>
                      <w:rFonts w:hint="eastAsia" w:ascii="宋体" w:hAnsi="宋体" w:eastAsia="宋体" w:cs="宋体"/>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v/v</w:t>
                  </w:r>
                  <w:r>
                    <w:rPr>
                      <w:rFonts w:hint="eastAsia"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闪点：</w:t>
                  </w:r>
                  <w:r>
                    <w:rPr>
                      <w:rFonts w:hint="default" w:ascii="Times New Roman" w:hAnsi="Times New Roman" w:eastAsia="宋体" w:cs="Times New Roman"/>
                      <w:i w:val="0"/>
                      <w:iCs w:val="0"/>
                      <w:color w:val="000000"/>
                      <w:kern w:val="0"/>
                      <w:sz w:val="22"/>
                      <w:szCs w:val="22"/>
                      <w:u w:val="none"/>
                      <w:lang w:val="en-US" w:eastAsia="zh-CN" w:bidi="ar"/>
                    </w:rPr>
                    <w:t>27℃</w:t>
                  </w:r>
                </w:p>
              </w:tc>
              <w:tc>
                <w:tcPr>
                  <w:tcW w:w="478" w:type="pct"/>
                  <w:shd w:val="clear" w:color="auto" w:fill="auto"/>
                  <w:noWrap w:val="0"/>
                  <w:vAlign w:val="center"/>
                </w:tcPr>
                <w:p w14:paraId="0A0D9449">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易燃</w:t>
                  </w:r>
                </w:p>
              </w:tc>
              <w:tc>
                <w:tcPr>
                  <w:tcW w:w="1021" w:type="pct"/>
                  <w:vMerge w:val="continue"/>
                  <w:shd w:val="clear" w:color="auto" w:fill="auto"/>
                  <w:noWrap w:val="0"/>
                  <w:vAlign w:val="center"/>
                </w:tcPr>
                <w:p w14:paraId="73AF186F">
                  <w:pPr>
                    <w:bidi w:val="0"/>
                    <w:jc w:val="center"/>
                    <w:rPr>
                      <w:rFonts w:hint="default"/>
                      <w:sz w:val="22"/>
                      <w:szCs w:val="22"/>
                      <w:lang w:val="en-US" w:eastAsia="zh-CN"/>
                    </w:rPr>
                  </w:pPr>
                </w:p>
              </w:tc>
            </w:tr>
            <w:tr w14:paraId="76DA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51" w:type="pct"/>
                  <w:shd w:val="clear" w:color="auto" w:fill="auto"/>
                  <w:noWrap w:val="0"/>
                  <w:vAlign w:val="center"/>
                </w:tcPr>
                <w:p w14:paraId="0B0941D1">
                  <w:pPr>
                    <w:bidi w:val="0"/>
                    <w:jc w:val="center"/>
                    <w:rPr>
                      <w:rFonts w:hint="default" w:ascii="Times New Roman" w:hAnsi="Times New Roman" w:eastAsia="宋体" w:cs="Times New Roman"/>
                      <w:kern w:val="2"/>
                      <w:sz w:val="22"/>
                      <w:szCs w:val="22"/>
                      <w:lang w:val="en-US" w:eastAsia="zh-CN" w:bidi="ar-SA"/>
                    </w:rPr>
                  </w:pPr>
                  <w:r>
                    <w:rPr>
                      <w:rFonts w:hint="eastAsia"/>
                      <w:sz w:val="22"/>
                      <w:szCs w:val="22"/>
                      <w:lang w:val="en-US" w:eastAsia="zh-CN"/>
                    </w:rPr>
                    <w:t>5</w:t>
                  </w:r>
                </w:p>
              </w:tc>
              <w:tc>
                <w:tcPr>
                  <w:tcW w:w="674" w:type="pct"/>
                  <w:shd w:val="clear" w:color="auto" w:fill="auto"/>
                  <w:noWrap w:val="0"/>
                  <w:vAlign w:val="center"/>
                </w:tcPr>
                <w:p w14:paraId="7FA9BB91">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液化气</w:t>
                  </w:r>
                </w:p>
              </w:tc>
              <w:tc>
                <w:tcPr>
                  <w:tcW w:w="1022" w:type="pct"/>
                  <w:shd w:val="clear" w:color="auto" w:fill="auto"/>
                  <w:noWrap w:val="0"/>
                  <w:vAlign w:val="center"/>
                </w:tcPr>
                <w:p w14:paraId="11EC8E4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丙烷</w:t>
                  </w:r>
                </w:p>
              </w:tc>
              <w:tc>
                <w:tcPr>
                  <w:tcW w:w="1551" w:type="pct"/>
                  <w:shd w:val="clear" w:color="auto" w:fill="auto"/>
                  <w:noWrap w:val="0"/>
                  <w:vAlign w:val="center"/>
                </w:tcPr>
                <w:p w14:paraId="506124EF">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分子式C</w:t>
                  </w:r>
                  <w:r>
                    <w:rPr>
                      <w:rFonts w:hint="eastAsia" w:ascii="宋体" w:hAnsi="宋体" w:eastAsia="宋体" w:cs="宋体"/>
                      <w:i w:val="0"/>
                      <w:iCs w:val="0"/>
                      <w:color w:val="000000"/>
                      <w:kern w:val="0"/>
                      <w:sz w:val="22"/>
                      <w:szCs w:val="22"/>
                      <w:u w:val="none"/>
                      <w:vertAlign w:val="subscript"/>
                      <w:lang w:val="en-US" w:eastAsia="zh-CN" w:bidi="ar"/>
                    </w:rPr>
                    <w:t>3</w:t>
                  </w:r>
                  <w:r>
                    <w:rPr>
                      <w:rFonts w:hint="eastAsia" w:ascii="宋体" w:hAnsi="宋体" w:eastAsia="宋体" w:cs="宋体"/>
                      <w:i w:val="0"/>
                      <w:iCs w:val="0"/>
                      <w:color w:val="000000"/>
                      <w:kern w:val="0"/>
                      <w:sz w:val="22"/>
                      <w:szCs w:val="22"/>
                      <w:u w:val="none"/>
                      <w:lang w:val="en-US" w:eastAsia="zh-CN" w:bidi="ar"/>
                    </w:rPr>
                    <w:t>H</w:t>
                  </w:r>
                  <w:r>
                    <w:rPr>
                      <w:rFonts w:hint="eastAsia" w:ascii="宋体" w:hAnsi="宋体" w:eastAsia="宋体" w:cs="宋体"/>
                      <w:i w:val="0"/>
                      <w:iCs w:val="0"/>
                      <w:color w:val="000000"/>
                      <w:kern w:val="0"/>
                      <w:sz w:val="22"/>
                      <w:szCs w:val="22"/>
                      <w:u w:val="none"/>
                      <w:vertAlign w:val="subscript"/>
                      <w:lang w:val="en-US" w:eastAsia="zh-CN" w:bidi="ar"/>
                    </w:rPr>
                    <w:t>8</w:t>
                  </w:r>
                  <w:r>
                    <w:rPr>
                      <w:rFonts w:hint="eastAsia" w:ascii="宋体" w:hAnsi="宋体" w:eastAsia="宋体" w:cs="宋体"/>
                      <w:i w:val="0"/>
                      <w:iCs w:val="0"/>
                      <w:color w:val="000000"/>
                      <w:kern w:val="0"/>
                      <w:sz w:val="22"/>
                      <w:szCs w:val="22"/>
                      <w:u w:val="none"/>
                      <w:lang w:val="en-US" w:eastAsia="zh-CN" w:bidi="ar"/>
                    </w:rPr>
                    <w:t>，分子量16.04，无色气体，闪点-104℃，微溶于水</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溶于乙醇、乙醚，爆炸上限/下限[%</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v/v</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]:9.5/2.1，临界压力4.25Mpa，临界温度96.8℃</w:t>
                  </w:r>
                </w:p>
              </w:tc>
              <w:tc>
                <w:tcPr>
                  <w:tcW w:w="478" w:type="pct"/>
                  <w:shd w:val="clear" w:color="auto" w:fill="auto"/>
                  <w:noWrap w:val="0"/>
                  <w:vAlign w:val="center"/>
                </w:tcPr>
                <w:p w14:paraId="3DE9CF2E">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易燃</w:t>
                  </w:r>
                </w:p>
              </w:tc>
              <w:tc>
                <w:tcPr>
                  <w:tcW w:w="1021" w:type="pct"/>
                  <w:shd w:val="clear" w:color="auto" w:fill="auto"/>
                  <w:noWrap w:val="0"/>
                  <w:vAlign w:val="center"/>
                </w:tcPr>
                <w:p w14:paraId="01006654">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本品有单纯性窒息及麻醉作用，短暂接触</w:t>
                  </w:r>
                  <w:r>
                    <w:rPr>
                      <w:rFonts w:hint="default" w:ascii="Times New Roman" w:hAnsi="Times New Roman" w:eastAsia="宋体" w:cs="Times New Roman"/>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，不引起症状，</w:t>
                  </w:r>
                  <w:r>
                    <w:rPr>
                      <w:rFonts w:hint="default" w:ascii="Times New Roman" w:hAnsi="Times New Roman" w:eastAsia="宋体" w:cs="Times New Roman"/>
                      <w:i w:val="0"/>
                      <w:iCs w:val="0"/>
                      <w:color w:val="000000"/>
                      <w:kern w:val="0"/>
                      <w:sz w:val="22"/>
                      <w:szCs w:val="22"/>
                      <w:u w:val="none"/>
                      <w:lang w:val="en-US" w:eastAsia="zh-CN" w:bidi="ar"/>
                    </w:rPr>
                    <w:t>10%</w:t>
                  </w:r>
                  <w:r>
                    <w:rPr>
                      <w:rFonts w:hint="eastAsia" w:ascii="宋体" w:hAnsi="宋体" w:eastAsia="宋体" w:cs="宋体"/>
                      <w:i w:val="0"/>
                      <w:iCs w:val="0"/>
                      <w:color w:val="000000"/>
                      <w:kern w:val="0"/>
                      <w:sz w:val="22"/>
                      <w:szCs w:val="22"/>
                      <w:u w:val="none"/>
                      <w:lang w:val="en-US" w:eastAsia="zh-CN" w:bidi="ar"/>
                    </w:rPr>
                    <w:t>以下只引起轻度头晕，接触高浓度时可至麻醉状态甚至窒息</w:t>
                  </w:r>
                </w:p>
              </w:tc>
            </w:tr>
          </w:tbl>
          <w:p w14:paraId="4BDF5FAC">
            <w:pPr>
              <w:autoSpaceDE w:val="0"/>
              <w:autoSpaceDN w:val="0"/>
              <w:adjustRightInd w:val="0"/>
              <w:snapToGrid w:val="0"/>
              <w:spacing w:line="360" w:lineRule="auto"/>
              <w:ind w:firstLine="480" w:firstLineChars="200"/>
              <w:jc w:val="both"/>
              <w:rPr>
                <w:rFonts w:hint="eastAsia"/>
                <w:color w:val="000000"/>
                <w:kern w:val="0"/>
                <w:sz w:val="24"/>
                <w:lang w:val="en-US" w:eastAsia="zh-CN"/>
              </w:rPr>
            </w:pPr>
          </w:p>
          <w:p w14:paraId="272B3357">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根据建设单位提供的资料信息及油漆MSDS文件（详见附件8），本次评价按照最不利原则，各种油漆中挥发份均取最大值，则双组份环氧富锌底漆（A组分）中挥发份取20%（其中二甲苯取10%），固体份取80%，密度取1.2</w:t>
            </w:r>
            <w:r>
              <w:rPr>
                <w:rFonts w:hint="default"/>
                <w:color w:val="000000"/>
                <w:kern w:val="0"/>
                <w:sz w:val="24"/>
                <w:lang w:val="en-US" w:eastAsia="zh-CN"/>
              </w:rPr>
              <w:t>g/cm</w:t>
            </w:r>
            <w:r>
              <w:rPr>
                <w:rFonts w:hint="default"/>
                <w:color w:val="000000"/>
                <w:kern w:val="0"/>
                <w:sz w:val="24"/>
                <w:vertAlign w:val="superscript"/>
                <w:lang w:val="en-US" w:eastAsia="zh-CN"/>
              </w:rPr>
              <w:t>3</w:t>
            </w:r>
            <w:r>
              <w:rPr>
                <w:rFonts w:hint="eastAsia"/>
                <w:color w:val="000000"/>
                <w:kern w:val="0"/>
                <w:sz w:val="24"/>
                <w:lang w:val="en-US" w:eastAsia="zh-CN"/>
              </w:rPr>
              <w:t>；双组份环氧富锌底漆（B组分）中挥发份取30%（其中二甲苯取20%），固体份取70%，密度取0.94</w:t>
            </w:r>
            <w:r>
              <w:rPr>
                <w:rFonts w:hint="default"/>
                <w:color w:val="000000"/>
                <w:kern w:val="0"/>
                <w:sz w:val="24"/>
                <w:lang w:val="en-US" w:eastAsia="zh-CN"/>
              </w:rPr>
              <w:t>g/cm</w:t>
            </w:r>
            <w:r>
              <w:rPr>
                <w:rFonts w:hint="default"/>
                <w:color w:val="000000"/>
                <w:kern w:val="0"/>
                <w:sz w:val="24"/>
                <w:vertAlign w:val="superscript"/>
                <w:lang w:val="en-US" w:eastAsia="zh-CN"/>
              </w:rPr>
              <w:t>3</w:t>
            </w:r>
            <w:r>
              <w:rPr>
                <w:rFonts w:hint="eastAsia"/>
                <w:color w:val="000000"/>
                <w:kern w:val="0"/>
                <w:sz w:val="24"/>
                <w:lang w:val="en-US" w:eastAsia="zh-CN"/>
              </w:rPr>
              <w:t>；MC-3黑色快干醇酸面漆中挥发份取0，固体份取100%，密度取1.27</w:t>
            </w:r>
            <w:r>
              <w:rPr>
                <w:rFonts w:hint="default"/>
                <w:color w:val="000000"/>
                <w:kern w:val="0"/>
                <w:sz w:val="24"/>
                <w:lang w:val="en-US" w:eastAsia="zh-CN"/>
              </w:rPr>
              <w:t>g/cm</w:t>
            </w:r>
            <w:r>
              <w:rPr>
                <w:rFonts w:hint="default"/>
                <w:color w:val="000000"/>
                <w:kern w:val="0"/>
                <w:sz w:val="24"/>
                <w:vertAlign w:val="superscript"/>
                <w:lang w:val="en-US" w:eastAsia="zh-CN"/>
              </w:rPr>
              <w:t>3</w:t>
            </w:r>
            <w:r>
              <w:rPr>
                <w:rFonts w:hint="eastAsia"/>
                <w:color w:val="000000"/>
                <w:kern w:val="0"/>
                <w:sz w:val="24"/>
                <w:lang w:val="en-US" w:eastAsia="zh-CN"/>
              </w:rPr>
              <w:t>；稀释剂中挥发份取100%（其中二甲苯取40%），固体份取0，密度取0.886</w:t>
            </w:r>
            <w:r>
              <w:rPr>
                <w:rFonts w:hint="default"/>
                <w:color w:val="000000"/>
                <w:kern w:val="0"/>
                <w:sz w:val="24"/>
                <w:lang w:val="en-US" w:eastAsia="zh-CN"/>
              </w:rPr>
              <w:t>g/cm</w:t>
            </w:r>
            <w:r>
              <w:rPr>
                <w:rFonts w:hint="default"/>
                <w:color w:val="000000"/>
                <w:kern w:val="0"/>
                <w:sz w:val="24"/>
                <w:vertAlign w:val="superscript"/>
                <w:lang w:val="en-US" w:eastAsia="zh-CN"/>
              </w:rPr>
              <w:t>3</w:t>
            </w:r>
            <w:r>
              <w:rPr>
                <w:rFonts w:hint="eastAsia"/>
                <w:color w:val="000000"/>
                <w:kern w:val="0"/>
                <w:sz w:val="24"/>
                <w:lang w:val="en-US" w:eastAsia="zh-CN"/>
              </w:rPr>
              <w:t>，施工状态下A组分底漆和B组分底漆的配比为10：1，醇酸面漆和稀释剂的配比为5：1。</w:t>
            </w:r>
          </w:p>
          <w:p w14:paraId="71B9DAB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由以上可以计算出，施工状态下配置的底漆中挥发份含量为（20%×10+30%）×1000/（10÷1.2+1÷0.94）=244.75g/L，其中甲苯与二甲苯总和含量为（10%×10+20%）÷（10+1）×100%=10.91%；面漆中挥发份含量为100%×1000/（5÷1.27+1÷0.886）=197.41g/L，其中甲苯与二甲苯总和含量为40%÷（5+1）×100%=6.67%。</w:t>
            </w:r>
          </w:p>
          <w:p w14:paraId="5722F5F2">
            <w:pPr>
              <w:autoSpaceDE w:val="0"/>
              <w:autoSpaceDN w:val="0"/>
              <w:adjustRightInd w:val="0"/>
              <w:snapToGrid w:val="0"/>
              <w:spacing w:line="360" w:lineRule="auto"/>
              <w:ind w:firstLine="480" w:firstLineChars="200"/>
              <w:jc w:val="both"/>
              <w:rPr>
                <w:rFonts w:hint="default"/>
                <w:lang w:val="en-US" w:eastAsia="zh-CN"/>
              </w:rPr>
            </w:pPr>
            <w:r>
              <w:rPr>
                <w:rFonts w:hint="eastAsia"/>
                <w:color w:val="000000"/>
                <w:kern w:val="0"/>
                <w:sz w:val="24"/>
                <w:lang w:val="en-US" w:eastAsia="zh-CN"/>
              </w:rPr>
              <w:t>对照《低挥发性有机化合物含量涂料产品技术要求》（GB/T 38597-2020）文件表2，工程机械和农业机械涂料（含零部件涂料）底漆VOC含量限值为≤420g/L，面漆单组分VOC含量限值为≤480g/L，故建设单位使用的溶剂型涂料符合GB/T 38597-2020文件要求。对照《工业防护涂料中有害物质限量》（GB 30981-2020）文件表2，工程机械和农业机械涂料（含零部件涂料）底漆VOC含量限值为≤540g/L，面漆VOC含量限值为≤550g/L，以及表5中要求甲苯和二甲苯总和含量限值≤35%，故建设单位使用的溶剂型涂料符合GB 30981-2020文件要求。</w:t>
            </w:r>
          </w:p>
          <w:p w14:paraId="5F7875E8">
            <w:pPr>
              <w:autoSpaceDE w:val="0"/>
              <w:autoSpaceDN w:val="0"/>
              <w:adjustRightInd w:val="0"/>
              <w:snapToGrid w:val="0"/>
              <w:spacing w:line="360" w:lineRule="auto"/>
              <w:jc w:val="both"/>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7、劳动定员及工作制度</w:t>
            </w:r>
          </w:p>
          <w:p w14:paraId="4A2EB539">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厂区现有劳动定员103人，实行白班制，日工作8小时。本次技改后全厂劳动定员减少至100人，全年工作时间300天，实行白班8小时工作制。</w:t>
            </w:r>
          </w:p>
          <w:p w14:paraId="1A960EC0">
            <w:pPr>
              <w:autoSpaceDE w:val="0"/>
              <w:autoSpaceDN w:val="0"/>
              <w:adjustRightInd w:val="0"/>
              <w:snapToGrid w:val="0"/>
              <w:spacing w:line="360" w:lineRule="auto"/>
              <w:jc w:val="both"/>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8、</w:t>
            </w:r>
            <w:r>
              <w:rPr>
                <w:rFonts w:hint="eastAsia" w:ascii="宋体" w:hAnsi="宋体" w:cs="宋体"/>
                <w:b/>
                <w:bCs/>
                <w:kern w:val="0"/>
                <w:sz w:val="28"/>
                <w:szCs w:val="28"/>
                <w:lang w:val="en-US" w:eastAsia="zh-CN"/>
              </w:rPr>
              <w:t>漆料及</w:t>
            </w:r>
            <w:r>
              <w:rPr>
                <w:rFonts w:hint="eastAsia" w:ascii="宋体" w:hAnsi="宋体" w:eastAsia="宋体" w:cs="宋体"/>
                <w:b/>
                <w:bCs/>
                <w:kern w:val="0"/>
                <w:sz w:val="28"/>
                <w:szCs w:val="28"/>
                <w:lang w:val="en-US" w:eastAsia="zh-CN"/>
              </w:rPr>
              <w:t>水平衡分析</w:t>
            </w:r>
          </w:p>
          <w:p w14:paraId="4626EB7B">
            <w:pPr>
              <w:autoSpaceDE w:val="0"/>
              <w:autoSpaceDN w:val="0"/>
              <w:adjustRightInd w:val="0"/>
              <w:snapToGrid w:val="0"/>
              <w:spacing w:line="360" w:lineRule="auto"/>
              <w:ind w:firstLine="480" w:firstLineChars="200"/>
              <w:jc w:val="both"/>
              <w:rPr>
                <w:rFonts w:hint="eastAsia" w:ascii="宋体" w:hAnsi="宋体" w:cs="宋体"/>
                <w:b w:val="0"/>
                <w:bCs w:val="0"/>
                <w:kern w:val="0"/>
                <w:sz w:val="24"/>
                <w:szCs w:val="24"/>
                <w:lang w:val="en-US" w:eastAsia="zh-CN"/>
              </w:rPr>
            </w:pPr>
            <w:r>
              <w:rPr>
                <w:rFonts w:hint="eastAsia"/>
                <w:color w:val="000000"/>
                <w:kern w:val="0"/>
                <w:sz w:val="24"/>
                <w:lang w:val="en-US" w:eastAsia="zh-CN"/>
              </w:rPr>
              <w:t>（1）漆料</w:t>
            </w:r>
            <w:r>
              <w:rPr>
                <w:rFonts w:hint="eastAsia" w:ascii="宋体" w:hAnsi="宋体" w:cs="宋体"/>
                <w:b w:val="0"/>
                <w:bCs w:val="0"/>
                <w:kern w:val="0"/>
                <w:sz w:val="24"/>
                <w:szCs w:val="24"/>
                <w:lang w:val="en-US" w:eastAsia="zh-CN"/>
              </w:rPr>
              <w:t>平衡分析</w:t>
            </w:r>
          </w:p>
          <w:p w14:paraId="431F0A2C">
            <w:pPr>
              <w:autoSpaceDE w:val="0"/>
              <w:autoSpaceDN w:val="0"/>
              <w:adjustRightInd w:val="0"/>
              <w:snapToGrid w:val="0"/>
              <w:spacing w:line="360" w:lineRule="auto"/>
              <w:ind w:firstLine="480" w:firstLineChars="200"/>
              <w:jc w:val="both"/>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原项目环评已</w:t>
            </w:r>
            <w:r>
              <w:rPr>
                <w:rFonts w:hint="eastAsia"/>
                <w:color w:val="000000"/>
                <w:kern w:val="0"/>
                <w:sz w:val="24"/>
                <w:szCs w:val="24"/>
                <w:lang w:val="en-US" w:eastAsia="zh-CN"/>
              </w:rPr>
              <w:t>于2010年11月4日取</w:t>
            </w:r>
            <w:r>
              <w:rPr>
                <w:rFonts w:hint="eastAsia" w:ascii="宋体" w:hAnsi="宋体" w:cs="宋体"/>
                <w:b w:val="0"/>
                <w:bCs w:val="0"/>
                <w:kern w:val="0"/>
                <w:sz w:val="24"/>
                <w:szCs w:val="24"/>
                <w:lang w:val="en-US" w:eastAsia="zh-CN"/>
              </w:rPr>
              <w:t>得淮北市环境保护局的审批意见，原环评内针对刷漆废气的治理措施为通过排气扇无组织排放，建设单位目前实际治理措施为刷漆晾干间密闭，废气通过负压收集后经过滤棉+二级活性炭处理最终由</w:t>
            </w:r>
            <w:r>
              <w:rPr>
                <w:rFonts w:hint="eastAsia"/>
                <w:color w:val="000000"/>
                <w:kern w:val="0"/>
                <w:sz w:val="24"/>
                <w:szCs w:val="24"/>
                <w:lang w:val="en-US" w:eastAsia="zh-CN"/>
              </w:rPr>
              <w:t>15m</w:t>
            </w:r>
            <w:r>
              <w:rPr>
                <w:rFonts w:hint="eastAsia" w:ascii="宋体" w:hAnsi="宋体" w:cs="宋体"/>
                <w:b w:val="0"/>
                <w:bCs w:val="0"/>
                <w:kern w:val="0"/>
                <w:sz w:val="24"/>
                <w:szCs w:val="24"/>
                <w:lang w:val="en-US" w:eastAsia="zh-CN"/>
              </w:rPr>
              <w:t>高排气筒排放。</w:t>
            </w:r>
          </w:p>
          <w:p w14:paraId="01A71FEA">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ascii="宋体" w:hAnsi="宋体" w:cs="宋体"/>
                <w:b w:val="0"/>
                <w:bCs w:val="0"/>
                <w:kern w:val="0"/>
                <w:sz w:val="24"/>
                <w:szCs w:val="24"/>
                <w:lang w:val="en-US" w:eastAsia="zh-CN"/>
              </w:rPr>
              <w:t>本次技改项目不涉及刷漆晾干工序，技改前后油漆用量及治理措施不变</w:t>
            </w:r>
            <w:r>
              <w:rPr>
                <w:rFonts w:hint="eastAsia"/>
                <w:color w:val="000000"/>
                <w:kern w:val="0"/>
                <w:sz w:val="24"/>
                <w:lang w:val="en-US" w:eastAsia="zh-CN"/>
              </w:rPr>
              <w:t>。建设单位</w:t>
            </w:r>
            <w:r>
              <w:rPr>
                <w:rFonts w:hint="default"/>
                <w:color w:val="000000"/>
                <w:kern w:val="0"/>
                <w:sz w:val="24"/>
                <w:lang w:val="en-US" w:eastAsia="zh-CN"/>
              </w:rPr>
              <w:t>溶剂型油漆调配后用量为</w:t>
            </w:r>
            <w:r>
              <w:rPr>
                <w:rFonts w:hint="eastAsia"/>
                <w:color w:val="000000"/>
                <w:kern w:val="0"/>
                <w:sz w:val="24"/>
                <w:lang w:val="en-US" w:eastAsia="zh-CN"/>
              </w:rPr>
              <w:t>7.</w:t>
            </w:r>
            <w:r>
              <w:rPr>
                <w:rFonts w:hint="default"/>
                <w:color w:val="000000"/>
                <w:kern w:val="0"/>
                <w:sz w:val="24"/>
                <w:lang w:val="en-US" w:eastAsia="zh-CN"/>
              </w:rPr>
              <w:t>4t/a</w:t>
            </w:r>
            <w:r>
              <w:rPr>
                <w:rFonts w:hint="eastAsia"/>
                <w:color w:val="000000"/>
                <w:kern w:val="0"/>
                <w:sz w:val="24"/>
                <w:lang w:val="en-US" w:eastAsia="zh-CN"/>
              </w:rPr>
              <w:t>，其中底漆用量为4.</w:t>
            </w:r>
            <w:r>
              <w:rPr>
                <w:rFonts w:hint="default"/>
                <w:color w:val="000000"/>
                <w:kern w:val="0"/>
                <w:sz w:val="24"/>
                <w:lang w:val="en-US" w:eastAsia="zh-CN"/>
              </w:rPr>
              <w:t>4t/a</w:t>
            </w:r>
            <w:r>
              <w:rPr>
                <w:rFonts w:hint="eastAsia"/>
                <w:color w:val="000000"/>
                <w:kern w:val="0"/>
                <w:sz w:val="24"/>
                <w:lang w:val="en-US" w:eastAsia="zh-CN"/>
              </w:rPr>
              <w:t>，面漆用量为3t/a</w:t>
            </w:r>
            <w:r>
              <w:rPr>
                <w:rFonts w:hint="default"/>
                <w:color w:val="000000"/>
                <w:kern w:val="0"/>
                <w:sz w:val="24"/>
                <w:lang w:val="en-US" w:eastAsia="zh-CN"/>
              </w:rPr>
              <w:t>。调漆工序在密闭喷漆房内进行，按照最不利情况，漆料中有机份全部挥发，</w:t>
            </w:r>
            <w:r>
              <w:rPr>
                <w:rFonts w:hint="eastAsia"/>
                <w:color w:val="000000"/>
                <w:kern w:val="0"/>
                <w:sz w:val="24"/>
                <w:lang w:val="en-US" w:eastAsia="zh-CN"/>
              </w:rPr>
              <w:t>针对手工刷漆</w:t>
            </w:r>
            <w:r>
              <w:rPr>
                <w:rFonts w:hint="default"/>
                <w:color w:val="000000"/>
                <w:kern w:val="0"/>
                <w:sz w:val="24"/>
                <w:lang w:val="en-US" w:eastAsia="zh-CN"/>
              </w:rPr>
              <w:t>本次评价上漆率按照</w:t>
            </w:r>
            <w:r>
              <w:rPr>
                <w:rFonts w:hint="eastAsia"/>
                <w:color w:val="000000"/>
                <w:kern w:val="0"/>
                <w:sz w:val="24"/>
                <w:lang w:val="en-US" w:eastAsia="zh-CN"/>
              </w:rPr>
              <w:t>8</w:t>
            </w:r>
            <w:r>
              <w:rPr>
                <w:rFonts w:hint="default"/>
                <w:color w:val="000000"/>
                <w:kern w:val="0"/>
                <w:sz w:val="24"/>
                <w:lang w:val="en-US" w:eastAsia="zh-CN"/>
              </w:rPr>
              <w:t>0%计，即</w:t>
            </w:r>
            <w:r>
              <w:rPr>
                <w:rFonts w:hint="eastAsia"/>
                <w:color w:val="000000"/>
                <w:kern w:val="0"/>
                <w:sz w:val="24"/>
                <w:lang w:val="en-US" w:eastAsia="zh-CN"/>
              </w:rPr>
              <w:t>2</w:t>
            </w:r>
            <w:r>
              <w:rPr>
                <w:rFonts w:hint="default"/>
                <w:color w:val="000000"/>
                <w:kern w:val="0"/>
                <w:sz w:val="24"/>
                <w:lang w:val="en-US" w:eastAsia="zh-CN"/>
              </w:rPr>
              <w:t>0%漆料</w:t>
            </w:r>
            <w:r>
              <w:rPr>
                <w:rFonts w:hint="eastAsia"/>
                <w:color w:val="000000"/>
                <w:kern w:val="0"/>
                <w:sz w:val="24"/>
                <w:lang w:val="en-US" w:eastAsia="zh-CN"/>
              </w:rPr>
              <w:t>滴落至地面</w:t>
            </w:r>
            <w:r>
              <w:rPr>
                <w:rFonts w:hint="default"/>
                <w:color w:val="000000"/>
                <w:kern w:val="0"/>
                <w:sz w:val="24"/>
                <w:lang w:val="en-US" w:eastAsia="zh-CN"/>
              </w:rPr>
              <w:t>，同时漆料中挥发份</w:t>
            </w:r>
            <w:r>
              <w:rPr>
                <w:rFonts w:hint="eastAsia"/>
                <w:color w:val="000000"/>
                <w:kern w:val="0"/>
                <w:sz w:val="24"/>
                <w:lang w:val="en-US" w:eastAsia="zh-CN"/>
              </w:rPr>
              <w:t>全部挥发</w:t>
            </w:r>
            <w:r>
              <w:rPr>
                <w:rFonts w:hint="default"/>
                <w:color w:val="000000"/>
                <w:kern w:val="0"/>
                <w:sz w:val="24"/>
                <w:lang w:val="en-US" w:eastAsia="zh-CN"/>
              </w:rPr>
              <w:t>。</w:t>
            </w:r>
          </w:p>
          <w:p w14:paraId="121AAD49">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default"/>
                <w:color w:val="000000"/>
                <w:kern w:val="0"/>
                <w:sz w:val="24"/>
                <w:lang w:val="en-US" w:eastAsia="zh-CN"/>
              </w:rPr>
              <w:t>调漆、</w:t>
            </w:r>
            <w:r>
              <w:rPr>
                <w:rFonts w:hint="eastAsia"/>
                <w:color w:val="000000"/>
                <w:kern w:val="0"/>
                <w:sz w:val="24"/>
                <w:lang w:val="en-US" w:eastAsia="zh-CN"/>
              </w:rPr>
              <w:t>刷漆</w:t>
            </w:r>
            <w:r>
              <w:rPr>
                <w:rFonts w:hint="default"/>
                <w:color w:val="000000"/>
                <w:kern w:val="0"/>
                <w:sz w:val="24"/>
                <w:lang w:val="en-US" w:eastAsia="zh-CN"/>
              </w:rPr>
              <w:t>、晾干过程在密闭的</w:t>
            </w:r>
            <w:r>
              <w:rPr>
                <w:rFonts w:hint="eastAsia"/>
                <w:color w:val="000000"/>
                <w:kern w:val="0"/>
                <w:sz w:val="24"/>
                <w:lang w:val="en-US" w:eastAsia="zh-CN"/>
              </w:rPr>
              <w:t>刷漆</w:t>
            </w:r>
            <w:r>
              <w:rPr>
                <w:rFonts w:hint="default"/>
                <w:color w:val="000000"/>
                <w:kern w:val="0"/>
                <w:sz w:val="24"/>
                <w:lang w:val="en-US" w:eastAsia="zh-CN"/>
              </w:rPr>
              <w:t>晾干房中进行，</w:t>
            </w:r>
            <w:r>
              <w:rPr>
                <w:rFonts w:hint="eastAsia"/>
                <w:color w:val="000000"/>
                <w:kern w:val="0"/>
                <w:sz w:val="24"/>
                <w:lang w:val="en-US" w:eastAsia="zh-CN"/>
              </w:rPr>
              <w:t>有机废气在密闭的刷漆晾干房内负压收集，</w:t>
            </w:r>
            <w:r>
              <w:rPr>
                <w:rFonts w:hint="default"/>
                <w:color w:val="000000"/>
                <w:kern w:val="0"/>
                <w:sz w:val="24"/>
                <w:lang w:val="en-US" w:eastAsia="zh-CN"/>
              </w:rPr>
              <w:t>经过过滤棉</w:t>
            </w:r>
            <w:r>
              <w:rPr>
                <w:rFonts w:hint="eastAsia"/>
                <w:color w:val="000000"/>
                <w:kern w:val="0"/>
                <w:sz w:val="24"/>
                <w:lang w:val="en-US" w:eastAsia="zh-CN"/>
              </w:rPr>
              <w:t>+二级</w:t>
            </w:r>
            <w:r>
              <w:rPr>
                <w:rFonts w:hint="default"/>
                <w:color w:val="000000"/>
                <w:kern w:val="0"/>
                <w:sz w:val="24"/>
                <w:lang w:val="en-US" w:eastAsia="zh-CN"/>
              </w:rPr>
              <w:t>活性炭吸附处理后通过15米高排气筒排放，有机废气</w:t>
            </w:r>
            <w:r>
              <w:rPr>
                <w:rFonts w:hint="eastAsia"/>
                <w:color w:val="000000"/>
                <w:kern w:val="0"/>
                <w:sz w:val="24"/>
                <w:lang w:val="en-US" w:eastAsia="zh-CN"/>
              </w:rPr>
              <w:t>的收集效率取98%，</w:t>
            </w:r>
            <w:r>
              <w:rPr>
                <w:rFonts w:hint="default"/>
                <w:color w:val="000000"/>
                <w:kern w:val="0"/>
                <w:sz w:val="24"/>
                <w:lang w:val="en-US" w:eastAsia="zh-CN"/>
              </w:rPr>
              <w:t>治理设施处理效率</w:t>
            </w:r>
            <w:r>
              <w:rPr>
                <w:rFonts w:hint="eastAsia"/>
                <w:color w:val="000000"/>
                <w:kern w:val="0"/>
                <w:sz w:val="24"/>
                <w:lang w:val="en-US" w:eastAsia="zh-CN"/>
              </w:rPr>
              <w:t>取</w:t>
            </w:r>
            <w:r>
              <w:rPr>
                <w:rFonts w:hint="default"/>
                <w:color w:val="000000"/>
                <w:kern w:val="0"/>
                <w:sz w:val="24"/>
                <w:lang w:val="en-US" w:eastAsia="zh-CN"/>
              </w:rPr>
              <w:t>90%。</w:t>
            </w:r>
          </w:p>
          <w:p w14:paraId="6497123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default"/>
                <w:color w:val="000000"/>
                <w:kern w:val="0"/>
                <w:sz w:val="24"/>
                <w:lang w:val="en-US" w:eastAsia="zh-CN"/>
              </w:rPr>
              <w:t>本项目漆料平衡</w:t>
            </w:r>
            <w:r>
              <w:rPr>
                <w:rFonts w:hint="eastAsia"/>
                <w:color w:val="000000"/>
                <w:kern w:val="0"/>
                <w:sz w:val="24"/>
                <w:lang w:val="en-US" w:eastAsia="zh-CN"/>
              </w:rPr>
              <w:t>情况</w:t>
            </w:r>
            <w:r>
              <w:rPr>
                <w:rFonts w:hint="default"/>
                <w:color w:val="000000"/>
                <w:kern w:val="0"/>
                <w:sz w:val="24"/>
                <w:lang w:val="en-US" w:eastAsia="zh-CN"/>
              </w:rPr>
              <w:t>详见下表</w:t>
            </w:r>
            <w:r>
              <w:rPr>
                <w:rFonts w:hint="eastAsia"/>
                <w:color w:val="000000"/>
                <w:kern w:val="0"/>
                <w:sz w:val="24"/>
                <w:lang w:val="en-US" w:eastAsia="zh-CN"/>
              </w:rPr>
              <w:t>及下图。</w:t>
            </w:r>
          </w:p>
          <w:p w14:paraId="41E0D32E">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ascii="宋体" w:hAnsi="宋体" w:cs="宋体"/>
                <w:b w:val="0"/>
                <w:bCs w:val="0"/>
                <w:kern w:val="0"/>
                <w:sz w:val="24"/>
                <w:szCs w:val="24"/>
                <w:lang w:val="en-US" w:eastAsia="zh-CN"/>
              </w:rPr>
            </w:pPr>
            <w:r>
              <w:rPr>
                <w:rFonts w:hint="default" w:ascii="宋体" w:hAnsi="宋体" w:eastAsia="宋体" w:cs="宋体"/>
                <w:b/>
                <w:bCs/>
                <w:sz w:val="22"/>
                <w:szCs w:val="22"/>
                <w:lang w:val="en-US" w:eastAsia="zh-CN"/>
              </w:rPr>
              <w:t>表</w:t>
            </w:r>
            <w:r>
              <w:rPr>
                <w:rFonts w:hint="eastAsia" w:cs="Times New Roman"/>
                <w:b/>
                <w:bCs/>
                <w:sz w:val="22"/>
                <w:szCs w:val="22"/>
                <w:lang w:val="en-US" w:eastAsia="zh-CN"/>
              </w:rPr>
              <w:t>2-8</w:t>
            </w:r>
            <w:r>
              <w:rPr>
                <w:rFonts w:hint="default" w:ascii="宋体" w:hAnsi="宋体" w:eastAsia="宋体" w:cs="宋体"/>
                <w:b/>
                <w:bCs/>
                <w:sz w:val="22"/>
                <w:szCs w:val="22"/>
                <w:lang w:val="en-US" w:eastAsia="zh-CN"/>
              </w:rPr>
              <w:t xml:space="preserve">  </w:t>
            </w:r>
            <w:r>
              <w:rPr>
                <w:rFonts w:hint="eastAsia" w:ascii="宋体" w:hAnsi="宋体" w:eastAsia="宋体" w:cs="宋体"/>
                <w:b/>
                <w:bCs/>
                <w:sz w:val="22"/>
                <w:szCs w:val="22"/>
                <w:lang w:val="en-US" w:eastAsia="zh-CN"/>
              </w:rPr>
              <w:t>项目漆料平衡</w:t>
            </w:r>
            <w:r>
              <w:rPr>
                <w:rFonts w:hint="eastAsia" w:ascii="宋体" w:hAnsi="宋体" w:cs="宋体"/>
                <w:b/>
                <w:bCs/>
                <w:sz w:val="22"/>
                <w:szCs w:val="22"/>
                <w:lang w:val="en-US" w:eastAsia="zh-CN"/>
              </w:rPr>
              <w:t>一览</w:t>
            </w:r>
            <w:r>
              <w:rPr>
                <w:rFonts w:hint="eastAsia" w:ascii="宋体" w:hAnsi="宋体" w:eastAsia="宋体" w:cs="宋体"/>
                <w:b/>
                <w:bCs/>
                <w:sz w:val="22"/>
                <w:szCs w:val="22"/>
                <w:lang w:val="en-US" w:eastAsia="zh-CN"/>
              </w:rPr>
              <w:t>表</w:t>
            </w:r>
          </w:p>
          <w:tbl>
            <w:tblPr>
              <w:tblStyle w:val="15"/>
              <w:tblW w:w="48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871"/>
              <w:gridCol w:w="1068"/>
              <w:gridCol w:w="1503"/>
              <w:gridCol w:w="945"/>
              <w:gridCol w:w="948"/>
              <w:gridCol w:w="1224"/>
              <w:gridCol w:w="1496"/>
            </w:tblGrid>
            <w:tr w14:paraId="18D5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2136" w:type="pct"/>
                  <w:gridSpan w:val="3"/>
                  <w:shd w:val="clear" w:color="auto" w:fill="auto"/>
                  <w:noWrap w:val="0"/>
                  <w:vAlign w:val="center"/>
                </w:tcPr>
                <w:p w14:paraId="1FACD3C6">
                  <w:pPr>
                    <w:bidi w:val="0"/>
                    <w:jc w:val="center"/>
                    <w:rPr>
                      <w:rFonts w:hint="default"/>
                      <w:b/>
                      <w:bCs/>
                      <w:sz w:val="22"/>
                      <w:szCs w:val="22"/>
                      <w:lang w:val="en-US" w:eastAsia="zh-CN"/>
                    </w:rPr>
                  </w:pPr>
                  <w:r>
                    <w:rPr>
                      <w:rFonts w:hint="eastAsia"/>
                      <w:b/>
                      <w:bCs/>
                      <w:sz w:val="22"/>
                      <w:szCs w:val="22"/>
                      <w:lang w:val="en-US" w:eastAsia="zh-CN"/>
                    </w:rPr>
                    <w:t>投入情况</w:t>
                  </w:r>
                </w:p>
              </w:tc>
              <w:tc>
                <w:tcPr>
                  <w:tcW w:w="2863" w:type="pct"/>
                  <w:gridSpan w:val="4"/>
                  <w:shd w:val="clear" w:color="auto" w:fill="auto"/>
                  <w:noWrap w:val="0"/>
                  <w:vAlign w:val="center"/>
                </w:tcPr>
                <w:p w14:paraId="05C8FB1A">
                  <w:pPr>
                    <w:bidi w:val="0"/>
                    <w:jc w:val="center"/>
                    <w:rPr>
                      <w:rFonts w:hint="eastAsia"/>
                      <w:b/>
                      <w:bCs/>
                      <w:sz w:val="22"/>
                      <w:szCs w:val="22"/>
                      <w:lang w:val="en-US" w:eastAsia="zh-CN"/>
                    </w:rPr>
                  </w:pPr>
                  <w:r>
                    <w:rPr>
                      <w:rFonts w:hint="eastAsia"/>
                      <w:b/>
                      <w:bCs/>
                      <w:sz w:val="22"/>
                      <w:szCs w:val="22"/>
                      <w:lang w:val="en-US" w:eastAsia="zh-CN"/>
                    </w:rPr>
                    <w:t>产出情况</w:t>
                  </w:r>
                </w:p>
              </w:tc>
            </w:tr>
            <w:tr w14:paraId="7A08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203" w:type="pct"/>
                  <w:gridSpan w:val="2"/>
                  <w:shd w:val="clear" w:color="auto" w:fill="auto"/>
                  <w:noWrap w:val="0"/>
                  <w:vAlign w:val="center"/>
                </w:tcPr>
                <w:p w14:paraId="69F50B7A">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成分明细</w:t>
                  </w:r>
                </w:p>
              </w:tc>
              <w:tc>
                <w:tcPr>
                  <w:tcW w:w="932" w:type="pct"/>
                  <w:shd w:val="clear" w:color="auto" w:fill="auto"/>
                  <w:noWrap w:val="0"/>
                  <w:vAlign w:val="center"/>
                </w:tcPr>
                <w:p w14:paraId="4380640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lang w:val="en-US" w:eastAsia="zh-CN"/>
                    </w:rPr>
                  </w:pPr>
                  <w:r>
                    <w:rPr>
                      <w:rFonts w:hint="eastAsia" w:cs="Times New Roman"/>
                      <w:b/>
                      <w:bCs/>
                      <w:i w:val="0"/>
                      <w:iCs w:val="0"/>
                      <w:color w:val="000000"/>
                      <w:sz w:val="22"/>
                      <w:szCs w:val="22"/>
                      <w:u w:val="none"/>
                      <w:lang w:val="en-US" w:eastAsia="zh-CN"/>
                    </w:rPr>
                    <w:t>质量（t/a）</w:t>
                  </w:r>
                </w:p>
              </w:tc>
              <w:tc>
                <w:tcPr>
                  <w:tcW w:w="1934" w:type="pct"/>
                  <w:gridSpan w:val="3"/>
                  <w:shd w:val="clear" w:color="auto" w:fill="auto"/>
                  <w:noWrap w:val="0"/>
                  <w:vAlign w:val="center"/>
                </w:tcPr>
                <w:p w14:paraId="4CF905F1">
                  <w:pPr>
                    <w:keepNext w:val="0"/>
                    <w:keepLines w:val="0"/>
                    <w:widowControl/>
                    <w:suppressLineNumbers w:val="0"/>
                    <w:jc w:val="center"/>
                    <w:textAlignment w:val="center"/>
                    <w:rPr>
                      <w:rFonts w:hint="eastAsia" w:cs="Times New Roman"/>
                      <w:b/>
                      <w:bCs/>
                      <w:i w:val="0"/>
                      <w:iCs w:val="0"/>
                      <w:color w:val="000000"/>
                      <w:sz w:val="22"/>
                      <w:szCs w:val="22"/>
                      <w:u w:val="none"/>
                      <w:lang w:val="en-US" w:eastAsia="zh-CN"/>
                    </w:rPr>
                  </w:pPr>
                  <w:r>
                    <w:rPr>
                      <w:rFonts w:hint="eastAsia" w:cs="Times New Roman"/>
                      <w:b/>
                      <w:bCs/>
                      <w:i w:val="0"/>
                      <w:iCs w:val="0"/>
                      <w:color w:val="000000"/>
                      <w:sz w:val="22"/>
                      <w:szCs w:val="22"/>
                      <w:u w:val="none"/>
                      <w:lang w:val="en-US" w:eastAsia="zh-CN"/>
                    </w:rPr>
                    <w:t>去向</w:t>
                  </w:r>
                </w:p>
              </w:tc>
              <w:tc>
                <w:tcPr>
                  <w:tcW w:w="928" w:type="pct"/>
                  <w:shd w:val="clear" w:color="auto" w:fill="auto"/>
                  <w:noWrap w:val="0"/>
                  <w:vAlign w:val="center"/>
                </w:tcPr>
                <w:p w14:paraId="5B160B86">
                  <w:pPr>
                    <w:keepNext w:val="0"/>
                    <w:keepLines w:val="0"/>
                    <w:widowControl/>
                    <w:suppressLineNumbers w:val="0"/>
                    <w:jc w:val="center"/>
                    <w:textAlignment w:val="center"/>
                    <w:rPr>
                      <w:rFonts w:hint="eastAsia" w:cs="Times New Roman"/>
                      <w:b/>
                      <w:bCs/>
                      <w:i w:val="0"/>
                      <w:iCs w:val="0"/>
                      <w:color w:val="000000"/>
                      <w:sz w:val="22"/>
                      <w:szCs w:val="22"/>
                      <w:u w:val="none"/>
                      <w:lang w:val="en-US" w:eastAsia="zh-CN"/>
                    </w:rPr>
                  </w:pPr>
                  <w:r>
                    <w:rPr>
                      <w:rFonts w:hint="eastAsia" w:cs="Times New Roman"/>
                      <w:b/>
                      <w:bCs/>
                      <w:i w:val="0"/>
                      <w:iCs w:val="0"/>
                      <w:color w:val="000000"/>
                      <w:sz w:val="22"/>
                      <w:szCs w:val="22"/>
                      <w:u w:val="none"/>
                      <w:lang w:val="en-US" w:eastAsia="zh-CN"/>
                    </w:rPr>
                    <w:t>质量（t/a）</w:t>
                  </w:r>
                </w:p>
              </w:tc>
            </w:tr>
            <w:tr w14:paraId="6600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203" w:type="pct"/>
                  <w:gridSpan w:val="2"/>
                  <w:shd w:val="clear" w:color="auto" w:fill="auto"/>
                  <w:noWrap w:val="0"/>
                  <w:vAlign w:val="center"/>
                </w:tcPr>
                <w:p w14:paraId="59C0DA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固体份</w:t>
                  </w:r>
                </w:p>
              </w:tc>
              <w:tc>
                <w:tcPr>
                  <w:tcW w:w="932" w:type="pct"/>
                  <w:shd w:val="clear" w:color="auto" w:fill="auto"/>
                  <w:noWrap w:val="0"/>
                  <w:vAlign w:val="center"/>
                </w:tcPr>
                <w:p w14:paraId="790A7A9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5.98</w:t>
                  </w:r>
                </w:p>
              </w:tc>
              <w:tc>
                <w:tcPr>
                  <w:tcW w:w="1934" w:type="pct"/>
                  <w:gridSpan w:val="3"/>
                  <w:shd w:val="clear" w:color="auto" w:fill="auto"/>
                  <w:noWrap w:val="0"/>
                  <w:vAlign w:val="center"/>
                </w:tcPr>
                <w:p w14:paraId="6B30E6B5">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cs="宋体"/>
                      <w:i w:val="0"/>
                      <w:iCs w:val="0"/>
                      <w:color w:val="000000"/>
                      <w:sz w:val="22"/>
                      <w:szCs w:val="22"/>
                      <w:u w:val="none"/>
                      <w:lang w:val="en-US" w:eastAsia="zh-CN"/>
                    </w:rPr>
                    <w:t>进入产品（固体份）</w:t>
                  </w:r>
                </w:p>
              </w:tc>
              <w:tc>
                <w:tcPr>
                  <w:tcW w:w="928" w:type="pct"/>
                  <w:shd w:val="clear" w:color="auto" w:fill="auto"/>
                  <w:noWrap w:val="0"/>
                  <w:vAlign w:val="center"/>
                </w:tcPr>
                <w:p w14:paraId="72C7DEFB">
                  <w:pPr>
                    <w:jc w:val="center"/>
                    <w:rPr>
                      <w:rFonts w:hint="eastAsia"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4.784</w:t>
                  </w:r>
                </w:p>
              </w:tc>
            </w:tr>
            <w:tr w14:paraId="72F4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540" w:type="pct"/>
                  <w:vMerge w:val="restart"/>
                  <w:shd w:val="clear" w:color="auto" w:fill="auto"/>
                  <w:noWrap w:val="0"/>
                  <w:vAlign w:val="center"/>
                </w:tcPr>
                <w:p w14:paraId="67E416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VOCs</w:t>
                  </w:r>
                </w:p>
              </w:tc>
              <w:tc>
                <w:tcPr>
                  <w:tcW w:w="662" w:type="pct"/>
                  <w:vMerge w:val="restart"/>
                  <w:shd w:val="clear" w:color="auto" w:fill="auto"/>
                  <w:noWrap w:val="0"/>
                  <w:vAlign w:val="center"/>
                </w:tcPr>
                <w:p w14:paraId="3E0025A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二甲苯</w:t>
                  </w:r>
                </w:p>
              </w:tc>
              <w:tc>
                <w:tcPr>
                  <w:tcW w:w="932" w:type="pct"/>
                  <w:vMerge w:val="restart"/>
                  <w:shd w:val="clear" w:color="auto" w:fill="auto"/>
                  <w:noWrap w:val="0"/>
                  <w:vAlign w:val="center"/>
                </w:tcPr>
                <w:p w14:paraId="767B636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cs="Times New Roman"/>
                      <w:i w:val="0"/>
                      <w:iCs w:val="0"/>
                      <w:color w:val="000000"/>
                      <w:sz w:val="22"/>
                      <w:szCs w:val="22"/>
                      <w:u w:val="none"/>
                      <w:lang w:val="en-US" w:eastAsia="zh-CN"/>
                    </w:rPr>
                    <w:t>0.68</w:t>
                  </w:r>
                </w:p>
              </w:tc>
              <w:tc>
                <w:tcPr>
                  <w:tcW w:w="586" w:type="pct"/>
                  <w:vMerge w:val="restart"/>
                  <w:shd w:val="clear" w:color="auto" w:fill="auto"/>
                  <w:noWrap w:val="0"/>
                  <w:vAlign w:val="center"/>
                </w:tcPr>
                <w:p w14:paraId="59F48ADD">
                  <w:pPr>
                    <w:jc w:val="center"/>
                    <w:rPr>
                      <w:rFonts w:hint="default" w:ascii="宋体" w:hAnsi="宋体" w:eastAsia="宋体" w:cs="宋体"/>
                      <w:i w:val="0"/>
                      <w:iCs w:val="0"/>
                      <w:color w:val="000000"/>
                      <w:sz w:val="22"/>
                      <w:szCs w:val="22"/>
                      <w:u w:val="none"/>
                      <w:lang w:val="en-US" w:eastAsia="zh-CN"/>
                    </w:rPr>
                  </w:pPr>
                  <w:r>
                    <w:rPr>
                      <w:rFonts w:hint="eastAsia" w:cs="Times New Roman"/>
                      <w:i w:val="0"/>
                      <w:iCs w:val="0"/>
                      <w:color w:val="000000"/>
                      <w:kern w:val="0"/>
                      <w:sz w:val="22"/>
                      <w:szCs w:val="22"/>
                      <w:u w:val="none"/>
                      <w:lang w:val="en-US" w:eastAsia="zh-CN" w:bidi="ar"/>
                    </w:rPr>
                    <w:t>VOCs</w:t>
                  </w:r>
                </w:p>
              </w:tc>
              <w:tc>
                <w:tcPr>
                  <w:tcW w:w="588" w:type="pct"/>
                  <w:vMerge w:val="restart"/>
                  <w:shd w:val="clear" w:color="auto" w:fill="auto"/>
                  <w:noWrap w:val="0"/>
                  <w:vAlign w:val="center"/>
                </w:tcPr>
                <w:p w14:paraId="222EAA8F">
                  <w:pPr>
                    <w:jc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无组织排放</w:t>
                  </w:r>
                </w:p>
              </w:tc>
              <w:tc>
                <w:tcPr>
                  <w:tcW w:w="759" w:type="pct"/>
                  <w:shd w:val="clear" w:color="auto" w:fill="auto"/>
                  <w:noWrap w:val="0"/>
                  <w:vAlign w:val="center"/>
                </w:tcPr>
                <w:p w14:paraId="441FF56C">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二甲苯</w:t>
                  </w:r>
                </w:p>
              </w:tc>
              <w:tc>
                <w:tcPr>
                  <w:tcW w:w="928" w:type="pct"/>
                  <w:shd w:val="clear" w:color="auto" w:fill="auto"/>
                  <w:noWrap w:val="0"/>
                  <w:vAlign w:val="center"/>
                </w:tcPr>
                <w:p w14:paraId="2DC72778">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0.014</w:t>
                  </w:r>
                </w:p>
              </w:tc>
            </w:tr>
            <w:tr w14:paraId="2D7A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540" w:type="pct"/>
                  <w:vMerge w:val="continue"/>
                  <w:shd w:val="clear" w:color="auto" w:fill="auto"/>
                  <w:noWrap w:val="0"/>
                  <w:vAlign w:val="center"/>
                </w:tcPr>
                <w:p w14:paraId="0B8C9D6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662" w:type="pct"/>
                  <w:vMerge w:val="continue"/>
                  <w:shd w:val="clear" w:color="auto" w:fill="auto"/>
                  <w:noWrap w:val="0"/>
                  <w:vAlign w:val="center"/>
                </w:tcPr>
                <w:p w14:paraId="40D69C28">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c>
                <w:tcPr>
                  <w:tcW w:w="932" w:type="pct"/>
                  <w:vMerge w:val="continue"/>
                  <w:shd w:val="clear" w:color="auto" w:fill="auto"/>
                  <w:noWrap w:val="0"/>
                  <w:vAlign w:val="center"/>
                </w:tcPr>
                <w:p w14:paraId="19E77D4C">
                  <w:pPr>
                    <w:keepNext w:val="0"/>
                    <w:keepLines w:val="0"/>
                    <w:widowControl/>
                    <w:suppressLineNumbers w:val="0"/>
                    <w:jc w:val="center"/>
                    <w:textAlignment w:val="center"/>
                    <w:rPr>
                      <w:rFonts w:hint="eastAsia" w:cs="Times New Roman"/>
                      <w:i w:val="0"/>
                      <w:iCs w:val="0"/>
                      <w:color w:val="000000"/>
                      <w:sz w:val="22"/>
                      <w:szCs w:val="22"/>
                      <w:u w:val="none"/>
                      <w:lang w:val="en-US" w:eastAsia="zh-CN"/>
                    </w:rPr>
                  </w:pPr>
                </w:p>
              </w:tc>
              <w:tc>
                <w:tcPr>
                  <w:tcW w:w="586" w:type="pct"/>
                  <w:vMerge w:val="continue"/>
                  <w:shd w:val="clear" w:color="auto" w:fill="auto"/>
                  <w:noWrap w:val="0"/>
                  <w:vAlign w:val="center"/>
                </w:tcPr>
                <w:p w14:paraId="2ADB4282">
                  <w:pPr>
                    <w:jc w:val="center"/>
                    <w:rPr>
                      <w:rFonts w:hint="eastAsia" w:ascii="宋体" w:hAnsi="宋体" w:eastAsia="宋体" w:cs="宋体"/>
                      <w:i w:val="0"/>
                      <w:iCs w:val="0"/>
                      <w:color w:val="000000"/>
                      <w:sz w:val="22"/>
                      <w:szCs w:val="22"/>
                      <w:u w:val="none"/>
                      <w:lang w:val="en-US" w:eastAsia="zh-CN"/>
                    </w:rPr>
                  </w:pPr>
                </w:p>
              </w:tc>
              <w:tc>
                <w:tcPr>
                  <w:tcW w:w="588" w:type="pct"/>
                  <w:vMerge w:val="continue"/>
                  <w:shd w:val="clear" w:color="auto" w:fill="auto"/>
                  <w:noWrap w:val="0"/>
                  <w:vAlign w:val="center"/>
                </w:tcPr>
                <w:p w14:paraId="0604A67A">
                  <w:pPr>
                    <w:jc w:val="center"/>
                    <w:rPr>
                      <w:rFonts w:hint="eastAsia" w:ascii="宋体" w:hAnsi="宋体" w:eastAsia="宋体" w:cs="宋体"/>
                      <w:i w:val="0"/>
                      <w:iCs w:val="0"/>
                      <w:color w:val="000000"/>
                      <w:sz w:val="22"/>
                      <w:szCs w:val="22"/>
                      <w:u w:val="none"/>
                      <w:lang w:val="en-US" w:eastAsia="zh-CN"/>
                    </w:rPr>
                  </w:pPr>
                </w:p>
              </w:tc>
              <w:tc>
                <w:tcPr>
                  <w:tcW w:w="759" w:type="pct"/>
                  <w:shd w:val="clear" w:color="auto" w:fill="auto"/>
                  <w:noWrap w:val="0"/>
                  <w:vAlign w:val="center"/>
                </w:tcPr>
                <w:p w14:paraId="3EB637E8">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其它</w:t>
                  </w:r>
                </w:p>
              </w:tc>
              <w:tc>
                <w:tcPr>
                  <w:tcW w:w="928" w:type="pct"/>
                  <w:shd w:val="clear" w:color="auto" w:fill="auto"/>
                  <w:noWrap w:val="0"/>
                  <w:vAlign w:val="center"/>
                </w:tcPr>
                <w:p w14:paraId="50090768">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0.014</w:t>
                  </w:r>
                </w:p>
              </w:tc>
            </w:tr>
            <w:tr w14:paraId="6F9D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540" w:type="pct"/>
                  <w:vMerge w:val="continue"/>
                  <w:shd w:val="clear" w:color="auto" w:fill="auto"/>
                  <w:noWrap w:val="0"/>
                  <w:vAlign w:val="center"/>
                </w:tcPr>
                <w:p w14:paraId="28051DC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662" w:type="pct"/>
                  <w:vMerge w:val="continue"/>
                  <w:shd w:val="clear" w:color="auto" w:fill="auto"/>
                  <w:noWrap w:val="0"/>
                  <w:vAlign w:val="center"/>
                </w:tcPr>
                <w:p w14:paraId="56C7E65C">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c>
                <w:tcPr>
                  <w:tcW w:w="932" w:type="pct"/>
                  <w:vMerge w:val="continue"/>
                  <w:shd w:val="clear" w:color="auto" w:fill="auto"/>
                  <w:noWrap w:val="0"/>
                  <w:vAlign w:val="center"/>
                </w:tcPr>
                <w:p w14:paraId="23062D61">
                  <w:pPr>
                    <w:keepNext w:val="0"/>
                    <w:keepLines w:val="0"/>
                    <w:widowControl/>
                    <w:suppressLineNumbers w:val="0"/>
                    <w:jc w:val="center"/>
                    <w:textAlignment w:val="center"/>
                    <w:rPr>
                      <w:rFonts w:hint="eastAsia" w:cs="Times New Roman"/>
                      <w:i w:val="0"/>
                      <w:iCs w:val="0"/>
                      <w:color w:val="000000"/>
                      <w:sz w:val="22"/>
                      <w:szCs w:val="22"/>
                      <w:u w:val="none"/>
                      <w:lang w:val="en-US" w:eastAsia="zh-CN"/>
                    </w:rPr>
                  </w:pPr>
                </w:p>
              </w:tc>
              <w:tc>
                <w:tcPr>
                  <w:tcW w:w="586" w:type="pct"/>
                  <w:vMerge w:val="continue"/>
                  <w:shd w:val="clear" w:color="auto" w:fill="auto"/>
                  <w:noWrap w:val="0"/>
                  <w:vAlign w:val="center"/>
                </w:tcPr>
                <w:p w14:paraId="0E525EE8">
                  <w:pPr>
                    <w:jc w:val="center"/>
                    <w:rPr>
                      <w:rFonts w:hint="eastAsia" w:ascii="宋体" w:hAnsi="宋体" w:eastAsia="宋体" w:cs="宋体"/>
                      <w:i w:val="0"/>
                      <w:iCs w:val="0"/>
                      <w:color w:val="000000"/>
                      <w:sz w:val="22"/>
                      <w:szCs w:val="22"/>
                      <w:u w:val="none"/>
                      <w:lang w:val="en-US" w:eastAsia="zh-CN"/>
                    </w:rPr>
                  </w:pPr>
                </w:p>
              </w:tc>
              <w:tc>
                <w:tcPr>
                  <w:tcW w:w="588" w:type="pct"/>
                  <w:vMerge w:val="restart"/>
                  <w:shd w:val="clear" w:color="auto" w:fill="auto"/>
                  <w:noWrap w:val="0"/>
                  <w:vAlign w:val="center"/>
                </w:tcPr>
                <w:p w14:paraId="5074AF09">
                  <w:pPr>
                    <w:jc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进入活性炭</w:t>
                  </w:r>
                </w:p>
              </w:tc>
              <w:tc>
                <w:tcPr>
                  <w:tcW w:w="759" w:type="pct"/>
                  <w:shd w:val="clear" w:color="auto" w:fill="auto"/>
                  <w:noWrap w:val="0"/>
                  <w:vAlign w:val="center"/>
                </w:tcPr>
                <w:p w14:paraId="09E09FAF">
                  <w:pPr>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二甲苯</w:t>
                  </w:r>
                </w:p>
              </w:tc>
              <w:tc>
                <w:tcPr>
                  <w:tcW w:w="928" w:type="pct"/>
                  <w:shd w:val="clear" w:color="auto" w:fill="auto"/>
                  <w:noWrap w:val="0"/>
                  <w:vAlign w:val="center"/>
                </w:tcPr>
                <w:p w14:paraId="051ACB48">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0.6</w:t>
                  </w:r>
                </w:p>
              </w:tc>
            </w:tr>
            <w:tr w14:paraId="2B1B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540" w:type="pct"/>
                  <w:vMerge w:val="continue"/>
                  <w:shd w:val="clear" w:color="auto" w:fill="auto"/>
                  <w:noWrap w:val="0"/>
                  <w:vAlign w:val="center"/>
                </w:tcPr>
                <w:p w14:paraId="378009F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662" w:type="pct"/>
                  <w:vMerge w:val="restart"/>
                  <w:shd w:val="clear" w:color="auto" w:fill="auto"/>
                  <w:noWrap w:val="0"/>
                  <w:vAlign w:val="center"/>
                </w:tcPr>
                <w:p w14:paraId="53FE28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其它</w:t>
                  </w:r>
                </w:p>
              </w:tc>
              <w:tc>
                <w:tcPr>
                  <w:tcW w:w="932" w:type="pct"/>
                  <w:vMerge w:val="restart"/>
                  <w:shd w:val="clear" w:color="auto" w:fill="auto"/>
                  <w:noWrap w:val="0"/>
                  <w:vAlign w:val="center"/>
                </w:tcPr>
                <w:p w14:paraId="13072D5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cs="Times New Roman"/>
                      <w:i w:val="0"/>
                      <w:iCs w:val="0"/>
                      <w:color w:val="000000"/>
                      <w:sz w:val="22"/>
                      <w:szCs w:val="22"/>
                      <w:u w:val="none"/>
                      <w:lang w:val="en-US" w:eastAsia="zh-CN"/>
                    </w:rPr>
                    <w:t>0.74</w:t>
                  </w:r>
                </w:p>
              </w:tc>
              <w:tc>
                <w:tcPr>
                  <w:tcW w:w="586" w:type="pct"/>
                  <w:vMerge w:val="continue"/>
                  <w:shd w:val="clear" w:color="auto" w:fill="auto"/>
                  <w:noWrap w:val="0"/>
                  <w:vAlign w:val="center"/>
                </w:tcPr>
                <w:p w14:paraId="73AE6E67">
                  <w:pPr>
                    <w:jc w:val="center"/>
                    <w:rPr>
                      <w:rFonts w:hint="eastAsia" w:ascii="宋体" w:hAnsi="宋体" w:eastAsia="宋体" w:cs="宋体"/>
                      <w:i w:val="0"/>
                      <w:iCs w:val="0"/>
                      <w:color w:val="000000"/>
                      <w:sz w:val="22"/>
                      <w:szCs w:val="22"/>
                      <w:u w:val="none"/>
                      <w:lang w:val="en-US" w:eastAsia="zh-CN"/>
                    </w:rPr>
                  </w:pPr>
                </w:p>
              </w:tc>
              <w:tc>
                <w:tcPr>
                  <w:tcW w:w="588" w:type="pct"/>
                  <w:vMerge w:val="continue"/>
                  <w:shd w:val="clear" w:color="auto" w:fill="auto"/>
                  <w:noWrap w:val="0"/>
                  <w:vAlign w:val="center"/>
                </w:tcPr>
                <w:p w14:paraId="474FA678">
                  <w:pPr>
                    <w:jc w:val="center"/>
                    <w:rPr>
                      <w:rFonts w:hint="eastAsia" w:ascii="宋体" w:hAnsi="宋体" w:cs="宋体"/>
                      <w:i w:val="0"/>
                      <w:iCs w:val="0"/>
                      <w:color w:val="000000"/>
                      <w:sz w:val="22"/>
                      <w:szCs w:val="22"/>
                      <w:u w:val="none"/>
                      <w:lang w:val="en-US" w:eastAsia="zh-CN"/>
                    </w:rPr>
                  </w:pPr>
                </w:p>
              </w:tc>
              <w:tc>
                <w:tcPr>
                  <w:tcW w:w="759" w:type="pct"/>
                  <w:shd w:val="clear" w:color="auto" w:fill="auto"/>
                  <w:noWrap w:val="0"/>
                  <w:vAlign w:val="center"/>
                </w:tcPr>
                <w:p w14:paraId="67C5AAB5">
                  <w:pPr>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其它</w:t>
                  </w:r>
                </w:p>
              </w:tc>
              <w:tc>
                <w:tcPr>
                  <w:tcW w:w="928" w:type="pct"/>
                  <w:shd w:val="clear" w:color="auto" w:fill="auto"/>
                  <w:noWrap w:val="0"/>
                  <w:vAlign w:val="center"/>
                </w:tcPr>
                <w:p w14:paraId="01C2DB6F">
                  <w:pPr>
                    <w:jc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0.652</w:t>
                  </w:r>
                </w:p>
              </w:tc>
            </w:tr>
            <w:tr w14:paraId="182A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540" w:type="pct"/>
                  <w:vMerge w:val="continue"/>
                  <w:shd w:val="clear" w:color="auto" w:fill="auto"/>
                  <w:noWrap w:val="0"/>
                  <w:vAlign w:val="center"/>
                </w:tcPr>
                <w:p w14:paraId="68898F9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662" w:type="pct"/>
                  <w:vMerge w:val="continue"/>
                  <w:shd w:val="clear" w:color="auto" w:fill="auto"/>
                  <w:noWrap w:val="0"/>
                  <w:vAlign w:val="center"/>
                </w:tcPr>
                <w:p w14:paraId="5D36A1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32" w:type="pct"/>
                  <w:vMerge w:val="continue"/>
                  <w:shd w:val="clear" w:color="auto" w:fill="auto"/>
                  <w:noWrap w:val="0"/>
                  <w:vAlign w:val="center"/>
                </w:tcPr>
                <w:p w14:paraId="7C657F4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586" w:type="pct"/>
                  <w:vMerge w:val="continue"/>
                  <w:shd w:val="clear" w:color="auto" w:fill="auto"/>
                  <w:noWrap w:val="0"/>
                  <w:vAlign w:val="center"/>
                </w:tcPr>
                <w:p w14:paraId="4809468A">
                  <w:pPr>
                    <w:jc w:val="center"/>
                    <w:rPr>
                      <w:rFonts w:hint="eastAsia" w:ascii="宋体" w:hAnsi="宋体" w:eastAsia="宋体" w:cs="宋体"/>
                      <w:i w:val="0"/>
                      <w:iCs w:val="0"/>
                      <w:color w:val="000000"/>
                      <w:sz w:val="22"/>
                      <w:szCs w:val="22"/>
                      <w:u w:val="none"/>
                      <w:lang w:val="en-US" w:eastAsia="zh-CN"/>
                    </w:rPr>
                  </w:pPr>
                </w:p>
              </w:tc>
              <w:tc>
                <w:tcPr>
                  <w:tcW w:w="588" w:type="pct"/>
                  <w:vMerge w:val="restart"/>
                  <w:shd w:val="clear" w:color="auto" w:fill="auto"/>
                  <w:noWrap w:val="0"/>
                  <w:vAlign w:val="center"/>
                </w:tcPr>
                <w:p w14:paraId="6C98E391">
                  <w:pPr>
                    <w:jc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有组织排放</w:t>
                  </w:r>
                </w:p>
              </w:tc>
              <w:tc>
                <w:tcPr>
                  <w:tcW w:w="759" w:type="pct"/>
                  <w:shd w:val="clear" w:color="auto" w:fill="auto"/>
                  <w:noWrap w:val="0"/>
                  <w:vAlign w:val="center"/>
                </w:tcPr>
                <w:p w14:paraId="75D57F91">
                  <w:pPr>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二甲苯</w:t>
                  </w:r>
                </w:p>
              </w:tc>
              <w:tc>
                <w:tcPr>
                  <w:tcW w:w="928" w:type="pct"/>
                  <w:shd w:val="clear" w:color="auto" w:fill="auto"/>
                  <w:noWrap w:val="0"/>
                  <w:vAlign w:val="center"/>
                </w:tcPr>
                <w:p w14:paraId="13EFE078">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0.067</w:t>
                  </w:r>
                </w:p>
              </w:tc>
            </w:tr>
            <w:tr w14:paraId="7104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540" w:type="pct"/>
                  <w:vMerge w:val="continue"/>
                  <w:shd w:val="clear" w:color="auto" w:fill="auto"/>
                  <w:noWrap w:val="0"/>
                  <w:vAlign w:val="center"/>
                </w:tcPr>
                <w:p w14:paraId="6E7FDA5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662" w:type="pct"/>
                  <w:vMerge w:val="continue"/>
                  <w:shd w:val="clear" w:color="auto" w:fill="auto"/>
                  <w:noWrap w:val="0"/>
                  <w:vAlign w:val="center"/>
                </w:tcPr>
                <w:p w14:paraId="294958F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932" w:type="pct"/>
                  <w:vMerge w:val="continue"/>
                  <w:shd w:val="clear" w:color="auto" w:fill="auto"/>
                  <w:noWrap w:val="0"/>
                  <w:vAlign w:val="center"/>
                </w:tcPr>
                <w:p w14:paraId="50A56C9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p>
              </w:tc>
              <w:tc>
                <w:tcPr>
                  <w:tcW w:w="586" w:type="pct"/>
                  <w:vMerge w:val="continue"/>
                  <w:shd w:val="clear" w:color="auto" w:fill="auto"/>
                  <w:noWrap w:val="0"/>
                  <w:vAlign w:val="center"/>
                </w:tcPr>
                <w:p w14:paraId="5AAB0E35">
                  <w:pPr>
                    <w:jc w:val="center"/>
                    <w:rPr>
                      <w:rFonts w:hint="eastAsia" w:ascii="宋体" w:hAnsi="宋体" w:eastAsia="宋体" w:cs="宋体"/>
                      <w:i w:val="0"/>
                      <w:iCs w:val="0"/>
                      <w:color w:val="000000"/>
                      <w:sz w:val="22"/>
                      <w:szCs w:val="22"/>
                      <w:u w:val="none"/>
                      <w:lang w:val="en-US" w:eastAsia="zh-CN"/>
                    </w:rPr>
                  </w:pPr>
                </w:p>
              </w:tc>
              <w:tc>
                <w:tcPr>
                  <w:tcW w:w="588" w:type="pct"/>
                  <w:vMerge w:val="continue"/>
                  <w:shd w:val="clear" w:color="auto" w:fill="auto"/>
                  <w:noWrap w:val="0"/>
                  <w:vAlign w:val="center"/>
                </w:tcPr>
                <w:p w14:paraId="3A8B3854">
                  <w:pPr>
                    <w:jc w:val="center"/>
                    <w:rPr>
                      <w:rFonts w:hint="eastAsia" w:ascii="宋体" w:hAnsi="宋体" w:eastAsia="宋体" w:cs="宋体"/>
                      <w:i w:val="0"/>
                      <w:iCs w:val="0"/>
                      <w:color w:val="000000"/>
                      <w:kern w:val="2"/>
                      <w:sz w:val="22"/>
                      <w:szCs w:val="22"/>
                      <w:u w:val="none"/>
                      <w:lang w:val="en-US" w:eastAsia="zh-CN" w:bidi="ar-SA"/>
                    </w:rPr>
                  </w:pPr>
                </w:p>
              </w:tc>
              <w:tc>
                <w:tcPr>
                  <w:tcW w:w="759" w:type="pct"/>
                  <w:shd w:val="clear" w:color="auto" w:fill="auto"/>
                  <w:noWrap w:val="0"/>
                  <w:vAlign w:val="center"/>
                </w:tcPr>
                <w:p w14:paraId="1FDBB209">
                  <w:pPr>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其它</w:t>
                  </w:r>
                </w:p>
              </w:tc>
              <w:tc>
                <w:tcPr>
                  <w:tcW w:w="928" w:type="pct"/>
                  <w:shd w:val="clear" w:color="auto" w:fill="auto"/>
                  <w:noWrap w:val="0"/>
                  <w:vAlign w:val="center"/>
                </w:tcPr>
                <w:p w14:paraId="22C16CCE">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0.073</w:t>
                  </w:r>
                </w:p>
              </w:tc>
            </w:tr>
            <w:tr w14:paraId="2E7C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540" w:type="pct"/>
                  <w:vMerge w:val="continue"/>
                  <w:shd w:val="clear" w:color="auto" w:fill="auto"/>
                  <w:noWrap w:val="0"/>
                  <w:vAlign w:val="center"/>
                </w:tcPr>
                <w:p w14:paraId="0E368F7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662" w:type="pct"/>
                  <w:vMerge w:val="continue"/>
                  <w:shd w:val="clear" w:color="auto" w:fill="auto"/>
                  <w:noWrap w:val="0"/>
                  <w:vAlign w:val="center"/>
                </w:tcPr>
                <w:p w14:paraId="71B2AA1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932" w:type="pct"/>
                  <w:vMerge w:val="continue"/>
                  <w:shd w:val="clear" w:color="auto" w:fill="auto"/>
                  <w:noWrap w:val="0"/>
                  <w:vAlign w:val="center"/>
                </w:tcPr>
                <w:p w14:paraId="24B1E43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p>
              </w:tc>
              <w:tc>
                <w:tcPr>
                  <w:tcW w:w="1934" w:type="pct"/>
                  <w:gridSpan w:val="3"/>
                  <w:shd w:val="clear" w:color="auto" w:fill="auto"/>
                  <w:noWrap w:val="0"/>
                  <w:vAlign w:val="center"/>
                </w:tcPr>
                <w:p w14:paraId="05B08628">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cs="宋体"/>
                      <w:i w:val="0"/>
                      <w:iCs w:val="0"/>
                      <w:color w:val="000000"/>
                      <w:sz w:val="22"/>
                      <w:szCs w:val="22"/>
                      <w:u w:val="none"/>
                      <w:lang w:val="en-US" w:eastAsia="zh-CN"/>
                    </w:rPr>
                    <w:t>滴落成漆渣（固体份）</w:t>
                  </w:r>
                </w:p>
              </w:tc>
              <w:tc>
                <w:tcPr>
                  <w:tcW w:w="928" w:type="pct"/>
                  <w:shd w:val="clear" w:color="auto" w:fill="auto"/>
                  <w:noWrap w:val="0"/>
                  <w:vAlign w:val="center"/>
                </w:tcPr>
                <w:p w14:paraId="1A885450">
                  <w:pPr>
                    <w:jc w:val="center"/>
                    <w:rPr>
                      <w:rFonts w:hint="eastAsia"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1.196</w:t>
                  </w:r>
                </w:p>
              </w:tc>
            </w:tr>
            <w:tr w14:paraId="59A9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203" w:type="pct"/>
                  <w:gridSpan w:val="2"/>
                  <w:shd w:val="clear" w:color="auto" w:fill="auto"/>
                  <w:noWrap w:val="0"/>
                  <w:vAlign w:val="center"/>
                </w:tcPr>
                <w:p w14:paraId="1BF430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合计</w:t>
                  </w:r>
                </w:p>
              </w:tc>
              <w:tc>
                <w:tcPr>
                  <w:tcW w:w="932" w:type="pct"/>
                  <w:shd w:val="clear" w:color="auto" w:fill="auto"/>
                  <w:noWrap w:val="0"/>
                  <w:vAlign w:val="center"/>
                </w:tcPr>
                <w:p w14:paraId="6482C51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cs="Times New Roman"/>
                      <w:i w:val="0"/>
                      <w:iCs w:val="0"/>
                      <w:color w:val="000000"/>
                      <w:sz w:val="22"/>
                      <w:szCs w:val="22"/>
                      <w:u w:val="none"/>
                      <w:lang w:val="en-US" w:eastAsia="zh-CN"/>
                    </w:rPr>
                    <w:t>7.4</w:t>
                  </w:r>
                </w:p>
              </w:tc>
              <w:tc>
                <w:tcPr>
                  <w:tcW w:w="1934" w:type="pct"/>
                  <w:gridSpan w:val="3"/>
                  <w:shd w:val="clear" w:color="auto" w:fill="auto"/>
                  <w:noWrap w:val="0"/>
                  <w:vAlign w:val="center"/>
                </w:tcPr>
                <w:p w14:paraId="04B1059C">
                  <w:pPr>
                    <w:jc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合计</w:t>
                  </w:r>
                </w:p>
              </w:tc>
              <w:tc>
                <w:tcPr>
                  <w:tcW w:w="928" w:type="pct"/>
                  <w:shd w:val="clear" w:color="auto" w:fill="auto"/>
                  <w:noWrap w:val="0"/>
                  <w:vAlign w:val="center"/>
                </w:tcPr>
                <w:p w14:paraId="304E7184">
                  <w:pPr>
                    <w:jc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7.4</w:t>
                  </w:r>
                </w:p>
              </w:tc>
            </w:tr>
          </w:tbl>
          <w:p w14:paraId="74F2142B">
            <w:pPr>
              <w:autoSpaceDE w:val="0"/>
              <w:autoSpaceDN w:val="0"/>
              <w:adjustRightInd w:val="0"/>
              <w:snapToGrid w:val="0"/>
              <w:spacing w:line="360" w:lineRule="auto"/>
              <w:jc w:val="both"/>
              <w:rPr>
                <w:rFonts w:hint="default" w:ascii="宋体" w:hAnsi="宋体" w:cs="宋体"/>
                <w:b/>
                <w:bCs/>
                <w:kern w:val="0"/>
                <w:sz w:val="24"/>
                <w:szCs w:val="24"/>
                <w:lang w:val="en-US" w:eastAsia="zh-CN"/>
              </w:rPr>
            </w:pPr>
          </w:p>
        </w:tc>
      </w:tr>
    </w:tbl>
    <w:p w14:paraId="0C9C7FBB"/>
    <w:p w14:paraId="474BBC5A">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both"/>
        <w:textAlignment w:val="auto"/>
        <w:rPr>
          <w:rFonts w:hint="eastAsia"/>
          <w:b w:val="0"/>
          <w:bCs w:val="0"/>
          <w:snapToGrid w:val="0"/>
          <w:sz w:val="30"/>
          <w:lang w:val="en-US" w:eastAsia="zh-CN"/>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5"/>
        <w:tblW w:w="138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57" w:type="dxa"/>
          <w:right w:w="57" w:type="dxa"/>
        </w:tblCellMar>
      </w:tblPr>
      <w:tblGrid>
        <w:gridCol w:w="519"/>
        <w:gridCol w:w="13377"/>
      </w:tblGrid>
      <w:tr w14:paraId="301F3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7937" w:hRule="atLeast"/>
          <w:jc w:val="center"/>
        </w:trPr>
        <w:tc>
          <w:tcPr>
            <w:tcW w:w="519" w:type="dxa"/>
            <w:noWrap w:val="0"/>
            <w:vAlign w:val="center"/>
          </w:tcPr>
          <w:p w14:paraId="7623D06A">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建设内容</w:t>
            </w:r>
          </w:p>
        </w:tc>
        <w:tc>
          <w:tcPr>
            <w:tcW w:w="13377" w:type="dxa"/>
            <w:noWrap w:val="0"/>
            <w:vAlign w:val="top"/>
          </w:tcPr>
          <w:p w14:paraId="05045555">
            <w:pPr>
              <w:bidi w:val="0"/>
              <w:rPr>
                <w:rFonts w:hint="default"/>
                <w:lang w:val="en-US" w:eastAsia="zh-CN"/>
              </w:rPr>
            </w:pPr>
            <w:r>
              <mc:AlternateContent>
                <mc:Choice Requires="wps">
                  <w:drawing>
                    <wp:anchor distT="0" distB="0" distL="114300" distR="114300" simplePos="0" relativeHeight="251675648" behindDoc="0" locked="0" layoutInCell="1" allowOverlap="1">
                      <wp:simplePos x="0" y="0"/>
                      <wp:positionH relativeFrom="column">
                        <wp:posOffset>3917315</wp:posOffset>
                      </wp:positionH>
                      <wp:positionV relativeFrom="paragraph">
                        <wp:posOffset>149225</wp:posOffset>
                      </wp:positionV>
                      <wp:extent cx="826770" cy="485140"/>
                      <wp:effectExtent l="6350" t="6350" r="20320" b="11430"/>
                      <wp:wrapNone/>
                      <wp:docPr id="461" name="矩形 189"/>
                      <wp:cNvGraphicFramePr/>
                      <a:graphic xmlns:a="http://schemas.openxmlformats.org/drawingml/2006/main">
                        <a:graphicData uri="http://schemas.microsoft.com/office/word/2010/wordprocessingShape">
                          <wps:wsp>
                            <wps:cNvSpPr/>
                            <wps:spPr>
                              <a:xfrm>
                                <a:off x="0" y="0"/>
                                <a:ext cx="826770" cy="48514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4EC17568">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进入产品4.784t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9" o:spid="_x0000_s1026" o:spt="1" style="position:absolute;left:0pt;margin-left:308.45pt;margin-top:11.75pt;height:38.2pt;width:65.1pt;z-index:251675648;v-text-anchor:middle;mso-width-relative:page;mso-height-relative:page;" filled="f" stroked="t" coordsize="21600,21600" o:gfxdata="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EIDmo2QAAAAkBAAAPAAAAAAAAAAEAIAAAACIAAABkcnMvZG93bnJldi54bWxQSwEC&#10;FAAUAAAACACHTuJATvXV62UCAADCBAAADgAAAAAAAAABACAAAAAoAQAAZHJzL2Uyb0RvYy54bWxQ&#10;SwUGAAAAAAYABgBZAQAA/wUAAAAA&#10;">
                      <v:fill on="f" focussize="0,0"/>
                      <v:stroke weight="1pt" color="#000000 [3213]" joinstyle="round"/>
                      <v:imagedata o:title=""/>
                      <o:lock v:ext="edit" aspectratio="f"/>
                      <v:textbox>
                        <w:txbxContent>
                          <w:p w14:paraId="4EC17568">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进入产品4.784t</w:t>
                            </w:r>
                          </w:p>
                        </w:txbxContent>
                      </v:textbox>
                    </v:rect>
                  </w:pict>
                </mc:Fallback>
              </mc:AlternateContent>
            </w:r>
          </w:p>
          <w:p w14:paraId="2435F690">
            <w:pPr>
              <w:bidi w:val="0"/>
              <w:rPr>
                <w:rFonts w:hint="default"/>
                <w:lang w:val="en-US" w:eastAsia="zh-CN"/>
              </w:rPr>
            </w:pPr>
          </w:p>
          <w:p w14:paraId="0F1C7A3C">
            <w:pPr>
              <w:bidi w:val="0"/>
              <w:rPr>
                <w:rFonts w:hint="default"/>
                <w:lang w:val="en-US" w:eastAsia="zh-CN"/>
              </w:rPr>
            </w:pPr>
          </w:p>
          <w:p w14:paraId="528DC1B9">
            <w:pPr>
              <w:bidi w:val="0"/>
              <w:rPr>
                <w:rFonts w:hint="default"/>
                <w:lang w:val="en-US" w:eastAsia="zh-CN"/>
              </w:rPr>
            </w:pPr>
            <w:r>
              <mc:AlternateContent>
                <mc:Choice Requires="wps">
                  <w:drawing>
                    <wp:anchor distT="0" distB="0" distL="114300" distR="114300" simplePos="0" relativeHeight="251671552" behindDoc="0" locked="0" layoutInCell="1" allowOverlap="1">
                      <wp:simplePos x="0" y="0"/>
                      <wp:positionH relativeFrom="column">
                        <wp:posOffset>2355215</wp:posOffset>
                      </wp:positionH>
                      <wp:positionV relativeFrom="paragraph">
                        <wp:posOffset>57785</wp:posOffset>
                      </wp:positionV>
                      <wp:extent cx="674370" cy="485140"/>
                      <wp:effectExtent l="6350" t="6350" r="20320" b="11430"/>
                      <wp:wrapNone/>
                      <wp:docPr id="457" name="矩形 189"/>
                      <wp:cNvGraphicFramePr/>
                      <a:graphic xmlns:a="http://schemas.openxmlformats.org/drawingml/2006/main">
                        <a:graphicData uri="http://schemas.microsoft.com/office/word/2010/wordprocessingShape">
                          <wps:wsp>
                            <wps:cNvSpPr/>
                            <wps:spPr>
                              <a:xfrm>
                                <a:off x="0" y="0"/>
                                <a:ext cx="674370" cy="48514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152035CB">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固体份</w:t>
                                  </w:r>
                                </w:p>
                                <w:p w14:paraId="685AD682">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5.98t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9" o:spid="_x0000_s1026" o:spt="1" style="position:absolute;left:0pt;margin-left:185.45pt;margin-top:4.55pt;height:38.2pt;width:53.1pt;z-index:251671552;v-text-anchor:middle;mso-width-relative:page;mso-height-relative:page;" filled="f" stroked="t" coordsize="21600,21600" o:gfxdata="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nS9tDYAAAACAEAAA8AAAAAAAAAAQAgAAAAIgAAAGRycy9kb3ducmV2LnhtbFBLAQIU&#10;ABQAAAAIAIdO4kDPeZeMZQIAAMIEAAAOAAAAAAAAAAEAIAAAACcBAABkcnMvZTJvRG9jLnhtbFBL&#10;BQYAAAAABgAGAFkBAAD+BQAAAAA=&#10;">
                      <v:fill on="f" focussize="0,0"/>
                      <v:stroke weight="1pt" color="#000000 [3213]" joinstyle="round"/>
                      <v:imagedata o:title=""/>
                      <o:lock v:ext="edit" aspectratio="f"/>
                      <v:textbox>
                        <w:txbxContent>
                          <w:p w14:paraId="152035CB">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固体份</w:t>
                            </w:r>
                          </w:p>
                          <w:p w14:paraId="685AD682">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5.98t</w:t>
                            </w:r>
                          </w:p>
                        </w:txbxContent>
                      </v:textbox>
                    </v:rect>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3917315</wp:posOffset>
                      </wp:positionH>
                      <wp:positionV relativeFrom="paragraph">
                        <wp:posOffset>-133350</wp:posOffset>
                      </wp:positionV>
                      <wp:extent cx="3175" cy="829945"/>
                      <wp:effectExtent l="412115" t="50800" r="11430" b="64135"/>
                      <wp:wrapNone/>
                      <wp:docPr id="471" name="肘形连接符 471"/>
                      <wp:cNvGraphicFramePr/>
                      <a:graphic xmlns:a="http://schemas.openxmlformats.org/drawingml/2006/main">
                        <a:graphicData uri="http://schemas.microsoft.com/office/word/2010/wordprocessingShape">
                          <wps:wsp>
                            <wps:cNvCnPr>
                              <a:stCxn id="461" idx="1"/>
                              <a:endCxn id="462" idx="1"/>
                            </wps:cNvCnPr>
                            <wps:spPr>
                              <a:xfrm rot="10800000" flipH="1" flipV="1">
                                <a:off x="0" y="0"/>
                                <a:ext cx="3175" cy="829945"/>
                              </a:xfrm>
                              <a:prstGeom prst="bentConnector3">
                                <a:avLst>
                                  <a:gd name="adj1" fmla="val -12780000"/>
                                </a:avLst>
                              </a:prstGeom>
                              <a:ln w="12700">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x y;margin-left:308.45pt;margin-top:-10.5pt;height:65.35pt;width:0.25pt;rotation:11796480f;z-index:251685888;mso-width-relative:page;mso-height-relative:page;" filled="f" stroked="t" coordsize="21600,21600" o:gfxdata="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PpNda1gAAAAsBAAAPAAAAAAAAAAEAIAAA&#10;ACIAAABkcnMvZG93bnJldi54bWxQSwECFAAUAAAACACHTuJAgIozrUcCAAB1BAAADgAAAAAAAAAB&#10;ACAAAAAlAQAAZHJzL2Uyb0RvYy54bWxQSwUGAAAAAAYABgBZAQAA3gUAAAAA&#10;" adj="-2760480">
                      <v:fill on="f" focussize="0,0"/>
                      <v:stroke weight="1pt" color="#000000 [3213]" joinstyle="round" startarrow="open" endarrow="open"/>
                      <v:imagedata o:title=""/>
                      <o:lock v:ext="edit" aspectratio="f"/>
                    </v:shape>
                  </w:pict>
                </mc:Fallback>
              </mc:AlternateContent>
            </w:r>
          </w:p>
          <w:p w14:paraId="17735F99">
            <w:pPr>
              <w:bidi w:val="0"/>
              <w:rPr>
                <w:rFonts w:hint="default"/>
                <w:lang w:val="en-US" w:eastAsia="zh-CN"/>
              </w:rPr>
            </w:pPr>
            <w:r>
              <mc:AlternateContent>
                <mc:Choice Requires="wps">
                  <w:drawing>
                    <wp:anchor distT="0" distB="0" distL="114300" distR="114300" simplePos="0" relativeHeight="251670528" behindDoc="0" locked="0" layoutInCell="1" allowOverlap="1">
                      <wp:simplePos x="0" y="0"/>
                      <wp:positionH relativeFrom="column">
                        <wp:posOffset>434975</wp:posOffset>
                      </wp:positionH>
                      <wp:positionV relativeFrom="paragraph">
                        <wp:posOffset>34925</wp:posOffset>
                      </wp:positionV>
                      <wp:extent cx="1002030" cy="2975610"/>
                      <wp:effectExtent l="6350" t="6350" r="12700" b="20320"/>
                      <wp:wrapNone/>
                      <wp:docPr id="456" name="矩形 189"/>
                      <wp:cNvGraphicFramePr/>
                      <a:graphic xmlns:a="http://schemas.openxmlformats.org/drawingml/2006/main">
                        <a:graphicData uri="http://schemas.microsoft.com/office/word/2010/wordprocessingShape">
                          <wps:wsp>
                            <wps:cNvSpPr/>
                            <wps:spPr>
                              <a:xfrm>
                                <a:off x="0" y="0"/>
                                <a:ext cx="1002030" cy="297561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33EADD03">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底漆A组分</w:t>
                                  </w:r>
                                </w:p>
                                <w:p w14:paraId="318CF08B">
                                  <w:pPr>
                                    <w:jc w:val="center"/>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4t</w:t>
                                  </w:r>
                                </w:p>
                                <w:p w14:paraId="7AADB1FE">
                                  <w:pPr>
                                    <w:jc w:val="center"/>
                                    <w:rPr>
                                      <w:rFonts w:hint="eastAsia"/>
                                      <w:color w:val="000000" w:themeColor="text1"/>
                                      <w:sz w:val="22"/>
                                      <w:szCs w:val="22"/>
                                      <w:lang w:val="en-US" w:eastAsia="zh-CN"/>
                                      <w14:textFill>
                                        <w14:solidFill>
                                          <w14:schemeClr w14:val="tx1"/>
                                        </w14:solidFill>
                                      </w14:textFill>
                                    </w:rPr>
                                  </w:pPr>
                                </w:p>
                                <w:p w14:paraId="3273DACC">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底漆B组分</w:t>
                                  </w:r>
                                </w:p>
                                <w:p w14:paraId="69B09AD6">
                                  <w:pPr>
                                    <w:jc w:val="center"/>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0.4t</w:t>
                                  </w:r>
                                </w:p>
                                <w:p w14:paraId="410EFD16">
                                  <w:pPr>
                                    <w:jc w:val="center"/>
                                    <w:rPr>
                                      <w:rFonts w:hint="eastAsia"/>
                                      <w:color w:val="000000" w:themeColor="text1"/>
                                      <w:sz w:val="22"/>
                                      <w:szCs w:val="22"/>
                                      <w:lang w:val="en-US" w:eastAsia="zh-CN"/>
                                      <w14:textFill>
                                        <w14:solidFill>
                                          <w14:schemeClr w14:val="tx1"/>
                                        </w14:solidFill>
                                      </w14:textFill>
                                    </w:rPr>
                                  </w:pPr>
                                </w:p>
                                <w:p w14:paraId="44F6641F">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面漆</w:t>
                                  </w:r>
                                </w:p>
                                <w:p w14:paraId="1604CF98">
                                  <w:pPr>
                                    <w:jc w:val="center"/>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2.5t</w:t>
                                  </w:r>
                                </w:p>
                                <w:p w14:paraId="32172791">
                                  <w:pPr>
                                    <w:jc w:val="center"/>
                                    <w:rPr>
                                      <w:rFonts w:hint="eastAsia"/>
                                      <w:color w:val="000000" w:themeColor="text1"/>
                                      <w:sz w:val="22"/>
                                      <w:szCs w:val="22"/>
                                      <w:lang w:val="en-US" w:eastAsia="zh-CN"/>
                                      <w14:textFill>
                                        <w14:solidFill>
                                          <w14:schemeClr w14:val="tx1"/>
                                        </w14:solidFill>
                                      </w14:textFill>
                                    </w:rPr>
                                  </w:pPr>
                                </w:p>
                                <w:p w14:paraId="2C729ABF">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稀释剂</w:t>
                                  </w:r>
                                </w:p>
                                <w:p w14:paraId="56CA26E7">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0.5t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9" o:spid="_x0000_s1026" o:spt="1" style="position:absolute;left:0pt;margin-left:34.25pt;margin-top:2.75pt;height:234.3pt;width:78.9pt;z-index:251670528;v-text-anchor:middle;mso-width-relative:page;mso-height-relative:page;" filled="f" stroked="t" coordsize="21600,21600" o:gfxdata="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iJBZNgAAAAIAQAADwAAAAAAAAABACAAAAAiAAAAZHJzL2Rvd25yZXYueG1sUEsB&#10;AhQAFAAAAAgAh07iQJyKKDlnAgAAxAQAAA4AAAAAAAAAAQAgAAAAJwEAAGRycy9lMm9Eb2MueG1s&#10;UEsFBgAAAAAGAAYAWQEAAAAGAAAAAA==&#10;">
                      <v:fill on="f" focussize="0,0"/>
                      <v:stroke weight="1pt" color="#000000 [3213]" joinstyle="round"/>
                      <v:imagedata o:title=""/>
                      <o:lock v:ext="edit" aspectratio="f"/>
                      <v:textbox>
                        <w:txbxContent>
                          <w:p w14:paraId="33EADD03">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底漆A组分</w:t>
                            </w:r>
                          </w:p>
                          <w:p w14:paraId="318CF08B">
                            <w:pPr>
                              <w:jc w:val="center"/>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4t</w:t>
                            </w:r>
                          </w:p>
                          <w:p w14:paraId="7AADB1FE">
                            <w:pPr>
                              <w:jc w:val="center"/>
                              <w:rPr>
                                <w:rFonts w:hint="eastAsia"/>
                                <w:color w:val="000000" w:themeColor="text1"/>
                                <w:sz w:val="22"/>
                                <w:szCs w:val="22"/>
                                <w:lang w:val="en-US" w:eastAsia="zh-CN"/>
                                <w14:textFill>
                                  <w14:solidFill>
                                    <w14:schemeClr w14:val="tx1"/>
                                  </w14:solidFill>
                                </w14:textFill>
                              </w:rPr>
                            </w:pPr>
                          </w:p>
                          <w:p w14:paraId="3273DACC">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底漆B组分</w:t>
                            </w:r>
                          </w:p>
                          <w:p w14:paraId="69B09AD6">
                            <w:pPr>
                              <w:jc w:val="center"/>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0.4t</w:t>
                            </w:r>
                          </w:p>
                          <w:p w14:paraId="410EFD16">
                            <w:pPr>
                              <w:jc w:val="center"/>
                              <w:rPr>
                                <w:rFonts w:hint="eastAsia"/>
                                <w:color w:val="000000" w:themeColor="text1"/>
                                <w:sz w:val="22"/>
                                <w:szCs w:val="22"/>
                                <w:lang w:val="en-US" w:eastAsia="zh-CN"/>
                                <w14:textFill>
                                  <w14:solidFill>
                                    <w14:schemeClr w14:val="tx1"/>
                                  </w14:solidFill>
                                </w14:textFill>
                              </w:rPr>
                            </w:pPr>
                          </w:p>
                          <w:p w14:paraId="44F6641F">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面漆</w:t>
                            </w:r>
                          </w:p>
                          <w:p w14:paraId="1604CF98">
                            <w:pPr>
                              <w:jc w:val="center"/>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2.5t</w:t>
                            </w:r>
                          </w:p>
                          <w:p w14:paraId="32172791">
                            <w:pPr>
                              <w:jc w:val="center"/>
                              <w:rPr>
                                <w:rFonts w:hint="eastAsia"/>
                                <w:color w:val="000000" w:themeColor="text1"/>
                                <w:sz w:val="22"/>
                                <w:szCs w:val="22"/>
                                <w:lang w:val="en-US" w:eastAsia="zh-CN"/>
                                <w14:textFill>
                                  <w14:solidFill>
                                    <w14:schemeClr w14:val="tx1"/>
                                  </w14:solidFill>
                                </w14:textFill>
                              </w:rPr>
                            </w:pPr>
                          </w:p>
                          <w:p w14:paraId="2C729ABF">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稀释剂</w:t>
                            </w:r>
                          </w:p>
                          <w:p w14:paraId="56CA26E7">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0.5t</w:t>
                            </w:r>
                          </w:p>
                        </w:txbxContent>
                      </v:textbox>
                    </v:rect>
                  </w:pict>
                </mc:Fallback>
              </mc:AlternateContent>
            </w:r>
          </w:p>
          <w:p w14:paraId="4EAB2C12">
            <w:pPr>
              <w:bidi w:val="0"/>
              <w:rPr>
                <w:rFonts w:hint="default"/>
                <w:lang w:val="en-US" w:eastAsia="zh-CN"/>
              </w:rPr>
            </w:pPr>
            <w:r>
              <mc:AlternateContent>
                <mc:Choice Requires="wps">
                  <w:drawing>
                    <wp:anchor distT="0" distB="0" distL="114300" distR="114300" simplePos="0" relativeHeight="251676672" behindDoc="0" locked="0" layoutInCell="1" allowOverlap="1">
                      <wp:simplePos x="0" y="0"/>
                      <wp:positionH relativeFrom="column">
                        <wp:posOffset>3917315</wp:posOffset>
                      </wp:positionH>
                      <wp:positionV relativeFrom="paragraph">
                        <wp:posOffset>103505</wp:posOffset>
                      </wp:positionV>
                      <wp:extent cx="826770" cy="485140"/>
                      <wp:effectExtent l="6350" t="6350" r="20320" b="11430"/>
                      <wp:wrapNone/>
                      <wp:docPr id="462" name="矩形 189"/>
                      <wp:cNvGraphicFramePr/>
                      <a:graphic xmlns:a="http://schemas.openxmlformats.org/drawingml/2006/main">
                        <a:graphicData uri="http://schemas.microsoft.com/office/word/2010/wordprocessingShape">
                          <wps:wsp>
                            <wps:cNvSpPr/>
                            <wps:spPr>
                              <a:xfrm>
                                <a:off x="0" y="0"/>
                                <a:ext cx="826770" cy="48514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6928D69F">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漆渣1.196t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9" o:spid="_x0000_s1026" o:spt="1" style="position:absolute;left:0pt;margin-left:308.45pt;margin-top:8.15pt;height:38.2pt;width:65.1pt;z-index:251676672;v-text-anchor:middle;mso-width-relative:page;mso-height-relative:page;" filled="f" stroked="t" coordsize="21600,21600" o:gfxdata="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EbvWTYAAAACQEAAA8AAAAAAAAAAQAgAAAAIgAAAGRycy9kb3ducmV2LnhtbFBLAQIU&#10;ABQAAAAIAIdO4kDDeBuNZQIAAMIEAAAOAAAAAAAAAAEAIAAAACcBAABkcnMvZTJvRG9jLnhtbFBL&#10;BQYAAAAABgAGAFkBAAD+BQAAAAA=&#10;">
                      <v:fill on="f" focussize="0,0"/>
                      <v:stroke weight="1pt" color="#000000 [3213]" joinstyle="round"/>
                      <v:imagedata o:title=""/>
                      <o:lock v:ext="edit" aspectratio="f"/>
                      <v:textbox>
                        <w:txbxContent>
                          <w:p w14:paraId="6928D69F">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漆渣1.196t</w:t>
                            </w:r>
                          </w:p>
                        </w:txbxContent>
                      </v:textbox>
                    </v:rect>
                  </w:pict>
                </mc:Fallback>
              </mc:AlternateContent>
            </w:r>
          </w:p>
          <w:p w14:paraId="4B11B07D">
            <w:pPr>
              <w:bidi w:val="0"/>
              <w:rPr>
                <w:rFonts w:hint="default"/>
                <w:lang w:val="en-US" w:eastAsia="zh-CN"/>
              </w:rPr>
            </w:pPr>
            <w:r>
              <w:rPr>
                <w:sz w:val="24"/>
              </w:rPr>
              <mc:AlternateContent>
                <mc:Choice Requires="wps">
                  <w:drawing>
                    <wp:anchor distT="0" distB="0" distL="114300" distR="114300" simplePos="0" relativeHeight="251673600" behindDoc="0" locked="0" layoutInCell="1" allowOverlap="1">
                      <wp:simplePos x="0" y="0"/>
                      <wp:positionH relativeFrom="column">
                        <wp:posOffset>2332355</wp:posOffset>
                      </wp:positionH>
                      <wp:positionV relativeFrom="paragraph">
                        <wp:posOffset>-225425</wp:posOffset>
                      </wp:positionV>
                      <wp:extent cx="22860" cy="2797175"/>
                      <wp:effectExtent l="480695" t="50800" r="14605" b="62865"/>
                      <wp:wrapNone/>
                      <wp:docPr id="459" name="肘形连接符 459"/>
                      <wp:cNvGraphicFramePr/>
                      <a:graphic xmlns:a="http://schemas.openxmlformats.org/drawingml/2006/main">
                        <a:graphicData uri="http://schemas.microsoft.com/office/word/2010/wordprocessingShape">
                          <wps:wsp>
                            <wps:cNvCnPr>
                              <a:stCxn id="457" idx="1"/>
                              <a:endCxn id="458" idx="1"/>
                            </wps:cNvCnPr>
                            <wps:spPr>
                              <a:xfrm rot="10800000" flipV="1">
                                <a:off x="3091180" y="2520950"/>
                                <a:ext cx="22860" cy="2797175"/>
                              </a:xfrm>
                              <a:prstGeom prst="bentConnector3">
                                <a:avLst>
                                  <a:gd name="adj1" fmla="val 2175000"/>
                                </a:avLst>
                              </a:prstGeom>
                              <a:ln w="12700">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183.65pt;margin-top:-17.75pt;height:220.25pt;width:1.8pt;rotation:11796480f;z-index:251673600;mso-width-relative:page;mso-height-relative:page;" filled="f" stroked="t" coordsize="21600,21600" o:gfxdata="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7kCPQ2gAAAAsBAAAPAAAA&#10;AAAAAAEAIAAAACIAAABkcnMvZG93bnJldi54bWxQSwECFAAUAAAACACHTuJAjKi+CkwCAAB3BAAA&#10;DgAAAAAAAAABACAAAAApAQAAZHJzL2Uyb0RvYy54bWxQSwUGAAAAAAYABgBZAQAA5wUAAAAA&#10;" adj="469800">
                      <v:fill on="f" focussize="0,0"/>
                      <v:stroke weight="1pt" color="#000000 [3213]" joinstyle="round" startarrow="open" endarrow="open"/>
                      <v:imagedata o:title=""/>
                      <o:lock v:ext="edit" aspectratio="f"/>
                    </v:shape>
                  </w:pict>
                </mc:Fallback>
              </mc:AlternateContent>
            </w:r>
          </w:p>
          <w:p w14:paraId="08282072">
            <w:pPr>
              <w:bidi w:val="0"/>
              <w:rPr>
                <w:rFonts w:hint="default"/>
                <w:lang w:val="en-US" w:eastAsia="zh-CN"/>
              </w:rPr>
            </w:pPr>
          </w:p>
          <w:p w14:paraId="2E7F4A62">
            <w:pPr>
              <w:bidi w:val="0"/>
              <w:rPr>
                <w:rFonts w:hint="default"/>
                <w:lang w:val="en-US" w:eastAsia="zh-CN"/>
              </w:rPr>
            </w:pPr>
          </w:p>
          <w:p w14:paraId="54333AFA">
            <w:pPr>
              <w:bidi w:val="0"/>
              <w:rPr>
                <w:rFonts w:hint="default"/>
                <w:lang w:val="en-US" w:eastAsia="zh-CN"/>
              </w:rPr>
            </w:pPr>
          </w:p>
          <w:p w14:paraId="4E7D02B3">
            <w:pPr>
              <w:bidi w:val="0"/>
              <w:rPr>
                <w:rFonts w:hint="default"/>
                <w:lang w:val="en-US" w:eastAsia="zh-CN"/>
              </w:rPr>
            </w:pPr>
            <w:r>
              <mc:AlternateContent>
                <mc:Choice Requires="wps">
                  <w:drawing>
                    <wp:anchor distT="0" distB="0" distL="114300" distR="114300" simplePos="0" relativeHeight="251680768" behindDoc="0" locked="0" layoutInCell="1" allowOverlap="1">
                      <wp:simplePos x="0" y="0"/>
                      <wp:positionH relativeFrom="column">
                        <wp:posOffset>4328795</wp:posOffset>
                      </wp:positionH>
                      <wp:positionV relativeFrom="paragraph">
                        <wp:posOffset>111125</wp:posOffset>
                      </wp:positionV>
                      <wp:extent cx="1373505" cy="683895"/>
                      <wp:effectExtent l="6350" t="6350" r="6985" b="10795"/>
                      <wp:wrapNone/>
                      <wp:docPr id="466" name="矩形 189"/>
                      <wp:cNvGraphicFramePr/>
                      <a:graphic xmlns:a="http://schemas.openxmlformats.org/drawingml/2006/main">
                        <a:graphicData uri="http://schemas.microsoft.com/office/word/2010/wordprocessingShape">
                          <wps:wsp>
                            <wps:cNvSpPr/>
                            <wps:spPr>
                              <a:xfrm>
                                <a:off x="0" y="0"/>
                                <a:ext cx="1373505" cy="683895"/>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6616E0D2">
                                  <w:pPr>
                                    <w:jc w:val="center"/>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活性炭吸附</w:t>
                                  </w:r>
                                </w:p>
                                <w:p w14:paraId="2C0D80BE">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VOCs 1.252t</w:t>
                                  </w:r>
                                </w:p>
                                <w:p w14:paraId="2C08626B">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（其中二甲苯0.6t）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9" o:spid="_x0000_s1026" o:spt="1" style="position:absolute;left:0pt;margin-left:340.85pt;margin-top:8.75pt;height:53.85pt;width:108.15pt;z-index:251680768;v-text-anchor:middle;mso-width-relative:page;mso-height-relative:page;" filled="f" stroked="t" coordsize="21600,21600" o:gfxdata="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6tCgc9gAAAAKAQAADwAAAAAAAAABACAAAAAiAAAAZHJzL2Rvd25yZXYueG1sUEsB&#10;AhQAFAAAAAgAh07iQDX3m9VnAgAAwwQAAA4AAAAAAAAAAQAgAAAAJwEAAGRycy9lMm9Eb2MueG1s&#10;UEsFBgAAAAAGAAYAWQEAAAAGAAAAAA==&#10;">
                      <v:fill on="f" focussize="0,0"/>
                      <v:stroke weight="1pt" color="#000000 [3213]" joinstyle="round"/>
                      <v:imagedata o:title=""/>
                      <o:lock v:ext="edit" aspectratio="f"/>
                      <v:textbox>
                        <w:txbxContent>
                          <w:p w14:paraId="6616E0D2">
                            <w:pPr>
                              <w:jc w:val="center"/>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活性炭吸附</w:t>
                            </w:r>
                          </w:p>
                          <w:p w14:paraId="2C0D80BE">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VOCs 1.252t</w:t>
                            </w:r>
                          </w:p>
                          <w:p w14:paraId="2C08626B">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（其中二甲苯0.6t）</w:t>
                            </w:r>
                          </w:p>
                        </w:txbxContent>
                      </v:textbox>
                    </v:rect>
                  </w:pict>
                </mc:Fallback>
              </mc:AlternateContent>
            </w:r>
          </w:p>
          <w:p w14:paraId="195AB6FF">
            <w:pPr>
              <w:bidi w:val="0"/>
              <w:rPr>
                <w:rFonts w:hint="default"/>
                <w:lang w:val="en-US" w:eastAsia="zh-CN"/>
              </w:rPr>
            </w:pPr>
          </w:p>
          <w:p w14:paraId="2C3D200B">
            <w:pPr>
              <w:bidi w:val="0"/>
              <w:rPr>
                <w:rFonts w:hint="default"/>
                <w:lang w:val="en-US" w:eastAsia="zh-CN"/>
              </w:rPr>
            </w:pPr>
          </w:p>
          <w:p w14:paraId="4F530784">
            <w:pPr>
              <w:bidi w:val="0"/>
              <w:rPr>
                <w:rFonts w:hint="default"/>
                <w:lang w:val="en-US" w:eastAsia="zh-CN"/>
              </w:rPr>
            </w:pPr>
          </w:p>
          <w:p w14:paraId="54F4EF2C">
            <w:pPr>
              <w:bidi w:val="0"/>
              <w:rPr>
                <w:rFonts w:hint="default"/>
                <w:lang w:val="en-US" w:eastAsia="zh-CN"/>
              </w:rPr>
            </w:pPr>
            <w:r>
              <w:rPr>
                <w:sz w:val="24"/>
              </w:rPr>
              <mc:AlternateContent>
                <mc:Choice Requires="wps">
                  <w:drawing>
                    <wp:anchor distT="0" distB="0" distL="114300" distR="114300" simplePos="0" relativeHeight="251681792" behindDoc="0" locked="0" layoutInCell="1" allowOverlap="1">
                      <wp:simplePos x="0" y="0"/>
                      <wp:positionH relativeFrom="column">
                        <wp:posOffset>4496435</wp:posOffset>
                      </wp:positionH>
                      <wp:positionV relativeFrom="paragraph">
                        <wp:posOffset>701040</wp:posOffset>
                      </wp:positionV>
                      <wp:extent cx="3175" cy="1002030"/>
                      <wp:effectExtent l="396875" t="50800" r="11430" b="59690"/>
                      <wp:wrapNone/>
                      <wp:docPr id="467" name="肘形连接符 467"/>
                      <wp:cNvGraphicFramePr/>
                      <a:graphic xmlns:a="http://schemas.openxmlformats.org/drawingml/2006/main">
                        <a:graphicData uri="http://schemas.microsoft.com/office/word/2010/wordprocessingShape">
                          <wps:wsp>
                            <wps:cNvCnPr>
                              <a:stCxn id="464" idx="1"/>
                              <a:endCxn id="463" idx="1"/>
                            </wps:cNvCnPr>
                            <wps:spPr>
                              <a:xfrm rot="10800000" flipH="1" flipV="1">
                                <a:off x="0" y="0"/>
                                <a:ext cx="3175" cy="1002030"/>
                              </a:xfrm>
                              <a:prstGeom prst="bentConnector3">
                                <a:avLst>
                                  <a:gd name="adj1" fmla="val -12300000"/>
                                </a:avLst>
                              </a:prstGeom>
                              <a:ln w="12700">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x y;margin-left:354.05pt;margin-top:55.2pt;height:78.9pt;width:0.25pt;rotation:11796480f;z-index:251681792;mso-width-relative:page;mso-height-relative:page;" filled="f" stroked="t" coordsize="21600,21600" o:gfxdata="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JNwY2QAAAAsBAAAPAAAAAAAAAAEAIAAA&#10;ACIAAABkcnMvZG93bnJldi54bWxQSwECFAAUAAAACACHTuJAw1eJZUQCAAB2BAAADgAAAAAAAAAB&#10;ACAAAAAoAQAAZHJzL2Uyb0RvYy54bWxQSwUGAAAAAAYABgBZAQAA3gUAAAAA&#10;" adj="-2656800">
                      <v:fill on="f" focussize="0,0"/>
                      <v:stroke weight="1pt" color="#000000 [3213]" joinstyle="round" startarrow="open" endarrow="open"/>
                      <v:imagedata o:title=""/>
                      <o:lock v:ext="edit" aspectratio="f"/>
                    </v:shape>
                  </w:pict>
                </mc:Fallback>
              </mc:AlternateContent>
            </w:r>
          </w:p>
          <w:p w14:paraId="61E6E17A">
            <w:pPr>
              <w:bidi w:val="0"/>
              <w:rPr>
                <w:rFonts w:hint="default"/>
                <w:lang w:val="en-US" w:eastAsia="zh-CN"/>
              </w:rPr>
            </w:pPr>
            <w:r>
              <w:rPr>
                <w:sz w:val="24"/>
              </w:rPr>
              <mc:AlternateContent>
                <mc:Choice Requires="wps">
                  <w:drawing>
                    <wp:anchor distT="0" distB="0" distL="114300" distR="114300" simplePos="0" relativeHeight="251683840" behindDoc="0" locked="0" layoutInCell="1" allowOverlap="1">
                      <wp:simplePos x="0" y="0"/>
                      <wp:positionH relativeFrom="column">
                        <wp:posOffset>3760470</wp:posOffset>
                      </wp:positionH>
                      <wp:positionV relativeFrom="paragraph">
                        <wp:posOffset>994410</wp:posOffset>
                      </wp:positionV>
                      <wp:extent cx="350520" cy="2540"/>
                      <wp:effectExtent l="0" t="48895" r="0" b="55245"/>
                      <wp:wrapNone/>
                      <wp:docPr id="469" name="直接箭头连接符 469"/>
                      <wp:cNvGraphicFramePr/>
                      <a:graphic xmlns:a="http://schemas.openxmlformats.org/drawingml/2006/main">
                        <a:graphicData uri="http://schemas.microsoft.com/office/word/2010/wordprocessingShape">
                          <wps:wsp>
                            <wps:cNvCnPr>
                              <a:stCxn id="458" idx="3"/>
                            </wps:cNvCnPr>
                            <wps:spPr>
                              <a:xfrm>
                                <a:off x="0" y="0"/>
                                <a:ext cx="350520" cy="254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96.1pt;margin-top:78.3pt;height:0.2pt;width:27.6pt;z-index:251683840;mso-width-relative:page;mso-height-relative:page;" filled="f" stroked="t" coordsize="21600,21600" o:gfxdata="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Vmq4v2wAAAAsBAAAPAAAAAAAA&#10;AAEAIAAAACIAAABkcnMvZG93bnJldi54bWxQSwECFAAUAAAACACHTuJAAd+ulQ8CAAD2AwAADgAA&#10;AAAAAAABACAAAAAqAQAAZHJzL2Uyb0RvYy54bWxQSwUGAAAAAAYABgBZAQAAqwUAAAAA&#10;">
                      <v:fill on="f" focussize="0,0"/>
                      <v:stroke weight="1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3029585</wp:posOffset>
                      </wp:positionH>
                      <wp:positionV relativeFrom="paragraph">
                        <wp:posOffset>-1802765</wp:posOffset>
                      </wp:positionV>
                      <wp:extent cx="479425" cy="3175"/>
                      <wp:effectExtent l="0" t="48260" r="8255" b="55245"/>
                      <wp:wrapNone/>
                      <wp:docPr id="472" name="直接箭头连接符 472"/>
                      <wp:cNvGraphicFramePr/>
                      <a:graphic xmlns:a="http://schemas.openxmlformats.org/drawingml/2006/main">
                        <a:graphicData uri="http://schemas.microsoft.com/office/word/2010/wordprocessingShape">
                          <wps:wsp>
                            <wps:cNvCnPr>
                              <a:stCxn id="457" idx="3"/>
                            </wps:cNvCnPr>
                            <wps:spPr>
                              <a:xfrm>
                                <a:off x="0" y="0"/>
                                <a:ext cx="479425" cy="317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8.55pt;margin-top:-141.95pt;height:0.25pt;width:37.75pt;z-index:251686912;mso-width-relative:page;mso-height-relative:page;" filled="f" stroked="t" coordsize="21600,21600" o:gfxdata="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3CalXcAAAADQEAAA8AAAAA&#10;AAAAAQAgAAAAIgAAAGRycy9kb3ducmV2LnhtbFBLAQIUABQAAAAIAIdO4kCrNmOzEAIAAPYDAAAO&#10;AAAAAAAAAAEAIAAAACsBAABkcnMvZTJvRG9jLnhtbFBLBQYAAAAABgAGAFkBAACtBQAAAAA=&#10;">
                      <v:fill on="f" focussize="0,0"/>
                      <v:stroke weight="1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5015865</wp:posOffset>
                      </wp:positionH>
                      <wp:positionV relativeFrom="paragraph">
                        <wp:posOffset>-81280</wp:posOffset>
                      </wp:positionV>
                      <wp:extent cx="0" cy="337185"/>
                      <wp:effectExtent l="50800" t="0" r="55880" b="13335"/>
                      <wp:wrapNone/>
                      <wp:docPr id="470" name="直接箭头连接符 470"/>
                      <wp:cNvGraphicFramePr/>
                      <a:graphic xmlns:a="http://schemas.openxmlformats.org/drawingml/2006/main">
                        <a:graphicData uri="http://schemas.microsoft.com/office/word/2010/wordprocessingShape">
                          <wps:wsp>
                            <wps:cNvCnPr>
                              <a:stCxn id="464" idx="0"/>
                              <a:endCxn id="466" idx="2"/>
                            </wps:cNvCnPr>
                            <wps:spPr>
                              <a:xfrm flipV="1">
                                <a:off x="0" y="0"/>
                                <a:ext cx="0" cy="33718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94.95pt;margin-top:-6.4pt;height:26.55pt;width:0pt;z-index:251684864;mso-width-relative:page;mso-height-relative:page;" filled="f" stroked="t" coordsize="21600,21600" o:gfxdata="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U0Ip/YAAAACgEAAA8A&#10;AAAAAAAAAQAgAAAAIgAAAGRycy9kb3ducmV2LnhtbFBLAQIUABQAAAAIAIdO4kBM+GkJFwIAABkE&#10;AAAOAAAAAAAAAAEAIAAAACcBAABkcnMvZTJvRG9jLnhtbFBLBQYAAAAABgAGAFkBAACwBQAAAAA=&#10;">
                      <v:fill on="f" focussize="0,0"/>
                      <v:stroke weight="1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5534660</wp:posOffset>
                      </wp:positionH>
                      <wp:positionV relativeFrom="paragraph">
                        <wp:posOffset>525780</wp:posOffset>
                      </wp:positionV>
                      <wp:extent cx="782955" cy="4445"/>
                      <wp:effectExtent l="0" t="46990" r="9525" b="55245"/>
                      <wp:wrapNone/>
                      <wp:docPr id="468" name="直接箭头连接符 468"/>
                      <wp:cNvGraphicFramePr/>
                      <a:graphic xmlns:a="http://schemas.openxmlformats.org/drawingml/2006/main">
                        <a:graphicData uri="http://schemas.microsoft.com/office/word/2010/wordprocessingShape">
                          <wps:wsp>
                            <wps:cNvCnPr>
                              <a:stCxn id="464" idx="3"/>
                              <a:endCxn id="465" idx="1"/>
                            </wps:cNvCnPr>
                            <wps:spPr>
                              <a:xfrm>
                                <a:off x="0" y="0"/>
                                <a:ext cx="782955" cy="444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35.8pt;margin-top:41.4pt;height:0.35pt;width:61.65pt;z-index:251682816;mso-width-relative:page;mso-height-relative:page;" filled="f" stroked="t" coordsize="21600,21600" o:gfxdata="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02gT3aAAAACQEA&#10;AA8AAAAAAAAAAQAgAAAAIgAAAGRycy9kb3ducmV2LnhtbFBLAQIUABQAAAAIAIdO4kD7rgG9GAIA&#10;ABIEAAAOAAAAAAAAAAEAIAAAACkBAABkcnMvZTJvRG9jLnhtbFBLBQYAAAAABgAGAFkBAACzBQAA&#10;AAA=&#10;">
                      <v:fill on="f" focussize="0,0"/>
                      <v:stroke weight="1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1437005</wp:posOffset>
                      </wp:positionH>
                      <wp:positionV relativeFrom="paragraph">
                        <wp:posOffset>-405130</wp:posOffset>
                      </wp:positionV>
                      <wp:extent cx="426085" cy="0"/>
                      <wp:effectExtent l="0" t="50800" r="635" b="55880"/>
                      <wp:wrapNone/>
                      <wp:docPr id="460" name="直接箭头连接符 460"/>
                      <wp:cNvGraphicFramePr/>
                      <a:graphic xmlns:a="http://schemas.openxmlformats.org/drawingml/2006/main">
                        <a:graphicData uri="http://schemas.microsoft.com/office/word/2010/wordprocessingShape">
                          <wps:wsp>
                            <wps:cNvCnPr>
                              <a:stCxn id="456" idx="3"/>
                            </wps:cNvCnPr>
                            <wps:spPr>
                              <a:xfrm>
                                <a:off x="2340610" y="3453765"/>
                                <a:ext cx="426085"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13.15pt;margin-top:-31.9pt;height:0pt;width:33.55pt;z-index:251674624;mso-width-relative:page;mso-height-relative:page;" filled="f" stroked="t" coordsize="21600,21600" o:gfxdata="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2LRZ7ZAAAACwEA&#10;AA8AAAAAAAAAAQAgAAAAIgAAAGRycy9kb3ducmV2LnhtbFBLAQIUABQAAAAIAIdO4kAA22IXGQIA&#10;AP8DAAAOAAAAAAAAAAEAIAAAACgBAABkcnMvZTJvRG9jLnhtbFBLBQYAAAAABgAGAFkBAACzBQAA&#10;AAA=&#10;">
                      <v:fill on="f" focussize="0,0"/>
                      <v:stroke weight="1pt" color="#000000 [3213]" joinstyle="round" endarrow="open"/>
                      <v:imagedata o:title=""/>
                      <o:lock v:ext="edit" aspectratio="f"/>
                    </v:shape>
                  </w:pict>
                </mc:Fallback>
              </mc:AlternateContent>
            </w:r>
          </w:p>
          <w:p w14:paraId="49835F62">
            <w:pPr>
              <w:bidi w:val="0"/>
              <w:rPr>
                <w:rFonts w:hint="default"/>
                <w:lang w:val="en-US" w:eastAsia="zh-CN"/>
              </w:rPr>
            </w:pPr>
            <w:r>
              <mc:AlternateContent>
                <mc:Choice Requires="wps">
                  <w:drawing>
                    <wp:anchor distT="0" distB="0" distL="114300" distR="114300" simplePos="0" relativeHeight="251678720" behindDoc="0" locked="0" layoutInCell="1" allowOverlap="1">
                      <wp:simplePos x="0" y="0"/>
                      <wp:positionH relativeFrom="column">
                        <wp:posOffset>4496435</wp:posOffset>
                      </wp:positionH>
                      <wp:positionV relativeFrom="paragraph">
                        <wp:posOffset>80645</wp:posOffset>
                      </wp:positionV>
                      <wp:extent cx="1038225" cy="539750"/>
                      <wp:effectExtent l="6350" t="6350" r="6985" b="17780"/>
                      <wp:wrapNone/>
                      <wp:docPr id="464" name="矩形 189"/>
                      <wp:cNvGraphicFramePr/>
                      <a:graphic xmlns:a="http://schemas.openxmlformats.org/drawingml/2006/main">
                        <a:graphicData uri="http://schemas.microsoft.com/office/word/2010/wordprocessingShape">
                          <wps:wsp>
                            <wps:cNvSpPr/>
                            <wps:spPr>
                              <a:xfrm>
                                <a:off x="0" y="0"/>
                                <a:ext cx="1038225" cy="539750"/>
                              </a:xfrm>
                              <a:prstGeom prst="rect">
                                <a:avLst/>
                              </a:prstGeom>
                              <a:noFill/>
                              <a:ln w="12700" cmpd="sng">
                                <a:solidFill>
                                  <a:schemeClr val="accent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6E2273A5">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过滤棉+二级活性炭设施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9" o:spid="_x0000_s1026" o:spt="1" style="position:absolute;left:0pt;margin-left:354.05pt;margin-top:6.35pt;height:42.5pt;width:81.75pt;z-index:251678720;v-text-anchor:middle;mso-width-relative:page;mso-height-relative:page;" filled="f" stroked="t" coordsize="21600,21600" o:gfxdata="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JuuV81gAAAAkBAAAPAAAAAAAAAAEAIAAAACIAAABkcnMvZG93bnJldi54bWxQ&#10;SwECFAAUAAAACACHTuJAG/2d7GsCAADDBAAADgAAAAAAAAABACAAAAAlAQAAZHJzL2Uyb0RvYy54&#10;bWxQSwUGAAAAAAYABgBZAQAAAgYAAAAA&#10;">
                      <v:fill on="f" focussize="0,0"/>
                      <v:stroke weight="1pt" color="#4F81BD [3204]" joinstyle="round"/>
                      <v:imagedata o:title=""/>
                      <o:lock v:ext="edit" aspectratio="f"/>
                      <v:textbox>
                        <w:txbxContent>
                          <w:p w14:paraId="6E2273A5">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过滤棉+二级活性炭设施</w:t>
                            </w:r>
                          </w:p>
                        </w:txbxContent>
                      </v:textbox>
                    </v:rect>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6317615</wp:posOffset>
                      </wp:positionH>
                      <wp:positionV relativeFrom="paragraph">
                        <wp:posOffset>12700</wp:posOffset>
                      </wp:positionV>
                      <wp:extent cx="1510030" cy="683895"/>
                      <wp:effectExtent l="6350" t="6350" r="7620" b="10795"/>
                      <wp:wrapNone/>
                      <wp:docPr id="465" name="矩形 189"/>
                      <wp:cNvGraphicFramePr/>
                      <a:graphic xmlns:a="http://schemas.openxmlformats.org/drawingml/2006/main">
                        <a:graphicData uri="http://schemas.microsoft.com/office/word/2010/wordprocessingShape">
                          <wps:wsp>
                            <wps:cNvSpPr/>
                            <wps:spPr>
                              <a:xfrm>
                                <a:off x="0" y="0"/>
                                <a:ext cx="1510030" cy="683895"/>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41168D08">
                                  <w:pPr>
                                    <w:jc w:val="center"/>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DA001有组织排放</w:t>
                                  </w:r>
                                </w:p>
                                <w:p w14:paraId="6C79E1F6">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VOCs 0.139t</w:t>
                                  </w:r>
                                </w:p>
                                <w:p w14:paraId="483F1633">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（其中二甲苯0.067t）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9" o:spid="_x0000_s1026" o:spt="1" style="position:absolute;left:0pt;margin-left:497.45pt;margin-top:1pt;height:53.85pt;width:118.9pt;z-index:251679744;v-text-anchor:middle;mso-width-relative:page;mso-height-relative:page;" filled="f" stroked="t" coordsize="21600,21600" o:gfxdata="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VHKEdkAAAAKAQAADwAAAAAAAAABACAAAAAiAAAAZHJzL2Rvd25yZXYueG1sUEsB&#10;AhQAFAAAAAgAh07iQM8ETHpmAgAAwwQAAA4AAAAAAAAAAQAgAAAAKAEAAGRycy9lMm9Eb2MueG1s&#10;UEsFBgAAAAAGAAYAWQEAAAAGAAAAAA==&#10;">
                      <v:fill on="f" focussize="0,0"/>
                      <v:stroke weight="1pt" color="#000000 [3213]" joinstyle="round"/>
                      <v:imagedata o:title=""/>
                      <o:lock v:ext="edit" aspectratio="f"/>
                      <v:textbox>
                        <w:txbxContent>
                          <w:p w14:paraId="41168D08">
                            <w:pPr>
                              <w:jc w:val="center"/>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DA001有组织排放</w:t>
                            </w:r>
                          </w:p>
                          <w:p w14:paraId="6C79E1F6">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VOCs 0.139t</w:t>
                            </w:r>
                          </w:p>
                          <w:p w14:paraId="483F1633">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（其中二甲苯0.067t）</w:t>
                            </w:r>
                          </w:p>
                        </w:txbxContent>
                      </v:textbox>
                    </v:rect>
                  </w:pict>
                </mc:Fallback>
              </mc:AlternateContent>
            </w:r>
          </w:p>
          <w:p w14:paraId="598A580A">
            <w:pPr>
              <w:bidi w:val="0"/>
              <w:rPr>
                <w:rFonts w:hint="default"/>
                <w:lang w:val="en-US" w:eastAsia="zh-CN"/>
              </w:rPr>
            </w:pPr>
          </w:p>
          <w:p w14:paraId="38316531">
            <w:pPr>
              <w:bidi w:val="0"/>
              <w:rPr>
                <w:rFonts w:hint="default"/>
                <w:lang w:val="en-US" w:eastAsia="zh-CN"/>
              </w:rPr>
            </w:pPr>
            <w:r>
              <mc:AlternateContent>
                <mc:Choice Requires="wps">
                  <w:drawing>
                    <wp:anchor distT="0" distB="0" distL="114300" distR="114300" simplePos="0" relativeHeight="251672576" behindDoc="0" locked="0" layoutInCell="1" allowOverlap="1">
                      <wp:simplePos x="0" y="0"/>
                      <wp:positionH relativeFrom="column">
                        <wp:posOffset>2332355</wp:posOffset>
                      </wp:positionH>
                      <wp:positionV relativeFrom="paragraph">
                        <wp:posOffset>96520</wp:posOffset>
                      </wp:positionV>
                      <wp:extent cx="1428115" cy="744220"/>
                      <wp:effectExtent l="6350" t="6350" r="13335" b="11430"/>
                      <wp:wrapNone/>
                      <wp:docPr id="458" name="矩形 189"/>
                      <wp:cNvGraphicFramePr/>
                      <a:graphic xmlns:a="http://schemas.openxmlformats.org/drawingml/2006/main">
                        <a:graphicData uri="http://schemas.microsoft.com/office/word/2010/wordprocessingShape">
                          <wps:wsp>
                            <wps:cNvSpPr/>
                            <wps:spPr>
                              <a:xfrm>
                                <a:off x="0" y="0"/>
                                <a:ext cx="1428115" cy="74422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730CD7CC">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挥发产生</w:t>
                                  </w:r>
                                </w:p>
                                <w:p w14:paraId="238B7B4F">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VOCs 1.42t</w:t>
                                  </w:r>
                                </w:p>
                                <w:p w14:paraId="2FC2D854">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（其中二甲苯0.68t）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9" o:spid="_x0000_s1026" o:spt="1" style="position:absolute;left:0pt;margin-left:183.65pt;margin-top:7.6pt;height:58.6pt;width:112.45pt;z-index:251672576;v-text-anchor:middle;mso-width-relative:page;mso-height-relative:page;" filled="f" stroked="t" coordsize="21600,21600" o:gfxdata="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Ire+/ZAAAACgEAAA8AAAAAAAAAAQAgAAAAIgAAAGRycy9kb3ducmV2LnhtbFBL&#10;AQIUABQAAAAIAIdO4kAGISh1ZwIAAMMEAAAOAAAAAAAAAAEAIAAAACgBAABkcnMvZTJvRG9jLnht&#10;bFBLBQYAAAAABgAGAFkBAAABBgAAAAA=&#10;">
                      <v:fill on="f" focussize="0,0"/>
                      <v:stroke weight="1pt" color="#000000 [3213]" joinstyle="round"/>
                      <v:imagedata o:title=""/>
                      <o:lock v:ext="edit" aspectratio="f"/>
                      <v:textbox>
                        <w:txbxContent>
                          <w:p w14:paraId="730CD7CC">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挥发产生</w:t>
                            </w:r>
                          </w:p>
                          <w:p w14:paraId="238B7B4F">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VOCs 1.42t</w:t>
                            </w:r>
                          </w:p>
                          <w:p w14:paraId="2FC2D854">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（其中二甲苯0.68t）</w:t>
                            </w:r>
                          </w:p>
                        </w:txbxContent>
                      </v:textbox>
                    </v:rect>
                  </w:pict>
                </mc:Fallback>
              </mc:AlternateContent>
            </w:r>
          </w:p>
          <w:p w14:paraId="690835F5">
            <w:pPr>
              <w:bidi w:val="0"/>
              <w:rPr>
                <w:rFonts w:hint="default"/>
                <w:lang w:val="en-US" w:eastAsia="zh-CN"/>
              </w:rPr>
            </w:pPr>
          </w:p>
          <w:p w14:paraId="46C12808">
            <w:pPr>
              <w:bidi w:val="0"/>
              <w:rPr>
                <w:rFonts w:hint="default"/>
                <w:lang w:val="en-US" w:eastAsia="zh-CN"/>
              </w:rPr>
            </w:pPr>
          </w:p>
          <w:p w14:paraId="77E0BFFD">
            <w:pPr>
              <w:bidi w:val="0"/>
              <w:rPr>
                <w:rFonts w:hint="default"/>
                <w:lang w:val="en-US" w:eastAsia="zh-CN"/>
              </w:rPr>
            </w:pPr>
            <w:r>
              <mc:AlternateContent>
                <mc:Choice Requires="wps">
                  <w:drawing>
                    <wp:anchor distT="0" distB="0" distL="114300" distR="114300" simplePos="0" relativeHeight="251677696" behindDoc="0" locked="0" layoutInCell="1" allowOverlap="1">
                      <wp:simplePos x="0" y="0"/>
                      <wp:positionH relativeFrom="column">
                        <wp:posOffset>4496435</wp:posOffset>
                      </wp:positionH>
                      <wp:positionV relativeFrom="paragraph">
                        <wp:posOffset>133985</wp:posOffset>
                      </wp:positionV>
                      <wp:extent cx="1503045" cy="683895"/>
                      <wp:effectExtent l="6350" t="6350" r="14605" b="10795"/>
                      <wp:wrapNone/>
                      <wp:docPr id="463" name="矩形 189"/>
                      <wp:cNvGraphicFramePr/>
                      <a:graphic xmlns:a="http://schemas.openxmlformats.org/drawingml/2006/main">
                        <a:graphicData uri="http://schemas.microsoft.com/office/word/2010/wordprocessingShape">
                          <wps:wsp>
                            <wps:cNvSpPr/>
                            <wps:spPr>
                              <a:xfrm>
                                <a:off x="0" y="0"/>
                                <a:ext cx="1503045" cy="683895"/>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1EF6C85">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无组织排放</w:t>
                                  </w:r>
                                </w:p>
                                <w:p w14:paraId="546D925E">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VOCs 0.028t</w:t>
                                  </w:r>
                                </w:p>
                                <w:p w14:paraId="6CFD92B4">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（其中二甲苯0.014t）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9" o:spid="_x0000_s1026" o:spt="1" style="position:absolute;left:0pt;margin-left:354.05pt;margin-top:10.55pt;height:53.85pt;width:118.35pt;z-index:251677696;v-text-anchor:middle;mso-width-relative:page;mso-height-relative:page;" filled="f" stroked="t" coordsize="21600,21600" o:gfxdata="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1z5GdgAAAAKAQAADwAAAAAAAAABACAAAAAiAAAAZHJzL2Rvd25yZXYueG1sUEsB&#10;AhQAFAAAAAgAh07iQFdIFPVnAgAAwwQAAA4AAAAAAAAAAQAgAAAAJwEAAGRycy9lMm9Eb2MueG1s&#10;UEsFBgAAAAAGAAYAWQEAAAAGAAAAAA==&#10;">
                      <v:fill on="f" focussize="0,0"/>
                      <v:stroke weight="1pt" color="#000000 [3213]" joinstyle="round"/>
                      <v:imagedata o:title=""/>
                      <o:lock v:ext="edit" aspectratio="f"/>
                      <v:textbox>
                        <w:txbxContent>
                          <w:p w14:paraId="01EF6C85">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无组织排放</w:t>
                            </w:r>
                          </w:p>
                          <w:p w14:paraId="546D925E">
                            <w:pPr>
                              <w:jc w:val="cente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VOCs 0.028t</w:t>
                            </w:r>
                          </w:p>
                          <w:p w14:paraId="6CFD92B4">
                            <w:pPr>
                              <w:jc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（其中二甲苯0.014t）</w:t>
                            </w:r>
                          </w:p>
                        </w:txbxContent>
                      </v:textbox>
                    </v:rect>
                  </w:pict>
                </mc:Fallback>
              </mc:AlternateContent>
            </w:r>
          </w:p>
          <w:p w14:paraId="5140F280">
            <w:pPr>
              <w:bidi w:val="0"/>
              <w:rPr>
                <w:rFonts w:hint="default"/>
                <w:lang w:val="en-US" w:eastAsia="zh-CN"/>
              </w:rPr>
            </w:pPr>
          </w:p>
          <w:p w14:paraId="6A5DBA56">
            <w:pPr>
              <w:bidi w:val="0"/>
              <w:rPr>
                <w:rFonts w:hint="default"/>
                <w:lang w:val="en-US" w:eastAsia="zh-CN"/>
              </w:rPr>
            </w:pPr>
          </w:p>
          <w:p w14:paraId="6C6A35C3">
            <w:pPr>
              <w:bidi w:val="0"/>
              <w:rPr>
                <w:rFonts w:hint="default"/>
                <w:lang w:val="en-US" w:eastAsia="zh-CN"/>
              </w:rPr>
            </w:pPr>
          </w:p>
          <w:p w14:paraId="2B9867B1">
            <w:pPr>
              <w:bidi w:val="0"/>
              <w:rPr>
                <w:rFonts w:hint="default"/>
                <w:lang w:val="en-US" w:eastAsia="zh-CN"/>
              </w:rPr>
            </w:pPr>
          </w:p>
          <w:p w14:paraId="41585990">
            <w:pPr>
              <w:bidi w:val="0"/>
              <w:rPr>
                <w:rFonts w:hint="default"/>
                <w:lang w:val="en-US" w:eastAsia="zh-CN"/>
              </w:rPr>
            </w:pPr>
          </w:p>
          <w:p w14:paraId="7AD7936F">
            <w:pPr>
              <w:autoSpaceDE w:val="0"/>
              <w:autoSpaceDN w:val="0"/>
              <w:adjustRightInd w:val="0"/>
              <w:snapToGrid w:val="0"/>
              <w:spacing w:line="360" w:lineRule="auto"/>
              <w:jc w:val="center"/>
              <w:rPr>
                <w:rFonts w:hint="eastAsia"/>
              </w:rPr>
            </w:pPr>
            <w:r>
              <w:rPr>
                <w:rFonts w:hint="eastAsia" w:ascii="宋体" w:hAnsi="宋体" w:cs="宋体"/>
                <w:b/>
                <w:bCs/>
                <w:sz w:val="22"/>
                <w:szCs w:val="22"/>
                <w:lang w:val="en-US" w:eastAsia="zh-CN"/>
              </w:rPr>
              <w:t>图</w:t>
            </w:r>
            <w:r>
              <w:rPr>
                <w:rFonts w:hint="eastAsia" w:cs="Times New Roman"/>
                <w:b/>
                <w:bCs/>
                <w:sz w:val="22"/>
                <w:szCs w:val="22"/>
                <w:lang w:val="en-US" w:eastAsia="zh-CN"/>
              </w:rPr>
              <w:t>2-1</w:t>
            </w:r>
            <w:r>
              <w:rPr>
                <w:rFonts w:hint="default" w:ascii="宋体" w:hAnsi="宋体" w:eastAsia="宋体" w:cs="宋体"/>
                <w:b/>
                <w:bCs/>
                <w:sz w:val="22"/>
                <w:szCs w:val="22"/>
                <w:lang w:val="en-US" w:eastAsia="zh-CN"/>
              </w:rPr>
              <w:t xml:space="preserve">  </w:t>
            </w:r>
            <w:r>
              <w:rPr>
                <w:rFonts w:hint="eastAsia" w:ascii="宋体" w:hAnsi="宋体" w:eastAsia="宋体" w:cs="宋体"/>
                <w:b/>
                <w:bCs/>
                <w:sz w:val="22"/>
                <w:szCs w:val="22"/>
                <w:lang w:val="en-US" w:eastAsia="zh-CN"/>
              </w:rPr>
              <w:t>项目漆料平衡</w:t>
            </w:r>
            <w:r>
              <w:rPr>
                <w:rFonts w:hint="eastAsia" w:ascii="宋体" w:hAnsi="宋体" w:cs="宋体"/>
                <w:b/>
                <w:bCs/>
                <w:sz w:val="22"/>
                <w:szCs w:val="22"/>
                <w:lang w:val="en-US" w:eastAsia="zh-CN"/>
              </w:rPr>
              <w:t>一览图</w:t>
            </w:r>
          </w:p>
        </w:tc>
      </w:tr>
    </w:tbl>
    <w:p w14:paraId="6D876DA8">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2"/>
          <w:szCs w:val="32"/>
          <w:lang w:val="en-US" w:eastAsia="zh-CN"/>
        </w:rPr>
        <w:sectPr>
          <w:pgSz w:w="16838" w:h="11906" w:orient="landscape"/>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5"/>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57" w:type="dxa"/>
          <w:right w:w="57" w:type="dxa"/>
        </w:tblCellMar>
      </w:tblPr>
      <w:tblGrid>
        <w:gridCol w:w="519"/>
        <w:gridCol w:w="8465"/>
      </w:tblGrid>
      <w:tr w14:paraId="58081E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672" w:hRule="atLeast"/>
          <w:jc w:val="center"/>
        </w:trPr>
        <w:tc>
          <w:tcPr>
            <w:tcW w:w="519" w:type="dxa"/>
            <w:noWrap w:val="0"/>
            <w:vAlign w:val="center"/>
          </w:tcPr>
          <w:p w14:paraId="6633C394">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建设内容</w:t>
            </w:r>
          </w:p>
        </w:tc>
        <w:tc>
          <w:tcPr>
            <w:tcW w:w="8465" w:type="dxa"/>
            <w:noWrap w:val="0"/>
            <w:vAlign w:val="top"/>
          </w:tcPr>
          <w:p w14:paraId="618D9AE2">
            <w:pPr>
              <w:autoSpaceDE w:val="0"/>
              <w:autoSpaceDN w:val="0"/>
              <w:adjustRightInd w:val="0"/>
              <w:snapToGrid w:val="0"/>
              <w:spacing w:line="360" w:lineRule="auto"/>
              <w:ind w:firstLine="480" w:firstLineChars="200"/>
              <w:jc w:val="both"/>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（2）水平衡分析</w:t>
            </w:r>
          </w:p>
          <w:p w14:paraId="432BEB1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次技改项目不涉及生产用水，技改后生活用水量减少。厂区排水采用雨污分流制，雨水经厂区雨水管道排入市政雨水管网，食堂废水经过隔油池处理后与生活污水共同进入化粪池预处理，然后通过污水管网排入淮北经济开发区新区污水处理厂进行深度处理，最后达标排放至新濉河。技改前后水平衡分析如下。</w:t>
            </w:r>
          </w:p>
          <w:p w14:paraId="08EB4577">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①食堂用水</w:t>
            </w:r>
          </w:p>
          <w:p w14:paraId="7B5C8AB3">
            <w:pPr>
              <w:autoSpaceDE w:val="0"/>
              <w:autoSpaceDN w:val="0"/>
              <w:adjustRightInd w:val="0"/>
              <w:snapToGrid w:val="0"/>
              <w:spacing w:line="360" w:lineRule="auto"/>
              <w:ind w:firstLine="480" w:firstLineChars="200"/>
              <w:jc w:val="both"/>
              <w:rPr>
                <w:rFonts w:hint="default"/>
                <w:color w:val="000000"/>
                <w:kern w:val="0"/>
                <w:sz w:val="24"/>
                <w:szCs w:val="24"/>
                <w:lang w:val="en-US" w:eastAsia="zh-CN"/>
              </w:rPr>
            </w:pPr>
            <w:r>
              <w:rPr>
                <w:rFonts w:hint="eastAsia"/>
                <w:color w:val="000000"/>
                <w:kern w:val="0"/>
                <w:sz w:val="24"/>
                <w:lang w:val="en-US" w:eastAsia="zh-CN"/>
              </w:rPr>
              <w:t>根据建设单位提供的信息资料，食堂仅对少部分员工提供餐饮，技改前后人员不变，每天用</w:t>
            </w:r>
            <w:r>
              <w:rPr>
                <w:rFonts w:hint="eastAsia" w:ascii="宋体" w:hAnsi="宋体" w:cs="宋体"/>
                <w:b w:val="0"/>
                <w:bCs w:val="0"/>
                <w:kern w:val="0"/>
                <w:sz w:val="24"/>
                <w:szCs w:val="24"/>
                <w:lang w:val="en-US" w:eastAsia="zh-CN"/>
              </w:rPr>
              <w:t>水量约为</w:t>
            </w:r>
            <w:r>
              <w:rPr>
                <w:rFonts w:hint="eastAsia"/>
                <w:color w:val="000000"/>
                <w:kern w:val="0"/>
                <w:sz w:val="24"/>
                <w:szCs w:val="24"/>
                <w:lang w:val="en-US" w:eastAsia="zh-CN"/>
              </w:rPr>
              <w:t>1m</w:t>
            </w:r>
            <w:r>
              <w:rPr>
                <w:rFonts w:hint="eastAsia"/>
                <w:color w:val="000000"/>
                <w:kern w:val="0"/>
                <w:sz w:val="24"/>
                <w:szCs w:val="24"/>
                <w:vertAlign w:val="superscript"/>
                <w:lang w:val="en-US" w:eastAsia="zh-CN"/>
              </w:rPr>
              <w:t>3</w:t>
            </w:r>
            <w:r>
              <w:rPr>
                <w:rFonts w:hint="eastAsia"/>
                <w:color w:val="000000"/>
                <w:kern w:val="0"/>
                <w:sz w:val="24"/>
                <w:szCs w:val="24"/>
                <w:lang w:val="en-US" w:eastAsia="zh-CN"/>
              </w:rPr>
              <w:t>，则食堂用水总量为300m</w:t>
            </w:r>
            <w:r>
              <w:rPr>
                <w:rFonts w:hint="eastAsia"/>
                <w:color w:val="000000"/>
                <w:kern w:val="0"/>
                <w:sz w:val="24"/>
                <w:szCs w:val="24"/>
                <w:vertAlign w:val="superscript"/>
                <w:lang w:val="en-US" w:eastAsia="zh-CN"/>
              </w:rPr>
              <w:t>3</w:t>
            </w:r>
            <w:r>
              <w:rPr>
                <w:rFonts w:hint="eastAsia"/>
                <w:color w:val="000000"/>
                <w:kern w:val="0"/>
                <w:sz w:val="24"/>
                <w:szCs w:val="24"/>
                <w:lang w:val="en-US" w:eastAsia="zh-CN"/>
              </w:rPr>
              <w:t>/a，废水产生系数取0.9，则食堂废水产生量为270m</w:t>
            </w:r>
            <w:r>
              <w:rPr>
                <w:rFonts w:hint="eastAsia"/>
                <w:color w:val="000000"/>
                <w:kern w:val="0"/>
                <w:sz w:val="24"/>
                <w:szCs w:val="24"/>
                <w:vertAlign w:val="superscript"/>
                <w:lang w:val="en-US" w:eastAsia="zh-CN"/>
              </w:rPr>
              <w:t>3</w:t>
            </w:r>
            <w:r>
              <w:rPr>
                <w:rFonts w:hint="eastAsia"/>
                <w:color w:val="000000"/>
                <w:kern w:val="0"/>
                <w:sz w:val="24"/>
                <w:szCs w:val="24"/>
                <w:lang w:val="en-US" w:eastAsia="zh-CN"/>
              </w:rPr>
              <w:t>/a。</w:t>
            </w:r>
          </w:p>
          <w:p w14:paraId="5C531056">
            <w:pPr>
              <w:autoSpaceDE w:val="0"/>
              <w:autoSpaceDN w:val="0"/>
              <w:adjustRightInd w:val="0"/>
              <w:snapToGrid w:val="0"/>
              <w:spacing w:line="360" w:lineRule="auto"/>
              <w:ind w:firstLine="480" w:firstLineChars="200"/>
              <w:jc w:val="left"/>
              <w:rPr>
                <w:rFonts w:hint="default" w:ascii="宋体" w:hAnsi="宋体" w:cs="宋体"/>
                <w:b w:val="0"/>
                <w:bCs w:val="0"/>
                <w:kern w:val="0"/>
                <w:sz w:val="24"/>
                <w:szCs w:val="24"/>
                <w:lang w:val="en-US" w:eastAsia="zh-CN"/>
              </w:rPr>
            </w:pPr>
            <w:r>
              <w:rPr>
                <w:rFonts w:hint="eastAsia"/>
                <w:color w:val="000000"/>
                <w:kern w:val="0"/>
                <w:sz w:val="24"/>
                <w:lang w:val="en-US" w:eastAsia="zh-CN"/>
              </w:rPr>
              <w:t>②</w:t>
            </w:r>
            <w:r>
              <w:rPr>
                <w:rFonts w:hint="eastAsia" w:ascii="宋体" w:hAnsi="宋体" w:cs="宋体"/>
                <w:b w:val="0"/>
                <w:bCs w:val="0"/>
                <w:kern w:val="0"/>
                <w:sz w:val="24"/>
                <w:szCs w:val="24"/>
                <w:lang w:val="en-US" w:eastAsia="zh-CN"/>
              </w:rPr>
              <w:t>生活用水</w:t>
            </w:r>
          </w:p>
          <w:p w14:paraId="5BE585A2">
            <w:pPr>
              <w:autoSpaceDE w:val="0"/>
              <w:autoSpaceDN w:val="0"/>
              <w:adjustRightInd w:val="0"/>
              <w:snapToGrid w:val="0"/>
              <w:spacing w:line="360" w:lineRule="auto"/>
              <w:ind w:firstLine="480" w:firstLineChars="200"/>
              <w:jc w:val="left"/>
              <w:rPr>
                <w:rFonts w:hint="eastAsia"/>
                <w:color w:val="000000"/>
                <w:kern w:val="0"/>
                <w:sz w:val="24"/>
                <w:szCs w:val="24"/>
                <w:lang w:val="en-US" w:eastAsia="zh-CN"/>
              </w:rPr>
            </w:pPr>
            <w:r>
              <w:rPr>
                <w:rFonts w:hint="eastAsia"/>
                <w:color w:val="000000"/>
                <w:kern w:val="0"/>
                <w:sz w:val="24"/>
                <w:lang w:val="en-US" w:eastAsia="zh-CN"/>
              </w:rPr>
              <w:t>现有劳动定员103人，</w:t>
            </w:r>
            <w:r>
              <w:rPr>
                <w:rFonts w:hint="eastAsia"/>
                <w:color w:val="000000"/>
                <w:kern w:val="0"/>
                <w:sz w:val="24"/>
                <w:szCs w:val="24"/>
                <w:lang w:val="en-US" w:eastAsia="zh-CN"/>
              </w:rPr>
              <w:t>技改后劳动定员100人，年工作300天，不提供食宿，生活用水参考《淮北市行业用水定额》（DB3406/T 013-2023）文件，以8m</w:t>
            </w:r>
            <w:r>
              <w:rPr>
                <w:rFonts w:hint="eastAsia"/>
                <w:color w:val="000000"/>
                <w:kern w:val="0"/>
                <w:sz w:val="24"/>
                <w:szCs w:val="24"/>
                <w:vertAlign w:val="superscript"/>
                <w:lang w:val="en-US" w:eastAsia="zh-CN"/>
              </w:rPr>
              <w:t>3</w:t>
            </w:r>
            <w:r>
              <w:rPr>
                <w:rFonts w:hint="eastAsia"/>
                <w:color w:val="000000"/>
                <w:kern w:val="0"/>
                <w:sz w:val="24"/>
                <w:szCs w:val="24"/>
                <w:lang w:val="en-US" w:eastAsia="zh-CN"/>
              </w:rPr>
              <w:t>/（人·a）计，则建设单位技改后生活用水量为800m</w:t>
            </w:r>
            <w:r>
              <w:rPr>
                <w:rFonts w:hint="eastAsia"/>
                <w:color w:val="000000"/>
                <w:kern w:val="0"/>
                <w:sz w:val="24"/>
                <w:szCs w:val="24"/>
                <w:vertAlign w:val="superscript"/>
                <w:lang w:val="en-US" w:eastAsia="zh-CN"/>
              </w:rPr>
              <w:t>3</w:t>
            </w:r>
            <w:r>
              <w:rPr>
                <w:rFonts w:hint="eastAsia"/>
                <w:color w:val="000000"/>
                <w:kern w:val="0"/>
                <w:sz w:val="24"/>
                <w:szCs w:val="24"/>
                <w:lang w:val="en-US" w:eastAsia="zh-CN"/>
              </w:rPr>
              <w:t>/a，废水产生系数取0.8，则生活污水产生量为640m</w:t>
            </w:r>
            <w:r>
              <w:rPr>
                <w:rFonts w:hint="eastAsia"/>
                <w:color w:val="000000"/>
                <w:kern w:val="0"/>
                <w:sz w:val="24"/>
                <w:szCs w:val="24"/>
                <w:vertAlign w:val="superscript"/>
                <w:lang w:val="en-US" w:eastAsia="zh-CN"/>
              </w:rPr>
              <w:t>3</w:t>
            </w:r>
            <w:r>
              <w:rPr>
                <w:rFonts w:hint="eastAsia"/>
                <w:color w:val="000000"/>
                <w:kern w:val="0"/>
                <w:sz w:val="24"/>
                <w:szCs w:val="24"/>
                <w:lang w:val="en-US" w:eastAsia="zh-CN"/>
              </w:rPr>
              <w:t>/a。</w:t>
            </w:r>
          </w:p>
          <w:p w14:paraId="7E85BAD6">
            <w:pPr>
              <w:autoSpaceDE w:val="0"/>
              <w:autoSpaceDN w:val="0"/>
              <w:adjustRightInd w:val="0"/>
              <w:snapToGrid w:val="0"/>
              <w:spacing w:line="360" w:lineRule="auto"/>
              <w:ind w:firstLine="480" w:firstLineChars="200"/>
              <w:jc w:val="left"/>
              <w:rPr>
                <w:rFonts w:hint="eastAsia"/>
                <w:color w:val="000000"/>
                <w:kern w:val="0"/>
                <w:sz w:val="24"/>
                <w:szCs w:val="24"/>
                <w:lang w:val="en-US" w:eastAsia="zh-CN"/>
              </w:rPr>
            </w:pPr>
          </w:p>
          <w:p w14:paraId="71F016E0">
            <w:pPr>
              <w:autoSpaceDE w:val="0"/>
              <w:autoSpaceDN w:val="0"/>
              <w:adjustRightInd w:val="0"/>
              <w:snapToGrid w:val="0"/>
              <w:spacing w:line="360" w:lineRule="auto"/>
              <w:ind w:firstLine="480" w:firstLineChars="200"/>
              <w:jc w:val="left"/>
              <w:rPr>
                <w:rFonts w:hint="eastAsia"/>
                <w:color w:val="000000"/>
                <w:kern w:val="0"/>
                <w:sz w:val="24"/>
                <w:szCs w:val="24"/>
                <w:lang w:val="en-US" w:eastAsia="zh-CN"/>
              </w:rPr>
            </w:pPr>
          </w:p>
          <w:p w14:paraId="18D709D9">
            <w:pPr>
              <w:autoSpaceDE w:val="0"/>
              <w:autoSpaceDN w:val="0"/>
              <w:adjustRightInd w:val="0"/>
              <w:snapToGrid w:val="0"/>
              <w:spacing w:line="360" w:lineRule="auto"/>
              <w:ind w:firstLine="480" w:firstLineChars="200"/>
              <w:jc w:val="left"/>
              <w:rPr>
                <w:rFonts w:hint="eastAsia"/>
                <w:color w:val="000000"/>
                <w:kern w:val="0"/>
                <w:sz w:val="24"/>
                <w:szCs w:val="24"/>
                <w:lang w:val="en-US" w:eastAsia="zh-CN"/>
              </w:rPr>
            </w:pPr>
          </w:p>
          <w:p w14:paraId="5E63424D">
            <w:pPr>
              <w:autoSpaceDE w:val="0"/>
              <w:autoSpaceDN w:val="0"/>
              <w:adjustRightInd w:val="0"/>
              <w:snapToGrid w:val="0"/>
              <w:spacing w:line="360" w:lineRule="auto"/>
              <w:ind w:firstLine="480" w:firstLineChars="200"/>
              <w:jc w:val="left"/>
              <w:rPr>
                <w:rFonts w:hint="eastAsia"/>
                <w:color w:val="000000"/>
                <w:kern w:val="0"/>
                <w:sz w:val="24"/>
                <w:szCs w:val="24"/>
                <w:lang w:val="en-US" w:eastAsia="zh-CN"/>
              </w:rPr>
            </w:pPr>
          </w:p>
          <w:p w14:paraId="7F5687EF">
            <w:pPr>
              <w:autoSpaceDE w:val="0"/>
              <w:autoSpaceDN w:val="0"/>
              <w:adjustRightInd w:val="0"/>
              <w:snapToGrid w:val="0"/>
              <w:spacing w:line="360" w:lineRule="auto"/>
              <w:ind w:firstLine="480" w:firstLineChars="200"/>
              <w:jc w:val="left"/>
              <w:rPr>
                <w:rFonts w:hint="eastAsia"/>
                <w:color w:val="000000"/>
                <w:kern w:val="0"/>
                <w:sz w:val="24"/>
                <w:szCs w:val="24"/>
                <w:lang w:val="en-US" w:eastAsia="zh-CN"/>
              </w:rPr>
            </w:pPr>
          </w:p>
          <w:p w14:paraId="588CE13F">
            <w:pPr>
              <w:autoSpaceDE w:val="0"/>
              <w:autoSpaceDN w:val="0"/>
              <w:adjustRightInd w:val="0"/>
              <w:snapToGrid w:val="0"/>
              <w:spacing w:line="360" w:lineRule="auto"/>
              <w:jc w:val="left"/>
              <w:rPr>
                <w:sz w:val="24"/>
              </w:rPr>
            </w:pPr>
            <w:r>
              <w:rPr>
                <w:sz w:val="24"/>
              </w:rPr>
              <mc:AlternateContent>
                <mc:Choice Requires="wpg">
                  <w:drawing>
                    <wp:anchor distT="0" distB="0" distL="114300" distR="114300" simplePos="0" relativeHeight="251667456" behindDoc="0" locked="0" layoutInCell="1" allowOverlap="1">
                      <wp:simplePos x="0" y="0"/>
                      <wp:positionH relativeFrom="column">
                        <wp:posOffset>75565</wp:posOffset>
                      </wp:positionH>
                      <wp:positionV relativeFrom="paragraph">
                        <wp:posOffset>139700</wp:posOffset>
                      </wp:positionV>
                      <wp:extent cx="5142230" cy="2104390"/>
                      <wp:effectExtent l="0" t="0" r="8890" b="0"/>
                      <wp:wrapNone/>
                      <wp:docPr id="289" name="组合 289"/>
                      <wp:cNvGraphicFramePr/>
                      <a:graphic xmlns:a="http://schemas.openxmlformats.org/drawingml/2006/main">
                        <a:graphicData uri="http://schemas.microsoft.com/office/word/2010/wordprocessingGroup">
                          <wpg:wgp>
                            <wpg:cNvGrpSpPr/>
                            <wpg:grpSpPr>
                              <a:xfrm>
                                <a:off x="0" y="0"/>
                                <a:ext cx="5142230" cy="2104390"/>
                                <a:chOff x="7068" y="550685"/>
                                <a:chExt cx="8098" cy="3314"/>
                              </a:xfrm>
                            </wpg:grpSpPr>
                            <wpg:grpSp>
                              <wpg:cNvPr id="290" name="组合 106"/>
                              <wpg:cNvGrpSpPr/>
                              <wpg:grpSpPr>
                                <a:xfrm>
                                  <a:off x="7068" y="550685"/>
                                  <a:ext cx="8099" cy="3314"/>
                                  <a:chOff x="7644" y="550685"/>
                                  <a:chExt cx="8099" cy="3314"/>
                                </a:xfrm>
                              </wpg:grpSpPr>
                              <wpg:grpSp>
                                <wpg:cNvPr id="292" name="组合 401"/>
                                <wpg:cNvGrpSpPr/>
                                <wpg:grpSpPr>
                                  <a:xfrm>
                                    <a:off x="7644" y="550685"/>
                                    <a:ext cx="8099" cy="3314"/>
                                    <a:chOff x="7464" y="361399"/>
                                    <a:chExt cx="8099" cy="3314"/>
                                  </a:xfrm>
                                </wpg:grpSpPr>
                                <wpg:grpSp>
                                  <wpg:cNvPr id="293" name="组合 321"/>
                                  <wpg:cNvGrpSpPr/>
                                  <wpg:grpSpPr>
                                    <a:xfrm>
                                      <a:off x="7464" y="361725"/>
                                      <a:ext cx="8099" cy="2988"/>
                                      <a:chOff x="7044" y="361125"/>
                                      <a:chExt cx="8099" cy="2988"/>
                                    </a:xfrm>
                                  </wpg:grpSpPr>
                                  <wpg:grpSp>
                                    <wpg:cNvPr id="296" name="组合 260"/>
                                    <wpg:cNvGrpSpPr/>
                                    <wpg:grpSpPr>
                                      <a:xfrm>
                                        <a:off x="7044" y="361125"/>
                                        <a:ext cx="8099" cy="2286"/>
                                        <a:chOff x="6888" y="354945"/>
                                        <a:chExt cx="8099" cy="2286"/>
                                      </a:xfrm>
                                    </wpg:grpSpPr>
                                    <wps:wsp>
                                      <wps:cNvPr id="297" name="矩形 181"/>
                                      <wps:cNvSpPr/>
                                      <wps:spPr>
                                        <a:xfrm>
                                          <a:off x="9276" y="355316"/>
                                          <a:ext cx="1307" cy="511"/>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57726AC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2" name="文本框 182"/>
                                      <wps:cNvSpPr txBox="1"/>
                                      <wps:spPr>
                                        <a:xfrm>
                                          <a:off x="6888" y="356023"/>
                                          <a:ext cx="1093" cy="4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B44CB">
                                            <w:pPr>
                                              <w:jc w:val="center"/>
                                              <w:rPr>
                                                <w:rFonts w:hint="eastAsia" w:eastAsia="宋体"/>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3" name="矩形 189"/>
                                      <wps:cNvSpPr/>
                                      <wps:spPr>
                                        <a:xfrm>
                                          <a:off x="9288" y="356720"/>
                                          <a:ext cx="1294" cy="511"/>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7852D22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食堂用水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4" name="直接箭头连接符 190"/>
                                      <wps:cNvCnPr>
                                        <a:stCxn id="375" idx="3"/>
                                      </wps:cNvCnPr>
                                      <wps:spPr>
                                        <a:xfrm flipV="1">
                                          <a:off x="7981" y="356269"/>
                                          <a:ext cx="719" cy="1"/>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5" name="肘形连接符 245"/>
                                      <wps:cNvCnPr>
                                        <a:stCxn id="374" idx="1"/>
                                        <a:endCxn id="376" idx="1"/>
                                      </wps:cNvCnPr>
                                      <wps:spPr>
                                        <a:xfrm rot="10800000" flipH="1" flipV="1">
                                          <a:off x="9276" y="355572"/>
                                          <a:ext cx="12" cy="1404"/>
                                        </a:xfrm>
                                        <a:prstGeom prst="bentConnector3">
                                          <a:avLst>
                                            <a:gd name="adj1" fmla="val -4925000"/>
                                          </a:avLst>
                                        </a:prstGeom>
                                        <a:ln w="12700">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wps:wsp>
                                      <wps:cNvPr id="306" name="直接箭头连接符 257"/>
                                      <wps:cNvCnPr>
                                        <a:stCxn id="376" idx="3"/>
                                        <a:endCxn id="107" idx="1"/>
                                      </wps:cNvCnPr>
                                      <wps:spPr>
                                        <a:xfrm flipV="1">
                                          <a:off x="10582" y="356971"/>
                                          <a:ext cx="974" cy="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7" name="矩形 259"/>
                                      <wps:cNvSpPr/>
                                      <wps:spPr>
                                        <a:xfrm>
                                          <a:off x="13476" y="354945"/>
                                          <a:ext cx="1511" cy="1265"/>
                                        </a:xfrm>
                                        <a:prstGeom prst="rect">
                                          <a:avLst/>
                                        </a:prstGeom>
                                        <a:noFill/>
                                        <a:ln w="12700" cmpd="sng">
                                          <a:solidFill>
                                            <a:schemeClr val="tx2">
                                              <a:lumMod val="40000"/>
                                              <a:lumOff val="6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4F0BCE8A">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淮北经济开发区新区污水处理厂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313" name="直接箭头连接符 291"/>
                                    <wps:cNvCnPr>
                                      <a:stCxn id="107" idx="0"/>
                                      <a:endCxn id="81" idx="2"/>
                                    </wps:cNvCnPr>
                                    <wps:spPr>
                                      <a:xfrm flipV="1">
                                        <a:off x="12258" y="362009"/>
                                        <a:ext cx="0" cy="879"/>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14" name="文本框 319"/>
                                    <wps:cNvSpPr txBox="1"/>
                                    <wps:spPr>
                                      <a:xfrm>
                                        <a:off x="13716" y="363643"/>
                                        <a:ext cx="1332"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3ECD8">
                                          <w:pPr>
                                            <w:jc w:val="center"/>
                                            <w:rPr>
                                              <w:rFonts w:hint="eastAsia"/>
                                              <w:lang w:val="en-US" w:eastAsia="zh-CN"/>
                                            </w:rPr>
                                          </w:pPr>
                                          <w:r>
                                            <w:rPr>
                                              <w:rFonts w:hint="eastAsia"/>
                                              <w:lang w:val="en-US" w:eastAsia="zh-CN"/>
                                            </w:rPr>
                                            <w:t>新濉河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5" name="直接箭头连接符 320"/>
                                    <wps:cNvCnPr>
                                      <a:stCxn id="382" idx="2"/>
                                      <a:endCxn id="384" idx="0"/>
                                    </wps:cNvCnPr>
                                    <wps:spPr>
                                      <a:xfrm flipH="1">
                                        <a:off x="14382" y="362390"/>
                                        <a:ext cx="6" cy="1253"/>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s:wsp>
                                  <wps:cNvPr id="316" name="直接箭头连接符 322"/>
                                  <wps:cNvCnPr>
                                    <a:stCxn id="374" idx="0"/>
                                    <a:endCxn id="387" idx="2"/>
                                  </wps:cNvCnPr>
                                  <wps:spPr>
                                    <a:xfrm flipV="1">
                                      <a:off x="10506" y="361844"/>
                                      <a:ext cx="379" cy="252"/>
                                    </a:xfrm>
                                    <a:prstGeom prst="straightConnector1">
                                      <a:avLst/>
                                    </a:prstGeom>
                                    <a:ln w="12700" cmpd="sng">
                                      <a:solidFill>
                                        <a:schemeClr val="tx1"/>
                                      </a:solidFill>
                                      <a:prstDash val="lgDash"/>
                                      <a:tailEnd type="arrow"/>
                                    </a:ln>
                                  </wps:spPr>
                                  <wps:style>
                                    <a:lnRef idx="2">
                                      <a:schemeClr val="accent1"/>
                                    </a:lnRef>
                                    <a:fillRef idx="0">
                                      <a:srgbClr val="FFFFFF"/>
                                    </a:fillRef>
                                    <a:effectRef idx="0">
                                      <a:srgbClr val="FFFFFF"/>
                                    </a:effectRef>
                                    <a:fontRef idx="minor">
                                      <a:schemeClr val="tx1"/>
                                    </a:fontRef>
                                  </wps:style>
                                  <wps:bodyPr/>
                                </wps:wsp>
                                <wps:wsp>
                                  <wps:cNvPr id="317" name="文本框 323"/>
                                  <wps:cNvSpPr txBox="1"/>
                                  <wps:spPr>
                                    <a:xfrm>
                                      <a:off x="10068" y="361399"/>
                                      <a:ext cx="1634"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26832">
                                        <w:pPr>
                                          <w:jc w:val="center"/>
                                          <w:rPr>
                                            <w:rFonts w:hint="default" w:eastAsia="宋体"/>
                                            <w:lang w:val="en-US" w:eastAsia="zh-CN"/>
                                          </w:rPr>
                                        </w:pPr>
                                        <w:r>
                                          <w:rPr>
                                            <w:rFonts w:hint="eastAsia"/>
                                            <w:lang w:val="en-US" w:eastAsia="zh-CN"/>
                                          </w:rPr>
                                          <w:t>损耗164.8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8" name="文本框 324"/>
                                  <wps:cNvSpPr txBox="1"/>
                                  <wps:spPr>
                                    <a:xfrm>
                                      <a:off x="10165" y="362803"/>
                                      <a:ext cx="1367"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6E4B3">
                                        <w:pPr>
                                          <w:jc w:val="center"/>
                                          <w:rPr>
                                            <w:rFonts w:hint="default" w:eastAsia="宋体"/>
                                            <w:lang w:val="en-US" w:eastAsia="zh-CN"/>
                                          </w:rPr>
                                        </w:pPr>
                                        <w:r>
                                          <w:rPr>
                                            <w:rFonts w:hint="eastAsia"/>
                                            <w:lang w:val="en-US" w:eastAsia="zh-CN"/>
                                          </w:rPr>
                                          <w:t>损耗30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5" name="直接箭头连接符 339"/>
                                  <wps:cNvCnPr>
                                    <a:stCxn id="376" idx="0"/>
                                    <a:endCxn id="388" idx="2"/>
                                  </wps:cNvCnPr>
                                  <wps:spPr>
                                    <a:xfrm flipV="1">
                                      <a:off x="10511" y="363248"/>
                                      <a:ext cx="338" cy="252"/>
                                    </a:xfrm>
                                    <a:prstGeom prst="straightConnector1">
                                      <a:avLst/>
                                    </a:prstGeom>
                                    <a:ln w="12700" cmpd="sng">
                                      <a:solidFill>
                                        <a:schemeClr val="tx1"/>
                                      </a:solidFill>
                                      <a:prstDash val="lgDash"/>
                                      <a:tailEnd type="arrow"/>
                                    </a:ln>
                                  </wps:spPr>
                                  <wps:style>
                                    <a:lnRef idx="2">
                                      <a:schemeClr val="accent1"/>
                                    </a:lnRef>
                                    <a:fillRef idx="0">
                                      <a:srgbClr val="FFFFFF"/>
                                    </a:fillRef>
                                    <a:effectRef idx="0">
                                      <a:srgbClr val="FFFFFF"/>
                                    </a:effectRef>
                                    <a:fontRef idx="minor">
                                      <a:schemeClr val="tx1"/>
                                    </a:fontRef>
                                  </wps:style>
                                  <wps:bodyPr/>
                                </wps:wsp>
                                <wps:wsp>
                                  <wps:cNvPr id="326" name="文本框 340"/>
                                  <wps:cNvSpPr txBox="1"/>
                                  <wps:spPr>
                                    <a:xfrm>
                                      <a:off x="9132" y="363295"/>
                                      <a:ext cx="866"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A04AC">
                                        <w:pPr>
                                          <w:jc w:val="center"/>
                                          <w:rPr>
                                            <w:rFonts w:hint="default" w:eastAsia="宋体"/>
                                            <w:lang w:val="en-US" w:eastAsia="zh-CN"/>
                                          </w:rPr>
                                        </w:pPr>
                                        <w:r>
                                          <w:rPr>
                                            <w:rFonts w:hint="eastAsia"/>
                                            <w:lang w:val="en-US" w:eastAsia="zh-CN"/>
                                          </w:rPr>
                                          <w:t>300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7" name="文本框 346"/>
                                  <wps:cNvSpPr txBox="1"/>
                                  <wps:spPr>
                                    <a:xfrm>
                                      <a:off x="9132" y="361927"/>
                                      <a:ext cx="699"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CDD07">
                                        <w:pPr>
                                          <w:jc w:val="center"/>
                                          <w:rPr>
                                            <w:rFonts w:hint="default" w:eastAsia="宋体"/>
                                            <w:lang w:val="en-US" w:eastAsia="zh-CN"/>
                                          </w:rPr>
                                        </w:pPr>
                                        <w:r>
                                          <w:rPr>
                                            <w:rFonts w:hint="eastAsia"/>
                                            <w:lang w:val="en-US" w:eastAsia="zh-CN"/>
                                          </w:rPr>
                                          <w:t>824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8" name="文本框 347"/>
                                  <wps:cNvSpPr txBox="1"/>
                                  <wps:spPr>
                                    <a:xfrm>
                                      <a:off x="8436" y="362551"/>
                                      <a:ext cx="866"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EB597D">
                                        <w:pPr>
                                          <w:jc w:val="center"/>
                                          <w:rPr>
                                            <w:rFonts w:hint="default" w:eastAsia="宋体"/>
                                            <w:lang w:val="en-US" w:eastAsia="zh-CN"/>
                                          </w:rPr>
                                        </w:pPr>
                                        <w:r>
                                          <w:rPr>
                                            <w:rFonts w:hint="eastAsia"/>
                                            <w:lang w:val="en-US" w:eastAsia="zh-CN"/>
                                          </w:rPr>
                                          <w:t>1124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9" name="文本框 366"/>
                                  <wps:cNvSpPr txBox="1"/>
                                  <wps:spPr>
                                    <a:xfrm>
                                      <a:off x="11280" y="363271"/>
                                      <a:ext cx="746"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7C5D0">
                                        <w:pPr>
                                          <w:jc w:val="center"/>
                                          <w:rPr>
                                            <w:rFonts w:hint="default" w:eastAsia="宋体"/>
                                            <w:lang w:val="en-US" w:eastAsia="zh-CN"/>
                                          </w:rPr>
                                        </w:pPr>
                                        <w:r>
                                          <w:rPr>
                                            <w:rFonts w:hint="eastAsia"/>
                                            <w:lang w:val="en-US" w:eastAsia="zh-CN"/>
                                          </w:rPr>
                                          <w:t>270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0" name="文本框 368"/>
                                  <wps:cNvSpPr txBox="1"/>
                                  <wps:spPr>
                                    <a:xfrm>
                                      <a:off x="12528" y="362863"/>
                                      <a:ext cx="831"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C1081E">
                                        <w:pPr>
                                          <w:jc w:val="center"/>
                                          <w:rPr>
                                            <w:rFonts w:hint="default" w:eastAsia="宋体"/>
                                            <w:lang w:val="en-US" w:eastAsia="zh-CN"/>
                                          </w:rPr>
                                        </w:pPr>
                                        <w:r>
                                          <w:rPr>
                                            <w:rFonts w:hint="eastAsia"/>
                                            <w:lang w:val="en-US" w:eastAsia="zh-CN"/>
                                          </w:rPr>
                                          <w:t>270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1" name="文本框 369"/>
                                  <wps:cNvSpPr txBox="1"/>
                                  <wps:spPr>
                                    <a:xfrm>
                                      <a:off x="13224" y="361915"/>
                                      <a:ext cx="866"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68D58">
                                        <w:pPr>
                                          <w:jc w:val="center"/>
                                          <w:rPr>
                                            <w:rFonts w:hint="default" w:eastAsia="宋体"/>
                                            <w:lang w:val="en-US" w:eastAsia="zh-CN"/>
                                          </w:rPr>
                                        </w:pPr>
                                        <w:r>
                                          <w:rPr>
                                            <w:rFonts w:hint="eastAsia"/>
                                            <w:lang w:val="en-US" w:eastAsia="zh-CN"/>
                                          </w:rPr>
                                          <w:t>929.2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32" name="组合 105"/>
                                <wpg:cNvGrpSpPr/>
                                <wpg:grpSpPr>
                                  <a:xfrm>
                                    <a:off x="11339" y="551370"/>
                                    <a:ext cx="2064" cy="525"/>
                                    <a:chOff x="11339" y="551370"/>
                                    <a:chExt cx="2064" cy="525"/>
                                  </a:xfrm>
                                </wpg:grpSpPr>
                                <wps:wsp>
                                  <wps:cNvPr id="333" name="矩形 246"/>
                                  <wps:cNvSpPr/>
                                  <wps:spPr>
                                    <a:xfrm>
                                      <a:off x="12312" y="551370"/>
                                      <a:ext cx="1091" cy="525"/>
                                    </a:xfrm>
                                    <a:prstGeom prst="rect">
                                      <a:avLst/>
                                    </a:prstGeom>
                                    <a:noFill/>
                                    <a:ln w="12700" cmpd="sng">
                                      <a:solidFill>
                                        <a:schemeClr val="tx2">
                                          <a:lumMod val="40000"/>
                                          <a:lumOff val="6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6A3C22C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4" name="直接箭头连接符 257"/>
                                  <wps:cNvCnPr>
                                    <a:stCxn id="374" idx="3"/>
                                    <a:endCxn id="81" idx="1"/>
                                  </wps:cNvCnPr>
                                  <wps:spPr>
                                    <a:xfrm flipV="1">
                                      <a:off x="11339" y="551633"/>
                                      <a:ext cx="973" cy="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grpSp>
                            <wps:wsp>
                              <wps:cNvPr id="335" name="矩形 246"/>
                              <wps:cNvSpPr/>
                              <wps:spPr>
                                <a:xfrm>
                                  <a:off x="11736" y="552774"/>
                                  <a:ext cx="1091" cy="525"/>
                                </a:xfrm>
                                <a:prstGeom prst="rect">
                                  <a:avLst/>
                                </a:prstGeom>
                                <a:noFill/>
                                <a:ln w="12700" cmpd="sng">
                                  <a:solidFill>
                                    <a:schemeClr val="tx2">
                                      <a:lumMod val="40000"/>
                                      <a:lumOff val="6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5A4FE07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隔油池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6" name="文本框 366"/>
                              <wps:cNvSpPr txBox="1"/>
                              <wps:spPr>
                                <a:xfrm>
                                  <a:off x="10812" y="551177"/>
                                  <a:ext cx="841" cy="42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BB3AC">
                                    <w:pPr>
                                      <w:jc w:val="center"/>
                                      <w:rPr>
                                        <w:rFonts w:hint="default" w:eastAsia="宋体"/>
                                        <w:lang w:val="en-US" w:eastAsia="zh-CN"/>
                                      </w:rPr>
                                    </w:pPr>
                                    <w:r>
                                      <w:rPr>
                                        <w:rFonts w:hint="eastAsia"/>
                                        <w:lang w:val="en-US" w:eastAsia="zh-CN"/>
                                      </w:rPr>
                                      <w:t>659.2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7" name="直接箭头连接符 320"/>
                              <wps:cNvCnPr>
                                <a:stCxn id="81" idx="3"/>
                                <a:endCxn id="382" idx="1"/>
                              </wps:cNvCnPr>
                              <wps:spPr>
                                <a:xfrm>
                                  <a:off x="12827" y="551633"/>
                                  <a:ext cx="829" cy="11"/>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38" name="文本框 369"/>
                              <wps:cNvSpPr txBox="1"/>
                              <wps:spPr>
                                <a:xfrm>
                                  <a:off x="13620" y="552593"/>
                                  <a:ext cx="866"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6FC56">
                                    <w:pPr>
                                      <w:jc w:val="center"/>
                                      <w:rPr>
                                        <w:rFonts w:hint="default" w:eastAsia="宋体"/>
                                        <w:lang w:val="en-US" w:eastAsia="zh-CN"/>
                                      </w:rPr>
                                    </w:pPr>
                                    <w:r>
                                      <w:rPr>
                                        <w:rFonts w:hint="eastAsia"/>
                                        <w:lang w:val="en-US" w:eastAsia="zh-CN"/>
                                      </w:rPr>
                                      <w:t>929.2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95pt;margin-top:11pt;height:165.7pt;width:404.9pt;z-index:251667456;mso-width-relative:page;mso-height-relative:page;" coordorigin="7068,550685" coordsize="8098,3314" o:gfxdata="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">
                      <o:lock v:ext="edit" aspectratio="f"/>
                      <v:group id="组合 106" o:spid="_x0000_s1026" o:spt="203" style="position:absolute;left:7068;top:550685;height:3314;width:8099;" coordorigin="7644,550685" coordsize="8099,3314" o:gfxdata="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WkqvAAAANwAAAAPAAAAAAAAAAEAIAAAACIAAABkcnMvZG93bnJldi54bWxQ&#10;SwECFAAUAAAACACHTuJAMy8FnjsAAAA5AAAAFQAAAAAAAAABACAAAAALAQAAZHJzL2dyb3Vwc2hh&#10;cGV4bWwueG1sUEsFBgAAAAAGAAYAYAEAAMgDAAAAAA==&#10;">
                        <o:lock v:ext="edit" aspectratio="f"/>
                        <v:group id="组合 401" o:spid="_x0000_s1026" o:spt="203" style="position:absolute;left:7644;top:550685;height:3314;width:8099;" coordorigin="7464,361399" coordsize="8099,3314"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o:lock v:ext="edit" aspectratio="f"/>
                          <v:group id="组合 321" o:spid="_x0000_s1026" o:spt="203" style="position:absolute;left:7464;top:361725;height:2988;width:8099;" coordorigin="7044,361125" coordsize="8099,2988" o:gfxdata="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Z/ddvwAAANwAAAAPAAAAAAAAAAEAIAAAACIAAABkcnMvZG93bnJldi54&#10;bWxQSwECFAAUAAAACACHTuJAMy8FnjsAAAA5AAAAFQAAAAAAAAABACAAAAAOAQAAZHJzL2dyb3Vw&#10;c2hhcGV4bWwueG1sUEsFBgAAAAAGAAYAYAEAAMsDAAAAAA==&#10;">
                            <o:lock v:ext="edit" aspectratio="f"/>
                            <v:group id="组合 260" o:spid="_x0000_s1026" o:spt="203" style="position:absolute;left:7044;top:361125;height:2286;width:8099;" coordorigin="6888,354945" coordsize="8099,2286"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rect id="矩形 181" o:spid="_x0000_s1026" o:spt="1" style="position:absolute;left:9276;top:355316;height:511;width:1307;v-text-anchor:middle;" filled="f" stroked="t" coordsize="21600,21600" o:gfxdata="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o/zi/&#10;AAAA3AAAAA8AAAAAAAAAAQAgAAAAIgAAAGRycy9kb3ducmV2LnhtbFBLAQIUABQAAAAIAIdO4kAz&#10;LwWeOwAAADkAAAAQAAAAAAAAAAEAIAAAAA4BAABkcnMvc2hhcGV4bWwueG1sUEsFBgAAAAAGAAYA&#10;WwEAALgDAAAAAA==&#10;">
                                <v:fill on="f" focussize="0,0"/>
                                <v:stroke weight="1pt" color="#000000 [3213]" joinstyle="round"/>
                                <v:imagedata o:title=""/>
                                <o:lock v:ext="edit" aspectratio="f"/>
                                <v:textbox>
                                  <w:txbxContent>
                                    <w:p w14:paraId="57726AC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生活用水</w:t>
                                      </w:r>
                                    </w:p>
                                  </w:txbxContent>
                                </v:textbox>
                              </v:rect>
                              <v:shape id="文本框 182" o:spid="_x0000_s1026" o:spt="202" type="#_x0000_t202" style="position:absolute;left:6888;top:356023;height:493;width:1093;" filled="f" stroked="f" coordsize="21600,21600" o:gfxdata="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kFi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C2B44CB">
                                      <w:pPr>
                                        <w:jc w:val="center"/>
                                        <w:rPr>
                                          <w:rFonts w:hint="eastAsia" w:eastAsia="宋体"/>
                                          <w:lang w:val="en-US" w:eastAsia="zh-CN"/>
                                        </w:rPr>
                                      </w:pPr>
                                      <w:r>
                                        <w:rPr>
                                          <w:rFonts w:hint="eastAsia"/>
                                          <w:lang w:val="en-US" w:eastAsia="zh-CN"/>
                                        </w:rPr>
                                        <w:t>新鲜水</w:t>
                                      </w:r>
                                    </w:p>
                                  </w:txbxContent>
                                </v:textbox>
                              </v:shape>
                              <v:rect id="矩形 189" o:spid="_x0000_s1026" o:spt="1" style="position:absolute;left:9288;top:356720;height:511;width:1294;v-text-anchor:middle;" filled="f" stroked="t" coordsize="21600,21600" o:gfxdata="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jIb4A&#10;AADc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textbox>
                                  <w:txbxContent>
                                    <w:p w14:paraId="7852D22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食堂用水</w:t>
                                      </w:r>
                                    </w:p>
                                  </w:txbxContent>
                                </v:textbox>
                              </v:rect>
                              <v:shape id="直接箭头连接符 190" o:spid="_x0000_s1026" o:spt="32" type="#_x0000_t32" style="position:absolute;left:7981;top:356269;flip:y;height:1;width:719;" filled="f" stroked="t" coordsize="21600,21600" o:gfxdata="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xlQ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肘形连接符 245" o:spid="_x0000_s1026" o:spt="34" type="#_x0000_t34" style="position:absolute;left:9276;top:355572;flip:x y;height:1404;width:12;rotation:11796480f;" filled="f" stroked="t" coordsize="21600,21600" o:gfxdata="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Kli4&#10;wAAAANwAAAAPAAAAAAAAAAEAIAAAACIAAABkcnMvZG93bnJldi54bWxQSwECFAAUAAAACACHTuJA&#10;My8FnjsAAAA5AAAAEAAAAAAAAAABACAAAAAPAQAAZHJzL3NoYXBleG1sLnhtbFBLBQYAAAAABgAG&#10;AFsBAAC5AwAAAAA=&#10;" adj="-1063800">
                                <v:fill on="f" focussize="0,0"/>
                                <v:stroke weight="1pt" color="#000000 [3213]" joinstyle="round" startarrow="open" endarrow="open"/>
                                <v:imagedata o:title=""/>
                                <o:lock v:ext="edit" aspectratio="f"/>
                              </v:shape>
                              <v:shape id="直接箭头连接符 257" o:spid="_x0000_s1026" o:spt="32" type="#_x0000_t32" style="position:absolute;left:10582;top:356971;flip:y;height:5;width:974;" filled="f" stroked="t" coordsize="21600,21600" o:gfxdata="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Jer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rect id="矩形 259" o:spid="_x0000_s1026" o:spt="1" style="position:absolute;left:13476;top:354945;height:1265;width:1511;v-text-anchor:middle;" filled="f" stroked="t" coordsize="21600,21600" o:gfxdata="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Z8YC/&#10;AAAA3AAAAA8AAAAAAAAAAQAgAAAAIgAAAGRycy9kb3ducmV2LnhtbFBLAQIUABQAAAAIAIdO4kAz&#10;LwWeOwAAADkAAAAQAAAAAAAAAAEAIAAAAA4BAABkcnMvc2hhcGV4bWwueG1sUEsFBgAAAAAGAAYA&#10;WwEAALgDAAAAAA==&#10;">
                                <v:fill on="f" focussize="0,0"/>
                                <v:stroke weight="1pt" color="#8EB4E3 [1311]" joinstyle="round"/>
                                <v:imagedata o:title=""/>
                                <o:lock v:ext="edit" aspectratio="f"/>
                                <v:textbox>
                                  <w:txbxContent>
                                    <w:p w14:paraId="4F0BCE8A">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淮北经济开发区新区污水处理厂</w:t>
                                      </w:r>
                                    </w:p>
                                  </w:txbxContent>
                                </v:textbox>
                              </v:rect>
                            </v:group>
                            <v:shape id="直接箭头连接符 291" o:spid="_x0000_s1026" o:spt="32" type="#_x0000_t32" style="position:absolute;left:12258;top:362009;flip:y;height:879;width:0;" filled="f" stroked="t" coordsize="21600,21600" o:gfxdata="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ca+i/&#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319" o:spid="_x0000_s1026" o:spt="202" type="#_x0000_t202" style="position:absolute;left:13716;top:363643;height:470;width:1332;" filled="f" stroked="f" coordsize="21600,21600" o:gfxdata="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zz&#10;s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3073ECD8">
                                    <w:pPr>
                                      <w:jc w:val="center"/>
                                      <w:rPr>
                                        <w:rFonts w:hint="eastAsia"/>
                                        <w:lang w:val="en-US" w:eastAsia="zh-CN"/>
                                      </w:rPr>
                                    </w:pPr>
                                    <w:r>
                                      <w:rPr>
                                        <w:rFonts w:hint="eastAsia"/>
                                        <w:lang w:val="en-US" w:eastAsia="zh-CN"/>
                                      </w:rPr>
                                      <w:t>新濉河</w:t>
                                    </w:r>
                                  </w:p>
                                </w:txbxContent>
                              </v:textbox>
                            </v:shape>
                            <v:shape id="直接箭头连接符 320" o:spid="_x0000_s1026" o:spt="32" type="#_x0000_t32" style="position:absolute;left:14382;top:362390;flip:x;height:1253;width:6;" filled="f" stroked="t" coordsize="21600,21600" o:gfxdata="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5Vge/&#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group>
                          <v:shape id="直接箭头连接符 322" o:spid="_x0000_s1026" o:spt="32" type="#_x0000_t32" style="position:absolute;left:10506;top:361844;flip:y;height:252;width:379;" filled="f" stroked="t" coordsize="21600,21600" o:gfxdata="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1eaIvQAA&#10;ANwAAAAPAAAAAAAAAAEAIAAAACIAAABkcnMvZG93bnJldi54bWxQSwECFAAUAAAACACHTuJAMy8F&#10;njsAAAA5AAAAEAAAAAAAAAABACAAAAAMAQAAZHJzL3NoYXBleG1sLnhtbFBLBQYAAAAABgAGAFsB&#10;AAC2AwAAAAA=&#10;">
                            <v:fill on="f" focussize="0,0"/>
                            <v:stroke weight="1pt" color="#000000 [3213]" joinstyle="round" dashstyle="longDash" endarrow="open"/>
                            <v:imagedata o:title=""/>
                            <o:lock v:ext="edit" aspectratio="f"/>
                          </v:shape>
                          <v:shape id="文本框 323" o:spid="_x0000_s1026" o:spt="202" type="#_x0000_t202" style="position:absolute;left:10068;top:361399;height:445;width:1634;" filled="f" stroked="f" coordsize="21600,21600" o:gfxdata="UEsDBAoAAAAAAIdO4kAAAAAAAAAAAAAAAAAEAAAAZHJzL1BLAwQUAAAACACHTuJACD5txsEAAADc&#10;AAAADwAAAGRycy9kb3ducmV2LnhtbEWPT2vCQBTE74V+h+UVequbWGwl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5t&#10;x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1DE26832">
                                  <w:pPr>
                                    <w:jc w:val="center"/>
                                    <w:rPr>
                                      <w:rFonts w:hint="default" w:eastAsia="宋体"/>
                                      <w:lang w:val="en-US" w:eastAsia="zh-CN"/>
                                    </w:rPr>
                                  </w:pPr>
                                  <w:r>
                                    <w:rPr>
                                      <w:rFonts w:hint="eastAsia"/>
                                      <w:lang w:val="en-US" w:eastAsia="zh-CN"/>
                                    </w:rPr>
                                    <w:t>损耗164.8</w:t>
                                  </w:r>
                                </w:p>
                              </w:txbxContent>
                            </v:textbox>
                          </v:shape>
                          <v:shape id="文本框 324" o:spid="_x0000_s1026" o:spt="202" type="#_x0000_t202" style="position:absolute;left:10165;top:362803;height:445;width:1367;" filled="f" stroked="f" coordsize="21600,21600" o:gfxdata="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ofm0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9E6E4B3">
                                  <w:pPr>
                                    <w:jc w:val="center"/>
                                    <w:rPr>
                                      <w:rFonts w:hint="default" w:eastAsia="宋体"/>
                                      <w:lang w:val="en-US" w:eastAsia="zh-CN"/>
                                    </w:rPr>
                                  </w:pPr>
                                  <w:r>
                                    <w:rPr>
                                      <w:rFonts w:hint="eastAsia"/>
                                      <w:lang w:val="en-US" w:eastAsia="zh-CN"/>
                                    </w:rPr>
                                    <w:t>损耗30</w:t>
                                  </w:r>
                                </w:p>
                              </w:txbxContent>
                            </v:textbox>
                          </v:shape>
                          <v:shape id="直接箭头连接符 339" o:spid="_x0000_s1026" o:spt="32" type="#_x0000_t32" style="position:absolute;left:10511;top:363248;flip:y;height:252;width:338;" filled="f" stroked="t" coordsize="21600,21600" o:gfxdata="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uyQr4A&#10;AADcAAAADwAAAAAAAAABACAAAAAiAAAAZHJzL2Rvd25yZXYueG1sUEsBAhQAFAAAAAgAh07iQDMv&#10;BZ47AAAAOQAAABAAAAAAAAAAAQAgAAAADQEAAGRycy9zaGFwZXhtbC54bWxQSwUGAAAAAAYABgBb&#10;AQAAtwMAAAAA&#10;">
                            <v:fill on="f" focussize="0,0"/>
                            <v:stroke weight="1pt" color="#000000 [3213]" joinstyle="round" dashstyle="longDash" endarrow="open"/>
                            <v:imagedata o:title=""/>
                            <o:lock v:ext="edit" aspectratio="f"/>
                          </v:shape>
                          <v:shape id="文本框 340" o:spid="_x0000_s1026" o:spt="202" type="#_x0000_t202" style="position:absolute;left:9132;top:363295;height:445;width:866;" filled="f" stroked="f" coordsize="21600,21600" o:gfxdata="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gL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7E4A04AC">
                                  <w:pPr>
                                    <w:jc w:val="center"/>
                                    <w:rPr>
                                      <w:rFonts w:hint="default" w:eastAsia="宋体"/>
                                      <w:lang w:val="en-US" w:eastAsia="zh-CN"/>
                                    </w:rPr>
                                  </w:pPr>
                                  <w:r>
                                    <w:rPr>
                                      <w:rFonts w:hint="eastAsia"/>
                                      <w:lang w:val="en-US" w:eastAsia="zh-CN"/>
                                    </w:rPr>
                                    <w:t>300</w:t>
                                  </w:r>
                                </w:p>
                              </w:txbxContent>
                            </v:textbox>
                          </v:shape>
                          <v:shape id="文本框 346" o:spid="_x0000_s1026" o:spt="202" type="#_x0000_t202" style="position:absolute;left:9132;top:361927;height:445;width:699;" filled="f" stroked="f" coordsize="21600,21600" o:gfxdata="UEsDBAoAAAAAAIdO4kAAAAAAAAAAAAAAAAAEAAAAZHJzL1BLAwQUAAAACACHTuJAxlKne78AAADc&#10;AAAADwAAAGRycy9kb3ducmV2LnhtbEWPT4vCMBTE78J+h/AW9qapFV2p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Sp3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18CDD07">
                                  <w:pPr>
                                    <w:jc w:val="center"/>
                                    <w:rPr>
                                      <w:rFonts w:hint="default" w:eastAsia="宋体"/>
                                      <w:lang w:val="en-US" w:eastAsia="zh-CN"/>
                                    </w:rPr>
                                  </w:pPr>
                                  <w:r>
                                    <w:rPr>
                                      <w:rFonts w:hint="eastAsia"/>
                                      <w:lang w:val="en-US" w:eastAsia="zh-CN"/>
                                    </w:rPr>
                                    <w:t>824</w:t>
                                  </w:r>
                                </w:p>
                              </w:txbxContent>
                            </v:textbox>
                          </v:shape>
                          <v:shape id="文本框 347" o:spid="_x0000_s1026" o:spt="202" type="#_x0000_t202" style="position:absolute;left:8436;top:362551;height:445;width:866;" filled="f" stroked="f" coordsize="21600,21600" o:gfxdata="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zTM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4EB597D">
                                  <w:pPr>
                                    <w:jc w:val="center"/>
                                    <w:rPr>
                                      <w:rFonts w:hint="default" w:eastAsia="宋体"/>
                                      <w:lang w:val="en-US" w:eastAsia="zh-CN"/>
                                    </w:rPr>
                                  </w:pPr>
                                  <w:r>
                                    <w:rPr>
                                      <w:rFonts w:hint="eastAsia"/>
                                      <w:lang w:val="en-US" w:eastAsia="zh-CN"/>
                                    </w:rPr>
                                    <w:t>1124</w:t>
                                  </w:r>
                                </w:p>
                              </w:txbxContent>
                            </v:textbox>
                          </v:shape>
                          <v:shape id="文本框 366" o:spid="_x0000_s1026" o:spt="202" type="#_x0000_t202" style="position:absolute;left:11280;top:363271;height:445;width:746;" filled="f" stroked="f" coordsize="21600,21600" o:gfxdata="UEsDBAoAAAAAAIdO4kAAAAAAAAAAAAAAAAAEAAAAZHJzL1BLAwQUAAAACACHTuJA2IGWkr8AAADc&#10;AAAADwAAAGRycy9kb3ducmV2LnhtbEWPT4vCMBTE78J+h/AW9qapFcWt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Blp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AB7C5D0">
                                  <w:pPr>
                                    <w:jc w:val="center"/>
                                    <w:rPr>
                                      <w:rFonts w:hint="default" w:eastAsia="宋体"/>
                                      <w:lang w:val="en-US" w:eastAsia="zh-CN"/>
                                    </w:rPr>
                                  </w:pPr>
                                  <w:r>
                                    <w:rPr>
                                      <w:rFonts w:hint="eastAsia"/>
                                      <w:lang w:val="en-US" w:eastAsia="zh-CN"/>
                                    </w:rPr>
                                    <w:t>270</w:t>
                                  </w:r>
                                </w:p>
                              </w:txbxContent>
                            </v:textbox>
                          </v:shape>
                          <v:shape id="文本框 368" o:spid="_x0000_s1026" o:spt="202" type="#_x0000_t202" style="position:absolute;left:12528;top:362863;height:445;width:831;" filled="f" stroked="f" coordsize="21600,21600" o:gfxdata="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YqnS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7C1081E">
                                  <w:pPr>
                                    <w:jc w:val="center"/>
                                    <w:rPr>
                                      <w:rFonts w:hint="default" w:eastAsia="宋体"/>
                                      <w:lang w:val="en-US" w:eastAsia="zh-CN"/>
                                    </w:rPr>
                                  </w:pPr>
                                  <w:r>
                                    <w:rPr>
                                      <w:rFonts w:hint="eastAsia"/>
                                      <w:lang w:val="en-US" w:eastAsia="zh-CN"/>
                                    </w:rPr>
                                    <w:t>270</w:t>
                                  </w:r>
                                </w:p>
                              </w:txbxContent>
                            </v:textbox>
                          </v:shape>
                          <v:shape id="文本框 369" o:spid="_x0000_s1026" o:spt="202" type="#_x0000_t202" style="position:absolute;left:13224;top:361915;height:445;width:866;" filled="f" stroked="f" coordsize="21600,21600" o:gfxdata="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LgxJ&#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6D68D58">
                                  <w:pPr>
                                    <w:jc w:val="center"/>
                                    <w:rPr>
                                      <w:rFonts w:hint="default" w:eastAsia="宋体"/>
                                      <w:lang w:val="en-US" w:eastAsia="zh-CN"/>
                                    </w:rPr>
                                  </w:pPr>
                                  <w:r>
                                    <w:rPr>
                                      <w:rFonts w:hint="eastAsia"/>
                                      <w:lang w:val="en-US" w:eastAsia="zh-CN"/>
                                    </w:rPr>
                                    <w:t>929.2</w:t>
                                  </w:r>
                                </w:p>
                              </w:txbxContent>
                            </v:textbox>
                          </v:shape>
                        </v:group>
                        <v:group id="组合 105" o:spid="_x0000_s1026" o:spt="203" style="position:absolute;left:11339;top:551370;height:525;width:2064;" coordorigin="11339,551370" coordsize="2064,525"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f"/>
                          <v:rect id="矩形 246" o:spid="_x0000_s1026" o:spt="1" style="position:absolute;left:12312;top:551370;height:525;width:1091;v-text-anchor:middle;" filled="f" stroked="t" coordsize="21600,21600" o:gfxdata="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OPT6/&#10;AAAA3AAAAA8AAAAAAAAAAQAgAAAAIgAAAGRycy9kb3ducmV2LnhtbFBLAQIUABQAAAAIAIdO4kAz&#10;LwWeOwAAADkAAAAQAAAAAAAAAAEAIAAAAA4BAABkcnMvc2hhcGV4bWwueG1sUEsFBgAAAAAGAAYA&#10;WwEAALgDAAAAAA==&#10;">
                            <v:fill on="f" focussize="0,0"/>
                            <v:stroke weight="1pt" color="#8EB4E3 [1311]" joinstyle="round"/>
                            <v:imagedata o:title=""/>
                            <o:lock v:ext="edit" aspectratio="f"/>
                            <v:textbox>
                              <w:txbxContent>
                                <w:p w14:paraId="6A3C22C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化粪池</w:t>
                                  </w:r>
                                </w:p>
                              </w:txbxContent>
                            </v:textbox>
                          </v:rect>
                          <v:shape id="直接箭头连接符 257" o:spid="_x0000_s1026" o:spt="32" type="#_x0000_t32" style="position:absolute;left:11339;top:551633;flip:y;height:5;width:973;" filled="f" stroked="t" coordsize="21600,21600" o:gfxdata="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AK/8&#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group>
                      </v:group>
                      <v:rect id="矩形 246" o:spid="_x0000_s1026" o:spt="1" style="position:absolute;left:11736;top:552774;height:525;width:1091;v-text-anchor:middle;" filled="f" stroked="t" coordsize="21600,21600" o:gfxdata="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rANG/&#10;AAAA3AAAAA8AAAAAAAAAAQAgAAAAIgAAAGRycy9kb3ducmV2LnhtbFBLAQIUABQAAAAIAIdO4kAz&#10;LwWeOwAAADkAAAAQAAAAAAAAAAEAIAAAAA4BAABkcnMvc2hhcGV4bWwueG1sUEsFBgAAAAAGAAYA&#10;WwEAALgDAAAAAA==&#10;">
                        <v:fill on="f" focussize="0,0"/>
                        <v:stroke weight="1pt" color="#8EB4E3 [1311]" joinstyle="round"/>
                        <v:imagedata o:title=""/>
                        <o:lock v:ext="edit" aspectratio="f"/>
                        <v:textbox>
                          <w:txbxContent>
                            <w:p w14:paraId="5A4FE07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隔油池</w:t>
                              </w:r>
                            </w:p>
                          </w:txbxContent>
                        </v:textbox>
                      </v:rect>
                      <v:shape id="文本框 366" o:spid="_x0000_s1026" o:spt="202" type="#_x0000_t202" style="position:absolute;left:10812;top:551177;height:421;width:841;" filled="f" stroked="f" coordsize="21600,21600" o:gfxdata="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x5Q9&#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757BB3AC">
                              <w:pPr>
                                <w:jc w:val="center"/>
                                <w:rPr>
                                  <w:rFonts w:hint="default" w:eastAsia="宋体"/>
                                  <w:lang w:val="en-US" w:eastAsia="zh-CN"/>
                                </w:rPr>
                              </w:pPr>
                              <w:r>
                                <w:rPr>
                                  <w:rFonts w:hint="eastAsia"/>
                                  <w:lang w:val="en-US" w:eastAsia="zh-CN"/>
                                </w:rPr>
                                <w:t>659.2</w:t>
                              </w:r>
                            </w:p>
                          </w:txbxContent>
                        </v:textbox>
                      </v:shape>
                      <v:shape id="直接箭头连接符 320" o:spid="_x0000_s1026" o:spt="32" type="#_x0000_t32" style="position:absolute;left:12827;top:551633;height:11;width:829;" filled="f" stroked="t" coordsize="21600,21600" o:gfxdata="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90M2/&#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369" o:spid="_x0000_s1026" o:spt="202" type="#_x0000_t202" style="position:absolute;left:13620;top:552593;height:445;width:866;" filled="f" stroked="f" coordsize="21600,21600" o:gfxdata="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KXU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D86FC56">
                              <w:pPr>
                                <w:jc w:val="center"/>
                                <w:rPr>
                                  <w:rFonts w:hint="default" w:eastAsia="宋体"/>
                                  <w:lang w:val="en-US" w:eastAsia="zh-CN"/>
                                </w:rPr>
                              </w:pPr>
                              <w:r>
                                <w:rPr>
                                  <w:rFonts w:hint="eastAsia"/>
                                  <w:lang w:val="en-US" w:eastAsia="zh-CN"/>
                                </w:rPr>
                                <w:t>929.2</w:t>
                              </w:r>
                            </w:p>
                          </w:txbxContent>
                        </v:textbox>
                      </v:shape>
                    </v:group>
                  </w:pict>
                </mc:Fallback>
              </mc:AlternateContent>
            </w:r>
          </w:p>
          <w:p w14:paraId="0E95D4F2">
            <w:pPr>
              <w:autoSpaceDE w:val="0"/>
              <w:autoSpaceDN w:val="0"/>
              <w:adjustRightInd w:val="0"/>
              <w:snapToGrid w:val="0"/>
              <w:spacing w:line="360" w:lineRule="auto"/>
              <w:jc w:val="left"/>
              <w:rPr>
                <w:rFonts w:hint="eastAsia"/>
                <w:sz w:val="24"/>
                <w:lang w:val="en-US" w:eastAsia="zh-CN"/>
              </w:rPr>
            </w:pPr>
          </w:p>
          <w:p w14:paraId="0039CE3D">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p>
          <w:p w14:paraId="53025809">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p>
          <w:p w14:paraId="42B87183">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p>
          <w:p w14:paraId="630F04EC">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p>
          <w:p w14:paraId="49964F48">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p>
          <w:p w14:paraId="42E94EC8">
            <w:pPr>
              <w:autoSpaceDE w:val="0"/>
              <w:autoSpaceDN w:val="0"/>
              <w:adjustRightInd w:val="0"/>
              <w:snapToGrid w:val="0"/>
              <w:spacing w:line="360" w:lineRule="auto"/>
              <w:jc w:val="left"/>
              <w:rPr>
                <w:rFonts w:hint="eastAsia" w:ascii="宋体" w:hAnsi="宋体" w:cs="宋体"/>
                <w:b w:val="0"/>
                <w:bCs w:val="0"/>
                <w:kern w:val="0"/>
                <w:sz w:val="24"/>
                <w:szCs w:val="24"/>
                <w:lang w:val="en-US" w:eastAsia="zh-CN"/>
              </w:rPr>
            </w:pPr>
          </w:p>
          <w:p w14:paraId="7B5F0E0B">
            <w:pPr>
              <w:bidi w:val="0"/>
              <w:rPr>
                <w:rFonts w:hint="eastAsia"/>
                <w:lang w:val="en-US" w:eastAsia="zh-CN"/>
              </w:rPr>
            </w:pPr>
          </w:p>
          <w:p w14:paraId="279D9050">
            <w:pPr>
              <w:bidi w:val="0"/>
              <w:rPr>
                <w:rFonts w:hint="eastAsia"/>
                <w:lang w:val="en-US" w:eastAsia="zh-CN"/>
              </w:rPr>
            </w:pPr>
          </w:p>
          <w:p w14:paraId="29C30A09">
            <w:pPr>
              <w:autoSpaceDE w:val="0"/>
              <w:autoSpaceDN w:val="0"/>
              <w:adjustRightInd w:val="0"/>
              <w:snapToGrid w:val="0"/>
              <w:spacing w:line="360" w:lineRule="auto"/>
              <w:jc w:val="center"/>
              <w:rPr>
                <w:rFonts w:hint="eastAsia" w:ascii="宋体" w:hAnsi="宋体" w:cs="宋体"/>
                <w:b w:val="0"/>
                <w:bCs w:val="0"/>
                <w:kern w:val="0"/>
                <w:sz w:val="24"/>
                <w:szCs w:val="24"/>
                <w:lang w:val="en-US" w:eastAsia="zh-CN"/>
              </w:rPr>
            </w:pPr>
            <w:r>
              <w:rPr>
                <w:rFonts w:hint="eastAsia" w:cs="Times New Roman"/>
                <w:b/>
                <w:bCs/>
                <w:sz w:val="22"/>
                <w:szCs w:val="22"/>
                <w:lang w:val="en-US" w:eastAsia="zh-CN"/>
              </w:rPr>
              <w:t>图2-2</w:t>
            </w:r>
            <w:r>
              <w:rPr>
                <w:rFonts w:hint="default" w:cs="Times New Roman"/>
                <w:b/>
                <w:bCs/>
                <w:sz w:val="22"/>
                <w:szCs w:val="22"/>
                <w:lang w:val="en-US" w:eastAsia="zh-CN"/>
              </w:rPr>
              <w:t xml:space="preserve"> </w:t>
            </w:r>
            <w:r>
              <w:rPr>
                <w:rFonts w:hint="eastAsia" w:cs="Times New Roman"/>
                <w:b/>
                <w:bCs/>
                <w:sz w:val="22"/>
                <w:szCs w:val="22"/>
                <w:lang w:val="en-US" w:eastAsia="zh-CN"/>
              </w:rPr>
              <w:t>技改前水平衡图（t/a）</w:t>
            </w:r>
          </w:p>
          <w:p w14:paraId="1DACC2DE">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p>
          <w:p w14:paraId="45AD49B8">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r>
              <w:rPr>
                <w:sz w:val="24"/>
              </w:rPr>
              <mc:AlternateContent>
                <mc:Choice Requires="wpg">
                  <w:drawing>
                    <wp:anchor distT="0" distB="0" distL="114300" distR="114300" simplePos="0" relativeHeight="251668480" behindDoc="0" locked="0" layoutInCell="1" allowOverlap="1">
                      <wp:simplePos x="0" y="0"/>
                      <wp:positionH relativeFrom="column">
                        <wp:posOffset>75565</wp:posOffset>
                      </wp:positionH>
                      <wp:positionV relativeFrom="paragraph">
                        <wp:posOffset>106045</wp:posOffset>
                      </wp:positionV>
                      <wp:extent cx="5134610" cy="2034540"/>
                      <wp:effectExtent l="0" t="0" r="17145" b="0"/>
                      <wp:wrapNone/>
                      <wp:docPr id="341" name="组合 341"/>
                      <wp:cNvGraphicFramePr/>
                      <a:graphic xmlns:a="http://schemas.openxmlformats.org/drawingml/2006/main">
                        <a:graphicData uri="http://schemas.microsoft.com/office/word/2010/wordprocessingGroup">
                          <wpg:wgp>
                            <wpg:cNvGrpSpPr/>
                            <wpg:grpSpPr>
                              <a:xfrm>
                                <a:off x="0" y="0"/>
                                <a:ext cx="5134610" cy="2034540"/>
                                <a:chOff x="7080" y="555621"/>
                                <a:chExt cx="8086" cy="3204"/>
                              </a:xfrm>
                            </wpg:grpSpPr>
                            <wps:wsp>
                              <wps:cNvPr id="342" name="直接箭头连接符 124"/>
                              <wps:cNvCnPr>
                                <a:stCxn id="181" idx="3"/>
                                <a:endCxn id="122" idx="1"/>
                              </wps:cNvCnPr>
                              <wps:spPr>
                                <a:xfrm>
                                  <a:off x="10775" y="556574"/>
                                  <a:ext cx="925" cy="3"/>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43" name="文本框 125"/>
                              <wps:cNvSpPr txBox="1"/>
                              <wps:spPr>
                                <a:xfrm>
                                  <a:off x="10848" y="556113"/>
                                  <a:ext cx="721"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19CF9">
                                    <w:pPr>
                                      <w:jc w:val="center"/>
                                      <w:rPr>
                                        <w:rFonts w:hint="default" w:eastAsia="宋体"/>
                                        <w:lang w:val="en-US" w:eastAsia="zh-CN"/>
                                      </w:rPr>
                                    </w:pPr>
                                    <w:r>
                                      <w:rPr>
                                        <w:rFonts w:hint="eastAsia"/>
                                        <w:lang w:val="en-US" w:eastAsia="zh-CN"/>
                                      </w:rPr>
                                      <w:t>640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44" name="组合 130"/>
                              <wpg:cNvGrpSpPr/>
                              <wpg:grpSpPr>
                                <a:xfrm>
                                  <a:off x="7080" y="555621"/>
                                  <a:ext cx="8086" cy="3204"/>
                                  <a:chOff x="7080" y="555621"/>
                                  <a:chExt cx="8086" cy="3204"/>
                                </a:xfrm>
                              </wpg:grpSpPr>
                              <wpg:grpSp>
                                <wpg:cNvPr id="345" name="组合 370"/>
                                <wpg:cNvGrpSpPr/>
                                <wpg:grpSpPr>
                                  <a:xfrm>
                                    <a:off x="7080" y="555621"/>
                                    <a:ext cx="7883" cy="3205"/>
                                    <a:chOff x="7464" y="361399"/>
                                    <a:chExt cx="7883" cy="3205"/>
                                  </a:xfrm>
                                </wpg:grpSpPr>
                                <wpg:grpSp>
                                  <wpg:cNvPr id="348" name="组合 321"/>
                                  <wpg:cNvGrpSpPr/>
                                  <wpg:grpSpPr>
                                    <a:xfrm>
                                      <a:off x="7464" y="362096"/>
                                      <a:ext cx="7883" cy="2508"/>
                                      <a:chOff x="7044" y="361496"/>
                                      <a:chExt cx="7883" cy="2508"/>
                                    </a:xfrm>
                                  </wpg:grpSpPr>
                                  <wpg:grpSp>
                                    <wpg:cNvPr id="349" name="组合 260"/>
                                    <wpg:cNvGrpSpPr/>
                                    <wpg:grpSpPr>
                                      <a:xfrm>
                                        <a:off x="7044" y="361496"/>
                                        <a:ext cx="4620" cy="1915"/>
                                        <a:chOff x="6888" y="355316"/>
                                        <a:chExt cx="4620" cy="1915"/>
                                      </a:xfrm>
                                    </wpg:grpSpPr>
                                    <wps:wsp>
                                      <wps:cNvPr id="350" name="矩形 181"/>
                                      <wps:cNvSpPr/>
                                      <wps:spPr>
                                        <a:xfrm>
                                          <a:off x="9276" y="355316"/>
                                          <a:ext cx="1307" cy="511"/>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5042284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1" name="文本框 182"/>
                                      <wps:cNvSpPr txBox="1"/>
                                      <wps:spPr>
                                        <a:xfrm>
                                          <a:off x="6888" y="356023"/>
                                          <a:ext cx="1093" cy="4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497BE">
                                            <w:pPr>
                                              <w:jc w:val="center"/>
                                              <w:rPr>
                                                <w:rFonts w:hint="eastAsia" w:eastAsia="宋体"/>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2" name="矩形 189"/>
                                      <wps:cNvSpPr/>
                                      <wps:spPr>
                                        <a:xfrm>
                                          <a:off x="9288" y="356720"/>
                                          <a:ext cx="1294" cy="511"/>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5999A4C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食堂用水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3" name="直接箭头连接符 190"/>
                                      <wps:cNvCnPr>
                                        <a:stCxn id="182" idx="3"/>
                                      </wps:cNvCnPr>
                                      <wps:spPr>
                                        <a:xfrm flipV="1">
                                          <a:off x="7981" y="356269"/>
                                          <a:ext cx="719" cy="1"/>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54" name="肘形连接符 245"/>
                                      <wps:cNvCnPr>
                                        <a:stCxn id="181" idx="1"/>
                                        <a:endCxn id="189" idx="1"/>
                                      </wps:cNvCnPr>
                                      <wps:spPr>
                                        <a:xfrm rot="10800000" flipH="1" flipV="1">
                                          <a:off x="9276" y="355572"/>
                                          <a:ext cx="12" cy="1404"/>
                                        </a:xfrm>
                                        <a:prstGeom prst="bentConnector3">
                                          <a:avLst>
                                            <a:gd name="adj1" fmla="val -4925000"/>
                                          </a:avLst>
                                        </a:prstGeom>
                                        <a:ln w="12700">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wps:wsp>
                                      <wps:cNvPr id="355" name="直接箭头连接符 257"/>
                                      <wps:cNvCnPr>
                                        <a:stCxn id="189" idx="3"/>
                                        <a:endCxn id="123" idx="1"/>
                                      </wps:cNvCnPr>
                                      <wps:spPr>
                                        <a:xfrm>
                                          <a:off x="10582" y="356976"/>
                                          <a:ext cx="926" cy="3"/>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s:wsp>
                                    <wps:cNvPr id="356" name="直接箭头连接符 291"/>
                                    <wps:cNvCnPr>
                                      <a:stCxn id="123" idx="0"/>
                                      <a:endCxn id="122" idx="2"/>
                                    </wps:cNvCnPr>
                                    <wps:spPr>
                                      <a:xfrm flipV="1">
                                        <a:off x="12210" y="362017"/>
                                        <a:ext cx="0" cy="879"/>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57" name="文本框 319"/>
                                    <wps:cNvSpPr txBox="1"/>
                                    <wps:spPr>
                                      <a:xfrm>
                                        <a:off x="13824" y="363511"/>
                                        <a:ext cx="1103" cy="4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F8A5A">
                                          <w:pPr>
                                            <w:jc w:val="center"/>
                                            <w:rPr>
                                              <w:rFonts w:hint="eastAsia"/>
                                              <w:lang w:val="en-US" w:eastAsia="zh-CN"/>
                                            </w:rPr>
                                          </w:pPr>
                                          <w:r>
                                            <w:rPr>
                                              <w:rFonts w:hint="eastAsia"/>
                                              <w:lang w:val="en-US" w:eastAsia="zh-CN"/>
                                            </w:rPr>
                                            <w:t>新濉河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8" name="直接箭头连接符 320"/>
                                    <wps:cNvCnPr>
                                      <a:stCxn id="126" idx="2"/>
                                      <a:endCxn id="319" idx="0"/>
                                    </wps:cNvCnPr>
                                    <wps:spPr>
                                      <a:xfrm>
                                        <a:off x="14376" y="362386"/>
                                        <a:ext cx="0" cy="112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s:wsp>
                                  <wps:cNvPr id="359" name="直接箭头连接符 322"/>
                                  <wps:cNvCnPr>
                                    <a:stCxn id="181" idx="0"/>
                                    <a:endCxn id="323" idx="2"/>
                                  </wps:cNvCnPr>
                                  <wps:spPr>
                                    <a:xfrm flipV="1">
                                      <a:off x="10506" y="361844"/>
                                      <a:ext cx="379" cy="252"/>
                                    </a:xfrm>
                                    <a:prstGeom prst="straightConnector1">
                                      <a:avLst/>
                                    </a:prstGeom>
                                    <a:ln w="12700" cmpd="sng">
                                      <a:solidFill>
                                        <a:schemeClr val="tx1"/>
                                      </a:solidFill>
                                      <a:prstDash val="lgDash"/>
                                      <a:tailEnd type="arrow"/>
                                    </a:ln>
                                  </wps:spPr>
                                  <wps:style>
                                    <a:lnRef idx="2">
                                      <a:schemeClr val="accent1"/>
                                    </a:lnRef>
                                    <a:fillRef idx="0">
                                      <a:srgbClr val="FFFFFF"/>
                                    </a:fillRef>
                                    <a:effectRef idx="0">
                                      <a:srgbClr val="FFFFFF"/>
                                    </a:effectRef>
                                    <a:fontRef idx="minor">
                                      <a:schemeClr val="tx1"/>
                                    </a:fontRef>
                                  </wps:style>
                                  <wps:bodyPr/>
                                </wps:wsp>
                                <wps:wsp>
                                  <wps:cNvPr id="360" name="文本框 323"/>
                                  <wps:cNvSpPr txBox="1"/>
                                  <wps:spPr>
                                    <a:xfrm>
                                      <a:off x="10068" y="361399"/>
                                      <a:ext cx="1634"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C135D">
                                        <w:pPr>
                                          <w:jc w:val="center"/>
                                          <w:rPr>
                                            <w:rFonts w:hint="default" w:eastAsia="宋体"/>
                                            <w:lang w:val="en-US" w:eastAsia="zh-CN"/>
                                          </w:rPr>
                                        </w:pPr>
                                        <w:r>
                                          <w:rPr>
                                            <w:rFonts w:hint="eastAsia"/>
                                            <w:lang w:val="en-US" w:eastAsia="zh-CN"/>
                                          </w:rPr>
                                          <w:t>损耗160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1" name="文本框 324"/>
                                  <wps:cNvSpPr txBox="1"/>
                                  <wps:spPr>
                                    <a:xfrm>
                                      <a:off x="10237" y="362803"/>
                                      <a:ext cx="1236"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E9ED4">
                                        <w:pPr>
                                          <w:jc w:val="center"/>
                                          <w:rPr>
                                            <w:rFonts w:hint="default" w:eastAsia="宋体"/>
                                            <w:lang w:val="en-US" w:eastAsia="zh-CN"/>
                                          </w:rPr>
                                        </w:pPr>
                                        <w:r>
                                          <w:rPr>
                                            <w:rFonts w:hint="eastAsia"/>
                                            <w:lang w:val="en-US" w:eastAsia="zh-CN"/>
                                          </w:rPr>
                                          <w:t>损耗30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2" name="直接箭头连接符 339"/>
                                  <wps:cNvCnPr>
                                    <a:stCxn id="189" idx="0"/>
                                    <a:endCxn id="324" idx="2"/>
                                  </wps:cNvCnPr>
                                  <wps:spPr>
                                    <a:xfrm flipV="1">
                                      <a:off x="10511" y="363248"/>
                                      <a:ext cx="344" cy="252"/>
                                    </a:xfrm>
                                    <a:prstGeom prst="straightConnector1">
                                      <a:avLst/>
                                    </a:prstGeom>
                                    <a:ln w="12700" cmpd="sng">
                                      <a:solidFill>
                                        <a:schemeClr val="tx1"/>
                                      </a:solidFill>
                                      <a:prstDash val="lgDash"/>
                                      <a:tailEnd type="arrow"/>
                                    </a:ln>
                                  </wps:spPr>
                                  <wps:style>
                                    <a:lnRef idx="2">
                                      <a:schemeClr val="accent1"/>
                                    </a:lnRef>
                                    <a:fillRef idx="0">
                                      <a:srgbClr val="FFFFFF"/>
                                    </a:fillRef>
                                    <a:effectRef idx="0">
                                      <a:srgbClr val="FFFFFF"/>
                                    </a:effectRef>
                                    <a:fontRef idx="minor">
                                      <a:schemeClr val="tx1"/>
                                    </a:fontRef>
                                  </wps:style>
                                  <wps:bodyPr/>
                                </wps:wsp>
                                <wps:wsp>
                                  <wps:cNvPr id="363" name="文本框 340"/>
                                  <wps:cNvSpPr txBox="1"/>
                                  <wps:spPr>
                                    <a:xfrm>
                                      <a:off x="9132" y="363295"/>
                                      <a:ext cx="866"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53EFF">
                                        <w:pPr>
                                          <w:jc w:val="center"/>
                                          <w:rPr>
                                            <w:rFonts w:hint="default" w:eastAsia="宋体"/>
                                            <w:lang w:val="en-US" w:eastAsia="zh-CN"/>
                                          </w:rPr>
                                        </w:pPr>
                                        <w:r>
                                          <w:rPr>
                                            <w:rFonts w:hint="eastAsia"/>
                                            <w:lang w:val="en-US" w:eastAsia="zh-CN"/>
                                          </w:rPr>
                                          <w:t>300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 name="文本框 346"/>
                                  <wps:cNvSpPr txBox="1"/>
                                  <wps:spPr>
                                    <a:xfrm>
                                      <a:off x="9109" y="361963"/>
                                      <a:ext cx="722"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B88CA8">
                                        <w:pPr>
                                          <w:jc w:val="center"/>
                                          <w:rPr>
                                            <w:rFonts w:hint="default" w:eastAsia="宋体"/>
                                            <w:lang w:val="en-US" w:eastAsia="zh-CN"/>
                                          </w:rPr>
                                        </w:pPr>
                                        <w:r>
                                          <w:rPr>
                                            <w:rFonts w:hint="eastAsia"/>
                                            <w:lang w:val="en-US" w:eastAsia="zh-CN"/>
                                          </w:rPr>
                                          <w:t>800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5" name="文本框 347"/>
                                  <wps:cNvSpPr txBox="1"/>
                                  <wps:spPr>
                                    <a:xfrm>
                                      <a:off x="8436" y="362623"/>
                                      <a:ext cx="866"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4F286">
                                        <w:pPr>
                                          <w:jc w:val="center"/>
                                          <w:rPr>
                                            <w:rFonts w:hint="default" w:eastAsia="宋体"/>
                                            <w:lang w:val="en-US" w:eastAsia="zh-CN"/>
                                          </w:rPr>
                                        </w:pPr>
                                        <w:r>
                                          <w:rPr>
                                            <w:rFonts w:hint="eastAsia"/>
                                            <w:lang w:val="en-US" w:eastAsia="zh-CN"/>
                                          </w:rPr>
                                          <w:t>1100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7" name="文本框 366"/>
                                  <wps:cNvSpPr txBox="1"/>
                                  <wps:spPr>
                                    <a:xfrm>
                                      <a:off x="11268" y="363271"/>
                                      <a:ext cx="686"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471EAC">
                                        <w:pPr>
                                          <w:jc w:val="center"/>
                                          <w:rPr>
                                            <w:rFonts w:hint="default" w:eastAsia="宋体"/>
                                            <w:lang w:val="en-US" w:eastAsia="zh-CN"/>
                                          </w:rPr>
                                        </w:pPr>
                                        <w:r>
                                          <w:rPr>
                                            <w:rFonts w:hint="eastAsia"/>
                                            <w:lang w:val="en-US" w:eastAsia="zh-CN"/>
                                          </w:rPr>
                                          <w:t>270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1" name="文本框 368"/>
                                  <wps:cNvSpPr txBox="1"/>
                                  <wps:spPr>
                                    <a:xfrm>
                                      <a:off x="13248" y="361879"/>
                                      <a:ext cx="746"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D0978">
                                        <w:pPr>
                                          <w:jc w:val="center"/>
                                          <w:rPr>
                                            <w:rFonts w:hint="default" w:eastAsia="宋体"/>
                                            <w:lang w:val="en-US" w:eastAsia="zh-CN"/>
                                          </w:rPr>
                                        </w:pPr>
                                        <w:r>
                                          <w:rPr>
                                            <w:rFonts w:hint="eastAsia"/>
                                            <w:lang w:val="en-US" w:eastAsia="zh-CN"/>
                                          </w:rPr>
                                          <w:t>910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2" name="文本框 369"/>
                                  <wps:cNvSpPr txBox="1"/>
                                  <wps:spPr>
                                    <a:xfrm>
                                      <a:off x="14148" y="363319"/>
                                      <a:ext cx="770"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7F290">
                                        <w:pPr>
                                          <w:jc w:val="center"/>
                                          <w:rPr>
                                            <w:rFonts w:hint="default" w:eastAsia="宋体"/>
                                            <w:lang w:val="en-US" w:eastAsia="zh-CN"/>
                                          </w:rPr>
                                        </w:pPr>
                                        <w:r>
                                          <w:rPr>
                                            <w:rFonts w:hint="eastAsia"/>
                                            <w:lang w:val="en-US" w:eastAsia="zh-CN"/>
                                          </w:rPr>
                                          <w:t>910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73" name="矩形 246"/>
                                <wps:cNvSpPr/>
                                <wps:spPr>
                                  <a:xfrm>
                                    <a:off x="11700" y="556314"/>
                                    <a:ext cx="1091" cy="525"/>
                                  </a:xfrm>
                                  <a:prstGeom prst="rect">
                                    <a:avLst/>
                                  </a:prstGeom>
                                  <a:noFill/>
                                  <a:ln w="12700" cmpd="sng">
                                    <a:solidFill>
                                      <a:schemeClr val="tx2">
                                        <a:lumMod val="40000"/>
                                        <a:lumOff val="6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272B2BD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9" name="矩形 246"/>
                                <wps:cNvSpPr/>
                                <wps:spPr>
                                  <a:xfrm>
                                    <a:off x="11700" y="557718"/>
                                    <a:ext cx="1091" cy="525"/>
                                  </a:xfrm>
                                  <a:prstGeom prst="rect">
                                    <a:avLst/>
                                  </a:prstGeom>
                                  <a:noFill/>
                                  <a:ln w="12700" cmpd="sng">
                                    <a:solidFill>
                                      <a:schemeClr val="tx2">
                                        <a:lumMod val="40000"/>
                                        <a:lumOff val="6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2D549BD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隔油池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0" name="矩形 259"/>
                                <wps:cNvSpPr/>
                                <wps:spPr>
                                  <a:xfrm>
                                    <a:off x="13656" y="555943"/>
                                    <a:ext cx="1511" cy="1265"/>
                                  </a:xfrm>
                                  <a:prstGeom prst="rect">
                                    <a:avLst/>
                                  </a:prstGeom>
                                  <a:noFill/>
                                  <a:ln w="12700" cmpd="sng">
                                    <a:solidFill>
                                      <a:schemeClr val="tx2">
                                        <a:lumMod val="40000"/>
                                        <a:lumOff val="6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270388B1">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淮北经济开发区新区污水处理厂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3" name="直接箭头连接符 127"/>
                                <wps:cNvCnPr>
                                  <a:stCxn id="122" idx="3"/>
                                  <a:endCxn id="126" idx="1"/>
                                </wps:cNvCnPr>
                                <wps:spPr>
                                  <a:xfrm flipV="1">
                                    <a:off x="12791" y="556576"/>
                                    <a:ext cx="865" cy="1"/>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95" name="文本框 128"/>
                                <wps:cNvSpPr txBox="1"/>
                                <wps:spPr>
                                  <a:xfrm>
                                    <a:off x="12156" y="557085"/>
                                    <a:ext cx="686"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7A42F">
                                      <w:pPr>
                                        <w:jc w:val="center"/>
                                        <w:rPr>
                                          <w:rFonts w:hint="default" w:eastAsia="宋体"/>
                                          <w:lang w:val="en-US" w:eastAsia="zh-CN"/>
                                        </w:rPr>
                                      </w:pPr>
                                      <w:r>
                                        <w:rPr>
                                          <w:rFonts w:hint="eastAsia"/>
                                          <w:lang w:val="en-US" w:eastAsia="zh-CN"/>
                                        </w:rPr>
                                        <w:t>270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5.95pt;margin-top:8.35pt;height:160.2pt;width:404.3pt;z-index:251668480;mso-width-relative:page;mso-height-relative:page;" coordorigin="7080,555621" coordsize="8086,3204" o:gfxdata="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&#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BZuAvG2QAAAAkBAAAPAAAAAAAAAAEAIAAAACIAAABk&#10;cnMvZG93bnJldi54bWxQSwECFAAUAAAACACHTuJAHiMIOCUJAABRSgAADgAAAAAAAAABACAAAAAo&#10;AQAAZHJzL2Uyb0RvYy54bWxQSwUGAAAAAAYABgBZAQAAvwwAAAAA&#10;">
                      <o:lock v:ext="edit" aspectratio="f"/>
                      <v:shape id="直接箭头连接符 124" o:spid="_x0000_s1026" o:spt="32" type="#_x0000_t32" style="position:absolute;left:10775;top:556574;height:3;width:925;" filled="f" stroked="t" coordsize="21600,21600" o:gfxdata="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MACi/&#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25" o:spid="_x0000_s1026" o:spt="202" type="#_x0000_t202" style="position:absolute;left:10848;top:556113;height:445;width:721;" filled="f" stroked="f" coordsize="21600,21600" o:gfxdata="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ZE&#10;2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74D19CF9">
                              <w:pPr>
                                <w:jc w:val="center"/>
                                <w:rPr>
                                  <w:rFonts w:hint="default" w:eastAsia="宋体"/>
                                  <w:lang w:val="en-US" w:eastAsia="zh-CN"/>
                                </w:rPr>
                              </w:pPr>
                              <w:r>
                                <w:rPr>
                                  <w:rFonts w:hint="eastAsia"/>
                                  <w:lang w:val="en-US" w:eastAsia="zh-CN"/>
                                </w:rPr>
                                <w:t>640</w:t>
                              </w:r>
                            </w:p>
                          </w:txbxContent>
                        </v:textbox>
                      </v:shape>
                      <v:group id="组合 130" o:spid="_x0000_s1026" o:spt="203" style="position:absolute;left:7080;top:555621;height:3204;width:8086;" coordorigin="7080,555621" coordsize="8086,3204"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group id="组合 370" o:spid="_x0000_s1026" o:spt="203" style="position:absolute;left:7080;top:555621;height:3205;width:7883;" coordorigin="7464,361399" coordsize="7883,3205" o:gfxdata="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PpaMAAAADcAAAADwAAAAAAAAABACAAAAAiAAAAZHJzL2Rvd25yZXYu&#10;eG1sUEsBAhQAFAAAAAgAh07iQDMvBZ47AAAAOQAAABUAAAAAAAAAAQAgAAAADwEAAGRycy9ncm91&#10;cHNoYXBleG1sLnhtbFBLBQYAAAAABgAGAGABAADMAwAAAAA=&#10;">
                          <o:lock v:ext="edit" aspectratio="f"/>
                          <v:group id="组合 321" o:spid="_x0000_s1026" o:spt="203" style="position:absolute;left:7464;top:362096;height:2508;width:7883;" coordorigin="7044,361496" coordsize="7883,2508" o:gfxdata="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Qkb2vAAAANwAAAAPAAAAAAAAAAEAIAAAACIAAABkcnMvZG93bnJldi54bWxQ&#10;SwECFAAUAAAACACHTuJAMy8FnjsAAAA5AAAAFQAAAAAAAAABACAAAAALAQAAZHJzL2dyb3Vwc2hh&#10;cGV4bWwueG1sUEsFBgAAAAAGAAYAYAEAAMgDAAAAAA==&#10;">
                            <o:lock v:ext="edit" aspectratio="f"/>
                            <v:group id="组合 260" o:spid="_x0000_s1026" o:spt="203" style="position:absolute;left:7044;top:361496;height:1915;width:4620;" coordorigin="6888,355316" coordsize="4620,1915" o:gfxdata="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7jbcAAAADcAAAADwAAAAAAAAABACAAAAAiAAAAZHJzL2Rvd25yZXYu&#10;eG1sUEsBAhQAFAAAAAgAh07iQDMvBZ47AAAAOQAAABUAAAAAAAAAAQAgAAAADwEAAGRycy9ncm91&#10;cHNoYXBleG1sLnhtbFBLBQYAAAAABgAGAGABAADMAwAAAAA=&#10;">
                              <o:lock v:ext="edit" aspectratio="f"/>
                              <v:rect id="矩形 181" o:spid="_x0000_s1026" o:spt="1" style="position:absolute;left:9276;top:355316;height:511;width:1307;v-text-anchor:middle;" filled="f" stroked="t" coordsize="21600,21600" o:gfxdata="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9nSS7sAAADc&#10;AAAADwAAAAAAAAABACAAAAAiAAAAZHJzL2Rvd25yZXYueG1sUEsBAhQAFAAAAAgAh07iQDMvBZ47&#10;AAAAOQAAABAAAAAAAAAAAQAgAAAACgEAAGRycy9zaGFwZXhtbC54bWxQSwUGAAAAAAYABgBbAQAA&#10;tAMAAAAA&#10;">
                                <v:fill on="f" focussize="0,0"/>
                                <v:stroke weight="1pt" color="#000000 [3213]" joinstyle="round"/>
                                <v:imagedata o:title=""/>
                                <o:lock v:ext="edit" aspectratio="f"/>
                                <v:textbox>
                                  <w:txbxContent>
                                    <w:p w14:paraId="5042284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生活用水</w:t>
                                      </w:r>
                                    </w:p>
                                  </w:txbxContent>
                                </v:textbox>
                              </v:rect>
                              <v:shape id="文本框 182" o:spid="_x0000_s1026" o:spt="202" type="#_x0000_t202" style="position:absolute;left:6888;top:356023;height:493;width:1093;" filled="f" stroked="f" coordsize="21600,21600" o:gfxdata="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enp&#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9F497BE">
                                      <w:pPr>
                                        <w:jc w:val="center"/>
                                        <w:rPr>
                                          <w:rFonts w:hint="eastAsia" w:eastAsia="宋体"/>
                                          <w:lang w:val="en-US" w:eastAsia="zh-CN"/>
                                        </w:rPr>
                                      </w:pPr>
                                      <w:r>
                                        <w:rPr>
                                          <w:rFonts w:hint="eastAsia"/>
                                          <w:lang w:val="en-US" w:eastAsia="zh-CN"/>
                                        </w:rPr>
                                        <w:t>新鲜水</w:t>
                                      </w:r>
                                    </w:p>
                                  </w:txbxContent>
                                </v:textbox>
                              </v:shape>
                              <v:rect id="矩形 189" o:spid="_x0000_s1026" o:spt="1" style="position:absolute;left:9288;top:356720;height:511;width:1294;v-text-anchor:middle;" filled="f" stroked="t" coordsize="21600,21600" o:gfxdata="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fpp74A&#10;AADc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textbox>
                                  <w:txbxContent>
                                    <w:p w14:paraId="5999A4C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食堂用水</w:t>
                                      </w:r>
                                    </w:p>
                                  </w:txbxContent>
                                </v:textbox>
                              </v:rect>
                              <v:shape id="直接箭头连接符 190" o:spid="_x0000_s1026" o:spt="32" type="#_x0000_t32" style="position:absolute;left:7981;top:356269;flip:y;height:1;width:719;" filled="f" stroked="t" coordsize="21600,21600" o:gfxdata="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NtIo&#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肘形连接符 245" o:spid="_x0000_s1026" o:spt="34" type="#_x0000_t34" style="position:absolute;left:9276;top:355572;flip:x y;height:1404;width:12;rotation:11796480f;" filled="f" stroked="t" coordsize="21600,21600" o:gfxdata="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dI+&#10;wAAAANwAAAAPAAAAAAAAAAEAIAAAACIAAABkcnMvZG93bnJldi54bWxQSwECFAAUAAAACACHTuJA&#10;My8FnjsAAAA5AAAAEAAAAAAAAAABACAAAAAPAQAAZHJzL3NoYXBleG1sLnhtbFBLBQYAAAAABgAG&#10;AFsBAAC5AwAAAAA=&#10;" adj="-1063800">
                                <v:fill on="f" focussize="0,0"/>
                                <v:stroke weight="1pt" color="#000000 [3213]" joinstyle="round" startarrow="open" endarrow="open"/>
                                <v:imagedata o:title=""/>
                                <o:lock v:ext="edit" aspectratio="f"/>
                              </v:shape>
                              <v:shape id="直接箭头连接符 257" o:spid="_x0000_s1026" o:spt="32" type="#_x0000_t32" style="position:absolute;left:10582;top:356976;height:3;width:926;" filled="f" stroked="t" coordsize="21600,21600" o:gfxdata="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PA6B&#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group>
                            <v:shape id="直接箭头连接符 291" o:spid="_x0000_s1026" o:spt="32" type="#_x0000_t32" style="position:absolute;left:12210;top:362017;flip:y;height:879;width:0;" filled="f" stroked="t" coordsize="21600,21600" o:gfxdata="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QXGw&#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319" o:spid="_x0000_s1026" o:spt="202" type="#_x0000_t202" style="position:absolute;left:13824;top:363511;height:493;width:1103;" filled="f" stroked="f" coordsize="21600,21600" o:gfxdata="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TU&#10;B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4D0F8A5A">
                                    <w:pPr>
                                      <w:jc w:val="center"/>
                                      <w:rPr>
                                        <w:rFonts w:hint="eastAsia"/>
                                        <w:lang w:val="en-US" w:eastAsia="zh-CN"/>
                                      </w:rPr>
                                    </w:pPr>
                                    <w:r>
                                      <w:rPr>
                                        <w:rFonts w:hint="eastAsia"/>
                                        <w:lang w:val="en-US" w:eastAsia="zh-CN"/>
                                      </w:rPr>
                                      <w:t>新濉河</w:t>
                                    </w:r>
                                  </w:p>
                                </w:txbxContent>
                              </v:textbox>
                            </v:shape>
                            <v:shape id="直接箭头连接符 320" o:spid="_x0000_s1026" o:spt="32" type="#_x0000_t32" style="position:absolute;left:14376;top:362386;height:1125;width:0;" filled="f" stroked="t" coordsize="21600,21600" o:gfxdata="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2hH7sAAADc&#10;AAAADwAAAAAAAAABACAAAAAiAAAAZHJzL2Rvd25yZXYueG1sUEsBAhQAFAAAAAgAh07iQDMvBZ47&#10;AAAAOQAAABAAAAAAAAAAAQAgAAAACgEAAGRycy9zaGFwZXhtbC54bWxQSwUGAAAAAAYABgBbAQAA&#10;tAMAAAAA&#10;">
                              <v:fill on="f" focussize="0,0"/>
                              <v:stroke weight="1pt" color="#000000 [3213]" joinstyle="round" endarrow="open"/>
                              <v:imagedata o:title=""/>
                              <o:lock v:ext="edit" aspectratio="f"/>
                            </v:shape>
                          </v:group>
                          <v:shape id="直接箭头连接符 322" o:spid="_x0000_s1026" o:spt="32" type="#_x0000_t32" style="position:absolute;left:10506;top:361844;flip:y;height:252;width:379;" filled="f" stroked="t" coordsize="21600,21600" o:gfxdata="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DLOr4A&#10;AADcAAAADwAAAAAAAAABACAAAAAiAAAAZHJzL2Rvd25yZXYueG1sUEsBAhQAFAAAAAgAh07iQDMv&#10;BZ47AAAAOQAAABAAAAAAAAAAAQAgAAAADQEAAGRycy9zaGFwZXhtbC54bWxQSwUGAAAAAAYABgBb&#10;AQAAtwMAAAAA&#10;">
                            <v:fill on="f" focussize="0,0"/>
                            <v:stroke weight="1pt" color="#000000 [3213]" joinstyle="round" dashstyle="longDash" endarrow="open"/>
                            <v:imagedata o:title=""/>
                            <o:lock v:ext="edit" aspectratio="f"/>
                          </v:shape>
                          <v:shape id="文本框 323" o:spid="_x0000_s1026" o:spt="202" type="#_x0000_t202" style="position:absolute;left:10068;top:361399;height:445;width:1634;" filled="f" stroked="f" coordsize="21600,21600" o:gfxdata="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0YbP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A5C135D">
                                  <w:pPr>
                                    <w:jc w:val="center"/>
                                    <w:rPr>
                                      <w:rFonts w:hint="default" w:eastAsia="宋体"/>
                                      <w:lang w:val="en-US" w:eastAsia="zh-CN"/>
                                    </w:rPr>
                                  </w:pPr>
                                  <w:r>
                                    <w:rPr>
                                      <w:rFonts w:hint="eastAsia"/>
                                      <w:lang w:val="en-US" w:eastAsia="zh-CN"/>
                                    </w:rPr>
                                    <w:t>损耗160</w:t>
                                  </w:r>
                                </w:p>
                              </w:txbxContent>
                            </v:textbox>
                          </v:shape>
                          <v:shape id="文本框 324" o:spid="_x0000_s1026" o:spt="202" type="#_x0000_t202" style="position:absolute;left:10237;top:362803;height:445;width:1236;" filled="f" stroked="f" coordsize="21600,21600" o:gfxdata="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nSN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ABE9ED4">
                                  <w:pPr>
                                    <w:jc w:val="center"/>
                                    <w:rPr>
                                      <w:rFonts w:hint="default" w:eastAsia="宋体"/>
                                      <w:lang w:val="en-US" w:eastAsia="zh-CN"/>
                                    </w:rPr>
                                  </w:pPr>
                                  <w:r>
                                    <w:rPr>
                                      <w:rFonts w:hint="eastAsia"/>
                                      <w:lang w:val="en-US" w:eastAsia="zh-CN"/>
                                    </w:rPr>
                                    <w:t>损耗30</w:t>
                                  </w:r>
                                </w:p>
                              </w:txbxContent>
                            </v:textbox>
                          </v:shape>
                          <v:shape id="直接箭头连接符 339" o:spid="_x0000_s1026" o:spt="32" type="#_x0000_t32" style="position:absolute;left:10511;top:363248;flip:y;height:252;width:344;" filled="f" stroked="t" coordsize="21600,21600" o:gfxdata="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iT9rsAAADc&#10;AAAADwAAAAAAAAABACAAAAAiAAAAZHJzL2Rvd25yZXYueG1sUEsBAhQAFAAAAAgAh07iQDMvBZ47&#10;AAAAOQAAABAAAAAAAAAAAQAgAAAACgEAAGRycy9zaGFwZXhtbC54bWxQSwUGAAAAAAYABgBbAQAA&#10;tAMAAAAA&#10;">
                            <v:fill on="f" focussize="0,0"/>
                            <v:stroke weight="1pt" color="#000000 [3213]" joinstyle="round" dashstyle="longDash" endarrow="open"/>
                            <v:imagedata o:title=""/>
                            <o:lock v:ext="edit" aspectratio="f"/>
                          </v:shape>
                          <v:shape id="文本框 340" o:spid="_x0000_s1026" o:spt="202" type="#_x0000_t202" style="position:absolute;left:9132;top:363295;height:445;width:866;" filled="f" stroked="f" coordsize="21600,21600" o:gfxdata="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Axi4&#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2B53EFF">
                                  <w:pPr>
                                    <w:jc w:val="center"/>
                                    <w:rPr>
                                      <w:rFonts w:hint="default" w:eastAsia="宋体"/>
                                      <w:lang w:val="en-US" w:eastAsia="zh-CN"/>
                                    </w:rPr>
                                  </w:pPr>
                                  <w:r>
                                    <w:rPr>
                                      <w:rFonts w:hint="eastAsia"/>
                                      <w:lang w:val="en-US" w:eastAsia="zh-CN"/>
                                    </w:rPr>
                                    <w:t>300</w:t>
                                  </w:r>
                                </w:p>
                              </w:txbxContent>
                            </v:textbox>
                          </v:shape>
                          <v:shape id="文本框 346" o:spid="_x0000_s1026" o:spt="202" type="#_x0000_t202" style="position:absolute;left:9109;top:361963;height:445;width:722;" filled="f" stroked="f" coordsize="21600,21600" o:gfxdata="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OqA&#10;z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1BB88CA8">
                                  <w:pPr>
                                    <w:jc w:val="center"/>
                                    <w:rPr>
                                      <w:rFonts w:hint="default" w:eastAsia="宋体"/>
                                      <w:lang w:val="en-US" w:eastAsia="zh-CN"/>
                                    </w:rPr>
                                  </w:pPr>
                                  <w:r>
                                    <w:rPr>
                                      <w:rFonts w:hint="eastAsia"/>
                                      <w:lang w:val="en-US" w:eastAsia="zh-CN"/>
                                    </w:rPr>
                                    <w:t>800</w:t>
                                  </w:r>
                                </w:p>
                              </w:txbxContent>
                            </v:textbox>
                          </v:shape>
                          <v:shape id="文本框 347" o:spid="_x0000_s1026" o:spt="202" type="#_x0000_t202" style="position:absolute;left:8436;top:362623;height:445;width:866;" filled="f" stroked="f" coordsize="21600,21600" o:gfxdata="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YlV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944F286">
                                  <w:pPr>
                                    <w:jc w:val="center"/>
                                    <w:rPr>
                                      <w:rFonts w:hint="default" w:eastAsia="宋体"/>
                                      <w:lang w:val="en-US" w:eastAsia="zh-CN"/>
                                    </w:rPr>
                                  </w:pPr>
                                  <w:r>
                                    <w:rPr>
                                      <w:rFonts w:hint="eastAsia"/>
                                      <w:lang w:val="en-US" w:eastAsia="zh-CN"/>
                                    </w:rPr>
                                    <w:t>1100</w:t>
                                  </w:r>
                                </w:p>
                              </w:txbxContent>
                            </v:textbox>
                          </v:shape>
                          <v:shape id="文本框 366" o:spid="_x0000_s1026" o:spt="202" type="#_x0000_t202" style="position:absolute;left:11268;top:363271;height:445;width:686;" filled="f" stroked="f" coordsize="21600,21600" o:gfxdata="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OB67&#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F471EAC">
                                  <w:pPr>
                                    <w:jc w:val="center"/>
                                    <w:rPr>
                                      <w:rFonts w:hint="default" w:eastAsia="宋体"/>
                                      <w:lang w:val="en-US" w:eastAsia="zh-CN"/>
                                    </w:rPr>
                                  </w:pPr>
                                  <w:r>
                                    <w:rPr>
                                      <w:rFonts w:hint="eastAsia"/>
                                      <w:lang w:val="en-US" w:eastAsia="zh-CN"/>
                                    </w:rPr>
                                    <w:t>270</w:t>
                                  </w:r>
                                </w:p>
                              </w:txbxContent>
                            </v:textbox>
                          </v:shape>
                          <v:shape id="文本框 368" o:spid="_x0000_s1026" o:spt="202" type="#_x0000_t202" style="position:absolute;left:13248;top:361879;height:445;width:746;" filled="f" stroked="f" coordsize="21600,21600" o:gfxdata="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US1&#10;i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49CD0978">
                                  <w:pPr>
                                    <w:jc w:val="center"/>
                                    <w:rPr>
                                      <w:rFonts w:hint="default" w:eastAsia="宋体"/>
                                      <w:lang w:val="en-US" w:eastAsia="zh-CN"/>
                                    </w:rPr>
                                  </w:pPr>
                                  <w:r>
                                    <w:rPr>
                                      <w:rFonts w:hint="eastAsia"/>
                                      <w:lang w:val="en-US" w:eastAsia="zh-CN"/>
                                    </w:rPr>
                                    <w:t>910</w:t>
                                  </w:r>
                                </w:p>
                              </w:txbxContent>
                            </v:textbox>
                          </v:shape>
                          <v:shape id="文本框 369" o:spid="_x0000_s1026" o:spt="202" type="#_x0000_t202" style="position:absolute;left:14148;top:363319;height:445;width:770;" filled="f" stroked="f" coordsize="21600,21600" o:gfxdata="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WK/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507F290">
                                  <w:pPr>
                                    <w:jc w:val="center"/>
                                    <w:rPr>
                                      <w:rFonts w:hint="default" w:eastAsia="宋体"/>
                                      <w:lang w:val="en-US" w:eastAsia="zh-CN"/>
                                    </w:rPr>
                                  </w:pPr>
                                  <w:r>
                                    <w:rPr>
                                      <w:rFonts w:hint="eastAsia"/>
                                      <w:lang w:val="en-US" w:eastAsia="zh-CN"/>
                                    </w:rPr>
                                    <w:t>910</w:t>
                                  </w:r>
                                </w:p>
                              </w:txbxContent>
                            </v:textbox>
                          </v:shape>
                        </v:group>
                        <v:rect id="矩形 246" o:spid="_x0000_s1026" o:spt="1" style="position:absolute;left:11700;top:556314;height:525;width:1091;v-text-anchor:middle;" filled="f" stroked="t" coordsize="21600,21600" o:gfxdata="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khP6/&#10;AAAA3AAAAA8AAAAAAAAAAQAgAAAAIgAAAGRycy9kb3ducmV2LnhtbFBLAQIUABQAAAAIAIdO4kAz&#10;LwWeOwAAADkAAAAQAAAAAAAAAAEAIAAAAA4BAABkcnMvc2hhcGV4bWwueG1sUEsFBgAAAAAGAAYA&#10;WwEAALgDAAAAAA==&#10;">
                          <v:fill on="f" focussize="0,0"/>
                          <v:stroke weight="1pt" color="#8EB4E3 [1311]" joinstyle="round"/>
                          <v:imagedata o:title=""/>
                          <o:lock v:ext="edit" aspectratio="f"/>
                          <v:textbox>
                            <w:txbxContent>
                              <w:p w14:paraId="272B2BD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化粪池</w:t>
                                </w:r>
                              </w:p>
                            </w:txbxContent>
                          </v:textbox>
                        </v:rect>
                        <v:rect id="矩形 246" o:spid="_x0000_s1026" o:spt="1" style="position:absolute;left:11700;top:557718;height:525;width:1091;v-text-anchor:middle;" filled="f" stroked="t" coordsize="21600,21600" o:gfxdata="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jLMU&#10;wAAAANwAAAAPAAAAAAAAAAEAIAAAACIAAABkcnMvZG93bnJldi54bWxQSwECFAAUAAAACACHTuJA&#10;My8FnjsAAAA5AAAAEAAAAAAAAAABACAAAAAPAQAAZHJzL3NoYXBleG1sLnhtbFBLBQYAAAAABgAG&#10;AFsBAAC5AwAAAAA=&#10;">
                          <v:fill on="f" focussize="0,0"/>
                          <v:stroke weight="1pt" color="#8EB4E3 [1311]" joinstyle="round"/>
                          <v:imagedata o:title=""/>
                          <o:lock v:ext="edit" aspectratio="f"/>
                          <v:textbox>
                            <w:txbxContent>
                              <w:p w14:paraId="2D549BD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隔油池</w:t>
                                </w:r>
                              </w:p>
                            </w:txbxContent>
                          </v:textbox>
                        </v:rect>
                        <v:rect id="矩形 259" o:spid="_x0000_s1026" o:spt="1" style="position:absolute;left:13656;top:555943;height:1265;width:1511;v-text-anchor:middle;" filled="f" stroked="t" coordsize="21600,21600" o:gfxdata="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jaq68AAAA&#10;3AAAAA8AAAAAAAAAAQAgAAAAIgAAAGRycy9kb3ducmV2LnhtbFBLAQIUABQAAAAIAIdO4kAzLwWe&#10;OwAAADkAAAAQAAAAAAAAAAEAIAAAAAsBAABkcnMvc2hhcGV4bWwueG1sUEsFBgAAAAAGAAYAWwEA&#10;ALUDAAAAAA==&#10;">
                          <v:fill on="f" focussize="0,0"/>
                          <v:stroke weight="1pt" color="#8EB4E3 [1311]" joinstyle="round"/>
                          <v:imagedata o:title=""/>
                          <o:lock v:ext="edit" aspectratio="f"/>
                          <v:textbox>
                            <w:txbxContent>
                              <w:p w14:paraId="270388B1">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淮北经济开发区新区污水处理厂</w:t>
                                </w:r>
                              </w:p>
                            </w:txbxContent>
                          </v:textbox>
                        </v:rect>
                        <v:shape id="直接箭头连接符 127" o:spid="_x0000_s1026" o:spt="32" type="#_x0000_t32" style="position:absolute;left:12791;top:556576;flip:y;height:1;width:865;" filled="f" stroked="t" coordsize="21600,21600" o:gfxdata="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9osr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28" o:spid="_x0000_s1026" o:spt="202" type="#_x0000_t202" style="position:absolute;left:12156;top:557085;height:445;width:686;" filled="f" stroked="f" coordsize="21600,21600" o:gfxdata="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zVX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DD7A42F">
                                <w:pPr>
                                  <w:jc w:val="center"/>
                                  <w:rPr>
                                    <w:rFonts w:hint="default" w:eastAsia="宋体"/>
                                    <w:lang w:val="en-US" w:eastAsia="zh-CN"/>
                                  </w:rPr>
                                </w:pPr>
                                <w:r>
                                  <w:rPr>
                                    <w:rFonts w:hint="eastAsia"/>
                                    <w:lang w:val="en-US" w:eastAsia="zh-CN"/>
                                  </w:rPr>
                                  <w:t>270</w:t>
                                </w:r>
                              </w:p>
                            </w:txbxContent>
                          </v:textbox>
                        </v:shape>
                      </v:group>
                    </v:group>
                  </w:pict>
                </mc:Fallback>
              </mc:AlternateContent>
            </w:r>
          </w:p>
          <w:p w14:paraId="0618B787">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p>
          <w:p w14:paraId="4756EBC7">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p>
          <w:p w14:paraId="487CC949">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p>
          <w:p w14:paraId="003E438B">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p>
          <w:p w14:paraId="70EB9365">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p>
          <w:p w14:paraId="19BCC5BA">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p>
          <w:p w14:paraId="491053E9">
            <w:pPr>
              <w:autoSpaceDE w:val="0"/>
              <w:autoSpaceDN w:val="0"/>
              <w:adjustRightInd w:val="0"/>
              <w:snapToGrid w:val="0"/>
              <w:spacing w:line="360" w:lineRule="auto"/>
              <w:jc w:val="center"/>
              <w:rPr>
                <w:rFonts w:hint="eastAsia" w:cs="Times New Roman"/>
                <w:b/>
                <w:bCs/>
                <w:sz w:val="22"/>
                <w:szCs w:val="22"/>
                <w:lang w:val="en-US" w:eastAsia="zh-CN"/>
              </w:rPr>
            </w:pPr>
          </w:p>
          <w:p w14:paraId="5BC6C060">
            <w:pPr>
              <w:autoSpaceDE w:val="0"/>
              <w:autoSpaceDN w:val="0"/>
              <w:adjustRightInd w:val="0"/>
              <w:snapToGrid w:val="0"/>
              <w:spacing w:line="360" w:lineRule="auto"/>
              <w:jc w:val="center"/>
              <w:rPr>
                <w:rFonts w:hint="default" w:ascii="宋体" w:hAnsi="宋体" w:cs="宋体"/>
                <w:b/>
                <w:bCs/>
                <w:kern w:val="0"/>
                <w:sz w:val="24"/>
                <w:szCs w:val="24"/>
                <w:lang w:val="en-US" w:eastAsia="zh-CN"/>
              </w:rPr>
            </w:pPr>
            <w:r>
              <w:rPr>
                <w:rFonts w:hint="eastAsia" w:cs="Times New Roman"/>
                <w:b/>
                <w:bCs/>
                <w:sz w:val="22"/>
                <w:szCs w:val="22"/>
                <w:lang w:val="en-US" w:eastAsia="zh-CN"/>
              </w:rPr>
              <w:t>图2-3</w:t>
            </w:r>
            <w:r>
              <w:rPr>
                <w:rFonts w:hint="default" w:cs="Times New Roman"/>
                <w:b/>
                <w:bCs/>
                <w:sz w:val="22"/>
                <w:szCs w:val="22"/>
                <w:lang w:val="en-US" w:eastAsia="zh-CN"/>
              </w:rPr>
              <w:t xml:space="preserve"> </w:t>
            </w:r>
            <w:r>
              <w:rPr>
                <w:rFonts w:hint="eastAsia" w:cs="Times New Roman"/>
                <w:b/>
                <w:bCs/>
                <w:sz w:val="22"/>
                <w:szCs w:val="22"/>
                <w:lang w:val="en-US" w:eastAsia="zh-CN"/>
              </w:rPr>
              <w:t>技改后水平衡图（t/a）</w:t>
            </w:r>
          </w:p>
        </w:tc>
      </w:tr>
      <w:tr w14:paraId="0829C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3671" w:hRule="atLeast"/>
          <w:jc w:val="center"/>
        </w:trPr>
        <w:tc>
          <w:tcPr>
            <w:tcW w:w="519" w:type="dxa"/>
            <w:noWrap w:val="0"/>
            <w:vAlign w:val="center"/>
          </w:tcPr>
          <w:p w14:paraId="02C215FB">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工艺流程和产排污环节</w:t>
            </w:r>
          </w:p>
        </w:tc>
        <w:tc>
          <w:tcPr>
            <w:tcW w:w="8465" w:type="dxa"/>
            <w:noWrap w:val="0"/>
            <w:vAlign w:val="top"/>
          </w:tcPr>
          <w:p w14:paraId="773AF068">
            <w:pPr>
              <w:autoSpaceDE w:val="0"/>
              <w:autoSpaceDN w:val="0"/>
              <w:adjustRightInd w:val="0"/>
              <w:snapToGrid w:val="0"/>
              <w:spacing w:line="360" w:lineRule="auto"/>
              <w:jc w:val="both"/>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1、施工期工艺流程及产污环节</w:t>
            </w:r>
          </w:p>
          <w:p w14:paraId="6C16BACB">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rPr>
              <w:t>本项目施工期间主要是场地清理、厂房建设、设备安装等，项目施工建设会产生噪声、扬尘、固体废物、废水和废气等污染物，其排放量随工期和施工强度不同而有所变化</w:t>
            </w:r>
            <w:r>
              <w:rPr>
                <w:rFonts w:hint="eastAsia" w:ascii="宋体" w:hAnsi="宋体" w:cs="宋体"/>
                <w:kern w:val="0"/>
                <w:sz w:val="24"/>
                <w:szCs w:val="24"/>
                <w:lang w:eastAsia="zh-CN"/>
              </w:rPr>
              <w:t>，</w:t>
            </w:r>
            <w:r>
              <w:rPr>
                <w:rFonts w:hint="eastAsia" w:ascii="宋体" w:hAnsi="宋体" w:cs="宋体"/>
                <w:kern w:val="0"/>
                <w:sz w:val="24"/>
                <w:szCs w:val="24"/>
                <w:lang w:val="en-US" w:eastAsia="zh-CN"/>
              </w:rPr>
              <w:t>具体见下图</w:t>
            </w:r>
            <w:r>
              <w:rPr>
                <w:rFonts w:hint="eastAsia" w:ascii="宋体" w:hAnsi="宋体" w:cs="宋体"/>
                <w:kern w:val="0"/>
                <w:sz w:val="24"/>
                <w:szCs w:val="24"/>
                <w:lang w:eastAsia="zh-CN"/>
              </w:rPr>
              <w:t>。</w:t>
            </w:r>
          </w:p>
          <w:p w14:paraId="0E46B6E3">
            <w:pPr>
              <w:autoSpaceDE w:val="0"/>
              <w:autoSpaceDN w:val="0"/>
              <w:adjustRightInd w:val="0"/>
              <w:snapToGrid w:val="0"/>
              <w:spacing w:line="360" w:lineRule="auto"/>
              <w:jc w:val="left"/>
              <w:rPr>
                <w:rFonts w:hint="eastAsia" w:ascii="宋体" w:hAnsi="宋体" w:cs="宋体"/>
                <w:kern w:val="0"/>
                <w:sz w:val="24"/>
                <w:szCs w:val="24"/>
                <w:lang w:eastAsia="zh-CN"/>
              </w:rPr>
            </w:pPr>
            <w:r>
              <w:rPr>
                <w:sz w:val="24"/>
              </w:rPr>
              <mc:AlternateContent>
                <mc:Choice Requires="wpg">
                  <w:drawing>
                    <wp:anchor distT="0" distB="0" distL="114300" distR="114300" simplePos="0" relativeHeight="251669504" behindDoc="0" locked="0" layoutInCell="1" allowOverlap="1">
                      <wp:simplePos x="0" y="0"/>
                      <wp:positionH relativeFrom="column">
                        <wp:posOffset>1995805</wp:posOffset>
                      </wp:positionH>
                      <wp:positionV relativeFrom="paragraph">
                        <wp:posOffset>137795</wp:posOffset>
                      </wp:positionV>
                      <wp:extent cx="2308225" cy="3204210"/>
                      <wp:effectExtent l="6350" t="6350" r="0" b="20320"/>
                      <wp:wrapNone/>
                      <wp:docPr id="398" name="组合 398"/>
                      <wp:cNvGraphicFramePr/>
                      <a:graphic xmlns:a="http://schemas.openxmlformats.org/drawingml/2006/main">
                        <a:graphicData uri="http://schemas.microsoft.com/office/word/2010/wordprocessingGroup">
                          <wpg:wgp>
                            <wpg:cNvGrpSpPr/>
                            <wpg:grpSpPr>
                              <a:xfrm>
                                <a:off x="0" y="0"/>
                                <a:ext cx="2308225" cy="3204210"/>
                                <a:chOff x="10032" y="585712"/>
                                <a:chExt cx="3635" cy="5046"/>
                              </a:xfrm>
                            </wpg:grpSpPr>
                            <wpg:grpSp>
                              <wpg:cNvPr id="399" name="组合 227"/>
                              <wpg:cNvGrpSpPr/>
                              <wpg:grpSpPr>
                                <a:xfrm>
                                  <a:off x="10032" y="585712"/>
                                  <a:ext cx="1306" cy="5046"/>
                                  <a:chOff x="10092" y="585712"/>
                                  <a:chExt cx="1306" cy="5046"/>
                                </a:xfrm>
                              </wpg:grpSpPr>
                              <wps:wsp>
                                <wps:cNvPr id="400" name="矩形 218"/>
                                <wps:cNvSpPr/>
                                <wps:spPr>
                                  <a:xfrm>
                                    <a:off x="10092" y="585712"/>
                                    <a:ext cx="1294" cy="51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0BA86C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基础工程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4" name="矩形 219"/>
                                <wps:cNvSpPr/>
                                <wps:spPr>
                                  <a:xfrm>
                                    <a:off x="10092" y="586864"/>
                                    <a:ext cx="1294" cy="51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6A2914E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主体工程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5" name="矩形 220"/>
                                <wps:cNvSpPr/>
                                <wps:spPr>
                                  <a:xfrm>
                                    <a:off x="10092" y="588016"/>
                                    <a:ext cx="1294" cy="51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3623878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装饰工程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6" name="矩形 221"/>
                                <wps:cNvSpPr/>
                                <wps:spPr>
                                  <a:xfrm>
                                    <a:off x="10104" y="589120"/>
                                    <a:ext cx="1294" cy="51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381BD54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设备安装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7" name="矩形 222"/>
                                <wps:cNvSpPr/>
                                <wps:spPr>
                                  <a:xfrm>
                                    <a:off x="10104" y="590248"/>
                                    <a:ext cx="1294" cy="51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EA3854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验收使用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8" name="直接箭头连接符 223"/>
                                <wps:cNvCnPr>
                                  <a:stCxn id="400" idx="2"/>
                                  <a:endCxn id="404" idx="0"/>
                                </wps:cNvCnPr>
                                <wps:spPr>
                                  <a:xfrm>
                                    <a:off x="10739" y="586222"/>
                                    <a:ext cx="0" cy="642"/>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09" name="直接箭头连接符 224"/>
                                <wps:cNvCnPr>
                                  <a:stCxn id="406" idx="2"/>
                                  <a:endCxn id="407" idx="0"/>
                                </wps:cNvCnPr>
                                <wps:spPr>
                                  <a:xfrm>
                                    <a:off x="10751" y="589630"/>
                                    <a:ext cx="0" cy="618"/>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10" name="直接箭头连接符 225"/>
                                <wps:cNvCnPr>
                                  <a:stCxn id="405" idx="2"/>
                                  <a:endCxn id="406" idx="0"/>
                                </wps:cNvCnPr>
                                <wps:spPr>
                                  <a:xfrm>
                                    <a:off x="10746" y="588526"/>
                                    <a:ext cx="5" cy="59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11" name="直接箭头连接符 226"/>
                                <wps:cNvCnPr>
                                  <a:stCxn id="404" idx="2"/>
                                  <a:endCxn id="405" idx="0"/>
                                </wps:cNvCnPr>
                                <wps:spPr>
                                  <a:xfrm>
                                    <a:off x="10739" y="587374"/>
                                    <a:ext cx="0" cy="642"/>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s:wsp>
                              <wps:cNvPr id="412" name="直接箭头连接符 228"/>
                              <wps:cNvCnPr>
                                <a:stCxn id="404" idx="3"/>
                                <a:endCxn id="413" idx="1"/>
                              </wps:cNvCnPr>
                              <wps:spPr>
                                <a:xfrm>
                                  <a:off x="11326" y="587119"/>
                                  <a:ext cx="911" cy="0"/>
                                </a:xfrm>
                                <a:prstGeom prst="straightConnector1">
                                  <a:avLst/>
                                </a:prstGeom>
                                <a:ln w="12700" cmpd="sng">
                                  <a:solidFill>
                                    <a:schemeClr val="tx1"/>
                                  </a:solidFill>
                                  <a:prstDash val="lgDash"/>
                                  <a:tailEnd type="arrow"/>
                                </a:ln>
                              </wps:spPr>
                              <wps:style>
                                <a:lnRef idx="2">
                                  <a:schemeClr val="accent1"/>
                                </a:lnRef>
                                <a:fillRef idx="0">
                                  <a:srgbClr val="FFFFFF"/>
                                </a:fillRef>
                                <a:effectRef idx="0">
                                  <a:srgbClr val="FFFFFF"/>
                                </a:effectRef>
                                <a:fontRef idx="minor">
                                  <a:schemeClr val="tx1"/>
                                </a:fontRef>
                              </wps:style>
                              <wps:bodyPr/>
                            </wps:wsp>
                            <wps:wsp>
                              <wps:cNvPr id="413" name="文本框 229"/>
                              <wps:cNvSpPr txBox="1"/>
                              <wps:spPr>
                                <a:xfrm>
                                  <a:off x="12237" y="586748"/>
                                  <a:ext cx="1407" cy="7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B6FA0">
                                    <w:pPr>
                                      <w:rPr>
                                        <w:rFonts w:hint="eastAsia"/>
                                        <w:sz w:val="20"/>
                                        <w:szCs w:val="20"/>
                                        <w:lang w:val="en-US" w:eastAsia="zh-CN"/>
                                      </w:rPr>
                                    </w:pPr>
                                    <w:r>
                                      <w:rPr>
                                        <w:rFonts w:hint="eastAsia"/>
                                        <w:sz w:val="20"/>
                                        <w:szCs w:val="20"/>
                                        <w:lang w:val="en-US" w:eastAsia="zh-CN"/>
                                      </w:rPr>
                                      <w:t>扬尘、废水、</w:t>
                                    </w:r>
                                  </w:p>
                                  <w:p w14:paraId="7F76711C">
                                    <w:pPr>
                                      <w:rPr>
                                        <w:rFonts w:hint="default" w:eastAsia="宋体"/>
                                        <w:sz w:val="20"/>
                                        <w:szCs w:val="20"/>
                                        <w:lang w:val="en-US" w:eastAsia="zh-CN"/>
                                      </w:rPr>
                                    </w:pPr>
                                    <w:r>
                                      <w:rPr>
                                        <w:rFonts w:hint="eastAsia"/>
                                        <w:sz w:val="20"/>
                                        <w:szCs w:val="20"/>
                                        <w:lang w:val="en-US" w:eastAsia="zh-CN"/>
                                      </w:rPr>
                                      <w:t>噪声、固废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4" name="肘形连接符 230"/>
                              <wps:cNvCnPr>
                                <a:stCxn id="405" idx="3"/>
                                <a:endCxn id="400" idx="3"/>
                              </wps:cNvCnPr>
                              <wps:spPr>
                                <a:xfrm flipV="1">
                                  <a:off x="11326" y="585967"/>
                                  <a:ext cx="5" cy="2304"/>
                                </a:xfrm>
                                <a:prstGeom prst="bentConnector3">
                                  <a:avLst>
                                    <a:gd name="adj1" fmla="val 9900000"/>
                                  </a:avLst>
                                </a:prstGeom>
                                <a:ln w="12700" cmpd="sng">
                                  <a:solidFill>
                                    <a:schemeClr val="tx1"/>
                                  </a:solidFill>
                                  <a:prstDash val="lgDash"/>
                                  <a:headEnd type="none"/>
                                  <a:tailEnd type="none"/>
                                </a:ln>
                              </wps:spPr>
                              <wps:style>
                                <a:lnRef idx="2">
                                  <a:schemeClr val="accent1"/>
                                </a:lnRef>
                                <a:fillRef idx="0">
                                  <a:srgbClr val="FFFFFF"/>
                                </a:fillRef>
                                <a:effectRef idx="0">
                                  <a:srgbClr val="FFFFFF"/>
                                </a:effectRef>
                                <a:fontRef idx="minor">
                                  <a:schemeClr val="tx1"/>
                                </a:fontRef>
                              </wps:style>
                              <wps:bodyPr/>
                            </wps:wsp>
                            <wps:wsp>
                              <wps:cNvPr id="415" name="文本框 231"/>
                              <wps:cNvSpPr txBox="1"/>
                              <wps:spPr>
                                <a:xfrm>
                                  <a:off x="12297" y="589184"/>
                                  <a:ext cx="1370" cy="3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5CB16">
                                    <w:pPr>
                                      <w:rPr>
                                        <w:rFonts w:hint="default" w:eastAsia="宋体"/>
                                        <w:sz w:val="20"/>
                                        <w:szCs w:val="20"/>
                                        <w:lang w:val="en-US" w:eastAsia="zh-CN"/>
                                      </w:rPr>
                                    </w:pPr>
                                    <w:r>
                                      <w:rPr>
                                        <w:rFonts w:hint="eastAsia"/>
                                        <w:sz w:val="20"/>
                                        <w:szCs w:val="20"/>
                                        <w:lang w:val="en-US" w:eastAsia="zh-CN"/>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6" name="直接箭头连接符 232"/>
                              <wps:cNvCnPr>
                                <a:stCxn id="406" idx="3"/>
                                <a:endCxn id="415" idx="1"/>
                              </wps:cNvCnPr>
                              <wps:spPr>
                                <a:xfrm>
                                  <a:off x="11338" y="589375"/>
                                  <a:ext cx="959" cy="6"/>
                                </a:xfrm>
                                <a:prstGeom prst="straightConnector1">
                                  <a:avLst/>
                                </a:prstGeom>
                                <a:ln w="12700" cmpd="sng">
                                  <a:solidFill>
                                    <a:schemeClr val="tx1"/>
                                  </a:solidFill>
                                  <a:prstDash val="lgDash"/>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57.15pt;margin-top:10.85pt;height:252.3pt;width:181.75pt;z-index:251669504;mso-width-relative:page;mso-height-relative:page;" coordorigin="10032,585712" coordsize="3635,5046" o:gfxdata="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">
                      <o:lock v:ext="edit" aspectratio="f"/>
                      <v:group id="组合 227" o:spid="_x0000_s1026" o:spt="203" style="position:absolute;left:10032;top:585712;height:5046;width:1306;" coordorigin="10092,585712" coordsize="1306,5046" o:gfxdata="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bs8qvwAAANwAAAAPAAAAAAAAAAEAIAAAACIAAABkcnMvZG93bnJldi54&#10;bWxQSwECFAAUAAAACACHTuJAMy8FnjsAAAA5AAAAFQAAAAAAAAABACAAAAAOAQAAZHJzL2dyb3Vw&#10;c2hhcGV4bWwueG1sUEsFBgAAAAAGAAYAYAEAAMsDAAAAAA==&#10;">
                        <o:lock v:ext="edit" aspectratio="f"/>
                        <v:rect id="矩形 218" o:spid="_x0000_s1026" o:spt="1" style="position:absolute;left:10092;top:585712;height:510;width:1294;v-text-anchor:middle;" filled="f" stroked="t" coordsize="21600,21600" o:gfxdata="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DAzugAAANwA&#10;AAAPAAAAAAAAAAEAIAAAACIAAABkcnMvZG93bnJldi54bWxQSwECFAAUAAAACACHTuJAMy8FnjsA&#10;AAA5AAAAEAAAAAAAAAABACAAAAAJAQAAZHJzL3NoYXBleG1sLnhtbFBLBQYAAAAABgAGAFsBAACz&#10;AwAAAAA=&#10;">
                          <v:fill on="f" focussize="0,0"/>
                          <v:stroke weight="1pt" color="#000000 [3213]" joinstyle="round"/>
                          <v:imagedata o:title=""/>
                          <o:lock v:ext="edit" aspectratio="f"/>
                          <v:textbox>
                            <w:txbxContent>
                              <w:p w14:paraId="00BA86C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基础工程</w:t>
                                </w:r>
                              </w:p>
                            </w:txbxContent>
                          </v:textbox>
                        </v:rect>
                        <v:rect id="矩形 219" o:spid="_x0000_s1026" o:spt="1" style="position:absolute;left:10092;top:586864;height:510;width:1294;v-text-anchor:middle;" filled="f" stroked="t" coordsize="21600,21600" o:gfxdata="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2ML4A&#10;AADc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textbox>
                            <w:txbxContent>
                              <w:p w14:paraId="6A2914E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主体工程</w:t>
                                </w:r>
                              </w:p>
                            </w:txbxContent>
                          </v:textbox>
                        </v:rect>
                        <v:rect id="矩形 220" o:spid="_x0000_s1026" o:spt="1" style="position:absolute;left:10092;top:588016;height:510;width:1294;v-text-anchor:middle;" filled="f" stroked="t" coordsize="21600,21600" o:gfxdata="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eTq74A&#10;AADc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textbox>
                            <w:txbxContent>
                              <w:p w14:paraId="3623878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装饰工程</w:t>
                                </w:r>
                              </w:p>
                            </w:txbxContent>
                          </v:textbox>
                        </v:rect>
                        <v:rect id="矩形 221" o:spid="_x0000_s1026" o:spt="1" style="position:absolute;left:10104;top:589120;height:510;width:1294;v-text-anchor:middle;" filled="f" stroked="t" coordsize="21600,21600" o:gfxdata="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ZQ3cvQAA&#10;ANw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textbox>
                            <w:txbxContent>
                              <w:p w14:paraId="381BD54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设备安装</w:t>
                                </w:r>
                              </w:p>
                            </w:txbxContent>
                          </v:textbox>
                        </v:rect>
                        <v:rect id="矩形 222" o:spid="_x0000_s1026" o:spt="1" style="position:absolute;left:10104;top:590248;height:510;width:1294;v-text-anchor:middle;" filled="f" stroked="t" coordsize="21600,21600" o:gfxdata="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moR74A&#10;AADc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textbox>
                            <w:txbxContent>
                              <w:p w14:paraId="0EA3854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验收使用</w:t>
                                </w:r>
                              </w:p>
                            </w:txbxContent>
                          </v:textbox>
                        </v:rect>
                        <v:shape id="直接箭头连接符 223" o:spid="_x0000_s1026" o:spt="32" type="#_x0000_t32" style="position:absolute;left:10739;top:586222;height:642;width:0;" filled="f" stroked="t" coordsize="21600,21600" o:gfxdata="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kQ2e8AAAA&#10;3AAAAA8AAAAAAAAAAQAgAAAAIgAAAGRycy9kb3ducmV2LnhtbFBLAQIUABQAAAAIAIdO4kAzLwWe&#10;OwAAADkAAAAQAAAAAAAAAAEAIAAAAAsBAABkcnMvc2hhcGV4bWwueG1sUEsFBgAAAAAGAAYAWwEA&#10;ALUDAAAAAA==&#10;">
                          <v:fill on="f" focussize="0,0"/>
                          <v:stroke weight="1pt" color="#000000 [3213]" joinstyle="round" endarrow="open"/>
                          <v:imagedata o:title=""/>
                          <o:lock v:ext="edit" aspectratio="f"/>
                        </v:shape>
                        <v:shape id="直接箭头连接符 224" o:spid="_x0000_s1026" o:spt="32" type="#_x0000_t32" style="position:absolute;left:10751;top:589630;height:618;width:0;" filled="f" stroked="t" coordsize="21600,21600" o:gfxdata="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o5vy/&#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直接箭头连接符 225" o:spid="_x0000_s1026" o:spt="32" type="#_x0000_t32" style="position:absolute;left:10746;top:588526;height:594;width:5;" filled="f" stroked="t" coordsize="21600,21600" o:gfxdata="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9m8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直接箭头连接符 226" o:spid="_x0000_s1026" o:spt="32" type="#_x0000_t32" style="position:absolute;left:10739;top:587374;height:642;width:0;" filled="f" stroked="t" coordsize="21600,21600" o:gfxdata="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HfCe/&#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group>
                      <v:shape id="直接箭头连接符 228" o:spid="_x0000_s1026" o:spt="32" type="#_x0000_t32" style="position:absolute;left:11326;top:587119;height:0;width:911;" filled="f" stroked="t" coordsize="21600,21600" o:gfxdata="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uaaq/&#10;AAAA3AAAAA8AAAAAAAAAAQAgAAAAIgAAAGRycy9kb3ducmV2LnhtbFBLAQIUABQAAAAIAIdO4kAz&#10;LwWeOwAAADkAAAAQAAAAAAAAAAEAIAAAAA4BAABkcnMvc2hhcGV4bWwueG1sUEsFBgAAAAAGAAYA&#10;WwEAALgDAAAAAA==&#10;">
                        <v:fill on="f" focussize="0,0"/>
                        <v:stroke weight="1pt" color="#000000 [3213]" joinstyle="round" dashstyle="longDash" endarrow="open"/>
                        <v:imagedata o:title=""/>
                        <o:lock v:ext="edit" aspectratio="f"/>
                      </v:shape>
                      <v:shape id="文本框 229" o:spid="_x0000_s1026" o:spt="202" type="#_x0000_t202" style="position:absolute;left:12237;top:586748;height:742;width:1407;v-text-anchor:middle;" filled="f" stroked="f" coordsize="21600,21600" o:gfxdata="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kk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A6B6FA0">
                              <w:pPr>
                                <w:rPr>
                                  <w:rFonts w:hint="eastAsia"/>
                                  <w:sz w:val="20"/>
                                  <w:szCs w:val="20"/>
                                  <w:lang w:val="en-US" w:eastAsia="zh-CN"/>
                                </w:rPr>
                              </w:pPr>
                              <w:r>
                                <w:rPr>
                                  <w:rFonts w:hint="eastAsia"/>
                                  <w:sz w:val="20"/>
                                  <w:szCs w:val="20"/>
                                  <w:lang w:val="en-US" w:eastAsia="zh-CN"/>
                                </w:rPr>
                                <w:t>扬尘、废水、</w:t>
                              </w:r>
                            </w:p>
                            <w:p w14:paraId="7F76711C">
                              <w:pPr>
                                <w:rPr>
                                  <w:rFonts w:hint="default" w:eastAsia="宋体"/>
                                  <w:sz w:val="20"/>
                                  <w:szCs w:val="20"/>
                                  <w:lang w:val="en-US" w:eastAsia="zh-CN"/>
                                </w:rPr>
                              </w:pPr>
                              <w:r>
                                <w:rPr>
                                  <w:rFonts w:hint="eastAsia"/>
                                  <w:sz w:val="20"/>
                                  <w:szCs w:val="20"/>
                                  <w:lang w:val="en-US" w:eastAsia="zh-CN"/>
                                </w:rPr>
                                <w:t>噪声、固废</w:t>
                              </w:r>
                            </w:p>
                          </w:txbxContent>
                        </v:textbox>
                      </v:shape>
                      <v:shape id="肘形连接符 230" o:spid="_x0000_s1026" o:spt="34" type="#_x0000_t34" style="position:absolute;left:11326;top:585967;flip:y;height:2304;width:5;" filled="f" stroked="t" coordsize="21600,21600" o:gfxdata="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wH3XvQAA&#10;ANwAAAAPAAAAAAAAAAEAIAAAACIAAABkcnMvZG93bnJldi54bWxQSwECFAAUAAAACACHTuJAMy8F&#10;njsAAAA5AAAAEAAAAAAAAAABACAAAAAMAQAAZHJzL3NoYXBleG1sLnhtbFBLBQYAAAAABgAGAFsB&#10;AAC2AwAAAAA=&#10;" adj="2138400">
                        <v:fill on="f" focussize="0,0"/>
                        <v:stroke weight="1pt" color="#000000 [3213]" joinstyle="round" dashstyle="longDash"/>
                        <v:imagedata o:title=""/>
                        <o:lock v:ext="edit" aspectratio="f"/>
                      </v:shape>
                      <v:shape id="文本框 231" o:spid="_x0000_s1026" o:spt="202" type="#_x0000_t202" style="position:absolute;left:12297;top:589184;height:393;width:1370;" filled="f" stroked="f" coordsize="21600,21600" o:gfxdata="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ptP&#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6D5CB16">
                              <w:pPr>
                                <w:rPr>
                                  <w:rFonts w:hint="default" w:eastAsia="宋体"/>
                                  <w:sz w:val="20"/>
                                  <w:szCs w:val="20"/>
                                  <w:lang w:val="en-US" w:eastAsia="zh-CN"/>
                                </w:rPr>
                              </w:pPr>
                              <w:r>
                                <w:rPr>
                                  <w:rFonts w:hint="eastAsia"/>
                                  <w:sz w:val="20"/>
                                  <w:szCs w:val="20"/>
                                  <w:lang w:val="en-US" w:eastAsia="zh-CN"/>
                                </w:rPr>
                                <w:t>噪声、固废</w:t>
                              </w:r>
                            </w:p>
                          </w:txbxContent>
                        </v:textbox>
                      </v:shape>
                      <v:shape id="直接箭头连接符 232" o:spid="_x0000_s1026" o:spt="32" type="#_x0000_t32" style="position:absolute;left:11338;top:589375;height:6;width:959;" filled="f" stroked="t" coordsize="21600,21600" o:gfxdata="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Vb6m/&#10;AAAA3AAAAA8AAAAAAAAAAQAgAAAAIgAAAGRycy9kb3ducmV2LnhtbFBLAQIUABQAAAAIAIdO4kAz&#10;LwWeOwAAADkAAAAQAAAAAAAAAAEAIAAAAA4BAABkcnMvc2hhcGV4bWwueG1sUEsFBgAAAAAGAAYA&#10;WwEAALgDAAAAAA==&#10;">
                        <v:fill on="f" focussize="0,0"/>
                        <v:stroke weight="1pt" color="#000000 [3213]" joinstyle="round" dashstyle="longDash" endarrow="open"/>
                        <v:imagedata o:title=""/>
                        <o:lock v:ext="edit" aspectratio="f"/>
                      </v:shape>
                    </v:group>
                  </w:pict>
                </mc:Fallback>
              </mc:AlternateContent>
            </w:r>
          </w:p>
          <w:p w14:paraId="31E6F6F7">
            <w:pPr>
              <w:autoSpaceDE w:val="0"/>
              <w:autoSpaceDN w:val="0"/>
              <w:adjustRightInd w:val="0"/>
              <w:snapToGrid w:val="0"/>
              <w:spacing w:line="360" w:lineRule="auto"/>
              <w:jc w:val="left"/>
              <w:rPr>
                <w:rFonts w:hint="eastAsia" w:ascii="宋体" w:hAnsi="宋体" w:cs="宋体"/>
                <w:kern w:val="0"/>
                <w:sz w:val="24"/>
                <w:szCs w:val="24"/>
                <w:lang w:eastAsia="zh-CN"/>
              </w:rPr>
            </w:pPr>
          </w:p>
          <w:p w14:paraId="67FC6670">
            <w:pPr>
              <w:autoSpaceDE w:val="0"/>
              <w:autoSpaceDN w:val="0"/>
              <w:adjustRightInd w:val="0"/>
              <w:snapToGrid w:val="0"/>
              <w:spacing w:line="360" w:lineRule="auto"/>
              <w:jc w:val="left"/>
              <w:rPr>
                <w:rFonts w:hint="eastAsia" w:ascii="宋体" w:hAnsi="宋体" w:cs="宋体"/>
                <w:kern w:val="0"/>
                <w:sz w:val="24"/>
                <w:szCs w:val="24"/>
                <w:lang w:eastAsia="zh-CN"/>
              </w:rPr>
            </w:pPr>
          </w:p>
          <w:p w14:paraId="7330D8E9">
            <w:pPr>
              <w:autoSpaceDE w:val="0"/>
              <w:autoSpaceDN w:val="0"/>
              <w:adjustRightInd w:val="0"/>
              <w:snapToGrid w:val="0"/>
              <w:spacing w:line="360" w:lineRule="auto"/>
              <w:jc w:val="left"/>
              <w:rPr>
                <w:rFonts w:hint="eastAsia" w:ascii="宋体" w:hAnsi="宋体" w:cs="宋体"/>
                <w:kern w:val="0"/>
                <w:sz w:val="24"/>
                <w:szCs w:val="24"/>
                <w:lang w:eastAsia="zh-CN"/>
              </w:rPr>
            </w:pPr>
          </w:p>
          <w:p w14:paraId="12367E3A">
            <w:pPr>
              <w:autoSpaceDE w:val="0"/>
              <w:autoSpaceDN w:val="0"/>
              <w:adjustRightInd w:val="0"/>
              <w:snapToGrid w:val="0"/>
              <w:spacing w:line="360" w:lineRule="auto"/>
              <w:jc w:val="left"/>
              <w:rPr>
                <w:rFonts w:hint="eastAsia" w:ascii="宋体" w:hAnsi="宋体" w:cs="宋体"/>
                <w:kern w:val="0"/>
                <w:sz w:val="24"/>
                <w:szCs w:val="24"/>
                <w:lang w:eastAsia="zh-CN"/>
              </w:rPr>
            </w:pPr>
          </w:p>
          <w:p w14:paraId="3D6E6C44">
            <w:pPr>
              <w:autoSpaceDE w:val="0"/>
              <w:autoSpaceDN w:val="0"/>
              <w:adjustRightInd w:val="0"/>
              <w:snapToGrid w:val="0"/>
              <w:spacing w:line="360" w:lineRule="auto"/>
              <w:jc w:val="left"/>
              <w:rPr>
                <w:rFonts w:hint="eastAsia" w:ascii="宋体" w:hAnsi="宋体" w:cs="宋体"/>
                <w:kern w:val="0"/>
                <w:sz w:val="24"/>
                <w:szCs w:val="24"/>
                <w:lang w:eastAsia="zh-CN"/>
              </w:rPr>
            </w:pPr>
          </w:p>
          <w:p w14:paraId="0451EADB">
            <w:pPr>
              <w:autoSpaceDE w:val="0"/>
              <w:autoSpaceDN w:val="0"/>
              <w:adjustRightInd w:val="0"/>
              <w:snapToGrid w:val="0"/>
              <w:spacing w:line="360" w:lineRule="auto"/>
              <w:jc w:val="left"/>
              <w:rPr>
                <w:rFonts w:hint="eastAsia" w:ascii="宋体" w:hAnsi="宋体" w:cs="宋体"/>
                <w:kern w:val="0"/>
                <w:sz w:val="24"/>
                <w:szCs w:val="24"/>
                <w:lang w:eastAsia="zh-CN"/>
              </w:rPr>
            </w:pPr>
          </w:p>
          <w:p w14:paraId="0E3D113D">
            <w:pPr>
              <w:autoSpaceDE w:val="0"/>
              <w:autoSpaceDN w:val="0"/>
              <w:adjustRightInd w:val="0"/>
              <w:snapToGrid w:val="0"/>
              <w:spacing w:line="360" w:lineRule="auto"/>
              <w:jc w:val="left"/>
              <w:rPr>
                <w:rFonts w:hint="eastAsia" w:ascii="宋体" w:hAnsi="宋体" w:cs="宋体"/>
                <w:kern w:val="0"/>
                <w:sz w:val="24"/>
                <w:szCs w:val="24"/>
                <w:lang w:eastAsia="zh-CN"/>
              </w:rPr>
            </w:pPr>
          </w:p>
          <w:p w14:paraId="6A8A024E">
            <w:pPr>
              <w:autoSpaceDE w:val="0"/>
              <w:autoSpaceDN w:val="0"/>
              <w:adjustRightInd w:val="0"/>
              <w:snapToGrid w:val="0"/>
              <w:spacing w:line="360" w:lineRule="auto"/>
              <w:jc w:val="left"/>
              <w:rPr>
                <w:rFonts w:hint="eastAsia" w:ascii="宋体" w:hAnsi="宋体" w:cs="宋体"/>
                <w:kern w:val="0"/>
                <w:sz w:val="24"/>
                <w:szCs w:val="24"/>
                <w:lang w:eastAsia="zh-CN"/>
              </w:rPr>
            </w:pPr>
          </w:p>
          <w:p w14:paraId="4D188BEC">
            <w:pPr>
              <w:autoSpaceDE w:val="0"/>
              <w:autoSpaceDN w:val="0"/>
              <w:adjustRightInd w:val="0"/>
              <w:snapToGrid w:val="0"/>
              <w:spacing w:line="360" w:lineRule="auto"/>
              <w:jc w:val="left"/>
              <w:rPr>
                <w:rFonts w:hint="eastAsia" w:ascii="宋体" w:hAnsi="宋体" w:cs="宋体"/>
                <w:kern w:val="0"/>
                <w:sz w:val="24"/>
                <w:szCs w:val="24"/>
                <w:lang w:eastAsia="zh-CN"/>
              </w:rPr>
            </w:pPr>
          </w:p>
          <w:p w14:paraId="3A8B7E11">
            <w:pPr>
              <w:autoSpaceDE w:val="0"/>
              <w:autoSpaceDN w:val="0"/>
              <w:adjustRightInd w:val="0"/>
              <w:snapToGrid w:val="0"/>
              <w:spacing w:line="360" w:lineRule="auto"/>
              <w:jc w:val="left"/>
              <w:rPr>
                <w:rFonts w:hint="eastAsia" w:ascii="宋体" w:hAnsi="宋体" w:cs="宋体"/>
                <w:kern w:val="0"/>
                <w:sz w:val="24"/>
                <w:szCs w:val="24"/>
                <w:lang w:eastAsia="zh-CN"/>
              </w:rPr>
            </w:pPr>
          </w:p>
          <w:p w14:paraId="10F97E58">
            <w:pPr>
              <w:autoSpaceDE w:val="0"/>
              <w:autoSpaceDN w:val="0"/>
              <w:adjustRightInd w:val="0"/>
              <w:snapToGrid w:val="0"/>
              <w:spacing w:line="360" w:lineRule="auto"/>
              <w:jc w:val="left"/>
              <w:rPr>
                <w:rFonts w:hint="eastAsia" w:ascii="宋体" w:hAnsi="宋体" w:cs="宋体"/>
                <w:kern w:val="0"/>
                <w:sz w:val="24"/>
                <w:szCs w:val="24"/>
                <w:lang w:eastAsia="zh-CN"/>
              </w:rPr>
            </w:pPr>
          </w:p>
          <w:p w14:paraId="6870F23D">
            <w:pPr>
              <w:autoSpaceDE w:val="0"/>
              <w:autoSpaceDN w:val="0"/>
              <w:adjustRightInd w:val="0"/>
              <w:snapToGrid w:val="0"/>
              <w:spacing w:line="360" w:lineRule="auto"/>
              <w:jc w:val="both"/>
              <w:rPr>
                <w:rFonts w:hint="default"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2</w:t>
            </w:r>
            <w:r>
              <w:rPr>
                <w:rFonts w:hint="default" w:ascii="宋体" w:hAnsi="宋体" w:eastAsia="宋体" w:cs="宋体"/>
                <w:b/>
                <w:bCs/>
                <w:kern w:val="0"/>
                <w:sz w:val="28"/>
                <w:szCs w:val="28"/>
                <w:lang w:val="en-US" w:eastAsia="zh-CN"/>
              </w:rPr>
              <w:t>、运营期工艺流程及产污环节</w:t>
            </w:r>
          </w:p>
          <w:p w14:paraId="23B554ED">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w:t>
            </w:r>
            <w:r>
              <w:rPr>
                <w:rFonts w:hint="eastAsia" w:cs="Times New Roman"/>
                <w:color w:val="auto"/>
                <w:sz w:val="24"/>
                <w:lang w:val="en-US" w:eastAsia="zh-CN"/>
              </w:rPr>
              <w:t>次技改</w:t>
            </w:r>
            <w:r>
              <w:rPr>
                <w:rFonts w:hint="default" w:ascii="Times New Roman" w:hAnsi="Times New Roman" w:eastAsia="宋体" w:cs="Times New Roman"/>
                <w:color w:val="auto"/>
                <w:sz w:val="24"/>
              </w:rPr>
              <w:t>项目主要</w:t>
            </w:r>
            <w:r>
              <w:rPr>
                <w:rFonts w:hint="eastAsia" w:cs="Times New Roman"/>
                <w:color w:val="auto"/>
                <w:sz w:val="24"/>
                <w:lang w:val="en-US" w:eastAsia="zh-CN"/>
              </w:rPr>
              <w:t>是在原有生产工序的基础上增加抛丸工序，技改后</w:t>
            </w:r>
            <w:r>
              <w:rPr>
                <w:rFonts w:hint="default" w:ascii="Times New Roman" w:hAnsi="Times New Roman" w:eastAsia="宋体" w:cs="Times New Roman"/>
                <w:color w:val="auto"/>
                <w:sz w:val="24"/>
              </w:rPr>
              <w:t>具体生产工艺流程及产污环节如下</w:t>
            </w:r>
            <w:r>
              <w:rPr>
                <w:rFonts w:hint="eastAsia" w:ascii="Times New Roman" w:hAnsi="Times New Roman" w:eastAsia="宋体" w:cs="Times New Roman"/>
                <w:color w:val="auto"/>
                <w:sz w:val="24"/>
                <w:lang w:eastAsia="zh-CN"/>
              </w:rPr>
              <w:t>。</w:t>
            </w:r>
          </w:p>
          <w:p w14:paraId="1B17A00A">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p>
          <w:p w14:paraId="0B2D5A8F">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sz w:val="24"/>
              </w:rPr>
              <mc:AlternateContent>
                <mc:Choice Requires="wpg">
                  <w:drawing>
                    <wp:anchor distT="0" distB="0" distL="114300" distR="114300" simplePos="0" relativeHeight="251687936" behindDoc="0" locked="0" layoutInCell="1" allowOverlap="1">
                      <wp:simplePos x="0" y="0"/>
                      <wp:positionH relativeFrom="column">
                        <wp:posOffset>1764030</wp:posOffset>
                      </wp:positionH>
                      <wp:positionV relativeFrom="paragraph">
                        <wp:posOffset>181610</wp:posOffset>
                      </wp:positionV>
                      <wp:extent cx="2235200" cy="6127750"/>
                      <wp:effectExtent l="9525" t="6350" r="0" b="7620"/>
                      <wp:wrapNone/>
                      <wp:docPr id="477" name="组合 477"/>
                      <wp:cNvGraphicFramePr/>
                      <a:graphic xmlns:a="http://schemas.openxmlformats.org/drawingml/2006/main">
                        <a:graphicData uri="http://schemas.microsoft.com/office/word/2010/wordprocessingGroup">
                          <wpg:wgp>
                            <wpg:cNvGrpSpPr/>
                            <wpg:grpSpPr>
                              <a:xfrm>
                                <a:off x="0" y="0"/>
                                <a:ext cx="2235200" cy="6127750"/>
                                <a:chOff x="9920" y="715805"/>
                                <a:chExt cx="3520" cy="9650"/>
                              </a:xfrm>
                            </wpg:grpSpPr>
                            <wpg:grpSp>
                              <wpg:cNvPr id="417" name="组合 417"/>
                              <wpg:cNvGrpSpPr/>
                              <wpg:grpSpPr>
                                <a:xfrm>
                                  <a:off x="9920" y="715805"/>
                                  <a:ext cx="3520" cy="9650"/>
                                  <a:chOff x="9931" y="588844"/>
                                  <a:chExt cx="3520" cy="9650"/>
                                </a:xfrm>
                              </wpg:grpSpPr>
                              <wps:wsp>
                                <wps:cNvPr id="418" name="矩形 133"/>
                                <wps:cNvSpPr/>
                                <wps:spPr>
                                  <a:xfrm>
                                    <a:off x="10172" y="596842"/>
                                    <a:ext cx="1591" cy="536"/>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20A19A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装配检验</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19" name="组合 236"/>
                                <wpg:cNvGrpSpPr/>
                                <wpg:grpSpPr>
                                  <a:xfrm>
                                    <a:off x="9931" y="588844"/>
                                    <a:ext cx="3520" cy="9650"/>
                                    <a:chOff x="9931" y="588844"/>
                                    <a:chExt cx="3520" cy="9650"/>
                                  </a:xfrm>
                                </wpg:grpSpPr>
                                <wps:wsp>
                                  <wps:cNvPr id="420" name="文本框 160"/>
                                  <wps:cNvSpPr txBox="1"/>
                                  <wps:spPr>
                                    <a:xfrm>
                                      <a:off x="12093" y="589736"/>
                                      <a:ext cx="1202"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5CAB9">
                                        <w:pPr>
                                          <w:rPr>
                                            <w:rFonts w:hint="default" w:eastAsia="宋体"/>
                                            <w:sz w:val="20"/>
                                            <w:szCs w:val="20"/>
                                            <w:lang w:val="en-US" w:eastAsia="zh-CN"/>
                                          </w:rPr>
                                        </w:pPr>
                                        <w:r>
                                          <w:rPr>
                                            <w:rFonts w:hint="eastAsia"/>
                                            <w:sz w:val="20"/>
                                            <w:szCs w:val="20"/>
                                            <w:lang w:val="en-US" w:eastAsia="zh-CN"/>
                                          </w:rPr>
                                          <w:t>S1、G1、N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1" name="直接箭头连接符 168"/>
                                  <wps:cNvCnPr>
                                    <a:stCxn id="441" idx="3"/>
                                    <a:endCxn id="420" idx="1"/>
                                  </wps:cNvCnPr>
                                  <wps:spPr>
                                    <a:xfrm flipV="1">
                                      <a:off x="11710" y="589969"/>
                                      <a:ext cx="383" cy="209"/>
                                    </a:xfrm>
                                    <a:prstGeom prst="straightConnector1">
                                      <a:avLst/>
                                    </a:prstGeom>
                                    <a:ln w="12700">
                                      <a:solidFill>
                                        <a:schemeClr val="tx1"/>
                                      </a:solidFill>
                                      <a:prstDash val="lgDash"/>
                                      <a:tailEnd type="arrow"/>
                                    </a:ln>
                                  </wps:spPr>
                                  <wps:style>
                                    <a:lnRef idx="2">
                                      <a:schemeClr val="accent1"/>
                                    </a:lnRef>
                                    <a:fillRef idx="0">
                                      <a:srgbClr val="FFFFFF"/>
                                    </a:fillRef>
                                    <a:effectRef idx="0">
                                      <a:srgbClr val="FFFFFF"/>
                                    </a:effectRef>
                                    <a:fontRef idx="minor">
                                      <a:schemeClr val="tx1"/>
                                    </a:fontRef>
                                  </wps:style>
                                  <wps:bodyPr/>
                                </wps:wsp>
                                <wps:wsp>
                                  <wps:cNvPr id="422" name="文本框 188"/>
                                  <wps:cNvSpPr txBox="1"/>
                                  <wps:spPr>
                                    <a:xfrm>
                                      <a:off x="12093" y="591835"/>
                                      <a:ext cx="1286"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B23E2">
                                        <w:pPr>
                                          <w:rPr>
                                            <w:rFonts w:hint="default" w:eastAsia="宋体"/>
                                            <w:sz w:val="20"/>
                                            <w:szCs w:val="20"/>
                                            <w:lang w:val="en-US" w:eastAsia="zh-CN"/>
                                          </w:rPr>
                                        </w:pPr>
                                        <w:r>
                                          <w:rPr>
                                            <w:rFonts w:hint="eastAsia"/>
                                            <w:sz w:val="20"/>
                                            <w:szCs w:val="20"/>
                                            <w:lang w:val="en-US" w:eastAsia="zh-CN"/>
                                          </w:rPr>
                                          <w:t>S3、G2、N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3" name="直接箭头连接符 195"/>
                                  <wps:cNvCnPr>
                                    <a:stCxn id="433" idx="3"/>
                                    <a:endCxn id="422" idx="1"/>
                                  </wps:cNvCnPr>
                                  <wps:spPr>
                                    <a:xfrm flipV="1">
                                      <a:off x="11692" y="592068"/>
                                      <a:ext cx="401" cy="228"/>
                                    </a:xfrm>
                                    <a:prstGeom prst="straightConnector1">
                                      <a:avLst/>
                                    </a:prstGeom>
                                    <a:ln w="12700">
                                      <a:solidFill>
                                        <a:schemeClr val="tx1"/>
                                      </a:solidFill>
                                      <a:prstDash val="lgDash"/>
                                      <a:tailEnd type="arrow"/>
                                    </a:ln>
                                  </wps:spPr>
                                  <wps:style>
                                    <a:lnRef idx="2">
                                      <a:schemeClr val="accent1"/>
                                    </a:lnRef>
                                    <a:fillRef idx="0">
                                      <a:srgbClr val="FFFFFF"/>
                                    </a:fillRef>
                                    <a:effectRef idx="0">
                                      <a:srgbClr val="FFFFFF"/>
                                    </a:effectRef>
                                    <a:fontRef idx="minor">
                                      <a:schemeClr val="tx1"/>
                                    </a:fontRef>
                                  </wps:style>
                                  <wps:bodyPr/>
                                </wps:wsp>
                                <wpg:grpSp>
                                  <wpg:cNvPr id="424" name="组合 235"/>
                                  <wpg:cNvGrpSpPr/>
                                  <wpg:grpSpPr>
                                    <a:xfrm>
                                      <a:off x="9931" y="588844"/>
                                      <a:ext cx="2076" cy="9650"/>
                                      <a:chOff x="9931" y="588844"/>
                                      <a:chExt cx="2076" cy="9650"/>
                                    </a:xfrm>
                                  </wpg:grpSpPr>
                                  <wps:wsp>
                                    <wps:cNvPr id="425" name="矩形 308"/>
                                    <wps:cNvSpPr/>
                                    <wps:spPr>
                                      <a:xfrm>
                                        <a:off x="9931" y="592894"/>
                                        <a:ext cx="2076" cy="1067"/>
                                      </a:xfrm>
                                      <a:prstGeom prst="rect">
                                        <a:avLst/>
                                      </a:prstGeom>
                                      <a:noFill/>
                                      <a:ln w="19050" cmpd="sng">
                                        <a:solidFill>
                                          <a:srgbClr val="FF0000"/>
                                        </a:solidFill>
                                        <a:prstDash val="lg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26" name="组合 234"/>
                                    <wpg:cNvGrpSpPr/>
                                    <wpg:grpSpPr>
                                      <a:xfrm>
                                        <a:off x="10166" y="588844"/>
                                        <a:ext cx="1606" cy="9650"/>
                                        <a:chOff x="10166" y="588844"/>
                                        <a:chExt cx="1606" cy="9650"/>
                                      </a:xfrm>
                                    </wpg:grpSpPr>
                                    <wpg:grpSp>
                                      <wpg:cNvPr id="427" name="组合 301"/>
                                      <wpg:cNvGrpSpPr/>
                                      <wpg:grpSpPr>
                                        <a:xfrm>
                                          <a:off x="10166" y="588844"/>
                                          <a:ext cx="1606" cy="9126"/>
                                          <a:chOff x="10634" y="327409"/>
                                          <a:chExt cx="1606" cy="9126"/>
                                        </a:xfrm>
                                      </wpg:grpSpPr>
                                      <wps:wsp>
                                        <wps:cNvPr id="428" name="矩形 295"/>
                                        <wps:cNvSpPr/>
                                        <wps:spPr>
                                          <a:xfrm>
                                            <a:off x="10640" y="331745"/>
                                            <a:ext cx="1591" cy="536"/>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7D08C74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抛丸</w:t>
                                              </w:r>
                                              <w:r>
                                                <w:rPr>
                                                  <w:rFonts w:hint="eastAsia" w:eastAsia="宋体"/>
                                                  <w:color w:val="000000" w:themeColor="text1"/>
                                                  <w:lang w:val="en-US" w:eastAsia="zh-CN"/>
                                                  <w14:textFill>
                                                    <w14:solidFill>
                                                      <w14:schemeClr w14:val="tx1"/>
                                                    </w14:solidFill>
                                                  </w14:textFill>
                                                </w:rPr>
                                                <w:t>打磨</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29" name="组合 300"/>
                                        <wpg:cNvGrpSpPr/>
                                        <wpg:grpSpPr>
                                          <a:xfrm>
                                            <a:off x="10634" y="327409"/>
                                            <a:ext cx="1606" cy="9126"/>
                                            <a:chOff x="10634" y="327409"/>
                                            <a:chExt cx="1606" cy="9126"/>
                                          </a:xfrm>
                                        </wpg:grpSpPr>
                                        <wps:wsp>
                                          <wps:cNvPr id="430" name="直接箭头连接符 294"/>
                                          <wps:cNvCnPr>
                                            <a:stCxn id="433" idx="2"/>
                                            <a:endCxn id="428" idx="0"/>
                                          </wps:cNvCnPr>
                                          <wps:spPr>
                                            <a:xfrm flipH="1">
                                              <a:off x="11436" y="331132"/>
                                              <a:ext cx="4" cy="613"/>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cNvPr id="431" name="组合 299"/>
                                          <wpg:cNvGrpSpPr/>
                                          <wpg:grpSpPr>
                                            <a:xfrm>
                                              <a:off x="10634" y="327409"/>
                                              <a:ext cx="1606" cy="9126"/>
                                              <a:chOff x="10634" y="327409"/>
                                              <a:chExt cx="1606" cy="9126"/>
                                            </a:xfrm>
                                          </wpg:grpSpPr>
                                          <wpg:grpSp>
                                            <wpg:cNvPr id="432" name="组合 159"/>
                                            <wpg:cNvGrpSpPr/>
                                            <wpg:grpSpPr>
                                              <a:xfrm>
                                                <a:off x="10634" y="327409"/>
                                                <a:ext cx="1606" cy="9126"/>
                                                <a:chOff x="7720" y="327288"/>
                                                <a:chExt cx="1606" cy="9126"/>
                                              </a:xfrm>
                                            </wpg:grpSpPr>
                                            <wps:wsp>
                                              <wps:cNvPr id="433" name="矩形 59"/>
                                              <wps:cNvSpPr/>
                                              <wps:spPr>
                                                <a:xfrm>
                                                  <a:off x="7806" y="330468"/>
                                                  <a:ext cx="1440" cy="543"/>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150180C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拼装焊接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4" name="矩形 139"/>
                                              <wps:cNvSpPr/>
                                              <wps:spPr>
                                                <a:xfrm>
                                                  <a:off x="7742" y="332680"/>
                                                  <a:ext cx="1577" cy="775"/>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32ABC2B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刷漆晾干（底漆）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5" name="直接箭头连接符 146"/>
                                              <wps:cNvCnPr>
                                                <a:stCxn id="418" idx="2"/>
                                                <a:endCxn id="444" idx="0"/>
                                              </wps:cNvCnPr>
                                              <wps:spPr>
                                                <a:xfrm flipH="1">
                                                  <a:off x="8519" y="335833"/>
                                                  <a:ext cx="3" cy="581"/>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36" name="直接箭头连接符 147"/>
                                              <wps:cNvCnPr>
                                                <a:stCxn id="428" idx="2"/>
                                                <a:endCxn id="434" idx="0"/>
                                              </wps:cNvCnPr>
                                              <wps:spPr>
                                                <a:xfrm>
                                                  <a:off x="8522" y="332160"/>
                                                  <a:ext cx="9" cy="52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37" name="直接箭头连接符 148"/>
                                              <wps:cNvCnPr>
                                                <a:stCxn id="439" idx="2"/>
                                                <a:endCxn id="433" idx="0"/>
                                              </wps:cNvCnPr>
                                              <wps:spPr>
                                                <a:xfrm flipH="1">
                                                  <a:off x="8526" y="329919"/>
                                                  <a:ext cx="9" cy="549"/>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38" name="矩形 152"/>
                                              <wps:cNvSpPr/>
                                              <wps:spPr>
                                                <a:xfrm>
                                                  <a:off x="7720" y="327288"/>
                                                  <a:ext cx="1606" cy="511"/>
                                                </a:xfrm>
                                                <a:prstGeom prst="rect">
                                                  <a:avLst/>
                                                </a:prstGeom>
                                                <a:noFill/>
                                                <a:ln w="12700" cmpd="sng">
                                                  <a:solidFill>
                                                    <a:schemeClr val="tx2">
                                                      <a:lumMod val="40000"/>
                                                      <a:lumOff val="6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6951B2A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9" name="矩形 153"/>
                                              <wps:cNvSpPr/>
                                              <wps:spPr>
                                                <a:xfrm>
                                                  <a:off x="7953" y="329408"/>
                                                  <a:ext cx="1163" cy="511"/>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348338D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机加工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0" name="直接箭头连接符 155"/>
                                              <wps:cNvCnPr>
                                                <a:stCxn id="441" idx="2"/>
                                                <a:endCxn id="439" idx="0"/>
                                              </wps:cNvCnPr>
                                              <wps:spPr>
                                                <a:xfrm>
                                                  <a:off x="8533" y="328877"/>
                                                  <a:ext cx="2" cy="531"/>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41" name="矩形 157"/>
                                              <wps:cNvSpPr/>
                                              <wps:spPr>
                                                <a:xfrm>
                                                  <a:off x="7802" y="328366"/>
                                                  <a:ext cx="1462" cy="511"/>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7AA3811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下料切割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2" name="直接箭头连接符 158"/>
                                              <wps:cNvCnPr>
                                                <a:stCxn id="438" idx="2"/>
                                                <a:endCxn id="441" idx="0"/>
                                              </wps:cNvCnPr>
                                              <wps:spPr>
                                                <a:xfrm>
                                                  <a:off x="8523" y="327799"/>
                                                  <a:ext cx="10" cy="567"/>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s:wsp>
                                            <wps:cNvPr id="443" name="直接箭头连接符 298"/>
                                            <wps:cNvCnPr>
                                              <a:stCxn id="434" idx="2"/>
                                              <a:endCxn id="473" idx="0"/>
                                            </wps:cNvCnPr>
                                            <wps:spPr>
                                              <a:xfrm>
                                                <a:off x="11445" y="333576"/>
                                                <a:ext cx="0" cy="496"/>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grpSp>
                                    </wpg:grpSp>
                                    <wps:wsp>
                                      <wps:cNvPr id="444" name="矩形 135"/>
                                      <wps:cNvSpPr/>
                                      <wps:spPr>
                                        <a:xfrm>
                                          <a:off x="10367" y="597958"/>
                                          <a:ext cx="1195" cy="536"/>
                                        </a:xfrm>
                                        <a:prstGeom prst="rect">
                                          <a:avLst/>
                                        </a:prstGeom>
                                        <a:noFill/>
                                        <a:ln w="12700" cmpd="sng">
                                          <a:solidFill>
                                            <a:schemeClr val="tx2">
                                              <a:lumMod val="40000"/>
                                              <a:lumOff val="6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517E32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成品</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445" name="文本框 136"/>
                                  <wps:cNvSpPr txBox="1"/>
                                  <wps:spPr>
                                    <a:xfrm>
                                      <a:off x="11961" y="590803"/>
                                      <a:ext cx="758" cy="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02C8C">
                                        <w:pPr>
                                          <w:rPr>
                                            <w:rFonts w:hint="default" w:eastAsia="宋体"/>
                                            <w:sz w:val="20"/>
                                            <w:szCs w:val="20"/>
                                            <w:lang w:val="en-US" w:eastAsia="zh-CN"/>
                                          </w:rPr>
                                        </w:pPr>
                                        <w:r>
                                          <w:rPr>
                                            <w:rFonts w:hint="eastAsia"/>
                                            <w:sz w:val="20"/>
                                            <w:szCs w:val="20"/>
                                            <w:lang w:val="en-US" w:eastAsia="zh-CN"/>
                                          </w:rPr>
                                          <w:t>S2、N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6" name="文本框 137"/>
                                  <wps:cNvSpPr txBox="1"/>
                                  <wps:spPr>
                                    <a:xfrm>
                                      <a:off x="12153" y="592988"/>
                                      <a:ext cx="1286"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57D602">
                                        <w:pPr>
                                          <w:rPr>
                                            <w:rFonts w:hint="default" w:eastAsia="宋体"/>
                                            <w:sz w:val="20"/>
                                            <w:szCs w:val="20"/>
                                            <w:lang w:val="en-US" w:eastAsia="zh-CN"/>
                                          </w:rPr>
                                        </w:pPr>
                                        <w:r>
                                          <w:rPr>
                                            <w:rFonts w:hint="eastAsia"/>
                                            <w:sz w:val="20"/>
                                            <w:szCs w:val="20"/>
                                            <w:lang w:val="en-US" w:eastAsia="zh-CN"/>
                                          </w:rPr>
                                          <w:t>S4、G3、N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7" name="文本框 140"/>
                                  <wps:cNvSpPr txBox="1"/>
                                  <wps:spPr>
                                    <a:xfrm>
                                      <a:off x="12165" y="594139"/>
                                      <a:ext cx="1286"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B15B2">
                                        <w:pPr>
                                          <w:rPr>
                                            <w:rFonts w:hint="default" w:eastAsia="宋体"/>
                                            <w:sz w:val="20"/>
                                            <w:szCs w:val="20"/>
                                            <w:lang w:val="en-US" w:eastAsia="zh-CN"/>
                                          </w:rPr>
                                        </w:pPr>
                                        <w:r>
                                          <w:rPr>
                                            <w:rFonts w:hint="eastAsia"/>
                                            <w:sz w:val="20"/>
                                            <w:szCs w:val="20"/>
                                            <w:lang w:val="en-US" w:eastAsia="zh-CN"/>
                                          </w:rPr>
                                          <w:t>S5、G4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8" name="直接箭头连接符 141"/>
                                  <wps:cNvCnPr>
                                    <a:stCxn id="439" idx="3"/>
                                    <a:endCxn id="445" idx="1"/>
                                  </wps:cNvCnPr>
                                  <wps:spPr>
                                    <a:xfrm flipV="1">
                                      <a:off x="11562" y="590988"/>
                                      <a:ext cx="399" cy="232"/>
                                    </a:xfrm>
                                    <a:prstGeom prst="straightConnector1">
                                      <a:avLst/>
                                    </a:prstGeom>
                                    <a:ln w="12700">
                                      <a:solidFill>
                                        <a:schemeClr val="tx1"/>
                                      </a:solidFill>
                                      <a:prstDash val="lgDash"/>
                                      <a:tailEnd type="arrow"/>
                                    </a:ln>
                                  </wps:spPr>
                                  <wps:style>
                                    <a:lnRef idx="2">
                                      <a:schemeClr val="accent1"/>
                                    </a:lnRef>
                                    <a:fillRef idx="0">
                                      <a:srgbClr val="FFFFFF"/>
                                    </a:fillRef>
                                    <a:effectRef idx="0">
                                      <a:srgbClr val="FFFFFF"/>
                                    </a:effectRef>
                                    <a:fontRef idx="minor">
                                      <a:schemeClr val="tx1"/>
                                    </a:fontRef>
                                  </wps:style>
                                  <wps:bodyPr/>
                                </wps:wsp>
                                <wps:wsp>
                                  <wps:cNvPr id="449" name="直接箭头连接符 143"/>
                                  <wps:cNvCnPr>
                                    <a:stCxn id="428" idx="3"/>
                                    <a:endCxn id="446" idx="1"/>
                                  </wps:cNvCnPr>
                                  <wps:spPr>
                                    <a:xfrm flipV="1">
                                      <a:off x="11763" y="593221"/>
                                      <a:ext cx="390" cy="227"/>
                                    </a:xfrm>
                                    <a:prstGeom prst="straightConnector1">
                                      <a:avLst/>
                                    </a:prstGeom>
                                    <a:ln w="12700">
                                      <a:solidFill>
                                        <a:schemeClr val="tx1"/>
                                      </a:solidFill>
                                      <a:prstDash val="lgDash"/>
                                      <a:tailEnd type="arrow"/>
                                    </a:ln>
                                  </wps:spPr>
                                  <wps:style>
                                    <a:lnRef idx="2">
                                      <a:schemeClr val="accent1"/>
                                    </a:lnRef>
                                    <a:fillRef idx="0">
                                      <a:srgbClr val="FFFFFF"/>
                                    </a:fillRef>
                                    <a:effectRef idx="0">
                                      <a:srgbClr val="FFFFFF"/>
                                    </a:effectRef>
                                    <a:fontRef idx="minor">
                                      <a:schemeClr val="tx1"/>
                                    </a:fontRef>
                                  </wps:style>
                                  <wps:bodyPr/>
                                </wps:wsp>
                                <wps:wsp>
                                  <wps:cNvPr id="450" name="直接箭头连接符 144"/>
                                  <wps:cNvCnPr>
                                    <a:stCxn id="434" idx="3"/>
                                    <a:endCxn id="447" idx="1"/>
                                  </wps:cNvCnPr>
                                  <wps:spPr>
                                    <a:xfrm flipV="1">
                                      <a:off x="11765" y="594372"/>
                                      <a:ext cx="400" cy="252"/>
                                    </a:xfrm>
                                    <a:prstGeom prst="straightConnector1">
                                      <a:avLst/>
                                    </a:prstGeom>
                                    <a:ln w="12700">
                                      <a:solidFill>
                                        <a:schemeClr val="tx1"/>
                                      </a:solidFill>
                                      <a:prstDash val="lgDash"/>
                                      <a:tailEnd type="arrow"/>
                                    </a:ln>
                                  </wps:spPr>
                                  <wps:style>
                                    <a:lnRef idx="2">
                                      <a:schemeClr val="accent1"/>
                                    </a:lnRef>
                                    <a:fillRef idx="0">
                                      <a:srgbClr val="FFFFFF"/>
                                    </a:fillRef>
                                    <a:effectRef idx="0">
                                      <a:srgbClr val="FFFFFF"/>
                                    </a:effectRef>
                                    <a:fontRef idx="minor">
                                      <a:schemeClr val="tx1"/>
                                    </a:fontRef>
                                  </wps:style>
                                  <wps:bodyPr/>
                                </wps:wsp>
                              </wpg:grpSp>
                            </wpg:grpSp>
                            <wps:wsp>
                              <wps:cNvPr id="473" name="矩形 139"/>
                              <wps:cNvSpPr/>
                              <wps:spPr>
                                <a:xfrm>
                                  <a:off x="10177" y="722468"/>
                                  <a:ext cx="1577" cy="787"/>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55196B7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刷漆晾干（面漆）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4" name="直接箭头连接符 298"/>
                              <wps:cNvCnPr>
                                <a:stCxn id="473" idx="2"/>
                                <a:endCxn id="418" idx="0"/>
                              </wps:cNvCnPr>
                              <wps:spPr>
                                <a:xfrm flipH="1">
                                  <a:off x="10957" y="723255"/>
                                  <a:ext cx="9" cy="548"/>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75" name="文本框 140"/>
                              <wps:cNvSpPr txBox="1"/>
                              <wps:spPr>
                                <a:xfrm>
                                  <a:off x="12130" y="722372"/>
                                  <a:ext cx="1286"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6C4B0">
                                    <w:pPr>
                                      <w:rPr>
                                        <w:rFonts w:hint="default" w:eastAsia="宋体"/>
                                        <w:sz w:val="20"/>
                                        <w:szCs w:val="20"/>
                                        <w:lang w:val="en-US" w:eastAsia="zh-CN"/>
                                      </w:rPr>
                                    </w:pPr>
                                    <w:r>
                                      <w:rPr>
                                        <w:rFonts w:hint="eastAsia"/>
                                        <w:sz w:val="20"/>
                                        <w:szCs w:val="20"/>
                                        <w:lang w:val="en-US" w:eastAsia="zh-CN"/>
                                      </w:rPr>
                                      <w:t>S6、G5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6" name="直接箭头连接符 144"/>
                              <wps:cNvCnPr>
                                <a:stCxn id="473" idx="3"/>
                                <a:endCxn id="475" idx="1"/>
                              </wps:cNvCnPr>
                              <wps:spPr>
                                <a:xfrm flipV="1">
                                  <a:off x="11754" y="722605"/>
                                  <a:ext cx="376" cy="257"/>
                                </a:xfrm>
                                <a:prstGeom prst="straightConnector1">
                                  <a:avLst/>
                                </a:prstGeom>
                                <a:ln w="12700">
                                  <a:solidFill>
                                    <a:schemeClr val="tx1"/>
                                  </a:solidFill>
                                  <a:prstDash val="lgDash"/>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38.9pt;margin-top:14.3pt;height:482.5pt;width:176pt;z-index:251687936;mso-width-relative:page;mso-height-relative:page;" coordorigin="9920,715805" coordsize="3520,9650" o:gfxdata="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">
                      <o:lock v:ext="edit" aspectratio="f"/>
                      <v:group id="_x0000_s1026" o:spid="_x0000_s1026" o:spt="203" style="position:absolute;left:9920;top:715805;height:9650;width:3520;" coordorigin="9931,588844" coordsize="3520,9650" o:gfxdata="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DD8vwAAANwAAAAPAAAAAAAAAAEAIAAAACIAAABkcnMvZG93bnJldi54&#10;bWxQSwECFAAUAAAACACHTuJAMy8FnjsAAAA5AAAAFQAAAAAAAAABACAAAAAOAQAAZHJzL2dyb3Vw&#10;c2hhcGV4bWwueG1sUEsFBgAAAAAGAAYAYAEAAMsDAAAAAA==&#10;">
                        <o:lock v:ext="edit" aspectratio="f"/>
                        <v:rect id="矩形 133" o:spid="_x0000_s1026" o:spt="1" style="position:absolute;left:10172;top:596842;height:536;width:1591;v-text-anchor:middle;" filled="f" stroked="t" coordsize="21600,21600" o:gfxdata="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q6LsAAADc&#10;AAAADwAAAAAAAAABACAAAAAiAAAAZHJzL2Rvd25yZXYueG1sUEsBAhQAFAAAAAgAh07iQDMvBZ47&#10;AAAAOQAAABAAAAAAAAAAAQAgAAAACgEAAGRycy9zaGFwZXhtbC54bWxQSwUGAAAAAAYABgBbAQAA&#10;tAMAAAAA&#10;">
                          <v:fill on="f" focussize="0,0"/>
                          <v:stroke weight="1pt" color="#000000 [3213]" joinstyle="round"/>
                          <v:imagedata o:title=""/>
                          <o:lock v:ext="edit" aspectratio="f"/>
                          <v:textbox>
                            <w:txbxContent>
                              <w:p w14:paraId="020A19A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装配检验</w:t>
                                </w:r>
                              </w:p>
                            </w:txbxContent>
                          </v:textbox>
                        </v:rect>
                        <v:group id="组合 236" o:spid="_x0000_s1026" o:spt="203" style="position:absolute;left:9931;top:588844;height:9650;width:3520;" coordorigin="9931,588844" coordsize="3520,9650" o:gfxdata="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FwEVvwAAANwAAAAPAAAAAAAAAAEAIAAAACIAAABkcnMvZG93bnJldi54&#10;bWxQSwECFAAUAAAACACHTuJAMy8FnjsAAAA5AAAAFQAAAAAAAAABACAAAAAOAQAAZHJzL2dyb3Vw&#10;c2hhcGV4bWwueG1sUEsFBgAAAAAGAAYAYAEAAMsDAAAAAA==&#10;">
                          <o:lock v:ext="edit" aspectratio="f"/>
                          <v:shape id="文本框 160" o:spid="_x0000_s1026" o:spt="202" type="#_x0000_t202" style="position:absolute;left:12093;top:589736;height:465;width:1202;" filled="f" stroked="f" coordsize="21600,21600" o:gfxdata="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fJ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A25CAB9">
                                  <w:pPr>
                                    <w:rPr>
                                      <w:rFonts w:hint="default" w:eastAsia="宋体"/>
                                      <w:sz w:val="20"/>
                                      <w:szCs w:val="20"/>
                                      <w:lang w:val="en-US" w:eastAsia="zh-CN"/>
                                    </w:rPr>
                                  </w:pPr>
                                  <w:r>
                                    <w:rPr>
                                      <w:rFonts w:hint="eastAsia"/>
                                      <w:sz w:val="20"/>
                                      <w:szCs w:val="20"/>
                                      <w:lang w:val="en-US" w:eastAsia="zh-CN"/>
                                    </w:rPr>
                                    <w:t>S1、G1、N</w:t>
                                  </w:r>
                                </w:p>
                              </w:txbxContent>
                            </v:textbox>
                          </v:shape>
                          <v:shape id="直接箭头连接符 168" o:spid="_x0000_s1026" o:spt="32" type="#_x0000_t32" style="position:absolute;left:11710;top:589969;flip:y;height:209;width:383;" filled="f" stroked="t" coordsize="21600,21600" o:gfxdata="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p5JL4A&#10;AADcAAAADwAAAAAAAAABACAAAAAiAAAAZHJzL2Rvd25yZXYueG1sUEsBAhQAFAAAAAgAh07iQDMv&#10;BZ47AAAAOQAAABAAAAAAAAAAAQAgAAAADQEAAGRycy9zaGFwZXhtbC54bWxQSwUGAAAAAAYABgBb&#10;AQAAtwMAAAAA&#10;">
                            <v:fill on="f" focussize="0,0"/>
                            <v:stroke weight="1pt" color="#000000 [3213]" joinstyle="round" dashstyle="longDash" endarrow="open"/>
                            <v:imagedata o:title=""/>
                            <o:lock v:ext="edit" aspectratio="f"/>
                          </v:shape>
                          <v:shape id="文本框 188" o:spid="_x0000_s1026" o:spt="202" type="#_x0000_t202" style="position:absolute;left:12093;top:591835;height:465;width:1286;" filled="f" stroked="f" coordsize="21600,21600" o:gfxdata="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m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87B23E2">
                                  <w:pPr>
                                    <w:rPr>
                                      <w:rFonts w:hint="default" w:eastAsia="宋体"/>
                                      <w:sz w:val="20"/>
                                      <w:szCs w:val="20"/>
                                      <w:lang w:val="en-US" w:eastAsia="zh-CN"/>
                                    </w:rPr>
                                  </w:pPr>
                                  <w:r>
                                    <w:rPr>
                                      <w:rFonts w:hint="eastAsia"/>
                                      <w:sz w:val="20"/>
                                      <w:szCs w:val="20"/>
                                      <w:lang w:val="en-US" w:eastAsia="zh-CN"/>
                                    </w:rPr>
                                    <w:t>S3、G2、N</w:t>
                                  </w:r>
                                </w:p>
                              </w:txbxContent>
                            </v:textbox>
                          </v:shape>
                          <v:shape id="直接箭头连接符 195" o:spid="_x0000_s1026" o:spt="32" type="#_x0000_t32" style="position:absolute;left:11692;top:592068;flip:y;height:228;width:401;" filled="f" stroked="t" coordsize="21600,21600" o:gfxdata="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RCyL4A&#10;AADcAAAADwAAAAAAAAABACAAAAAiAAAAZHJzL2Rvd25yZXYueG1sUEsBAhQAFAAAAAgAh07iQDMv&#10;BZ47AAAAOQAAABAAAAAAAAAAAQAgAAAADQEAAGRycy9zaGFwZXhtbC54bWxQSwUGAAAAAAYABgBb&#10;AQAAtwMAAAAA&#10;">
                            <v:fill on="f" focussize="0,0"/>
                            <v:stroke weight="1pt" color="#000000 [3213]" joinstyle="round" dashstyle="longDash" endarrow="open"/>
                            <v:imagedata o:title=""/>
                            <o:lock v:ext="edit" aspectratio="f"/>
                          </v:shape>
                          <v:group id="组合 235" o:spid="_x0000_s1026" o:spt="203" style="position:absolute;left:9931;top:588844;height:9650;width:2076;" coordorigin="9931,588844" coordsize="2076,9650" o:gfxdata="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6ZDa+AAAA3AAAAA8AAAAAAAAAAQAgAAAAIgAAAGRycy9kb3ducmV2Lnht&#10;bFBLAQIUABQAAAAIAIdO4kAzLwWeOwAAADkAAAAVAAAAAAAAAAEAIAAAAA0BAABkcnMvZ3JvdXBz&#10;aGFwZXhtbC54bWxQSwUGAAAAAAYABgBgAQAAygMAAAAA&#10;">
                            <o:lock v:ext="edit" aspectratio="f"/>
                            <v:rect id="矩形 308" o:spid="_x0000_s1026" o:spt="1" style="position:absolute;left:9931;top:592894;height:1067;width:2076;v-text-anchor:middle;" filled="f" stroked="t" coordsize="21600,21600" o:gfxdata="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xGqOe5AAAA3AAA&#10;AA8AAAAAAAAAAQAgAAAAIgAAAGRycy9kb3ducmV2LnhtbFBLAQIUABQAAAAIAIdO4kAzLwWeOwAA&#10;ADkAAAAQAAAAAAAAAAEAIAAAAAgBAABkcnMvc2hhcGV4bWwueG1sUEsFBgAAAAAGAAYAWwEAALID&#10;AAAAAA==&#10;">
                              <v:fill on="f" focussize="0,0"/>
                              <v:stroke weight="1.5pt" color="#FF0000 [2404]" joinstyle="round" dashstyle="longDash"/>
                              <v:imagedata o:title=""/>
                              <o:lock v:ext="edit" aspectratio="f"/>
                            </v:rect>
                            <v:group id="组合 234" o:spid="_x0000_s1026" o:spt="203" style="position:absolute;left:10166;top:588844;height:9650;width:1606;" coordorigin="10166,588844" coordsize="1606,9650" o:gfxdata="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Rf2sAAAADcAAAADwAAAAAAAAABACAAAAAiAAAAZHJzL2Rvd25yZXYu&#10;eG1sUEsBAhQAFAAAAAgAh07iQDMvBZ47AAAAOQAAABUAAAAAAAAAAQAgAAAADwEAAGRycy9ncm91&#10;cHNoYXBleG1sLnhtbFBLBQYAAAAABgAGAGABAADMAwAAAAA=&#10;">
                              <o:lock v:ext="edit" aspectratio="f"/>
                              <v:group id="组合 301" o:spid="_x0000_s1026" o:spt="203" style="position:absolute;left:10166;top:588844;height:9126;width:1606;" coordorigin="10634,327409" coordsize="1606,9126" o:gfxdata="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qPpBvwAAANwAAAAPAAAAAAAAAAEAIAAAACIAAABkcnMvZG93bnJldi54&#10;bWxQSwECFAAUAAAACACHTuJAMy8FnjsAAAA5AAAAFQAAAAAAAAABACAAAAAOAQAAZHJzL2dyb3Vw&#10;c2hhcGV4bWwueG1sUEsFBgAAAAAGAAYAYAEAAMsDAAAAAA==&#10;">
                                <o:lock v:ext="edit" aspectratio="f"/>
                                <v:rect id="矩形 295" o:spid="_x0000_s1026" o:spt="1" style="position:absolute;left:10640;top:331745;height:536;width:1591;v-text-anchor:middle;" filled="f" stroked="t" coordsize="21600,21600" o:gfxdata="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DYFW8AAAA&#10;3AAAAA8AAAAAAAAAAQAgAAAAIgAAAGRycy9kb3ducmV2LnhtbFBLAQIUABQAAAAIAIdO4kAzLwWe&#10;OwAAADkAAAAQAAAAAAAAAAEAIAAAAAsBAABkcnMvc2hhcGV4bWwueG1sUEsFBgAAAAAGAAYAWwEA&#10;ALUDAAAAAA==&#10;">
                                  <v:fill on="f" focussize="0,0"/>
                                  <v:stroke weight="1pt" color="#000000 [3213]" joinstyle="round"/>
                                  <v:imagedata o:title=""/>
                                  <o:lock v:ext="edit" aspectratio="f"/>
                                  <v:textbox>
                                    <w:txbxContent>
                                      <w:p w14:paraId="7D08C74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抛丸</w:t>
                                        </w:r>
                                        <w:r>
                                          <w:rPr>
                                            <w:rFonts w:hint="eastAsia" w:eastAsia="宋体"/>
                                            <w:color w:val="000000" w:themeColor="text1"/>
                                            <w:lang w:val="en-US" w:eastAsia="zh-CN"/>
                                            <w14:textFill>
                                              <w14:solidFill>
                                                <w14:schemeClr w14:val="tx1"/>
                                              </w14:solidFill>
                                            </w14:textFill>
                                          </w:rPr>
                                          <w:t>打磨</w:t>
                                        </w:r>
                                      </w:p>
                                    </w:txbxContent>
                                  </v:textbox>
                                </v:rect>
                                <v:group id="组合 300" o:spid="_x0000_s1026" o:spt="203" style="position:absolute;left:10634;top:327409;height:9126;width:1606;" coordorigin="10634,327409" coordsize="1606,9126" o:gfxdata="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e8uovwAAANwAAAAPAAAAAAAAAAEAIAAAACIAAABkcnMvZG93bnJldi54&#10;bWxQSwECFAAUAAAACACHTuJAMy8FnjsAAAA5AAAAFQAAAAAAAAABACAAAAAOAQAAZHJzL2dyb3Vw&#10;c2hhcGV4bWwueG1sUEsFBgAAAAAGAAYAYAEAAMsDAAAAAA==&#10;">
                                  <o:lock v:ext="edit" aspectratio="f"/>
                                  <v:shape id="直接箭头连接符 294" o:spid="_x0000_s1026" o:spt="32" type="#_x0000_t32" style="position:absolute;left:11436;top:331132;flip:x;height:613;width:4;" filled="f" stroked="t" coordsize="21600,21600" o:gfxdata="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WSa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group id="组合 299" o:spid="_x0000_s1026" o:spt="203" style="position:absolute;left:10634;top:327409;height:9126;width:1606;" coordorigin="10634,327409" coordsize="1606,9126" o:gfxdata="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FFzvwAAANwAAAAPAAAAAAAAAAEAIAAAACIAAABkcnMvZG93bnJldi54&#10;bWxQSwECFAAUAAAACACHTuJAMy8FnjsAAAA5AAAAFQAAAAAAAAABACAAAAAOAQAAZHJzL2dyb3Vw&#10;c2hhcGV4bWwueG1sUEsFBgAAAAAGAAYAYAEAAMsDAAAAAA==&#10;">
                                    <o:lock v:ext="edit" aspectratio="f"/>
                                    <v:group id="组合 159" o:spid="_x0000_s1026" o:spt="203" style="position:absolute;left:10634;top:327409;height:9126;width:1606;" coordorigin="7720,327288" coordsize="1606,9126" o:gfxdata="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Bs8EvwAAANwAAAAPAAAAAAAAAAEAIAAAACIAAABkcnMvZG93bnJldi54&#10;bWxQSwECFAAUAAAACACHTuJAMy8FnjsAAAA5AAAAFQAAAAAAAAABACAAAAAOAQAAZHJzL2dyb3Vw&#10;c2hhcGV4bWwueG1sUEsFBgAAAAAGAAYAYAEAAMsDAAAAAA==&#10;">
                                      <o:lock v:ext="edit" aspectratio="f"/>
                                      <v:rect id="矩形 59" o:spid="_x0000_s1026" o:spt="1" style="position:absolute;left:7806;top:330468;height:543;width:1440;v-text-anchor:middle;" filled="f" stroked="t" coordsize="21600,21600" o:gfxdata="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5k+b4A&#10;AADc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textbox>
                                          <w:txbxContent>
                                            <w:p w14:paraId="150180C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拼装焊接</w:t>
                                              </w:r>
                                            </w:p>
                                          </w:txbxContent>
                                        </v:textbox>
                                      </v:rect>
                                      <v:rect id="矩形 139" o:spid="_x0000_s1026" o:spt="1" style="position:absolute;left:7742;top:332680;height:775;width:1577;v-text-anchor:middle;" filled="f" stroked="t" coordsize="21600,21600" o:gfxdata="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f8jb4A&#10;AADc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textbox>
                                          <w:txbxContent>
                                            <w:p w14:paraId="32ABC2B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刷漆晾干（底漆）</w:t>
                                              </w:r>
                                            </w:p>
                                          </w:txbxContent>
                                        </v:textbox>
                                      </v:rect>
                                      <v:shape id="直接箭头连接符 146" o:spid="_x0000_s1026" o:spt="32" type="#_x0000_t32" style="position:absolute;left:8519;top:335833;flip:x;height:581;width:3;" filled="f" stroked="t" coordsize="21600,21600" o:gfxdata="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mxwK/&#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直接箭头连接符 147" o:spid="_x0000_s1026" o:spt="32" type="#_x0000_t32" style="position:absolute;left:8522;top:332160;height:520;width:9;" filled="f" stroked="t" coordsize="21600,21600" o:gfxdata="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m7gz&#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直接箭头连接符 148" o:spid="_x0000_s1026" o:spt="32" type="#_x0000_t32" style="position:absolute;left:8526;top:329919;flip:x;height:549;width:9;" filled="f" stroked="t" coordsize="21600,21600" o:gfxdata="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j87r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rect id="矩形 152" o:spid="_x0000_s1026" o:spt="1" style="position:absolute;left:7720;top:327288;height:511;width:1606;v-text-anchor:middle;" filled="f" stroked="t" coordsize="21600,21600" o:gfxdata="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AYiq8AAAA&#10;3AAAAA8AAAAAAAAAAQAgAAAAIgAAAGRycy9kb3ducmV2LnhtbFBLAQIUABQAAAAIAIdO4kAzLwWe&#10;OwAAADkAAAAQAAAAAAAAAAEAIAAAAAsBAABkcnMvc2hhcGV4bWwueG1sUEsFBgAAAAAGAAYAWwEA&#10;ALUDAAAAAA==&#10;">
                                        <v:fill on="f" focussize="0,0"/>
                                        <v:stroke weight="1pt" color="#8EB4E3 [1311]" joinstyle="round"/>
                                        <v:imagedata o:title=""/>
                                        <o:lock v:ext="edit" aspectratio="f"/>
                                        <v:textbox>
                                          <w:txbxContent>
                                            <w:p w14:paraId="6951B2A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钢材</w:t>
                                              </w:r>
                                            </w:p>
                                          </w:txbxContent>
                                        </v:textbox>
                                      </v:rect>
                                      <v:rect id="矩形 153" o:spid="_x0000_s1026" o:spt="1" style="position:absolute;left:7953;top:329408;height:511;width:1163;v-text-anchor:middle;" filled="f" stroked="t" coordsize="21600,21600" o:gfxdata="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WUxO/&#10;AAAA3AAAAA8AAAAAAAAAAQAgAAAAIgAAAGRycy9kb3ducmV2LnhtbFBLAQIUABQAAAAIAIdO4kAz&#10;LwWeOwAAADkAAAAQAAAAAAAAAAEAIAAAAA4BAABkcnMvc2hhcGV4bWwueG1sUEsFBgAAAAAGAAYA&#10;WwEAALgDAAAAAA==&#10;">
                                        <v:fill on="f" focussize="0,0"/>
                                        <v:stroke weight="1pt" color="#000000 [3213]" joinstyle="round"/>
                                        <v:imagedata o:title=""/>
                                        <o:lock v:ext="edit" aspectratio="f"/>
                                        <v:textbox>
                                          <w:txbxContent>
                                            <w:p w14:paraId="348338D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机加工</w:t>
                                              </w:r>
                                            </w:p>
                                          </w:txbxContent>
                                        </v:textbox>
                                      </v:rect>
                                      <v:shape id="直接箭头连接符 155" o:spid="_x0000_s1026" o:spt="32" type="#_x0000_t32" style="position:absolute;left:8533;top:328877;height:531;width:2;" filled="f" stroked="t" coordsize="21600,21600" o:gfxdata="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Pah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rect id="矩形 157" o:spid="_x0000_s1026" o:spt="1" style="position:absolute;left:7802;top:328366;height:511;width:1462;v-text-anchor:middle;" filled="f" stroked="t" coordsize="21600,21600" o:gfxdata="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YsaL4A&#10;AADc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textbox>
                                          <w:txbxContent>
                                            <w:p w14:paraId="7AA3811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下料切割</w:t>
                                              </w:r>
                                            </w:p>
                                          </w:txbxContent>
                                        </v:textbox>
                                      </v:rect>
                                      <v:shape id="直接箭头连接符 158" o:spid="_x0000_s1026" o:spt="32" type="#_x0000_t32" style="position:absolute;left:8523;top:327799;height:567;width:10;" filled="f" stroked="t" coordsize="21600,21600" o:gfxdata="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bNT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group>
                                    <v:shape id="直接箭头连接符 298" o:spid="_x0000_s1026" o:spt="32" type="#_x0000_t32" style="position:absolute;left:11445;top:333576;height:496;width:0;" filled="f" stroked="t" coordsize="21600,21600" o:gfxdata="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mjW&#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group>
                                </v:group>
                              </v:group>
                              <v:rect id="矩形 135" o:spid="_x0000_s1026" o:spt="1" style="position:absolute;left:10367;top:597958;height:536;width:1195;v-text-anchor:middle;" filled="f" stroked="t" coordsize="21600,21600" o:gfxdata="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LG1K/&#10;AAAA3AAAAA8AAAAAAAAAAQAgAAAAIgAAAGRycy9kb3ducmV2LnhtbFBLAQIUABQAAAAIAIdO4kAz&#10;LwWeOwAAADkAAAAQAAAAAAAAAAEAIAAAAA4BAABkcnMvc2hhcGV4bWwueG1sUEsFBgAAAAAGAAYA&#10;WwEAALgDAAAAAA==&#10;">
                                <v:fill on="f" focussize="0,0"/>
                                <v:stroke weight="1pt" color="#8EB4E3 [1311]" joinstyle="round"/>
                                <v:imagedata o:title=""/>
                                <o:lock v:ext="edit" aspectratio="f"/>
                                <v:textbox>
                                  <w:txbxContent>
                                    <w:p w14:paraId="0517E32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成品</w:t>
                                      </w:r>
                                    </w:p>
                                  </w:txbxContent>
                                </v:textbox>
                              </v:rect>
                            </v:group>
                          </v:group>
                          <v:shape id="文本框 136" o:spid="_x0000_s1026" o:spt="202" type="#_x0000_t202" style="position:absolute;left:11961;top:590803;height:370;width:758;" filled="f" stroked="f" coordsize="21600,21600" o:gfxdata="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R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9402C8C">
                                  <w:pPr>
                                    <w:rPr>
                                      <w:rFonts w:hint="default" w:eastAsia="宋体"/>
                                      <w:sz w:val="20"/>
                                      <w:szCs w:val="20"/>
                                      <w:lang w:val="en-US" w:eastAsia="zh-CN"/>
                                    </w:rPr>
                                  </w:pPr>
                                  <w:r>
                                    <w:rPr>
                                      <w:rFonts w:hint="eastAsia"/>
                                      <w:sz w:val="20"/>
                                      <w:szCs w:val="20"/>
                                      <w:lang w:val="en-US" w:eastAsia="zh-CN"/>
                                    </w:rPr>
                                    <w:t>S2、N</w:t>
                                  </w:r>
                                </w:p>
                              </w:txbxContent>
                            </v:textbox>
                          </v:shape>
                          <v:shape id="文本框 137" o:spid="_x0000_s1026" o:spt="202" type="#_x0000_t202" style="position:absolute;left:12153;top:592988;height:465;width:1286;" filled="f" stroked="f" coordsize="21600,21600" o:gfxdata="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ayo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657D602">
                                  <w:pPr>
                                    <w:rPr>
                                      <w:rFonts w:hint="default" w:eastAsia="宋体"/>
                                      <w:sz w:val="20"/>
                                      <w:szCs w:val="20"/>
                                      <w:lang w:val="en-US" w:eastAsia="zh-CN"/>
                                    </w:rPr>
                                  </w:pPr>
                                  <w:r>
                                    <w:rPr>
                                      <w:rFonts w:hint="eastAsia"/>
                                      <w:sz w:val="20"/>
                                      <w:szCs w:val="20"/>
                                      <w:lang w:val="en-US" w:eastAsia="zh-CN"/>
                                    </w:rPr>
                                    <w:t>S4、G3、N</w:t>
                                  </w:r>
                                </w:p>
                              </w:txbxContent>
                            </v:textbox>
                          </v:shape>
                          <v:shape id="文本框 140" o:spid="_x0000_s1026" o:spt="202" type="#_x0000_t202" style="position:absolute;left:12165;top:594139;height:465;width:1286;" filled="f" stroked="f" coordsize="21600,21600" o:gfxdata="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yeP&#10;v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66DB15B2">
                                  <w:pPr>
                                    <w:rPr>
                                      <w:rFonts w:hint="default" w:eastAsia="宋体"/>
                                      <w:sz w:val="20"/>
                                      <w:szCs w:val="20"/>
                                      <w:lang w:val="en-US" w:eastAsia="zh-CN"/>
                                    </w:rPr>
                                  </w:pPr>
                                  <w:r>
                                    <w:rPr>
                                      <w:rFonts w:hint="eastAsia"/>
                                      <w:sz w:val="20"/>
                                      <w:szCs w:val="20"/>
                                      <w:lang w:val="en-US" w:eastAsia="zh-CN"/>
                                    </w:rPr>
                                    <w:t>S5、G4</w:t>
                                  </w:r>
                                </w:p>
                              </w:txbxContent>
                            </v:textbox>
                          </v:shape>
                          <v:shape id="直接箭头连接符 141" o:spid="_x0000_s1026" o:spt="32" type="#_x0000_t32" style="position:absolute;left:11562;top:590988;flip:y;height:232;width:399;" filled="f" stroked="t" coordsize="21600,21600" o:gfxdata="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HzUZtwAAANwAAAAP&#10;AAAAAAAAAAEAIAAAACIAAABkcnMvZG93bnJldi54bWxQSwECFAAUAAAACACHTuJAMy8FnjsAAAA5&#10;AAAAEAAAAAAAAAABACAAAAAGAQAAZHJzL3NoYXBleG1sLnhtbFBLBQYAAAAABgAGAFsBAACwAwAA&#10;AAA=&#10;">
                            <v:fill on="f" focussize="0,0"/>
                            <v:stroke weight="1pt" color="#000000 [3213]" joinstyle="round" dashstyle="longDash" endarrow="open"/>
                            <v:imagedata o:title=""/>
                            <o:lock v:ext="edit" aspectratio="f"/>
                          </v:shape>
                          <v:shape id="直接箭头连接符 143" o:spid="_x0000_s1026" o:spt="32" type="#_x0000_t32" style="position:absolute;left:11763;top:593221;flip:y;height:227;width:390;" filled="f" stroked="t" coordsize="21600,21600" o:gfxdata="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TkIK/&#10;AAAA3AAAAA8AAAAAAAAAAQAgAAAAIgAAAGRycy9kb3ducmV2LnhtbFBLAQIUABQAAAAIAIdO4kAz&#10;LwWeOwAAADkAAAAQAAAAAAAAAAEAIAAAAA4BAABkcnMvc2hhcGV4bWwueG1sUEsFBgAAAAAGAAYA&#10;WwEAALgDAAAAAA==&#10;">
                            <v:fill on="f" focussize="0,0"/>
                            <v:stroke weight="1pt" color="#000000 [3213]" joinstyle="round" dashstyle="longDash" endarrow="open"/>
                            <v:imagedata o:title=""/>
                            <o:lock v:ext="edit" aspectratio="f"/>
                          </v:shape>
                          <v:shape id="直接箭头连接符 144" o:spid="_x0000_s1026" o:spt="32" type="#_x0000_t32" style="position:absolute;left:11765;top:594372;flip:y;height:252;width:400;" filled="f" stroked="t" coordsize="21600,21600" o:gfxdata="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CvwrsAAADc&#10;AAAADwAAAAAAAAABACAAAAAiAAAAZHJzL2Rvd25yZXYueG1sUEsBAhQAFAAAAAgAh07iQDMvBZ47&#10;AAAAOQAAABAAAAAAAAAAAQAgAAAACgEAAGRycy9zaGFwZXhtbC54bWxQSwUGAAAAAAYABgBbAQAA&#10;tAMAAAAA&#10;">
                            <v:fill on="f" focussize="0,0"/>
                            <v:stroke weight="1pt" color="#000000 [3213]" joinstyle="round" dashstyle="longDash" endarrow="open"/>
                            <v:imagedata o:title=""/>
                            <o:lock v:ext="edit" aspectratio="f"/>
                          </v:shape>
                        </v:group>
                      </v:group>
                      <v:rect id="矩形 139" o:spid="_x0000_s1026" o:spt="1" style="position:absolute;left:10177;top:722468;height:787;width:1577;v-text-anchor:middle;" filled="f" stroked="t" coordsize="21600,21600" o:gfxdata="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U3Tm/&#10;AAAA3AAAAA8AAAAAAAAAAQAgAAAAIgAAAGRycy9kb3ducmV2LnhtbFBLAQIUABQAAAAIAIdO4kAz&#10;LwWeOwAAADkAAAAQAAAAAAAAAAEAIAAAAA4BAABkcnMvc2hhcGV4bWwueG1sUEsFBgAAAAAGAAYA&#10;WwEAALgDAAAAAA==&#10;">
                        <v:fill on="f" focussize="0,0"/>
                        <v:stroke weight="1pt" color="#000000 [3213]" joinstyle="round"/>
                        <v:imagedata o:title=""/>
                        <o:lock v:ext="edit" aspectratio="f"/>
                        <v:textbox>
                          <w:txbxContent>
                            <w:p w14:paraId="55196B78">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刷漆晾干（面漆）</w:t>
                              </w:r>
                            </w:p>
                          </w:txbxContent>
                        </v:textbox>
                      </v:rect>
                      <v:shape id="直接箭头连接符 298" o:spid="_x0000_s1026" o:spt="32" type="#_x0000_t32" style="position:absolute;left:10957;top:723255;flip:x;height:548;width:9;" filled="f" stroked="t" coordsize="21600,21600" o:gfxdata="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DbW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40" o:spid="_x0000_s1026" o:spt="202" type="#_x0000_t202" style="position:absolute;left:12130;top:722372;height:465;width:1286;" filled="f" stroked="f" coordsize="21600,21600" o:gfxdata="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tV+&#10;7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6776C4B0">
                              <w:pPr>
                                <w:rPr>
                                  <w:rFonts w:hint="default" w:eastAsia="宋体"/>
                                  <w:sz w:val="20"/>
                                  <w:szCs w:val="20"/>
                                  <w:lang w:val="en-US" w:eastAsia="zh-CN"/>
                                </w:rPr>
                              </w:pPr>
                              <w:r>
                                <w:rPr>
                                  <w:rFonts w:hint="eastAsia"/>
                                  <w:sz w:val="20"/>
                                  <w:szCs w:val="20"/>
                                  <w:lang w:val="en-US" w:eastAsia="zh-CN"/>
                                </w:rPr>
                                <w:t>S6、G5</w:t>
                              </w:r>
                            </w:p>
                          </w:txbxContent>
                        </v:textbox>
                      </v:shape>
                      <v:shape id="直接箭头连接符 144" o:spid="_x0000_s1026" o:spt="32" type="#_x0000_t32" style="position:absolute;left:11754;top:722605;flip:y;height:257;width:376;" filled="f" stroked="t" coordsize="21600,21600" o:gfxdata="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gzk2/&#10;AAAA3AAAAA8AAAAAAAAAAQAgAAAAIgAAAGRycy9kb3ducmV2LnhtbFBLAQIUABQAAAAIAIdO4kAz&#10;LwWeOwAAADkAAAAQAAAAAAAAAAEAIAAAAA4BAABkcnMvc2hhcGV4bWwueG1sUEsFBgAAAAAGAAYA&#10;WwEAALgDAAAAAA==&#10;">
                        <v:fill on="f" focussize="0,0"/>
                        <v:stroke weight="1pt" color="#000000 [3213]" joinstyle="round" dashstyle="longDash" endarrow="open"/>
                        <v:imagedata o:title=""/>
                        <o:lock v:ext="edit" aspectratio="f"/>
                      </v:shape>
                    </v:group>
                  </w:pict>
                </mc:Fallback>
              </mc:AlternateContent>
            </w:r>
          </w:p>
          <w:p w14:paraId="53CBB369">
            <w:pPr>
              <w:autoSpaceDE w:val="0"/>
              <w:autoSpaceDN w:val="0"/>
              <w:adjustRightInd w:val="0"/>
              <w:snapToGrid w:val="0"/>
              <w:spacing w:line="360" w:lineRule="auto"/>
              <w:jc w:val="left"/>
              <w:rPr>
                <w:rFonts w:hint="eastAsia" w:ascii="宋体" w:hAnsi="宋体" w:cs="宋体"/>
                <w:kern w:val="0"/>
                <w:sz w:val="24"/>
                <w:szCs w:val="24"/>
                <w:lang w:eastAsia="zh-CN"/>
              </w:rPr>
            </w:pPr>
          </w:p>
          <w:p w14:paraId="70FBE97E">
            <w:pPr>
              <w:autoSpaceDE w:val="0"/>
              <w:autoSpaceDN w:val="0"/>
              <w:adjustRightInd w:val="0"/>
              <w:snapToGrid w:val="0"/>
              <w:spacing w:line="360" w:lineRule="auto"/>
              <w:jc w:val="left"/>
              <w:rPr>
                <w:rFonts w:hint="eastAsia" w:ascii="宋体" w:hAnsi="宋体" w:cs="宋体"/>
                <w:kern w:val="0"/>
                <w:sz w:val="24"/>
                <w:szCs w:val="24"/>
                <w:lang w:eastAsia="zh-CN"/>
              </w:rPr>
            </w:pPr>
          </w:p>
          <w:p w14:paraId="2C6AF430">
            <w:pPr>
              <w:autoSpaceDE w:val="0"/>
              <w:autoSpaceDN w:val="0"/>
              <w:adjustRightInd w:val="0"/>
              <w:snapToGrid w:val="0"/>
              <w:spacing w:line="360" w:lineRule="auto"/>
              <w:jc w:val="left"/>
              <w:rPr>
                <w:rFonts w:hint="eastAsia" w:ascii="宋体" w:hAnsi="宋体" w:cs="宋体"/>
                <w:kern w:val="0"/>
                <w:sz w:val="24"/>
                <w:szCs w:val="24"/>
              </w:rPr>
            </w:pPr>
          </w:p>
          <w:p w14:paraId="73EA163C">
            <w:pPr>
              <w:autoSpaceDE w:val="0"/>
              <w:autoSpaceDN w:val="0"/>
              <w:adjustRightInd w:val="0"/>
              <w:snapToGrid w:val="0"/>
              <w:spacing w:line="360" w:lineRule="auto"/>
              <w:jc w:val="left"/>
              <w:rPr>
                <w:rFonts w:hint="eastAsia" w:ascii="宋体" w:hAnsi="宋体" w:cs="宋体"/>
                <w:kern w:val="0"/>
                <w:sz w:val="24"/>
                <w:szCs w:val="24"/>
              </w:rPr>
            </w:pPr>
          </w:p>
          <w:p w14:paraId="07963B83">
            <w:pPr>
              <w:autoSpaceDE w:val="0"/>
              <w:autoSpaceDN w:val="0"/>
              <w:adjustRightInd w:val="0"/>
              <w:snapToGrid w:val="0"/>
              <w:spacing w:line="360" w:lineRule="auto"/>
              <w:jc w:val="left"/>
              <w:rPr>
                <w:rFonts w:hint="eastAsia" w:ascii="宋体" w:hAnsi="宋体" w:cs="宋体"/>
                <w:kern w:val="0"/>
                <w:sz w:val="24"/>
                <w:szCs w:val="24"/>
              </w:rPr>
            </w:pPr>
          </w:p>
          <w:p w14:paraId="7E0A28F5">
            <w:pPr>
              <w:autoSpaceDE w:val="0"/>
              <w:autoSpaceDN w:val="0"/>
              <w:adjustRightInd w:val="0"/>
              <w:snapToGrid w:val="0"/>
              <w:spacing w:line="360" w:lineRule="auto"/>
              <w:jc w:val="left"/>
              <w:rPr>
                <w:rFonts w:hint="eastAsia" w:ascii="宋体" w:hAnsi="宋体" w:cs="宋体"/>
                <w:kern w:val="0"/>
                <w:sz w:val="24"/>
                <w:szCs w:val="24"/>
              </w:rPr>
            </w:pPr>
          </w:p>
          <w:p w14:paraId="0961D669">
            <w:pPr>
              <w:autoSpaceDE w:val="0"/>
              <w:autoSpaceDN w:val="0"/>
              <w:adjustRightInd w:val="0"/>
              <w:snapToGrid w:val="0"/>
              <w:spacing w:line="360" w:lineRule="auto"/>
              <w:jc w:val="left"/>
              <w:rPr>
                <w:rFonts w:hint="eastAsia" w:ascii="宋体" w:hAnsi="宋体" w:cs="宋体"/>
                <w:kern w:val="0"/>
                <w:sz w:val="24"/>
                <w:szCs w:val="24"/>
              </w:rPr>
            </w:pPr>
          </w:p>
          <w:p w14:paraId="378C049E">
            <w:pPr>
              <w:autoSpaceDE w:val="0"/>
              <w:autoSpaceDN w:val="0"/>
              <w:adjustRightInd w:val="0"/>
              <w:snapToGrid w:val="0"/>
              <w:spacing w:line="360" w:lineRule="auto"/>
              <w:jc w:val="left"/>
              <w:rPr>
                <w:rFonts w:hint="eastAsia" w:ascii="宋体" w:hAnsi="宋体" w:cs="宋体"/>
                <w:kern w:val="0"/>
                <w:sz w:val="24"/>
                <w:szCs w:val="24"/>
              </w:rPr>
            </w:pPr>
          </w:p>
          <w:p w14:paraId="5EE53C23">
            <w:pPr>
              <w:autoSpaceDE w:val="0"/>
              <w:autoSpaceDN w:val="0"/>
              <w:adjustRightInd w:val="0"/>
              <w:snapToGrid w:val="0"/>
              <w:spacing w:line="360" w:lineRule="auto"/>
              <w:jc w:val="left"/>
              <w:rPr>
                <w:rFonts w:hint="eastAsia" w:ascii="宋体" w:hAnsi="宋体" w:cs="宋体"/>
                <w:kern w:val="0"/>
                <w:sz w:val="24"/>
                <w:szCs w:val="24"/>
              </w:rPr>
            </w:pPr>
          </w:p>
          <w:p w14:paraId="473EE8D5">
            <w:pPr>
              <w:autoSpaceDE w:val="0"/>
              <w:autoSpaceDN w:val="0"/>
              <w:adjustRightInd w:val="0"/>
              <w:snapToGrid w:val="0"/>
              <w:spacing w:line="360" w:lineRule="auto"/>
              <w:jc w:val="left"/>
              <w:rPr>
                <w:rFonts w:hint="eastAsia" w:ascii="宋体" w:hAnsi="宋体" w:cs="宋体"/>
                <w:kern w:val="0"/>
                <w:sz w:val="24"/>
                <w:szCs w:val="24"/>
              </w:rPr>
            </w:pPr>
          </w:p>
          <w:p w14:paraId="172B4A4D">
            <w:pPr>
              <w:autoSpaceDE w:val="0"/>
              <w:autoSpaceDN w:val="0"/>
              <w:adjustRightInd w:val="0"/>
              <w:snapToGrid w:val="0"/>
              <w:spacing w:line="360" w:lineRule="auto"/>
              <w:jc w:val="left"/>
              <w:rPr>
                <w:rFonts w:hint="eastAsia" w:ascii="宋体" w:hAnsi="宋体" w:cs="宋体"/>
                <w:kern w:val="0"/>
                <w:sz w:val="24"/>
                <w:szCs w:val="24"/>
              </w:rPr>
            </w:pPr>
          </w:p>
          <w:p w14:paraId="4D678F4B">
            <w:pPr>
              <w:autoSpaceDE w:val="0"/>
              <w:autoSpaceDN w:val="0"/>
              <w:adjustRightInd w:val="0"/>
              <w:snapToGrid w:val="0"/>
              <w:spacing w:line="360" w:lineRule="auto"/>
              <w:jc w:val="left"/>
              <w:rPr>
                <w:rFonts w:hint="eastAsia" w:ascii="宋体" w:hAnsi="宋体" w:cs="宋体"/>
                <w:kern w:val="0"/>
                <w:sz w:val="24"/>
                <w:szCs w:val="24"/>
              </w:rPr>
            </w:pPr>
          </w:p>
          <w:p w14:paraId="308810CA">
            <w:pPr>
              <w:autoSpaceDE w:val="0"/>
              <w:autoSpaceDN w:val="0"/>
              <w:adjustRightInd w:val="0"/>
              <w:snapToGrid w:val="0"/>
              <w:spacing w:line="360" w:lineRule="auto"/>
              <w:jc w:val="left"/>
              <w:rPr>
                <w:rFonts w:hint="eastAsia" w:ascii="宋体" w:hAnsi="宋体" w:cs="宋体"/>
                <w:kern w:val="0"/>
                <w:sz w:val="24"/>
                <w:szCs w:val="24"/>
              </w:rPr>
            </w:pPr>
          </w:p>
          <w:p w14:paraId="52C40FD2">
            <w:pPr>
              <w:bidi w:val="0"/>
              <w:rPr>
                <w:rFonts w:hint="eastAsia"/>
              </w:rPr>
            </w:pPr>
          </w:p>
          <w:p w14:paraId="33297BB1">
            <w:pPr>
              <w:bidi w:val="0"/>
              <w:rPr>
                <w:rFonts w:hint="eastAsia"/>
              </w:rPr>
            </w:pPr>
          </w:p>
          <w:p w14:paraId="2BBCA6DC">
            <w:pPr>
              <w:bidi w:val="0"/>
              <w:rPr>
                <w:rFonts w:hint="eastAsia"/>
              </w:rPr>
            </w:pPr>
          </w:p>
          <w:p w14:paraId="041366E8">
            <w:pPr>
              <w:bidi w:val="0"/>
              <w:rPr>
                <w:rFonts w:hint="eastAsia"/>
              </w:rPr>
            </w:pPr>
          </w:p>
          <w:p w14:paraId="4F601206">
            <w:pPr>
              <w:bidi w:val="0"/>
              <w:rPr>
                <w:rFonts w:hint="eastAsia"/>
              </w:rPr>
            </w:pPr>
          </w:p>
          <w:p w14:paraId="6F889EFD">
            <w:pPr>
              <w:bidi w:val="0"/>
              <w:rPr>
                <w:rFonts w:hint="eastAsia"/>
              </w:rPr>
            </w:pPr>
          </w:p>
          <w:p w14:paraId="1A4D9EB1">
            <w:pPr>
              <w:bidi w:val="0"/>
              <w:rPr>
                <w:rFonts w:hint="eastAsia"/>
              </w:rPr>
            </w:pPr>
          </w:p>
          <w:p w14:paraId="13107AE2">
            <w:pPr>
              <w:bidi w:val="0"/>
              <w:rPr>
                <w:rFonts w:hint="eastAsia"/>
              </w:rPr>
            </w:pPr>
          </w:p>
          <w:p w14:paraId="11B2BC34">
            <w:pPr>
              <w:bidi w:val="0"/>
              <w:rPr>
                <w:rFonts w:hint="eastAsia"/>
              </w:rPr>
            </w:pPr>
            <w:r>
              <w:rPr>
                <w:sz w:val="24"/>
              </w:rPr>
              <mc:AlternateContent>
                <mc:Choice Requires="wpg">
                  <w:drawing>
                    <wp:anchor distT="0" distB="0" distL="114300" distR="114300" simplePos="0" relativeHeight="251666432" behindDoc="0" locked="0" layoutInCell="1" allowOverlap="1">
                      <wp:simplePos x="0" y="0"/>
                      <wp:positionH relativeFrom="column">
                        <wp:posOffset>3569335</wp:posOffset>
                      </wp:positionH>
                      <wp:positionV relativeFrom="paragraph">
                        <wp:posOffset>64770</wp:posOffset>
                      </wp:positionV>
                      <wp:extent cx="1651635" cy="865505"/>
                      <wp:effectExtent l="0" t="0" r="0" b="0"/>
                      <wp:wrapNone/>
                      <wp:docPr id="451" name="组合 451"/>
                      <wp:cNvGraphicFramePr/>
                      <a:graphic xmlns:a="http://schemas.openxmlformats.org/drawingml/2006/main">
                        <a:graphicData uri="http://schemas.microsoft.com/office/word/2010/wordprocessingGroup">
                          <wpg:wgp>
                            <wpg:cNvGrpSpPr/>
                            <wpg:grpSpPr>
                              <a:xfrm>
                                <a:off x="0" y="0"/>
                                <a:ext cx="1651635" cy="865505"/>
                                <a:chOff x="8506" y="338817"/>
                                <a:chExt cx="2601" cy="1363"/>
                              </a:xfrm>
                            </wpg:grpSpPr>
                            <wpg:grpSp>
                              <wpg:cNvPr id="452" name="组合 310"/>
                              <wpg:cNvGrpSpPr/>
                              <wpg:grpSpPr>
                                <a:xfrm>
                                  <a:off x="8506" y="338817"/>
                                  <a:ext cx="1098" cy="1222"/>
                                  <a:chOff x="15363" y="339126"/>
                                  <a:chExt cx="1098" cy="1222"/>
                                </a:xfrm>
                              </wpg:grpSpPr>
                              <wps:wsp>
                                <wps:cNvPr id="453" name="文本框 170"/>
                                <wps:cNvSpPr txBox="1"/>
                                <wps:spPr>
                                  <a:xfrm>
                                    <a:off x="15363" y="339126"/>
                                    <a:ext cx="1098" cy="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EB2B6">
                                      <w:pPr>
                                        <w:numPr>
                                          <w:ilvl w:val="0"/>
                                          <w:numId w:val="0"/>
                                        </w:numPr>
                                        <w:rPr>
                                          <w:rFonts w:hint="eastAsia"/>
                                          <w:sz w:val="22"/>
                                          <w:szCs w:val="22"/>
                                          <w:lang w:val="en-US" w:eastAsia="zh-CN"/>
                                        </w:rPr>
                                      </w:pPr>
                                      <w:r>
                                        <w:rPr>
                                          <w:rFonts w:hint="eastAsia"/>
                                          <w:sz w:val="22"/>
                                          <w:szCs w:val="22"/>
                                          <w:lang w:val="en-US" w:eastAsia="zh-CN"/>
                                        </w:rPr>
                                        <w:t>G-废气</w:t>
                                      </w:r>
                                    </w:p>
                                    <w:p w14:paraId="4AA6125A">
                                      <w:pPr>
                                        <w:numPr>
                                          <w:ilvl w:val="0"/>
                                          <w:numId w:val="0"/>
                                        </w:numPr>
                                        <w:rPr>
                                          <w:rFonts w:hint="eastAsia"/>
                                          <w:sz w:val="22"/>
                                          <w:szCs w:val="22"/>
                                          <w:lang w:val="en-US" w:eastAsia="zh-CN"/>
                                        </w:rPr>
                                      </w:pPr>
                                      <w:r>
                                        <w:rPr>
                                          <w:rFonts w:hint="eastAsia"/>
                                          <w:sz w:val="22"/>
                                          <w:szCs w:val="22"/>
                                          <w:lang w:val="en-US" w:eastAsia="zh-CN"/>
                                        </w:rPr>
                                        <w:t>S-固废</w:t>
                                      </w:r>
                                    </w:p>
                                    <w:p w14:paraId="193DB6CB">
                                      <w:pPr>
                                        <w:numPr>
                                          <w:ilvl w:val="0"/>
                                          <w:numId w:val="0"/>
                                        </w:numPr>
                                        <w:rPr>
                                          <w:rFonts w:hint="default" w:eastAsia="宋体"/>
                                          <w:lang w:val="en-US" w:eastAsia="zh-CN"/>
                                        </w:rPr>
                                      </w:pPr>
                                      <w:r>
                                        <w:rPr>
                                          <w:rFonts w:hint="eastAsia"/>
                                          <w:sz w:val="22"/>
                                          <w:szCs w:val="22"/>
                                          <w:lang w:val="en-US" w:eastAsia="zh-CN"/>
                                        </w:rPr>
                                        <w:t>N-噪声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4" name="矩形 309"/>
                                <wps:cNvSpPr/>
                                <wps:spPr>
                                  <a:xfrm>
                                    <a:off x="15519" y="340168"/>
                                    <a:ext cx="304" cy="180"/>
                                  </a:xfrm>
                                  <a:prstGeom prst="rect">
                                    <a:avLst/>
                                  </a:prstGeom>
                                  <a:noFill/>
                                  <a:ln w="12700" cmpd="sng">
                                    <a:solidFill>
                                      <a:srgbClr val="FF0000"/>
                                    </a:solidFill>
                                    <a:prstDash val="lg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55" name="文本框 311"/>
                              <wps:cNvSpPr txBox="1"/>
                              <wps:spPr>
                                <a:xfrm>
                                  <a:off x="8875" y="339723"/>
                                  <a:ext cx="2232"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5C158">
                                    <w:pPr>
                                      <w:numPr>
                                        <w:ilvl w:val="0"/>
                                        <w:numId w:val="0"/>
                                      </w:numPr>
                                      <w:rPr>
                                        <w:rFonts w:hint="default" w:eastAsia="宋体"/>
                                        <w:lang w:val="en-US" w:eastAsia="zh-CN"/>
                                      </w:rPr>
                                    </w:pPr>
                                    <w:r>
                                      <w:rPr>
                                        <w:rFonts w:hint="eastAsia"/>
                                        <w:sz w:val="22"/>
                                        <w:szCs w:val="22"/>
                                        <w:lang w:val="en-US" w:eastAsia="zh-CN"/>
                                      </w:rPr>
                                      <w:t>-本次技改新增工序</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81.05pt;margin-top:5.1pt;height:68.15pt;width:130.05pt;z-index:251666432;mso-width-relative:page;mso-height-relative:page;" coordorigin="8506,338817" coordsize="2601,1363" o:gfxdata="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Lb7nfTZ&#10;AAAACgEAAA8AAAAAAAAAAQAgAAAAIgAAAGRycy9kb3ducmV2LnhtbFBLAQIUABQAAAAIAIdO4kAL&#10;B5o1rgMAAEwMAAAOAAAAAAAAAAEAIAAAACgBAABkcnMvZTJvRG9jLnhtbFBLBQYAAAAABgAGAFkB&#10;AABIBwAAAAA=&#10;">
                      <o:lock v:ext="edit" aspectratio="f"/>
                      <v:group id="组合 310" o:spid="_x0000_s1026" o:spt="203" style="position:absolute;left:8506;top:338817;height:1222;width:1098;" coordorigin="15363,339126" coordsize="1098,1222" o:gfxdata="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2SqkvwAAANwAAAAPAAAAAAAAAAEAIAAAACIAAABkcnMvZG93bnJldi54&#10;bWxQSwECFAAUAAAACACHTuJAMy8FnjsAAAA5AAAAFQAAAAAAAAABACAAAAAOAQAAZHJzL2dyb3Vw&#10;c2hhcGV4bWwueG1sUEsFBgAAAAAGAAYAYAEAAMsDAAAAAA==&#10;">
                        <o:lock v:ext="edit" aspectratio="f"/>
                        <v:shape id="文本框 170" o:spid="_x0000_s1026" o:spt="202" type="#_x0000_t202" style="position:absolute;left:15363;top:339126;height:990;width:1098;" filled="f" stroked="f" coordsize="21600,21600" o:gfxdata="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xR9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A6EB2B6">
                                <w:pPr>
                                  <w:numPr>
                                    <w:ilvl w:val="0"/>
                                    <w:numId w:val="0"/>
                                  </w:numPr>
                                  <w:rPr>
                                    <w:rFonts w:hint="eastAsia"/>
                                    <w:sz w:val="22"/>
                                    <w:szCs w:val="22"/>
                                    <w:lang w:val="en-US" w:eastAsia="zh-CN"/>
                                  </w:rPr>
                                </w:pPr>
                                <w:r>
                                  <w:rPr>
                                    <w:rFonts w:hint="eastAsia"/>
                                    <w:sz w:val="22"/>
                                    <w:szCs w:val="22"/>
                                    <w:lang w:val="en-US" w:eastAsia="zh-CN"/>
                                  </w:rPr>
                                  <w:t>G-废气</w:t>
                                </w:r>
                              </w:p>
                              <w:p w14:paraId="4AA6125A">
                                <w:pPr>
                                  <w:numPr>
                                    <w:ilvl w:val="0"/>
                                    <w:numId w:val="0"/>
                                  </w:numPr>
                                  <w:rPr>
                                    <w:rFonts w:hint="eastAsia"/>
                                    <w:sz w:val="22"/>
                                    <w:szCs w:val="22"/>
                                    <w:lang w:val="en-US" w:eastAsia="zh-CN"/>
                                  </w:rPr>
                                </w:pPr>
                                <w:r>
                                  <w:rPr>
                                    <w:rFonts w:hint="eastAsia"/>
                                    <w:sz w:val="22"/>
                                    <w:szCs w:val="22"/>
                                    <w:lang w:val="en-US" w:eastAsia="zh-CN"/>
                                  </w:rPr>
                                  <w:t>S-固废</w:t>
                                </w:r>
                              </w:p>
                              <w:p w14:paraId="193DB6CB">
                                <w:pPr>
                                  <w:numPr>
                                    <w:ilvl w:val="0"/>
                                    <w:numId w:val="0"/>
                                  </w:numPr>
                                  <w:rPr>
                                    <w:rFonts w:hint="default" w:eastAsia="宋体"/>
                                    <w:lang w:val="en-US" w:eastAsia="zh-CN"/>
                                  </w:rPr>
                                </w:pPr>
                                <w:r>
                                  <w:rPr>
                                    <w:rFonts w:hint="eastAsia"/>
                                    <w:sz w:val="22"/>
                                    <w:szCs w:val="22"/>
                                    <w:lang w:val="en-US" w:eastAsia="zh-CN"/>
                                  </w:rPr>
                                  <w:t>N-噪声</w:t>
                                </w:r>
                              </w:p>
                            </w:txbxContent>
                          </v:textbox>
                        </v:shape>
                        <v:rect id="矩形 309" o:spid="_x0000_s1026" o:spt="1" style="position:absolute;left:15519;top:340168;height:180;width:304;v-text-anchor:middle;" filled="f" stroked="t" coordsize="21600,21600" o:gfxdata="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PhAvQAA&#10;ANwAAAAPAAAAAAAAAAEAIAAAACIAAABkcnMvZG93bnJldi54bWxQSwECFAAUAAAACACHTuJAMy8F&#10;njsAAAA5AAAAEAAAAAAAAAABACAAAAAMAQAAZHJzL3NoYXBleG1sLnhtbFBLBQYAAAAABgAGAFsB&#10;AAC2AwAAAAA=&#10;">
                          <v:fill on="f" focussize="0,0"/>
                          <v:stroke weight="1pt" color="#FF0000 [2404]" joinstyle="round" dashstyle="longDash"/>
                          <v:imagedata o:title=""/>
                          <o:lock v:ext="edit" aspectratio="f"/>
                        </v:rect>
                      </v:group>
                      <v:shape id="文本框 311" o:spid="_x0000_s1026" o:spt="202" type="#_x0000_t202" style="position:absolute;left:8875;top:339723;height:457;width:2232;" filled="f" stroked="f" coordsize="21600,21600" o:gfxdata="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gI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955C158">
                              <w:pPr>
                                <w:numPr>
                                  <w:ilvl w:val="0"/>
                                  <w:numId w:val="0"/>
                                </w:numPr>
                                <w:rPr>
                                  <w:rFonts w:hint="default" w:eastAsia="宋体"/>
                                  <w:lang w:val="en-US" w:eastAsia="zh-CN"/>
                                </w:rPr>
                              </w:pPr>
                              <w:r>
                                <w:rPr>
                                  <w:rFonts w:hint="eastAsia"/>
                                  <w:sz w:val="22"/>
                                  <w:szCs w:val="22"/>
                                  <w:lang w:val="en-US" w:eastAsia="zh-CN"/>
                                </w:rPr>
                                <w:t>-本次技改新增工序</w:t>
                              </w:r>
                            </w:p>
                          </w:txbxContent>
                        </v:textbox>
                      </v:shape>
                    </v:group>
                  </w:pict>
                </mc:Fallback>
              </mc:AlternateContent>
            </w:r>
          </w:p>
          <w:p w14:paraId="0246BC76">
            <w:pPr>
              <w:bidi w:val="0"/>
              <w:rPr>
                <w:rFonts w:hint="eastAsia"/>
              </w:rPr>
            </w:pPr>
          </w:p>
          <w:p w14:paraId="3B55210C">
            <w:pPr>
              <w:bidi w:val="0"/>
              <w:rPr>
                <w:rFonts w:hint="eastAsia"/>
              </w:rPr>
            </w:pPr>
          </w:p>
          <w:p w14:paraId="166CBB5A">
            <w:pPr>
              <w:bidi w:val="0"/>
              <w:rPr>
                <w:rFonts w:hint="eastAsia"/>
              </w:rPr>
            </w:pPr>
          </w:p>
          <w:p w14:paraId="05266DF4">
            <w:pPr>
              <w:bidi w:val="0"/>
              <w:rPr>
                <w:rFonts w:hint="eastAsia"/>
              </w:rPr>
            </w:pPr>
          </w:p>
          <w:p w14:paraId="6FF21122">
            <w:pPr>
              <w:bidi w:val="0"/>
              <w:rPr>
                <w:rFonts w:hint="eastAsia"/>
              </w:rPr>
            </w:pPr>
          </w:p>
          <w:p w14:paraId="34B7CF99">
            <w:pPr>
              <w:autoSpaceDE w:val="0"/>
              <w:autoSpaceDN w:val="0"/>
              <w:adjustRightInd w:val="0"/>
              <w:snapToGrid w:val="0"/>
              <w:spacing w:line="360" w:lineRule="auto"/>
              <w:jc w:val="center"/>
              <w:rPr>
                <w:rFonts w:hint="eastAsia" w:ascii="宋体" w:hAnsi="宋体" w:cs="宋体"/>
                <w:kern w:val="0"/>
                <w:sz w:val="24"/>
                <w:szCs w:val="24"/>
              </w:rPr>
            </w:pPr>
            <w:r>
              <w:rPr>
                <w:rFonts w:hint="eastAsia" w:cs="Times New Roman"/>
                <w:b/>
                <w:bCs/>
                <w:sz w:val="22"/>
                <w:szCs w:val="22"/>
                <w:lang w:val="en-US" w:eastAsia="zh-CN"/>
              </w:rPr>
              <w:t>图2-4</w:t>
            </w:r>
            <w:r>
              <w:rPr>
                <w:rFonts w:hint="default" w:cs="Times New Roman"/>
                <w:b/>
                <w:bCs/>
                <w:sz w:val="22"/>
                <w:szCs w:val="22"/>
                <w:lang w:val="en-US" w:eastAsia="zh-CN"/>
              </w:rPr>
              <w:t xml:space="preserve"> </w:t>
            </w:r>
            <w:r>
              <w:rPr>
                <w:rFonts w:hint="eastAsia" w:cs="Times New Roman"/>
                <w:b/>
                <w:bCs/>
                <w:sz w:val="22"/>
                <w:szCs w:val="22"/>
                <w:lang w:val="en-US" w:eastAsia="zh-CN"/>
              </w:rPr>
              <w:t>技改后生产工艺流程图</w:t>
            </w:r>
          </w:p>
          <w:p w14:paraId="3E12BF59">
            <w:pPr>
              <w:autoSpaceDE w:val="0"/>
              <w:autoSpaceDN w:val="0"/>
              <w:adjustRightInd w:val="0"/>
              <w:snapToGrid w:val="0"/>
              <w:spacing w:line="360" w:lineRule="auto"/>
              <w:ind w:firstLine="482" w:firstLineChars="200"/>
              <w:jc w:val="left"/>
              <w:rPr>
                <w:rFonts w:hint="eastAsia" w:ascii="宋体" w:hAnsi="宋体" w:cs="宋体"/>
                <w:kern w:val="0"/>
                <w:sz w:val="24"/>
                <w:szCs w:val="24"/>
                <w:lang w:val="en-US" w:eastAsia="zh-CN"/>
              </w:rPr>
            </w:pPr>
            <w:r>
              <w:rPr>
                <w:rFonts w:hint="eastAsia" w:ascii="宋体" w:hAnsi="宋体" w:cs="宋体"/>
                <w:b/>
                <w:bCs/>
                <w:kern w:val="0"/>
                <w:sz w:val="24"/>
                <w:szCs w:val="24"/>
                <w:lang w:eastAsia="zh-CN"/>
              </w:rPr>
              <w:t>工艺</w:t>
            </w:r>
            <w:r>
              <w:rPr>
                <w:rFonts w:hint="eastAsia" w:ascii="宋体" w:hAnsi="宋体" w:cs="宋体"/>
                <w:b/>
                <w:bCs/>
                <w:kern w:val="0"/>
                <w:sz w:val="24"/>
                <w:szCs w:val="24"/>
                <w:lang w:val="en-US" w:eastAsia="zh-CN"/>
              </w:rPr>
              <w:t>流程和产排污环节简述</w:t>
            </w:r>
          </w:p>
          <w:p w14:paraId="215BD4A4">
            <w:pPr>
              <w:autoSpaceDE w:val="0"/>
              <w:autoSpaceDN w:val="0"/>
              <w:adjustRightInd w:val="0"/>
              <w:snapToGrid w:val="0"/>
              <w:spacing w:line="360" w:lineRule="auto"/>
              <w:ind w:firstLine="480" w:firstLineChars="200"/>
              <w:jc w:val="left"/>
              <w:rPr>
                <w:rFonts w:hint="default"/>
                <w:color w:val="000000"/>
                <w:kern w:val="0"/>
                <w:sz w:val="24"/>
                <w:szCs w:val="24"/>
                <w:lang w:val="en-US" w:eastAsia="zh-CN"/>
              </w:rPr>
            </w:pPr>
            <w:r>
              <w:rPr>
                <w:rFonts w:hint="eastAsia"/>
                <w:color w:val="000000"/>
                <w:kern w:val="0"/>
                <w:sz w:val="24"/>
                <w:szCs w:val="24"/>
                <w:lang w:val="en-US" w:eastAsia="zh-CN"/>
              </w:rPr>
              <w:t>①采用剪板机、切割机等设备对外购钢材进行下料裁剪切割，根据设计图纸精准分割原料，为后续加工奠定基础。该过程会产生金属边角料（S1）、切割粉尘（G1）和设备运行噪声（N）；</w:t>
            </w:r>
          </w:p>
          <w:p w14:paraId="448A42F3">
            <w:pPr>
              <w:autoSpaceDE w:val="0"/>
              <w:autoSpaceDN w:val="0"/>
              <w:adjustRightInd w:val="0"/>
              <w:snapToGrid w:val="0"/>
              <w:spacing w:line="360" w:lineRule="auto"/>
              <w:ind w:firstLine="480" w:firstLineChars="200"/>
              <w:jc w:val="left"/>
              <w:rPr>
                <w:rFonts w:hint="default"/>
                <w:color w:val="000000"/>
                <w:kern w:val="0"/>
                <w:sz w:val="24"/>
                <w:szCs w:val="24"/>
                <w:lang w:val="en-US" w:eastAsia="zh-CN"/>
              </w:rPr>
            </w:pPr>
            <w:r>
              <w:rPr>
                <w:rFonts w:hint="eastAsia"/>
                <w:color w:val="000000"/>
                <w:kern w:val="0"/>
                <w:sz w:val="24"/>
                <w:szCs w:val="24"/>
                <w:lang w:val="en-US" w:eastAsia="zh-CN"/>
              </w:rPr>
              <w:t>②利用车床、铣床等设备按照图纸对下料后的工件进行铣削、钻孔等精密加工，确保工件尺寸与精度符合装配要求。该过程会产生金属边角料（S2）和设备运行噪声（N）</w:t>
            </w:r>
            <w:r>
              <w:rPr>
                <w:rFonts w:hint="eastAsia" w:ascii="宋体" w:hAnsi="宋体" w:cs="宋体"/>
                <w:kern w:val="0"/>
                <w:sz w:val="24"/>
                <w:szCs w:val="24"/>
                <w:lang w:val="en-US" w:eastAsia="zh-CN"/>
              </w:rPr>
              <w:t>；</w:t>
            </w:r>
          </w:p>
          <w:p w14:paraId="75A1D252">
            <w:pPr>
              <w:autoSpaceDE w:val="0"/>
              <w:autoSpaceDN w:val="0"/>
              <w:adjustRightInd w:val="0"/>
              <w:snapToGrid w:val="0"/>
              <w:spacing w:line="360" w:lineRule="auto"/>
              <w:ind w:firstLine="480" w:firstLineChars="200"/>
              <w:jc w:val="left"/>
              <w:rPr>
                <w:rFonts w:hint="default"/>
                <w:color w:val="000000"/>
                <w:kern w:val="0"/>
                <w:sz w:val="24"/>
                <w:szCs w:val="24"/>
                <w:lang w:val="en-US" w:eastAsia="zh-CN"/>
              </w:rPr>
            </w:pPr>
            <w:r>
              <w:rPr>
                <w:rFonts w:hint="eastAsia"/>
                <w:color w:val="000000"/>
                <w:kern w:val="0"/>
                <w:sz w:val="24"/>
                <w:szCs w:val="24"/>
                <w:lang w:val="en-US" w:eastAsia="zh-CN"/>
              </w:rPr>
              <w:t>③通过立式车床等设备将加工后的工件进行定位拼装，再采用焊机进行焊接固定，形成钢结构半成品，部分工件需经液压机矫正外形。该过程会产生焊接烟尘（G2）、焊渣（S3）和设备运行噪声（N）；</w:t>
            </w:r>
          </w:p>
          <w:p w14:paraId="13FD89E0">
            <w:pPr>
              <w:autoSpaceDE w:val="0"/>
              <w:autoSpaceDN w:val="0"/>
              <w:adjustRightInd w:val="0"/>
              <w:snapToGrid w:val="0"/>
              <w:spacing w:line="360" w:lineRule="auto"/>
              <w:ind w:firstLine="480" w:firstLineChars="200"/>
              <w:jc w:val="left"/>
              <w:rPr>
                <w:rFonts w:hint="default"/>
                <w:color w:val="000000"/>
                <w:kern w:val="0"/>
                <w:sz w:val="24"/>
                <w:szCs w:val="24"/>
                <w:lang w:val="en-US" w:eastAsia="zh-CN"/>
              </w:rPr>
            </w:pPr>
            <w:r>
              <w:rPr>
                <w:rFonts w:hint="eastAsia"/>
                <w:color w:val="000000"/>
                <w:kern w:val="0"/>
                <w:sz w:val="24"/>
                <w:szCs w:val="24"/>
                <w:lang w:val="en-US" w:eastAsia="zh-CN"/>
              </w:rPr>
              <w:t>④将焊接后的半成品送入通过式抛丸机，抛丸机内高速叶轮将钢丸等磨料高速抛出，撞击工件表面，利用钢丸冲击去除表面氧化皮与焊渣，除去钢部件上的氧化层。该过程会产生抛丸粉尘（G3）、废钢丸、废布袋、收集尘（S4）和设备运行噪声（N）；</w:t>
            </w:r>
          </w:p>
          <w:p w14:paraId="493EB723">
            <w:pPr>
              <w:autoSpaceDE w:val="0"/>
              <w:autoSpaceDN w:val="0"/>
              <w:adjustRightInd w:val="0"/>
              <w:snapToGrid w:val="0"/>
              <w:spacing w:line="360" w:lineRule="auto"/>
              <w:ind w:firstLine="480" w:firstLineChars="200"/>
              <w:jc w:val="left"/>
              <w:rPr>
                <w:rFonts w:hint="default"/>
                <w:color w:val="000000"/>
                <w:kern w:val="0"/>
                <w:sz w:val="24"/>
                <w:szCs w:val="24"/>
                <w:lang w:val="en-US" w:eastAsia="zh-CN"/>
              </w:rPr>
            </w:pPr>
            <w:r>
              <w:rPr>
                <w:rFonts w:hint="eastAsia"/>
                <w:color w:val="000000"/>
                <w:kern w:val="0"/>
                <w:sz w:val="24"/>
                <w:szCs w:val="24"/>
                <w:lang w:val="en-US" w:eastAsia="zh-CN"/>
              </w:rPr>
              <w:t>⑤根据客户要求对产品部分区域涂刷底漆或者面漆，在刷漆房内人工先进行调漆作业，将底漆A组分和B组分按10:1比例进行调配，再由人工对需要涂刷底漆的区域进行刷漆处理，刷漆后的工件进入晾干房自然干燥形成底漆涂层。部分产品的表面需要涂刷面漆，在刷漆房内人工先进行调漆作业，面漆和稀释剂按5:1比例混合调配，再由人工对需要涂刷面漆的区域进行刷漆处理，刷漆后的工件进入晾干房自然干燥形成面漆涂层，最终达到客户要求的防腐美观效果。该过程会产生刷漆废气（G4、G5）、废过滤材料及漆渣（S5、S6）；</w:t>
            </w:r>
          </w:p>
          <w:p w14:paraId="21B6301D">
            <w:pPr>
              <w:autoSpaceDE w:val="0"/>
              <w:autoSpaceDN w:val="0"/>
              <w:adjustRightInd w:val="0"/>
              <w:snapToGrid w:val="0"/>
              <w:spacing w:line="360" w:lineRule="auto"/>
              <w:ind w:firstLine="480" w:firstLineChars="200"/>
              <w:jc w:val="left"/>
              <w:rPr>
                <w:rFonts w:hint="eastAsia"/>
              </w:rPr>
            </w:pPr>
            <w:r>
              <w:rPr>
                <w:rFonts w:hint="eastAsia"/>
                <w:color w:val="000000"/>
                <w:kern w:val="0"/>
                <w:sz w:val="24"/>
                <w:szCs w:val="24"/>
                <w:lang w:val="en-US" w:eastAsia="zh-CN"/>
              </w:rPr>
              <w:t>⑥将各个零部件按照图纸和技术规范进行装配，对组装的半成品或者产品进行检验，合格以后暂存于厂区内及时运往下游客户处进行最终安装。</w:t>
            </w:r>
          </w:p>
        </w:tc>
      </w:tr>
      <w:tr w14:paraId="37954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2819" w:hRule="atLeast"/>
          <w:jc w:val="center"/>
        </w:trPr>
        <w:tc>
          <w:tcPr>
            <w:tcW w:w="519" w:type="dxa"/>
            <w:noWrap w:val="0"/>
            <w:vAlign w:val="center"/>
          </w:tcPr>
          <w:p w14:paraId="25821FEE">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与项目有关的原有环境污染问题</w:t>
            </w:r>
          </w:p>
        </w:tc>
        <w:tc>
          <w:tcPr>
            <w:tcW w:w="8465" w:type="dxa"/>
            <w:noWrap w:val="0"/>
            <w:vAlign w:val="top"/>
          </w:tcPr>
          <w:p w14:paraId="6227F3A6">
            <w:pPr>
              <w:spacing w:line="360" w:lineRule="auto"/>
              <w:jc w:val="left"/>
              <w:rPr>
                <w:rFonts w:hint="eastAsia"/>
                <w:b/>
                <w:sz w:val="24"/>
                <w:lang w:val="en-US" w:eastAsia="zh-CN"/>
              </w:rPr>
            </w:pPr>
            <w:r>
              <w:rPr>
                <w:rFonts w:hint="eastAsia"/>
                <w:b/>
                <w:bCs/>
                <w:sz w:val="24"/>
                <w:lang w:val="en-US" w:eastAsia="zh-CN"/>
              </w:rPr>
              <w:t>1</w:t>
            </w:r>
            <w:r>
              <w:rPr>
                <w:b/>
                <w:bCs/>
                <w:sz w:val="24"/>
              </w:rPr>
              <w:t>、</w:t>
            </w:r>
            <w:r>
              <w:rPr>
                <w:rFonts w:hint="eastAsia"/>
                <w:b/>
                <w:sz w:val="24"/>
                <w:lang w:val="en-US" w:eastAsia="zh-CN"/>
              </w:rPr>
              <w:t>现有工程环保手续履行情况</w:t>
            </w:r>
          </w:p>
          <w:p w14:paraId="4434F56D">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（1）淮北市协力重型机器有限责任公司“三同时”执行情况</w:t>
            </w:r>
          </w:p>
          <w:p w14:paraId="354A1D70">
            <w:pPr>
              <w:autoSpaceDE w:val="0"/>
              <w:autoSpaceDN w:val="0"/>
              <w:adjustRightInd w:val="0"/>
              <w:snapToGrid w:val="0"/>
              <w:spacing w:line="360" w:lineRule="auto"/>
              <w:ind w:firstLine="480" w:firstLineChars="200"/>
              <w:jc w:val="both"/>
              <w:rPr>
                <w:rFonts w:hint="eastAsia"/>
                <w:b w:val="0"/>
                <w:bCs/>
                <w:sz w:val="24"/>
                <w:lang w:val="en-US" w:eastAsia="zh-CN"/>
              </w:rPr>
            </w:pPr>
            <w:r>
              <w:rPr>
                <w:rFonts w:hint="eastAsia"/>
                <w:color w:val="000000"/>
                <w:kern w:val="0"/>
                <w:sz w:val="24"/>
                <w:lang w:val="en-US" w:eastAsia="zh-CN"/>
              </w:rPr>
              <w:t>本次评价对企业现有项目的环保手续履行情况进行了汇总，如下表所列。</w:t>
            </w:r>
          </w:p>
          <w:p w14:paraId="13A8A3B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lang w:val="en-US" w:eastAsia="zh-CN"/>
              </w:rPr>
            </w:pPr>
            <w:r>
              <w:rPr>
                <w:rFonts w:ascii="Times New Roman" w:hAnsi="Times New Roman" w:eastAsia="宋体"/>
                <w:b/>
                <w:kern w:val="0"/>
                <w:sz w:val="22"/>
                <w:szCs w:val="22"/>
              </w:rPr>
              <w:t>表2-</w:t>
            </w:r>
            <w:r>
              <w:rPr>
                <w:rFonts w:hint="eastAsia"/>
                <w:b/>
                <w:kern w:val="0"/>
                <w:sz w:val="22"/>
                <w:szCs w:val="22"/>
                <w:lang w:val="en-US" w:eastAsia="zh-CN"/>
              </w:rPr>
              <w:t>9</w:t>
            </w:r>
            <w:r>
              <w:rPr>
                <w:rFonts w:ascii="Times New Roman" w:hAnsi="Times New Roman" w:eastAsia="宋体"/>
                <w:b/>
                <w:kern w:val="0"/>
                <w:sz w:val="22"/>
                <w:szCs w:val="22"/>
              </w:rPr>
              <w:t xml:space="preserve">  </w:t>
            </w:r>
            <w:r>
              <w:rPr>
                <w:rFonts w:hint="eastAsia"/>
                <w:b/>
                <w:kern w:val="0"/>
                <w:sz w:val="22"/>
                <w:szCs w:val="22"/>
                <w:lang w:val="en-US" w:eastAsia="zh-CN"/>
              </w:rPr>
              <w:t>本项目涉及环保手续履行情况一览表</w:t>
            </w:r>
          </w:p>
          <w:tbl>
            <w:tblPr>
              <w:tblStyle w:val="15"/>
              <w:tblW w:w="8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92"/>
              <w:gridCol w:w="1961"/>
              <w:gridCol w:w="1425"/>
              <w:gridCol w:w="1212"/>
              <w:gridCol w:w="1893"/>
              <w:gridCol w:w="1245"/>
            </w:tblGrid>
            <w:tr w14:paraId="3D85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41" w:hRule="atLeast"/>
                <w:jc w:val="center"/>
              </w:trPr>
              <w:tc>
                <w:tcPr>
                  <w:tcW w:w="492" w:type="dxa"/>
                  <w:tcBorders>
                    <w:tl2br w:val="nil"/>
                    <w:tr2bl w:val="nil"/>
                  </w:tcBorders>
                  <w:vAlign w:val="center"/>
                </w:tcPr>
                <w:p w14:paraId="744E91D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宋体"/>
                      <w:b/>
                      <w:bCs/>
                      <w:color w:val="auto"/>
                      <w:sz w:val="22"/>
                      <w:szCs w:val="22"/>
                      <w:lang w:val="en-US" w:eastAsia="zh-CN"/>
                    </w:rPr>
                  </w:pPr>
                  <w:r>
                    <w:rPr>
                      <w:rFonts w:hint="eastAsia"/>
                      <w:b/>
                      <w:bCs/>
                      <w:color w:val="auto"/>
                      <w:sz w:val="22"/>
                      <w:szCs w:val="22"/>
                      <w:lang w:val="en-US" w:eastAsia="zh-CN"/>
                    </w:rPr>
                    <w:t>序号</w:t>
                  </w:r>
                </w:p>
              </w:tc>
              <w:tc>
                <w:tcPr>
                  <w:tcW w:w="1961" w:type="dxa"/>
                  <w:tcBorders>
                    <w:tl2br w:val="nil"/>
                    <w:tr2bl w:val="nil"/>
                  </w:tcBorders>
                  <w:vAlign w:val="center"/>
                </w:tcPr>
                <w:p w14:paraId="6F59EED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eastAsia="宋体"/>
                      <w:b/>
                      <w:bCs/>
                      <w:color w:val="auto"/>
                      <w:sz w:val="22"/>
                      <w:szCs w:val="22"/>
                      <w:lang w:val="en-US" w:eastAsia="zh-CN"/>
                    </w:rPr>
                  </w:pPr>
                  <w:r>
                    <w:rPr>
                      <w:rFonts w:hint="eastAsia"/>
                      <w:b/>
                      <w:bCs/>
                      <w:color w:val="auto"/>
                      <w:sz w:val="22"/>
                      <w:szCs w:val="22"/>
                      <w:lang w:val="en-US" w:eastAsia="zh-CN"/>
                    </w:rPr>
                    <w:t>项目情况</w:t>
                  </w:r>
                </w:p>
              </w:tc>
              <w:tc>
                <w:tcPr>
                  <w:tcW w:w="1425" w:type="dxa"/>
                  <w:tcBorders>
                    <w:tl2br w:val="nil"/>
                    <w:tr2bl w:val="nil"/>
                  </w:tcBorders>
                  <w:vAlign w:val="center"/>
                </w:tcPr>
                <w:p w14:paraId="494FA50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eastAsia="宋体"/>
                      <w:b/>
                      <w:bCs/>
                      <w:color w:val="auto"/>
                      <w:sz w:val="22"/>
                      <w:szCs w:val="22"/>
                      <w:lang w:val="en-US" w:eastAsia="zh-CN"/>
                    </w:rPr>
                  </w:pPr>
                  <w:r>
                    <w:rPr>
                      <w:rFonts w:hint="eastAsia"/>
                      <w:b/>
                      <w:bCs/>
                      <w:color w:val="auto"/>
                      <w:sz w:val="22"/>
                      <w:szCs w:val="22"/>
                      <w:lang w:val="en-US" w:eastAsia="zh-CN"/>
                    </w:rPr>
                    <w:t>建设规模</w:t>
                  </w:r>
                </w:p>
              </w:tc>
              <w:tc>
                <w:tcPr>
                  <w:tcW w:w="1212" w:type="dxa"/>
                  <w:tcBorders>
                    <w:tl2br w:val="nil"/>
                    <w:tr2bl w:val="nil"/>
                  </w:tcBorders>
                  <w:vAlign w:val="center"/>
                </w:tcPr>
                <w:p w14:paraId="095037C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eastAsia="宋体"/>
                      <w:b/>
                      <w:bCs/>
                      <w:color w:val="auto"/>
                      <w:sz w:val="22"/>
                      <w:szCs w:val="22"/>
                      <w:lang w:val="en-US" w:eastAsia="zh-CN"/>
                    </w:rPr>
                  </w:pPr>
                  <w:r>
                    <w:rPr>
                      <w:rFonts w:hint="eastAsia"/>
                      <w:b/>
                      <w:bCs/>
                      <w:color w:val="auto"/>
                      <w:sz w:val="22"/>
                      <w:szCs w:val="22"/>
                      <w:lang w:val="en-US" w:eastAsia="zh-CN"/>
                    </w:rPr>
                    <w:t>环评情况</w:t>
                  </w:r>
                </w:p>
              </w:tc>
              <w:tc>
                <w:tcPr>
                  <w:tcW w:w="1893" w:type="dxa"/>
                  <w:tcBorders>
                    <w:tl2br w:val="nil"/>
                    <w:tr2bl w:val="nil"/>
                  </w:tcBorders>
                  <w:vAlign w:val="center"/>
                </w:tcPr>
                <w:p w14:paraId="0484C6D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eastAsia="宋体"/>
                      <w:b/>
                      <w:bCs/>
                      <w:color w:val="auto"/>
                      <w:sz w:val="22"/>
                      <w:szCs w:val="22"/>
                      <w:lang w:val="en-US" w:eastAsia="zh-CN"/>
                    </w:rPr>
                  </w:pPr>
                  <w:r>
                    <w:rPr>
                      <w:rFonts w:hint="eastAsia"/>
                      <w:b/>
                      <w:bCs/>
                      <w:color w:val="auto"/>
                      <w:sz w:val="22"/>
                      <w:szCs w:val="22"/>
                      <w:lang w:val="en-US" w:eastAsia="zh-CN"/>
                    </w:rPr>
                    <w:t>批复情况</w:t>
                  </w:r>
                </w:p>
              </w:tc>
              <w:tc>
                <w:tcPr>
                  <w:tcW w:w="1245" w:type="dxa"/>
                  <w:tcBorders>
                    <w:tl2br w:val="nil"/>
                    <w:tr2bl w:val="nil"/>
                  </w:tcBorders>
                  <w:vAlign w:val="center"/>
                </w:tcPr>
                <w:p w14:paraId="0160101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eastAsia="宋体"/>
                      <w:b/>
                      <w:bCs/>
                      <w:color w:val="auto"/>
                      <w:sz w:val="22"/>
                      <w:szCs w:val="22"/>
                      <w:lang w:val="en-US" w:eastAsia="zh-CN"/>
                    </w:rPr>
                  </w:pPr>
                  <w:r>
                    <w:rPr>
                      <w:rFonts w:hint="eastAsia"/>
                      <w:b/>
                      <w:bCs/>
                      <w:color w:val="auto"/>
                      <w:sz w:val="22"/>
                      <w:szCs w:val="22"/>
                      <w:lang w:val="en-US" w:eastAsia="zh-CN"/>
                    </w:rPr>
                    <w:t>验收情况</w:t>
                  </w:r>
                </w:p>
              </w:tc>
            </w:tr>
            <w:tr w14:paraId="0727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92" w:type="dxa"/>
                  <w:tcBorders>
                    <w:tl2br w:val="nil"/>
                    <w:tr2bl w:val="nil"/>
                  </w:tcBorders>
                  <w:shd w:val="clear" w:color="auto" w:fill="auto"/>
                  <w:vAlign w:val="center"/>
                </w:tcPr>
                <w:p w14:paraId="2A8BD977">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eastAsia"/>
                      <w:color w:val="auto"/>
                      <w:sz w:val="21"/>
                      <w:szCs w:val="21"/>
                      <w:lang w:val="en-US" w:eastAsia="zh-CN"/>
                    </w:rPr>
                  </w:pPr>
                  <w:r>
                    <w:rPr>
                      <w:rFonts w:hint="default"/>
                      <w:color w:val="auto"/>
                      <w:sz w:val="21"/>
                      <w:szCs w:val="21"/>
                      <w:lang w:val="en-US" w:eastAsia="zh-CN"/>
                    </w:rPr>
                    <w:t>1</w:t>
                  </w:r>
                </w:p>
              </w:tc>
              <w:tc>
                <w:tcPr>
                  <w:tcW w:w="1961" w:type="dxa"/>
                  <w:tcBorders>
                    <w:tl2br w:val="nil"/>
                    <w:tr2bl w:val="nil"/>
                  </w:tcBorders>
                  <w:shd w:val="clear" w:color="auto" w:fill="auto"/>
                  <w:vAlign w:val="center"/>
                </w:tcPr>
                <w:p w14:paraId="3B82462B">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eastAsia"/>
                      <w:color w:val="auto"/>
                      <w:sz w:val="21"/>
                      <w:szCs w:val="21"/>
                      <w:lang w:val="en-US" w:eastAsia="zh-CN"/>
                    </w:rPr>
                  </w:pPr>
                  <w:r>
                    <w:rPr>
                      <w:rFonts w:hint="eastAsia"/>
                      <w:b w:val="0"/>
                      <w:bCs/>
                      <w:sz w:val="21"/>
                      <w:szCs w:val="21"/>
                      <w:lang w:val="en-US" w:eastAsia="zh-CN"/>
                    </w:rPr>
                    <w:t>淮北市协力重机高科技大型洗选设备制造厂建设项目</w:t>
                  </w:r>
                </w:p>
              </w:tc>
              <w:tc>
                <w:tcPr>
                  <w:tcW w:w="1425" w:type="dxa"/>
                  <w:tcBorders>
                    <w:tl2br w:val="nil"/>
                    <w:tr2bl w:val="nil"/>
                  </w:tcBorders>
                  <w:shd w:val="clear" w:color="auto" w:fill="auto"/>
                  <w:vAlign w:val="center"/>
                </w:tcPr>
                <w:p w14:paraId="6E42377D">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b w:val="0"/>
                      <w:bCs/>
                      <w:sz w:val="21"/>
                      <w:szCs w:val="21"/>
                      <w:lang w:val="en-US" w:eastAsia="zh-CN"/>
                    </w:rPr>
                    <w:t>年生产环保成套设备约500台（套）</w:t>
                  </w:r>
                </w:p>
              </w:tc>
              <w:tc>
                <w:tcPr>
                  <w:tcW w:w="1212" w:type="dxa"/>
                  <w:tcBorders>
                    <w:tl2br w:val="nil"/>
                    <w:tr2bl w:val="nil"/>
                  </w:tcBorders>
                  <w:shd w:val="clear" w:color="auto" w:fill="auto"/>
                  <w:vAlign w:val="center"/>
                </w:tcPr>
                <w:p w14:paraId="3480A0C7">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eastAsia"/>
                      <w:color w:val="auto"/>
                      <w:sz w:val="21"/>
                      <w:szCs w:val="21"/>
                      <w:lang w:val="en-US" w:eastAsia="zh-CN"/>
                    </w:rPr>
                  </w:pPr>
                  <w:r>
                    <w:rPr>
                      <w:rFonts w:hint="default"/>
                      <w:color w:val="auto"/>
                      <w:sz w:val="21"/>
                      <w:szCs w:val="21"/>
                      <w:lang w:val="en-US" w:eastAsia="zh-CN"/>
                    </w:rPr>
                    <w:t>已编制环境影响报告</w:t>
                  </w:r>
                  <w:r>
                    <w:rPr>
                      <w:rFonts w:hint="eastAsia"/>
                      <w:color w:val="auto"/>
                      <w:sz w:val="21"/>
                      <w:szCs w:val="21"/>
                      <w:lang w:val="en-US" w:eastAsia="zh-CN"/>
                    </w:rPr>
                    <w:t>表</w:t>
                  </w:r>
                </w:p>
              </w:tc>
              <w:tc>
                <w:tcPr>
                  <w:tcW w:w="1893" w:type="dxa"/>
                  <w:tcBorders>
                    <w:tl2br w:val="nil"/>
                    <w:tr2bl w:val="nil"/>
                  </w:tcBorders>
                  <w:shd w:val="clear" w:color="auto" w:fill="auto"/>
                  <w:vAlign w:val="center"/>
                </w:tcPr>
                <w:p w14:paraId="69730E2E">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淮北市</w:t>
                  </w:r>
                  <w:r>
                    <w:rPr>
                      <w:rFonts w:hint="default"/>
                      <w:color w:val="auto"/>
                      <w:sz w:val="21"/>
                      <w:szCs w:val="21"/>
                      <w:lang w:val="en-US" w:eastAsia="zh-CN"/>
                    </w:rPr>
                    <w:t>环境保护局</w:t>
                  </w:r>
                  <w:r>
                    <w:rPr>
                      <w:rFonts w:hint="eastAsia"/>
                      <w:color w:val="auto"/>
                      <w:sz w:val="21"/>
                      <w:szCs w:val="21"/>
                      <w:lang w:val="en-US" w:eastAsia="zh-CN"/>
                    </w:rPr>
                    <w:t>（2010年11月4日）</w:t>
                  </w:r>
                </w:p>
              </w:tc>
              <w:tc>
                <w:tcPr>
                  <w:tcW w:w="1245" w:type="dxa"/>
                  <w:tcBorders>
                    <w:tl2br w:val="nil"/>
                    <w:tr2bl w:val="nil"/>
                  </w:tcBorders>
                  <w:shd w:val="clear" w:color="auto" w:fill="auto"/>
                  <w:vAlign w:val="center"/>
                </w:tcPr>
                <w:p w14:paraId="6F0A6D4F">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2018年9月完成验收</w:t>
                  </w:r>
                </w:p>
              </w:tc>
            </w:tr>
          </w:tbl>
          <w:p w14:paraId="3D7D7EC1">
            <w:pPr>
              <w:bidi w:val="0"/>
              <w:rPr>
                <w:rFonts w:hint="eastAsia"/>
                <w:lang w:val="en-US" w:eastAsia="zh-CN"/>
              </w:rPr>
            </w:pPr>
          </w:p>
          <w:p w14:paraId="5FE1D25C">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（2）排污许可执行情况</w:t>
            </w:r>
          </w:p>
          <w:p w14:paraId="59075564">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淮北市协力重型机器有限责任公司于2020年5月14日进行了首次排污登记，2025年10月10日进行了登记延续，登记编号为91340621719915025J001Y，有效期为2025.10.23-2030.10.22。</w:t>
            </w:r>
          </w:p>
          <w:p w14:paraId="7F8F36B7">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（3）突发环境事件应急预案情况</w:t>
            </w:r>
          </w:p>
          <w:p w14:paraId="35A8A9FD">
            <w:pPr>
              <w:autoSpaceDE w:val="0"/>
              <w:autoSpaceDN w:val="0"/>
              <w:adjustRightInd w:val="0"/>
              <w:snapToGrid w:val="0"/>
              <w:spacing w:line="360" w:lineRule="auto"/>
              <w:ind w:firstLine="480" w:firstLineChars="200"/>
              <w:jc w:val="both"/>
              <w:rPr>
                <w:rFonts w:hint="eastAsia"/>
                <w:b w:val="0"/>
                <w:bCs/>
                <w:sz w:val="24"/>
                <w:lang w:val="en-US" w:eastAsia="zh-CN"/>
              </w:rPr>
            </w:pPr>
            <w:r>
              <w:rPr>
                <w:rFonts w:hint="eastAsia"/>
                <w:color w:val="000000"/>
                <w:kern w:val="0"/>
                <w:sz w:val="24"/>
                <w:lang w:val="en-US" w:eastAsia="zh-CN"/>
              </w:rPr>
              <w:t>淮北市协力重型机器有限责任公司组织编制完成了《淮北市协力重型机器有限责任公司突发环境事件应急预案》，并于2024年9月30日在淮北烈山区生态环境分局进行了备案，备案编号：340604-2024-20-L（详见附件7）。</w:t>
            </w:r>
          </w:p>
          <w:p w14:paraId="5A96A755">
            <w:pPr>
              <w:spacing w:line="360" w:lineRule="auto"/>
              <w:jc w:val="left"/>
              <w:rPr>
                <w:rFonts w:hint="eastAsia"/>
                <w:b/>
                <w:sz w:val="24"/>
                <w:lang w:val="en-US" w:eastAsia="zh-CN"/>
              </w:rPr>
            </w:pPr>
            <w:r>
              <w:rPr>
                <w:rFonts w:hint="eastAsia"/>
                <w:b/>
                <w:bCs/>
                <w:sz w:val="24"/>
                <w:lang w:val="en-US" w:eastAsia="zh-CN"/>
              </w:rPr>
              <w:t>2</w:t>
            </w:r>
            <w:r>
              <w:rPr>
                <w:b/>
                <w:bCs/>
                <w:sz w:val="24"/>
              </w:rPr>
              <w:t>、</w:t>
            </w:r>
            <w:r>
              <w:rPr>
                <w:rFonts w:hint="eastAsia"/>
                <w:b/>
                <w:sz w:val="24"/>
                <w:lang w:val="en-US" w:eastAsia="zh-CN"/>
              </w:rPr>
              <w:t>现有工程污染物实际排放总量</w:t>
            </w:r>
          </w:p>
          <w:p w14:paraId="44165B8C">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根据《环境影响评价技术导则 大气环境》（HJ2.2-2018）文件，改建、扩建项目现状工程的污染源和评价范围内拟被替代的污染源调查，可根据数据的可获得性，依次优先使用项目监督性监测数据、在线监测数据、年度排污许可执行报告、自主验收报告、排污许可证数据、环评数据或补充污染源监测数据等。</w:t>
            </w:r>
          </w:p>
          <w:p w14:paraId="360C01B6">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建设单位未安装在线监测设备，排污登记管理无需填报排污许可证执行报告，故现有工程污染物实际排放总量根据原项目验收报告数据、自行检测报告数据及建设单位提供的其他资料数据进行核算。</w:t>
            </w:r>
          </w:p>
          <w:p w14:paraId="4E03D359">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建设单位2024年12月委托有资质单位进行了废水、废气和厂界噪声的检测（详见附件6），根据检测报告，废水中PH值为6.7-6.9，悬浮物为16-20mg/L，COD为32-34mg/L，BOD</w:t>
            </w:r>
            <w:r>
              <w:rPr>
                <w:rFonts w:hint="eastAsia"/>
                <w:color w:val="000000"/>
                <w:kern w:val="0"/>
                <w:sz w:val="24"/>
                <w:vertAlign w:val="subscript"/>
                <w:lang w:val="en-US" w:eastAsia="zh-CN"/>
              </w:rPr>
              <w:t>5</w:t>
            </w:r>
            <w:r>
              <w:rPr>
                <w:rFonts w:hint="eastAsia"/>
                <w:color w:val="000000"/>
                <w:kern w:val="0"/>
                <w:sz w:val="24"/>
                <w:lang w:val="en-US" w:eastAsia="zh-CN"/>
              </w:rPr>
              <w:t>为10.5-12.5mg/L，动植物油未检出，污染物均满足《污水综合排放标准》（GB 8978-1996）和淮北经济开发区新区污水处理厂接管标准。无组织废气中颗粒物为105-280μg/m</w:t>
            </w:r>
            <w:r>
              <w:rPr>
                <w:rFonts w:hint="eastAsia"/>
                <w:color w:val="000000"/>
                <w:kern w:val="0"/>
                <w:sz w:val="24"/>
                <w:vertAlign w:val="superscript"/>
                <w:lang w:val="en-US" w:eastAsia="zh-CN"/>
              </w:rPr>
              <w:t>3</w:t>
            </w:r>
            <w:r>
              <w:rPr>
                <w:rFonts w:hint="eastAsia"/>
                <w:color w:val="000000"/>
                <w:kern w:val="0"/>
                <w:sz w:val="24"/>
                <w:lang w:val="en-US" w:eastAsia="zh-CN"/>
              </w:rPr>
              <w:t>，NMHC为0.31-0.48mg/m</w:t>
            </w:r>
            <w:r>
              <w:rPr>
                <w:rFonts w:hint="eastAsia"/>
                <w:color w:val="000000"/>
                <w:kern w:val="0"/>
                <w:sz w:val="24"/>
                <w:vertAlign w:val="superscript"/>
                <w:lang w:val="en-US" w:eastAsia="zh-CN"/>
              </w:rPr>
              <w:t>3</w:t>
            </w:r>
            <w:r>
              <w:rPr>
                <w:rFonts w:hint="eastAsia"/>
                <w:color w:val="000000"/>
                <w:kern w:val="0"/>
                <w:sz w:val="24"/>
                <w:lang w:val="en-US" w:eastAsia="zh-CN"/>
              </w:rPr>
              <w:t>，均满足《大气污染物综合排放标准》（GB16297-1996）限值要求；喷漆房排放口中NMHC排放浓度为2.55-2.65mg/m</w:t>
            </w:r>
            <w:r>
              <w:rPr>
                <w:rFonts w:hint="eastAsia"/>
                <w:color w:val="000000"/>
                <w:kern w:val="0"/>
                <w:sz w:val="24"/>
                <w:vertAlign w:val="superscript"/>
                <w:lang w:val="en-US" w:eastAsia="zh-CN"/>
              </w:rPr>
              <w:t>3</w:t>
            </w:r>
            <w:r>
              <w:rPr>
                <w:rFonts w:hint="eastAsia"/>
                <w:color w:val="000000"/>
                <w:kern w:val="0"/>
                <w:sz w:val="24"/>
                <w:lang w:val="en-US" w:eastAsia="zh-CN"/>
              </w:rPr>
              <w:t>，排放速率为0.064-0.067kg/h，满足《固定源挥发性有机物综合排放标准 第6部分：其他行业》（DB 34/4812.6-2024）限值要求。厂界噪声为55-60dB（A），满足《工业企业厂界环境噪声排放标准》（GB12348-2008）中3类标准限值。</w:t>
            </w:r>
          </w:p>
          <w:p w14:paraId="03BECE4A">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淮北市协力重型机器有限责任公司现有工程污染物实际排放总量如下表所示。</w:t>
            </w:r>
          </w:p>
          <w:p w14:paraId="2CD2CC70">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lang w:val="en-US" w:eastAsia="zh-CN"/>
              </w:rPr>
            </w:pPr>
            <w:r>
              <w:rPr>
                <w:rFonts w:ascii="Times New Roman" w:hAnsi="Times New Roman" w:eastAsia="宋体"/>
                <w:b/>
                <w:kern w:val="0"/>
                <w:sz w:val="22"/>
                <w:szCs w:val="22"/>
              </w:rPr>
              <w:t>表2-</w:t>
            </w:r>
            <w:r>
              <w:rPr>
                <w:rFonts w:hint="eastAsia"/>
                <w:b/>
                <w:kern w:val="0"/>
                <w:sz w:val="22"/>
                <w:szCs w:val="22"/>
                <w:lang w:val="en-US" w:eastAsia="zh-CN"/>
              </w:rPr>
              <w:t>10</w:t>
            </w:r>
            <w:r>
              <w:rPr>
                <w:rFonts w:ascii="Times New Roman" w:hAnsi="Times New Roman" w:eastAsia="宋体"/>
                <w:b/>
                <w:kern w:val="0"/>
                <w:sz w:val="22"/>
                <w:szCs w:val="22"/>
              </w:rPr>
              <w:t xml:space="preserve">  </w:t>
            </w:r>
            <w:r>
              <w:rPr>
                <w:rFonts w:hint="eastAsia"/>
                <w:b/>
                <w:kern w:val="0"/>
                <w:sz w:val="22"/>
                <w:szCs w:val="22"/>
                <w:lang w:val="en-US" w:eastAsia="zh-CN"/>
              </w:rPr>
              <w:t>现有工程污染物实际排放总量一览表</w:t>
            </w:r>
          </w:p>
          <w:tbl>
            <w:tblPr>
              <w:tblStyle w:val="15"/>
              <w:tblW w:w="7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100"/>
              <w:gridCol w:w="1146"/>
              <w:gridCol w:w="2379"/>
              <w:gridCol w:w="2450"/>
            </w:tblGrid>
            <w:tr w14:paraId="4DFE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625" w:type="dxa"/>
                  <w:gridSpan w:val="3"/>
                  <w:tcBorders>
                    <w:tl2br w:val="nil"/>
                    <w:tr2bl w:val="nil"/>
                  </w:tcBorders>
                  <w:vAlign w:val="center"/>
                </w:tcPr>
                <w:p w14:paraId="1C3923D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宋体"/>
                      <w:b/>
                      <w:bCs/>
                      <w:color w:val="auto"/>
                      <w:sz w:val="22"/>
                      <w:szCs w:val="22"/>
                      <w:lang w:val="en-US" w:eastAsia="zh-CN"/>
                    </w:rPr>
                  </w:pPr>
                  <w:r>
                    <w:rPr>
                      <w:rFonts w:hint="eastAsia"/>
                      <w:b/>
                      <w:bCs/>
                      <w:color w:val="auto"/>
                      <w:sz w:val="22"/>
                      <w:szCs w:val="22"/>
                      <w:lang w:val="en-US" w:eastAsia="zh-CN"/>
                    </w:rPr>
                    <w:t>污染物</w:t>
                  </w:r>
                </w:p>
              </w:tc>
              <w:tc>
                <w:tcPr>
                  <w:tcW w:w="2450" w:type="dxa"/>
                  <w:tcBorders>
                    <w:tl2br w:val="nil"/>
                    <w:tr2bl w:val="nil"/>
                  </w:tcBorders>
                  <w:shd w:val="clear" w:color="auto" w:fill="auto"/>
                  <w:vAlign w:val="center"/>
                </w:tcPr>
                <w:p w14:paraId="08F672E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eastAsia="宋体"/>
                      <w:b/>
                      <w:bCs/>
                      <w:color w:val="auto"/>
                      <w:sz w:val="22"/>
                      <w:szCs w:val="22"/>
                      <w:lang w:val="en-US" w:eastAsia="zh-CN"/>
                    </w:rPr>
                  </w:pPr>
                  <w:r>
                    <w:rPr>
                      <w:rFonts w:hint="eastAsia" w:cs="Times New Roman"/>
                      <w:b/>
                      <w:bCs/>
                      <w:color w:val="auto"/>
                      <w:kern w:val="2"/>
                      <w:sz w:val="22"/>
                      <w:szCs w:val="22"/>
                      <w:lang w:val="en-US" w:eastAsia="zh-CN" w:bidi="ar-SA"/>
                    </w:rPr>
                    <w:t>排放总量（t/a）</w:t>
                  </w:r>
                </w:p>
              </w:tc>
            </w:tr>
            <w:tr w14:paraId="382D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246" w:type="dxa"/>
                  <w:gridSpan w:val="2"/>
                  <w:vMerge w:val="restart"/>
                  <w:tcBorders>
                    <w:tl2br w:val="nil"/>
                    <w:tr2bl w:val="nil"/>
                  </w:tcBorders>
                  <w:shd w:val="clear" w:color="auto" w:fill="auto"/>
                  <w:vAlign w:val="center"/>
                </w:tcPr>
                <w:p w14:paraId="46DA13DE">
                  <w:pPr>
                    <w:bidi w:val="0"/>
                    <w:jc w:val="center"/>
                    <w:rPr>
                      <w:rFonts w:hint="default"/>
                      <w:sz w:val="21"/>
                      <w:szCs w:val="21"/>
                      <w:lang w:val="en-US" w:eastAsia="zh-CN"/>
                    </w:rPr>
                  </w:pPr>
                  <w:r>
                    <w:rPr>
                      <w:rFonts w:hint="eastAsia"/>
                      <w:sz w:val="21"/>
                      <w:szCs w:val="21"/>
                      <w:lang w:val="en-US" w:eastAsia="zh-CN"/>
                    </w:rPr>
                    <w:t>废水</w:t>
                  </w:r>
                </w:p>
              </w:tc>
              <w:tc>
                <w:tcPr>
                  <w:tcW w:w="2379" w:type="dxa"/>
                  <w:tcBorders>
                    <w:tl2br w:val="nil"/>
                    <w:tr2bl w:val="nil"/>
                  </w:tcBorders>
                  <w:shd w:val="clear" w:color="auto" w:fill="auto"/>
                  <w:vAlign w:val="center"/>
                </w:tcPr>
                <w:p w14:paraId="6CA9D062">
                  <w:pPr>
                    <w:bidi w:val="0"/>
                    <w:jc w:val="center"/>
                    <w:rPr>
                      <w:rFonts w:hint="default"/>
                      <w:sz w:val="21"/>
                      <w:szCs w:val="21"/>
                      <w:lang w:val="en-US" w:eastAsia="zh-CN"/>
                    </w:rPr>
                  </w:pPr>
                  <w:r>
                    <w:rPr>
                      <w:rFonts w:hint="eastAsia"/>
                      <w:sz w:val="21"/>
                      <w:szCs w:val="21"/>
                      <w:lang w:val="en-US" w:eastAsia="zh-CN"/>
                    </w:rPr>
                    <w:t>COD</w:t>
                  </w:r>
                </w:p>
              </w:tc>
              <w:tc>
                <w:tcPr>
                  <w:tcW w:w="2450" w:type="dxa"/>
                  <w:tcBorders>
                    <w:tl2br w:val="nil"/>
                    <w:tr2bl w:val="nil"/>
                  </w:tcBorders>
                  <w:shd w:val="clear" w:color="auto" w:fill="auto"/>
                  <w:vAlign w:val="center"/>
                </w:tcPr>
                <w:p w14:paraId="33CB8BF7">
                  <w:pPr>
                    <w:bidi w:val="0"/>
                    <w:jc w:val="center"/>
                    <w:rPr>
                      <w:rFonts w:hint="default"/>
                      <w:sz w:val="21"/>
                      <w:szCs w:val="21"/>
                      <w:lang w:val="en-US" w:eastAsia="zh-CN"/>
                    </w:rPr>
                  </w:pPr>
                  <w:r>
                    <w:rPr>
                      <w:rFonts w:hint="eastAsia"/>
                      <w:sz w:val="21"/>
                      <w:szCs w:val="21"/>
                      <w:lang w:val="en-US" w:eastAsia="zh-CN"/>
                    </w:rPr>
                    <w:t>0.03</w:t>
                  </w:r>
                </w:p>
              </w:tc>
            </w:tr>
            <w:tr w14:paraId="28C3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246" w:type="dxa"/>
                  <w:gridSpan w:val="2"/>
                  <w:vMerge w:val="continue"/>
                  <w:tcBorders>
                    <w:tl2br w:val="nil"/>
                    <w:tr2bl w:val="nil"/>
                  </w:tcBorders>
                  <w:shd w:val="clear" w:color="auto" w:fill="auto"/>
                  <w:vAlign w:val="center"/>
                </w:tcPr>
                <w:p w14:paraId="6711CEC3">
                  <w:pPr>
                    <w:bidi w:val="0"/>
                    <w:jc w:val="center"/>
                    <w:rPr>
                      <w:rFonts w:hint="default"/>
                      <w:sz w:val="21"/>
                      <w:szCs w:val="21"/>
                      <w:lang w:val="en-US" w:eastAsia="zh-CN"/>
                    </w:rPr>
                  </w:pPr>
                </w:p>
              </w:tc>
              <w:tc>
                <w:tcPr>
                  <w:tcW w:w="2379" w:type="dxa"/>
                  <w:tcBorders>
                    <w:tl2br w:val="nil"/>
                    <w:tr2bl w:val="nil"/>
                  </w:tcBorders>
                  <w:shd w:val="clear" w:color="auto" w:fill="auto"/>
                  <w:vAlign w:val="center"/>
                </w:tcPr>
                <w:p w14:paraId="145AE951">
                  <w:pPr>
                    <w:bidi w:val="0"/>
                    <w:jc w:val="center"/>
                    <w:rPr>
                      <w:rFonts w:hint="default"/>
                      <w:sz w:val="21"/>
                      <w:szCs w:val="21"/>
                      <w:lang w:val="en-US" w:eastAsia="zh-CN"/>
                    </w:rPr>
                  </w:pPr>
                  <w:r>
                    <w:rPr>
                      <w:rFonts w:hint="eastAsia"/>
                      <w:sz w:val="21"/>
                      <w:szCs w:val="21"/>
                      <w:lang w:val="en-US" w:eastAsia="zh-CN"/>
                    </w:rPr>
                    <w:t>NH</w:t>
                  </w:r>
                  <w:r>
                    <w:rPr>
                      <w:rFonts w:hint="eastAsia"/>
                      <w:sz w:val="21"/>
                      <w:szCs w:val="21"/>
                      <w:vertAlign w:val="subscript"/>
                      <w:lang w:val="en-US" w:eastAsia="zh-CN"/>
                    </w:rPr>
                    <w:t>3</w:t>
                  </w:r>
                  <w:r>
                    <w:rPr>
                      <w:rFonts w:hint="eastAsia"/>
                      <w:sz w:val="21"/>
                      <w:szCs w:val="21"/>
                      <w:lang w:val="en-US" w:eastAsia="zh-CN"/>
                    </w:rPr>
                    <w:t>-N</w:t>
                  </w:r>
                </w:p>
              </w:tc>
              <w:tc>
                <w:tcPr>
                  <w:tcW w:w="2450" w:type="dxa"/>
                  <w:tcBorders>
                    <w:tl2br w:val="nil"/>
                    <w:tr2bl w:val="nil"/>
                  </w:tcBorders>
                  <w:shd w:val="clear" w:color="auto" w:fill="auto"/>
                  <w:vAlign w:val="center"/>
                </w:tcPr>
                <w:p w14:paraId="027CA909">
                  <w:pPr>
                    <w:bidi w:val="0"/>
                    <w:jc w:val="center"/>
                    <w:rPr>
                      <w:rFonts w:hint="default"/>
                      <w:sz w:val="21"/>
                      <w:szCs w:val="21"/>
                      <w:lang w:val="en-US" w:eastAsia="zh-CN"/>
                    </w:rPr>
                  </w:pPr>
                  <w:r>
                    <w:rPr>
                      <w:rFonts w:hint="eastAsia"/>
                      <w:sz w:val="21"/>
                      <w:szCs w:val="21"/>
                      <w:lang w:val="en-US" w:eastAsia="zh-CN"/>
                    </w:rPr>
                    <w:t>0.005</w:t>
                  </w:r>
                </w:p>
              </w:tc>
            </w:tr>
            <w:tr w14:paraId="6465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246" w:type="dxa"/>
                  <w:gridSpan w:val="2"/>
                  <w:vMerge w:val="restart"/>
                  <w:tcBorders>
                    <w:tl2br w:val="nil"/>
                    <w:tr2bl w:val="nil"/>
                  </w:tcBorders>
                  <w:shd w:val="clear" w:color="auto" w:fill="auto"/>
                  <w:vAlign w:val="center"/>
                </w:tcPr>
                <w:p w14:paraId="6341D42D">
                  <w:pPr>
                    <w:bidi w:val="0"/>
                    <w:jc w:val="center"/>
                    <w:rPr>
                      <w:rFonts w:hint="default"/>
                      <w:sz w:val="21"/>
                      <w:szCs w:val="21"/>
                      <w:lang w:val="en-US" w:eastAsia="zh-CN"/>
                    </w:rPr>
                  </w:pPr>
                  <w:r>
                    <w:rPr>
                      <w:rFonts w:hint="eastAsia"/>
                      <w:sz w:val="21"/>
                      <w:szCs w:val="21"/>
                      <w:lang w:val="en-US" w:eastAsia="zh-CN"/>
                    </w:rPr>
                    <w:t>废气</w:t>
                  </w:r>
                </w:p>
              </w:tc>
              <w:tc>
                <w:tcPr>
                  <w:tcW w:w="2379" w:type="dxa"/>
                  <w:tcBorders>
                    <w:tl2br w:val="nil"/>
                    <w:tr2bl w:val="nil"/>
                  </w:tcBorders>
                  <w:shd w:val="clear" w:color="auto" w:fill="auto"/>
                  <w:vAlign w:val="center"/>
                </w:tcPr>
                <w:p w14:paraId="43E5F099">
                  <w:pPr>
                    <w:bidi w:val="0"/>
                    <w:jc w:val="center"/>
                    <w:rPr>
                      <w:rFonts w:hint="default"/>
                      <w:sz w:val="21"/>
                      <w:szCs w:val="21"/>
                      <w:lang w:val="en-US" w:eastAsia="zh-CN"/>
                    </w:rPr>
                  </w:pPr>
                  <w:r>
                    <w:rPr>
                      <w:rFonts w:hint="eastAsia"/>
                      <w:sz w:val="21"/>
                      <w:szCs w:val="21"/>
                      <w:lang w:val="en-US" w:eastAsia="zh-CN"/>
                    </w:rPr>
                    <w:t>VOCs</w:t>
                  </w:r>
                </w:p>
              </w:tc>
              <w:tc>
                <w:tcPr>
                  <w:tcW w:w="2450" w:type="dxa"/>
                  <w:tcBorders>
                    <w:tl2br w:val="nil"/>
                    <w:tr2bl w:val="nil"/>
                  </w:tcBorders>
                  <w:shd w:val="clear" w:color="auto" w:fill="auto"/>
                  <w:vAlign w:val="center"/>
                </w:tcPr>
                <w:p w14:paraId="1D245515">
                  <w:pPr>
                    <w:bidi w:val="0"/>
                    <w:jc w:val="center"/>
                    <w:rPr>
                      <w:rFonts w:hint="default"/>
                      <w:sz w:val="21"/>
                      <w:szCs w:val="21"/>
                      <w:lang w:val="en-US" w:eastAsia="zh-CN"/>
                    </w:rPr>
                  </w:pPr>
                  <w:r>
                    <w:rPr>
                      <w:rFonts w:hint="eastAsia"/>
                      <w:sz w:val="21"/>
                      <w:szCs w:val="21"/>
                      <w:lang w:val="en-US" w:eastAsia="zh-CN"/>
                    </w:rPr>
                    <w:t>0.16</w:t>
                  </w:r>
                </w:p>
              </w:tc>
            </w:tr>
            <w:tr w14:paraId="3B285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246" w:type="dxa"/>
                  <w:gridSpan w:val="2"/>
                  <w:vMerge w:val="continue"/>
                  <w:tcBorders>
                    <w:tl2br w:val="nil"/>
                    <w:tr2bl w:val="nil"/>
                  </w:tcBorders>
                  <w:shd w:val="clear" w:color="auto" w:fill="auto"/>
                  <w:vAlign w:val="center"/>
                </w:tcPr>
                <w:p w14:paraId="25A8BFFC">
                  <w:pPr>
                    <w:bidi w:val="0"/>
                    <w:jc w:val="center"/>
                    <w:rPr>
                      <w:rFonts w:hint="eastAsia"/>
                      <w:sz w:val="21"/>
                      <w:szCs w:val="21"/>
                      <w:lang w:val="en-US" w:eastAsia="zh-CN"/>
                    </w:rPr>
                  </w:pPr>
                </w:p>
              </w:tc>
              <w:tc>
                <w:tcPr>
                  <w:tcW w:w="2379" w:type="dxa"/>
                  <w:tcBorders>
                    <w:tl2br w:val="nil"/>
                    <w:tr2bl w:val="nil"/>
                  </w:tcBorders>
                  <w:shd w:val="clear" w:color="auto" w:fill="auto"/>
                  <w:vAlign w:val="center"/>
                </w:tcPr>
                <w:p w14:paraId="7E2CD4CB">
                  <w:pPr>
                    <w:bidi w:val="0"/>
                    <w:jc w:val="center"/>
                    <w:rPr>
                      <w:rFonts w:hint="default"/>
                      <w:sz w:val="21"/>
                      <w:szCs w:val="21"/>
                      <w:lang w:val="en-US" w:eastAsia="zh-CN"/>
                    </w:rPr>
                  </w:pPr>
                  <w:r>
                    <w:rPr>
                      <w:rFonts w:hint="eastAsia"/>
                      <w:sz w:val="21"/>
                      <w:szCs w:val="21"/>
                      <w:lang w:val="en-US" w:eastAsia="zh-CN"/>
                    </w:rPr>
                    <w:t>二甲苯</w:t>
                  </w:r>
                </w:p>
              </w:tc>
              <w:tc>
                <w:tcPr>
                  <w:tcW w:w="2450" w:type="dxa"/>
                  <w:tcBorders>
                    <w:tl2br w:val="nil"/>
                    <w:tr2bl w:val="nil"/>
                  </w:tcBorders>
                  <w:shd w:val="clear" w:color="auto" w:fill="auto"/>
                  <w:vAlign w:val="center"/>
                </w:tcPr>
                <w:p w14:paraId="73F8B0B1">
                  <w:pPr>
                    <w:bidi w:val="0"/>
                    <w:jc w:val="center"/>
                    <w:rPr>
                      <w:rFonts w:hint="default"/>
                      <w:sz w:val="21"/>
                      <w:szCs w:val="21"/>
                      <w:lang w:val="en-US" w:eastAsia="zh-CN"/>
                    </w:rPr>
                  </w:pPr>
                  <w:r>
                    <w:rPr>
                      <w:rFonts w:hint="eastAsia"/>
                      <w:sz w:val="21"/>
                      <w:szCs w:val="21"/>
                      <w:lang w:val="en-US" w:eastAsia="zh-CN"/>
                    </w:rPr>
                    <w:t>0.07</w:t>
                  </w:r>
                </w:p>
              </w:tc>
            </w:tr>
            <w:tr w14:paraId="1E24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00" w:type="dxa"/>
                  <w:vMerge w:val="restart"/>
                  <w:tcBorders>
                    <w:tl2br w:val="nil"/>
                    <w:tr2bl w:val="nil"/>
                  </w:tcBorders>
                  <w:shd w:val="clear" w:color="auto" w:fill="auto"/>
                  <w:vAlign w:val="center"/>
                </w:tcPr>
                <w:p w14:paraId="54480E07">
                  <w:pPr>
                    <w:bidi w:val="0"/>
                    <w:jc w:val="center"/>
                    <w:rPr>
                      <w:rFonts w:hint="default"/>
                      <w:sz w:val="21"/>
                      <w:szCs w:val="21"/>
                      <w:lang w:val="en-US" w:eastAsia="zh-CN"/>
                    </w:rPr>
                  </w:pPr>
                  <w:r>
                    <w:rPr>
                      <w:rFonts w:hint="eastAsia"/>
                      <w:sz w:val="21"/>
                      <w:szCs w:val="21"/>
                      <w:lang w:val="en-US" w:eastAsia="zh-CN"/>
                    </w:rPr>
                    <w:t>固体废物</w:t>
                  </w:r>
                </w:p>
              </w:tc>
              <w:tc>
                <w:tcPr>
                  <w:tcW w:w="1146" w:type="dxa"/>
                  <w:vMerge w:val="restart"/>
                  <w:tcBorders>
                    <w:tl2br w:val="nil"/>
                    <w:tr2bl w:val="nil"/>
                  </w:tcBorders>
                  <w:shd w:val="clear" w:color="auto" w:fill="auto"/>
                  <w:vAlign w:val="center"/>
                </w:tcPr>
                <w:p w14:paraId="6F17F5B5">
                  <w:pPr>
                    <w:bidi w:val="0"/>
                    <w:jc w:val="center"/>
                    <w:rPr>
                      <w:rFonts w:hint="default"/>
                      <w:sz w:val="21"/>
                      <w:szCs w:val="21"/>
                      <w:lang w:val="en-US" w:eastAsia="zh-CN"/>
                    </w:rPr>
                  </w:pPr>
                  <w:r>
                    <w:rPr>
                      <w:rFonts w:hint="eastAsia"/>
                      <w:sz w:val="21"/>
                      <w:szCs w:val="21"/>
                      <w:lang w:val="en-US" w:eastAsia="zh-CN"/>
                    </w:rPr>
                    <w:t>一般固体废物</w:t>
                  </w:r>
                </w:p>
              </w:tc>
              <w:tc>
                <w:tcPr>
                  <w:tcW w:w="2379" w:type="dxa"/>
                  <w:tcBorders>
                    <w:tl2br w:val="nil"/>
                    <w:tr2bl w:val="nil"/>
                  </w:tcBorders>
                  <w:shd w:val="clear" w:color="auto" w:fill="auto"/>
                  <w:vAlign w:val="center"/>
                </w:tcPr>
                <w:p w14:paraId="32740A5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金属边角料</w:t>
                  </w:r>
                </w:p>
              </w:tc>
              <w:tc>
                <w:tcPr>
                  <w:tcW w:w="2450" w:type="dxa"/>
                  <w:tcBorders>
                    <w:tl2br w:val="nil"/>
                    <w:tr2bl w:val="nil"/>
                  </w:tcBorders>
                  <w:shd w:val="clear" w:color="auto" w:fill="auto"/>
                  <w:vAlign w:val="center"/>
                </w:tcPr>
                <w:p w14:paraId="62D12484">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433</w:t>
                  </w:r>
                </w:p>
              </w:tc>
            </w:tr>
            <w:tr w14:paraId="7C23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00" w:type="dxa"/>
                  <w:vMerge w:val="continue"/>
                  <w:vAlign w:val="center"/>
                </w:tcPr>
                <w:p w14:paraId="11C5CCFE">
                  <w:pPr>
                    <w:bidi w:val="0"/>
                    <w:jc w:val="center"/>
                    <w:rPr>
                      <w:rFonts w:hint="eastAsia"/>
                      <w:sz w:val="21"/>
                      <w:szCs w:val="21"/>
                      <w:lang w:val="en-US" w:eastAsia="zh-CN"/>
                    </w:rPr>
                  </w:pPr>
                </w:p>
              </w:tc>
              <w:tc>
                <w:tcPr>
                  <w:tcW w:w="1146" w:type="dxa"/>
                  <w:vMerge w:val="continue"/>
                  <w:vAlign w:val="center"/>
                </w:tcPr>
                <w:p w14:paraId="1BEE27B1">
                  <w:pPr>
                    <w:bidi w:val="0"/>
                    <w:jc w:val="center"/>
                    <w:rPr>
                      <w:rFonts w:hint="eastAsia"/>
                      <w:sz w:val="21"/>
                      <w:szCs w:val="21"/>
                      <w:lang w:val="en-US" w:eastAsia="zh-CN"/>
                    </w:rPr>
                  </w:pPr>
                </w:p>
              </w:tc>
              <w:tc>
                <w:tcPr>
                  <w:tcW w:w="2379" w:type="dxa"/>
                  <w:shd w:val="clear" w:color="auto" w:fill="auto"/>
                  <w:vAlign w:val="center"/>
                </w:tcPr>
                <w:p w14:paraId="65A6D84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焊渣</w:t>
                  </w:r>
                </w:p>
              </w:tc>
              <w:tc>
                <w:tcPr>
                  <w:tcW w:w="2450" w:type="dxa"/>
                  <w:shd w:val="clear" w:color="auto" w:fill="auto"/>
                  <w:vAlign w:val="center"/>
                </w:tcPr>
                <w:p w14:paraId="7B6791B3">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2.4</w:t>
                  </w:r>
                </w:p>
              </w:tc>
            </w:tr>
            <w:tr w14:paraId="560D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00" w:type="dxa"/>
                  <w:vMerge w:val="continue"/>
                  <w:vAlign w:val="center"/>
                </w:tcPr>
                <w:p w14:paraId="16F7747D">
                  <w:pPr>
                    <w:bidi w:val="0"/>
                    <w:jc w:val="center"/>
                    <w:rPr>
                      <w:rFonts w:hint="eastAsia"/>
                      <w:sz w:val="21"/>
                      <w:szCs w:val="21"/>
                      <w:lang w:val="en-US" w:eastAsia="zh-CN"/>
                    </w:rPr>
                  </w:pPr>
                </w:p>
              </w:tc>
              <w:tc>
                <w:tcPr>
                  <w:tcW w:w="1146" w:type="dxa"/>
                  <w:vMerge w:val="continue"/>
                  <w:vAlign w:val="center"/>
                </w:tcPr>
                <w:p w14:paraId="31E20D14">
                  <w:pPr>
                    <w:bidi w:val="0"/>
                    <w:jc w:val="center"/>
                    <w:rPr>
                      <w:rFonts w:hint="eastAsia"/>
                      <w:sz w:val="21"/>
                      <w:szCs w:val="21"/>
                      <w:lang w:val="en-US" w:eastAsia="zh-CN"/>
                    </w:rPr>
                  </w:pPr>
                </w:p>
              </w:tc>
              <w:tc>
                <w:tcPr>
                  <w:tcW w:w="2379" w:type="dxa"/>
                  <w:shd w:val="clear" w:color="auto" w:fill="auto"/>
                  <w:vAlign w:val="center"/>
                </w:tcPr>
                <w:p w14:paraId="5959432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废钢丸</w:t>
                  </w:r>
                </w:p>
              </w:tc>
              <w:tc>
                <w:tcPr>
                  <w:tcW w:w="2450" w:type="dxa"/>
                  <w:shd w:val="clear" w:color="auto" w:fill="auto"/>
                  <w:vAlign w:val="center"/>
                </w:tcPr>
                <w:p w14:paraId="30D9CEFE">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3</w:t>
                  </w:r>
                </w:p>
              </w:tc>
            </w:tr>
            <w:tr w14:paraId="4D8E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00" w:type="dxa"/>
                  <w:vMerge w:val="continue"/>
                  <w:vAlign w:val="center"/>
                </w:tcPr>
                <w:p w14:paraId="40A33AC6">
                  <w:pPr>
                    <w:bidi w:val="0"/>
                    <w:jc w:val="center"/>
                    <w:rPr>
                      <w:rFonts w:hint="eastAsia"/>
                      <w:sz w:val="21"/>
                      <w:szCs w:val="21"/>
                      <w:lang w:val="en-US" w:eastAsia="zh-CN"/>
                    </w:rPr>
                  </w:pPr>
                </w:p>
              </w:tc>
              <w:tc>
                <w:tcPr>
                  <w:tcW w:w="1146" w:type="dxa"/>
                  <w:vMerge w:val="continue"/>
                  <w:vAlign w:val="center"/>
                </w:tcPr>
                <w:p w14:paraId="665D5131">
                  <w:pPr>
                    <w:bidi w:val="0"/>
                    <w:jc w:val="center"/>
                    <w:rPr>
                      <w:rFonts w:hint="eastAsia"/>
                      <w:sz w:val="21"/>
                      <w:szCs w:val="21"/>
                      <w:lang w:val="en-US" w:eastAsia="zh-CN"/>
                    </w:rPr>
                  </w:pPr>
                </w:p>
              </w:tc>
              <w:tc>
                <w:tcPr>
                  <w:tcW w:w="2379" w:type="dxa"/>
                  <w:shd w:val="clear" w:color="auto" w:fill="auto"/>
                  <w:vAlign w:val="center"/>
                </w:tcPr>
                <w:p w14:paraId="1D0AB62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除尘器粉尘</w:t>
                  </w:r>
                </w:p>
              </w:tc>
              <w:tc>
                <w:tcPr>
                  <w:tcW w:w="2450" w:type="dxa"/>
                  <w:shd w:val="clear" w:color="auto" w:fill="auto"/>
                  <w:vAlign w:val="center"/>
                </w:tcPr>
                <w:p w14:paraId="087D90C0">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12.9</w:t>
                  </w:r>
                </w:p>
              </w:tc>
            </w:tr>
            <w:tr w14:paraId="532C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00" w:type="dxa"/>
                  <w:vMerge w:val="continue"/>
                  <w:vAlign w:val="center"/>
                </w:tcPr>
                <w:p w14:paraId="7FE7CB17">
                  <w:pPr>
                    <w:bidi w:val="0"/>
                    <w:jc w:val="center"/>
                    <w:rPr>
                      <w:rFonts w:hint="eastAsia"/>
                      <w:sz w:val="21"/>
                      <w:szCs w:val="21"/>
                      <w:lang w:val="en-US" w:eastAsia="zh-CN"/>
                    </w:rPr>
                  </w:pPr>
                </w:p>
              </w:tc>
              <w:tc>
                <w:tcPr>
                  <w:tcW w:w="1146" w:type="dxa"/>
                  <w:vMerge w:val="restart"/>
                  <w:vAlign w:val="center"/>
                </w:tcPr>
                <w:p w14:paraId="7CD60B93">
                  <w:pPr>
                    <w:bidi w:val="0"/>
                    <w:jc w:val="center"/>
                    <w:rPr>
                      <w:rFonts w:hint="default"/>
                      <w:sz w:val="21"/>
                      <w:szCs w:val="21"/>
                      <w:lang w:val="en-US" w:eastAsia="zh-CN"/>
                    </w:rPr>
                  </w:pPr>
                  <w:r>
                    <w:rPr>
                      <w:rFonts w:hint="eastAsia"/>
                      <w:sz w:val="21"/>
                      <w:szCs w:val="21"/>
                      <w:lang w:val="en-US" w:eastAsia="zh-CN"/>
                    </w:rPr>
                    <w:t>危险废物</w:t>
                  </w:r>
                </w:p>
              </w:tc>
              <w:tc>
                <w:tcPr>
                  <w:tcW w:w="2379" w:type="dxa"/>
                  <w:shd w:val="clear" w:color="auto" w:fill="auto"/>
                  <w:vAlign w:val="center"/>
                </w:tcPr>
                <w:p w14:paraId="5B1F906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废油漆桶</w:t>
                  </w:r>
                </w:p>
              </w:tc>
              <w:tc>
                <w:tcPr>
                  <w:tcW w:w="2450" w:type="dxa"/>
                  <w:shd w:val="clear" w:color="auto" w:fill="auto"/>
                  <w:vAlign w:val="center"/>
                </w:tcPr>
                <w:p w14:paraId="48A35DA8">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0.19</w:t>
                  </w:r>
                </w:p>
              </w:tc>
            </w:tr>
            <w:tr w14:paraId="4076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00" w:type="dxa"/>
                  <w:vMerge w:val="continue"/>
                  <w:vAlign w:val="center"/>
                </w:tcPr>
                <w:p w14:paraId="273133CC">
                  <w:pPr>
                    <w:bidi w:val="0"/>
                    <w:jc w:val="center"/>
                    <w:rPr>
                      <w:rFonts w:hint="eastAsia"/>
                      <w:sz w:val="21"/>
                      <w:szCs w:val="21"/>
                      <w:lang w:val="en-US" w:eastAsia="zh-CN"/>
                    </w:rPr>
                  </w:pPr>
                </w:p>
              </w:tc>
              <w:tc>
                <w:tcPr>
                  <w:tcW w:w="1146" w:type="dxa"/>
                  <w:vMerge w:val="continue"/>
                  <w:vAlign w:val="center"/>
                </w:tcPr>
                <w:p w14:paraId="5AAAD6D7">
                  <w:pPr>
                    <w:bidi w:val="0"/>
                    <w:jc w:val="center"/>
                    <w:rPr>
                      <w:rFonts w:hint="eastAsia"/>
                      <w:sz w:val="21"/>
                      <w:szCs w:val="21"/>
                      <w:lang w:val="en-US" w:eastAsia="zh-CN"/>
                    </w:rPr>
                  </w:pPr>
                </w:p>
              </w:tc>
              <w:tc>
                <w:tcPr>
                  <w:tcW w:w="2379" w:type="dxa"/>
                  <w:shd w:val="clear" w:color="auto" w:fill="auto"/>
                  <w:vAlign w:val="center"/>
                </w:tcPr>
                <w:p w14:paraId="477733E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废矿物油</w:t>
                  </w:r>
                </w:p>
              </w:tc>
              <w:tc>
                <w:tcPr>
                  <w:tcW w:w="2450" w:type="dxa"/>
                  <w:shd w:val="clear" w:color="auto" w:fill="auto"/>
                  <w:vAlign w:val="center"/>
                </w:tcPr>
                <w:p w14:paraId="28DB8DFF">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w:t>
                  </w:r>
                </w:p>
              </w:tc>
            </w:tr>
            <w:tr w14:paraId="7A32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00" w:type="dxa"/>
                  <w:vMerge w:val="continue"/>
                  <w:vAlign w:val="center"/>
                </w:tcPr>
                <w:p w14:paraId="4F1BDCEF">
                  <w:pPr>
                    <w:bidi w:val="0"/>
                    <w:jc w:val="center"/>
                    <w:rPr>
                      <w:rFonts w:hint="eastAsia"/>
                      <w:sz w:val="21"/>
                      <w:szCs w:val="21"/>
                      <w:lang w:val="en-US" w:eastAsia="zh-CN"/>
                    </w:rPr>
                  </w:pPr>
                </w:p>
              </w:tc>
              <w:tc>
                <w:tcPr>
                  <w:tcW w:w="1146" w:type="dxa"/>
                  <w:vMerge w:val="continue"/>
                  <w:vAlign w:val="center"/>
                </w:tcPr>
                <w:p w14:paraId="08E9FEEE">
                  <w:pPr>
                    <w:bidi w:val="0"/>
                    <w:jc w:val="center"/>
                    <w:rPr>
                      <w:rFonts w:hint="eastAsia"/>
                      <w:sz w:val="21"/>
                      <w:szCs w:val="21"/>
                      <w:lang w:val="en-US" w:eastAsia="zh-CN"/>
                    </w:rPr>
                  </w:pPr>
                </w:p>
              </w:tc>
              <w:tc>
                <w:tcPr>
                  <w:tcW w:w="2379" w:type="dxa"/>
                  <w:shd w:val="clear" w:color="auto" w:fill="auto"/>
                  <w:vAlign w:val="center"/>
                </w:tcPr>
                <w:p w14:paraId="7CAD708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废切削液</w:t>
                  </w:r>
                </w:p>
              </w:tc>
              <w:tc>
                <w:tcPr>
                  <w:tcW w:w="2450" w:type="dxa"/>
                  <w:shd w:val="clear" w:color="auto" w:fill="auto"/>
                  <w:vAlign w:val="center"/>
                </w:tcPr>
                <w:p w14:paraId="50D25039">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0.1</w:t>
                  </w:r>
                </w:p>
              </w:tc>
            </w:tr>
            <w:tr w14:paraId="1626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00" w:type="dxa"/>
                  <w:vMerge w:val="continue"/>
                  <w:vAlign w:val="center"/>
                </w:tcPr>
                <w:p w14:paraId="5AA23278">
                  <w:pPr>
                    <w:bidi w:val="0"/>
                    <w:jc w:val="center"/>
                    <w:rPr>
                      <w:rFonts w:hint="eastAsia"/>
                      <w:sz w:val="21"/>
                      <w:szCs w:val="21"/>
                      <w:lang w:val="en-US" w:eastAsia="zh-CN"/>
                    </w:rPr>
                  </w:pPr>
                </w:p>
              </w:tc>
              <w:tc>
                <w:tcPr>
                  <w:tcW w:w="1146" w:type="dxa"/>
                  <w:vMerge w:val="continue"/>
                  <w:vAlign w:val="center"/>
                </w:tcPr>
                <w:p w14:paraId="1BBBB08A">
                  <w:pPr>
                    <w:bidi w:val="0"/>
                    <w:jc w:val="center"/>
                    <w:rPr>
                      <w:rFonts w:hint="eastAsia"/>
                      <w:sz w:val="21"/>
                      <w:szCs w:val="21"/>
                      <w:lang w:val="en-US" w:eastAsia="zh-CN"/>
                    </w:rPr>
                  </w:pPr>
                </w:p>
              </w:tc>
              <w:tc>
                <w:tcPr>
                  <w:tcW w:w="2379" w:type="dxa"/>
                  <w:shd w:val="clear" w:color="auto" w:fill="auto"/>
                  <w:vAlign w:val="center"/>
                </w:tcPr>
                <w:p w14:paraId="5ECF808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废过滤棉</w:t>
                  </w:r>
                </w:p>
              </w:tc>
              <w:tc>
                <w:tcPr>
                  <w:tcW w:w="2450" w:type="dxa"/>
                  <w:shd w:val="clear" w:color="auto" w:fill="auto"/>
                  <w:vAlign w:val="center"/>
                </w:tcPr>
                <w:p w14:paraId="2B79A291">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0.05</w:t>
                  </w:r>
                </w:p>
              </w:tc>
            </w:tr>
            <w:tr w14:paraId="23AAA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00" w:type="dxa"/>
                  <w:vMerge w:val="continue"/>
                  <w:vAlign w:val="center"/>
                </w:tcPr>
                <w:p w14:paraId="29CB2BFD">
                  <w:pPr>
                    <w:bidi w:val="0"/>
                    <w:jc w:val="center"/>
                    <w:rPr>
                      <w:rFonts w:hint="eastAsia"/>
                      <w:sz w:val="21"/>
                      <w:szCs w:val="21"/>
                      <w:lang w:val="en-US" w:eastAsia="zh-CN"/>
                    </w:rPr>
                  </w:pPr>
                </w:p>
              </w:tc>
              <w:tc>
                <w:tcPr>
                  <w:tcW w:w="1146" w:type="dxa"/>
                  <w:vMerge w:val="continue"/>
                  <w:vAlign w:val="center"/>
                </w:tcPr>
                <w:p w14:paraId="0E9A6672">
                  <w:pPr>
                    <w:bidi w:val="0"/>
                    <w:jc w:val="center"/>
                    <w:rPr>
                      <w:rFonts w:hint="eastAsia"/>
                      <w:sz w:val="21"/>
                      <w:szCs w:val="21"/>
                      <w:lang w:val="en-US" w:eastAsia="zh-CN"/>
                    </w:rPr>
                  </w:pPr>
                </w:p>
              </w:tc>
              <w:tc>
                <w:tcPr>
                  <w:tcW w:w="2379" w:type="dxa"/>
                  <w:shd w:val="clear" w:color="auto" w:fill="auto"/>
                  <w:vAlign w:val="center"/>
                </w:tcPr>
                <w:p w14:paraId="6C37973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废活性炭</w:t>
                  </w:r>
                </w:p>
              </w:tc>
              <w:tc>
                <w:tcPr>
                  <w:tcW w:w="2450" w:type="dxa"/>
                  <w:shd w:val="clear" w:color="auto" w:fill="auto"/>
                  <w:vAlign w:val="center"/>
                </w:tcPr>
                <w:p w14:paraId="4003081D">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8.84</w:t>
                  </w:r>
                </w:p>
              </w:tc>
            </w:tr>
          </w:tbl>
          <w:p w14:paraId="67D7E6A4">
            <w:pPr>
              <w:bidi w:val="0"/>
              <w:rPr>
                <w:rFonts w:hint="eastAsia"/>
                <w:lang w:val="en-US" w:eastAsia="zh-CN"/>
              </w:rPr>
            </w:pPr>
          </w:p>
          <w:p w14:paraId="7C985BA8">
            <w:pPr>
              <w:spacing w:line="360" w:lineRule="auto"/>
              <w:jc w:val="left"/>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3、与该项目有关的主要环境问题</w:t>
            </w:r>
          </w:p>
          <w:p w14:paraId="2BA6D31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主要环境问题：（1）刷漆排放的有机废气未取得主管部门的总量核定文件；（2）食堂油烟排放口不满足排放标准要求。</w:t>
            </w:r>
          </w:p>
          <w:p w14:paraId="4A4A79F3">
            <w:pPr>
              <w:autoSpaceDE w:val="0"/>
              <w:autoSpaceDN w:val="0"/>
              <w:adjustRightInd w:val="0"/>
              <w:snapToGrid w:val="0"/>
              <w:spacing w:line="360" w:lineRule="auto"/>
              <w:ind w:firstLine="480" w:firstLineChars="200"/>
              <w:jc w:val="both"/>
              <w:rPr>
                <w:rFonts w:hint="eastAsia" w:ascii="宋体" w:hAnsi="宋体" w:cs="宋体"/>
                <w:kern w:val="0"/>
                <w:sz w:val="24"/>
                <w:szCs w:val="24"/>
              </w:rPr>
            </w:pPr>
            <w:r>
              <w:rPr>
                <w:rFonts w:hint="eastAsia"/>
                <w:color w:val="000000"/>
                <w:kern w:val="0"/>
                <w:sz w:val="24"/>
                <w:lang w:val="en-US" w:eastAsia="zh-CN"/>
              </w:rPr>
              <w:t>整改措施：（1）按规定向主管部门申请总量核定文件；（2）按照GB18483等标准规范要求设置油烟排气筒并定期完成油烟废气自行检测。</w:t>
            </w:r>
          </w:p>
        </w:tc>
      </w:tr>
    </w:tbl>
    <w:p w14:paraId="1CAD053F">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2"/>
          <w:szCs w:val="32"/>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24C1CF04">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2"/>
          <w:szCs w:val="32"/>
        </w:rPr>
      </w:pPr>
      <w:r>
        <w:rPr>
          <w:rFonts w:hint="eastAsia"/>
          <w:b w:val="0"/>
          <w:bCs w:val="0"/>
          <w:snapToGrid w:val="0"/>
          <w:sz w:val="32"/>
          <w:szCs w:val="32"/>
          <w:lang w:val="en-US" w:eastAsia="zh-CN"/>
        </w:rPr>
        <w:t>三、</w:t>
      </w:r>
      <w:r>
        <w:rPr>
          <w:rFonts w:hint="eastAsia"/>
          <w:b w:val="0"/>
          <w:bCs w:val="0"/>
          <w:snapToGrid w:val="0"/>
          <w:sz w:val="32"/>
          <w:szCs w:val="32"/>
        </w:rPr>
        <w:t>区域环境质量现状、环境保护目标及评价标准</w:t>
      </w:r>
    </w:p>
    <w:tbl>
      <w:tblPr>
        <w:tblStyle w:val="15"/>
        <w:tblW w:w="86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57" w:type="dxa"/>
          <w:right w:w="57" w:type="dxa"/>
        </w:tblCellMar>
      </w:tblPr>
      <w:tblGrid>
        <w:gridCol w:w="498"/>
        <w:gridCol w:w="8190"/>
      </w:tblGrid>
      <w:tr w14:paraId="480EB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402" w:hRule="atLeast"/>
          <w:jc w:val="center"/>
        </w:trPr>
        <w:tc>
          <w:tcPr>
            <w:tcW w:w="498" w:type="dxa"/>
            <w:noWrap w:val="0"/>
            <w:vAlign w:val="center"/>
          </w:tcPr>
          <w:p w14:paraId="3BB1F219">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区域</w:t>
            </w:r>
          </w:p>
          <w:p w14:paraId="2DE0DEBC">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环境</w:t>
            </w:r>
          </w:p>
          <w:p w14:paraId="0A4A4D8D">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质量</w:t>
            </w:r>
          </w:p>
          <w:p w14:paraId="26036D79">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现状</w:t>
            </w:r>
          </w:p>
        </w:tc>
        <w:tc>
          <w:tcPr>
            <w:tcW w:w="8190" w:type="dxa"/>
            <w:noWrap w:val="0"/>
            <w:vAlign w:val="center"/>
          </w:tcPr>
          <w:p w14:paraId="390D2221">
            <w:pPr>
              <w:autoSpaceDE w:val="0"/>
              <w:autoSpaceDN w:val="0"/>
              <w:adjustRightInd w:val="0"/>
              <w:snapToGrid w:val="0"/>
              <w:spacing w:line="360" w:lineRule="auto"/>
              <w:jc w:val="left"/>
              <w:rPr>
                <w:rFonts w:hint="default" w:ascii="宋体" w:hAnsi="宋体" w:eastAsia="宋体" w:cs="宋体"/>
                <w:kern w:val="0"/>
                <w:sz w:val="24"/>
                <w:szCs w:val="24"/>
                <w:lang w:val="en-US" w:eastAsia="zh-CN"/>
              </w:rPr>
            </w:pPr>
            <w:r>
              <w:rPr>
                <w:rFonts w:hint="eastAsia" w:ascii="宋体" w:hAnsi="宋体" w:cs="宋体"/>
                <w:b/>
                <w:bCs/>
                <w:kern w:val="0"/>
                <w:sz w:val="24"/>
                <w:szCs w:val="24"/>
                <w:lang w:val="en-US" w:eastAsia="zh-CN"/>
              </w:rPr>
              <w:t>1、大气环境</w:t>
            </w:r>
          </w:p>
          <w:p w14:paraId="1665436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根据《建设项目环境影响报告表编制技术指南（污染影响类）》（试行）的文件要求，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0C7C914A">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（1）基本污染物因子</w:t>
            </w:r>
          </w:p>
          <w:p w14:paraId="142AB0F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本次常规污染物环境质量现状数据引用淮北市生态环境局网站公开的2024年环境质量公报内容。</w:t>
            </w:r>
          </w:p>
          <w:p w14:paraId="2B6BD0F8">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淮北市2024年城市环境空气中细颗粒物年均值为43微克/立方米，超标0.23倍；日均值范围在6～283微克/立方米之间，最大日平均浓度超标2.77倍，日均值达标率87.4%。</w:t>
            </w:r>
          </w:p>
          <w:p w14:paraId="56E99EAC">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二氧化硫年均值为6微克/立方米，符合国家一级标准要求，年均值达标率100%；日均值范围在2～15微克/立方米之间，符合国家一级标准要求，日均值达标率100%；小时浓度值范围在1～21微克/立方米之间，符合国家一级标准要求，小时均值达标率100%。</w:t>
            </w:r>
          </w:p>
          <w:p w14:paraId="1FA6EFCD">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二氧化氮年均值为19微克/立方米，符合国家一级标准要求；日均值范围在2～59微克/立方米之间，符合国家一级标准要求，日均值达标率100%；小时均值范围在1～83微克/立方米之间，符合国家一级标准要求，小时均值达标率100%。</w:t>
            </w:r>
          </w:p>
          <w:p w14:paraId="5CBBA2E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可吸入颗粒物扣除沙尘影响后年均值为70微克/立方米，符合国家二级标准要求；日均值范围在12～336微克/立方米之间，最大日平均浓度超标1.24倍，日均值达标率92.9%。</w:t>
            </w:r>
          </w:p>
          <w:p w14:paraId="3EDA79C8">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一氧化碳年日均第95百分位数为1.0毫克/立方米，符合年浓度达标值要求；日均值范围在0.3～1.2毫克/立方米之间，达到一级标准要求，达标率100%；一氧化碳小时浓度值范围在0.2～2.0毫克/立方米之间，达到一级标准要求，达标率100%。</w:t>
            </w:r>
          </w:p>
          <w:p w14:paraId="0EEA53AF">
            <w:pPr>
              <w:autoSpaceDE w:val="0"/>
              <w:autoSpaceDN w:val="0"/>
              <w:adjustRightInd w:val="0"/>
              <w:snapToGrid w:val="0"/>
              <w:spacing w:line="360" w:lineRule="auto"/>
              <w:ind w:firstLine="480" w:firstLineChars="200"/>
              <w:jc w:val="both"/>
              <w:rPr>
                <w:rFonts w:hint="default" w:ascii="宋体" w:hAnsi="宋体" w:cs="宋体"/>
                <w:kern w:val="0"/>
                <w:sz w:val="24"/>
                <w:szCs w:val="24"/>
                <w:lang w:val="en-US" w:eastAsia="zh-CN"/>
              </w:rPr>
            </w:pPr>
            <w:r>
              <w:rPr>
                <w:rFonts w:hint="eastAsia"/>
                <w:color w:val="000000"/>
                <w:kern w:val="0"/>
                <w:sz w:val="24"/>
                <w:lang w:val="en-US" w:eastAsia="zh-CN"/>
              </w:rPr>
              <w:t>臭氧年日最大8小时滑动平均值第90百分位数为175微克/立方米，超过年浓度达标值要求，超标0.09倍；日最大8小时滑动平均值范围在29～254微克/立方米之间，最大值超标0.59倍，日最大8小时滑动平均值达标率83.6%；臭氧小时浓度值范围在2～264微克/立方米之间，最大小时浓度超标0.32倍，达标率98.5%。具体情况见下表。</w:t>
            </w:r>
          </w:p>
          <w:p w14:paraId="5D19C4D5">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default" w:ascii="宋体" w:hAnsi="宋体" w:eastAsia="宋体" w:cs="宋体"/>
                <w:b/>
                <w:bCs/>
                <w:sz w:val="22"/>
                <w:szCs w:val="22"/>
                <w:lang w:val="en-US" w:eastAsia="zh-CN"/>
              </w:rPr>
              <w:t>表</w:t>
            </w:r>
            <w:r>
              <w:rPr>
                <w:rFonts w:hint="eastAsia" w:ascii="宋体" w:hAnsi="宋体" w:eastAsia="宋体" w:cs="宋体"/>
                <w:b/>
                <w:bCs/>
                <w:sz w:val="22"/>
                <w:szCs w:val="22"/>
                <w:lang w:val="en-US" w:eastAsia="zh-CN"/>
              </w:rPr>
              <w:t>3-</w:t>
            </w:r>
            <w:r>
              <w:rPr>
                <w:rFonts w:hint="eastAsia" w:cs="Times New Roman"/>
                <w:b/>
                <w:bCs/>
                <w:sz w:val="22"/>
                <w:szCs w:val="22"/>
                <w:lang w:val="en-US" w:eastAsia="zh-CN"/>
              </w:rPr>
              <w:t>1</w:t>
            </w:r>
            <w:r>
              <w:rPr>
                <w:rFonts w:hint="default" w:ascii="宋体" w:hAnsi="宋体" w:eastAsia="宋体" w:cs="宋体"/>
                <w:b/>
                <w:bCs/>
                <w:sz w:val="22"/>
                <w:szCs w:val="22"/>
                <w:lang w:val="en-US" w:eastAsia="zh-CN"/>
              </w:rPr>
              <w:t xml:space="preserve">  </w:t>
            </w:r>
            <w:r>
              <w:rPr>
                <w:rFonts w:hint="eastAsia" w:ascii="宋体" w:hAnsi="宋体" w:cs="宋体"/>
                <w:b/>
                <w:bCs/>
                <w:sz w:val="22"/>
                <w:szCs w:val="22"/>
                <w:lang w:val="en-US" w:eastAsia="zh-CN"/>
              </w:rPr>
              <w:t>基本</w:t>
            </w:r>
            <w:r>
              <w:rPr>
                <w:rFonts w:hint="eastAsia" w:ascii="宋体" w:hAnsi="宋体" w:eastAsia="宋体" w:cs="宋体"/>
                <w:b/>
                <w:bCs/>
                <w:sz w:val="22"/>
                <w:szCs w:val="22"/>
                <w:lang w:val="en-US" w:eastAsia="zh-CN"/>
              </w:rPr>
              <w:t>污染物现状浓度</w:t>
            </w:r>
            <w:r>
              <w:rPr>
                <w:rFonts w:hint="default" w:ascii="Times New Roman" w:hAnsi="Times New Roman" w:eastAsia="宋体" w:cs="Times New Roman"/>
                <w:b/>
                <w:bCs/>
                <w:sz w:val="22"/>
                <w:szCs w:val="22"/>
                <w:lang w:val="en-US" w:eastAsia="zh-CN"/>
              </w:rPr>
              <w:t>一览表</w:t>
            </w:r>
          </w:p>
          <w:tbl>
            <w:tblPr>
              <w:tblStyle w:val="15"/>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79"/>
              <w:gridCol w:w="1584"/>
              <w:gridCol w:w="1992"/>
              <w:gridCol w:w="1812"/>
              <w:gridCol w:w="1253"/>
            </w:tblGrid>
            <w:tr w14:paraId="5AAC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tcBorders>
                    <w:tl2br w:val="nil"/>
                    <w:tr2bl w:val="nil"/>
                  </w:tcBorders>
                  <w:noWrap/>
                  <w:tcMar>
                    <w:top w:w="57" w:type="dxa"/>
                    <w:left w:w="57" w:type="dxa"/>
                    <w:bottom w:w="57" w:type="dxa"/>
                    <w:right w:w="57" w:type="dxa"/>
                  </w:tcMar>
                  <w:vAlign w:val="center"/>
                </w:tcPr>
                <w:p w14:paraId="15C61C3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eastAsia" w:ascii="宋体" w:hAnsi="宋体" w:cs="宋体"/>
                      <w:b/>
                      <w:bCs/>
                      <w:color w:val="000000"/>
                      <w:kern w:val="2"/>
                      <w:sz w:val="22"/>
                      <w:szCs w:val="22"/>
                      <w:highlight w:val="none"/>
                      <w:lang w:val="en-US" w:eastAsia="zh-CN"/>
                    </w:rPr>
                    <w:t>污染物项目</w:t>
                  </w:r>
                </w:p>
              </w:tc>
              <w:tc>
                <w:tcPr>
                  <w:tcW w:w="987" w:type="pct"/>
                  <w:tcBorders>
                    <w:tl2br w:val="nil"/>
                    <w:tr2bl w:val="nil"/>
                  </w:tcBorders>
                  <w:noWrap/>
                  <w:tcMar>
                    <w:top w:w="57" w:type="dxa"/>
                    <w:left w:w="57" w:type="dxa"/>
                    <w:bottom w:w="57" w:type="dxa"/>
                    <w:right w:w="57" w:type="dxa"/>
                  </w:tcMar>
                  <w:vAlign w:val="center"/>
                </w:tcPr>
                <w:p w14:paraId="16FBB5A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eastAsia" w:ascii="宋体" w:hAnsi="宋体" w:cs="宋体"/>
                      <w:b/>
                      <w:bCs/>
                      <w:color w:val="000000"/>
                      <w:kern w:val="2"/>
                      <w:sz w:val="22"/>
                      <w:szCs w:val="22"/>
                      <w:highlight w:val="none"/>
                      <w:lang w:val="en-US" w:eastAsia="zh-CN"/>
                    </w:rPr>
                    <w:t>平均时间</w:t>
                  </w:r>
                </w:p>
              </w:tc>
              <w:tc>
                <w:tcPr>
                  <w:tcW w:w="1241" w:type="pct"/>
                  <w:tcBorders>
                    <w:tl2br w:val="nil"/>
                    <w:tr2bl w:val="nil"/>
                  </w:tcBorders>
                  <w:noWrap/>
                  <w:tcMar>
                    <w:top w:w="57" w:type="dxa"/>
                    <w:left w:w="57" w:type="dxa"/>
                    <w:bottom w:w="57" w:type="dxa"/>
                    <w:right w:w="57" w:type="dxa"/>
                  </w:tcMar>
                  <w:vAlign w:val="center"/>
                </w:tcPr>
                <w:p w14:paraId="6BF65BB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bidi="ar-SA"/>
                    </w:rPr>
                  </w:pPr>
                  <w:r>
                    <w:rPr>
                      <w:rFonts w:hint="eastAsia" w:ascii="宋体" w:hAnsi="宋体" w:cs="宋体"/>
                      <w:b/>
                      <w:bCs/>
                      <w:color w:val="000000"/>
                      <w:kern w:val="2"/>
                      <w:sz w:val="22"/>
                      <w:szCs w:val="22"/>
                      <w:highlight w:val="none"/>
                      <w:lang w:val="en-US" w:eastAsia="zh-CN" w:bidi="ar-SA"/>
                    </w:rPr>
                    <w:t>浓度限值（</w:t>
                  </w:r>
                  <w:r>
                    <w:rPr>
                      <w:rFonts w:hint="default"/>
                      <w:b/>
                      <w:bCs/>
                      <w:color w:val="000000"/>
                      <w:kern w:val="0"/>
                      <w:sz w:val="22"/>
                      <w:szCs w:val="22"/>
                      <w:lang w:val="en-US" w:eastAsia="zh-CN"/>
                    </w:rPr>
                    <w:t>μg/m</w:t>
                  </w:r>
                  <w:r>
                    <w:rPr>
                      <w:rFonts w:hint="default"/>
                      <w:b/>
                      <w:bCs/>
                      <w:color w:val="000000"/>
                      <w:kern w:val="0"/>
                      <w:sz w:val="22"/>
                      <w:szCs w:val="22"/>
                      <w:vertAlign w:val="superscript"/>
                      <w:lang w:val="en-US" w:eastAsia="zh-CN"/>
                    </w:rPr>
                    <w:t>3</w:t>
                  </w:r>
                  <w:r>
                    <w:rPr>
                      <w:rFonts w:hint="eastAsia" w:ascii="宋体" w:hAnsi="宋体" w:cs="宋体"/>
                      <w:b/>
                      <w:bCs/>
                      <w:color w:val="000000"/>
                      <w:kern w:val="2"/>
                      <w:sz w:val="22"/>
                      <w:szCs w:val="22"/>
                      <w:highlight w:val="none"/>
                      <w:lang w:val="en-US" w:eastAsia="zh-CN" w:bidi="ar-SA"/>
                    </w:rPr>
                    <w:t>）</w:t>
                  </w:r>
                </w:p>
              </w:tc>
              <w:tc>
                <w:tcPr>
                  <w:tcW w:w="1129" w:type="pct"/>
                  <w:tcBorders>
                    <w:tl2br w:val="nil"/>
                    <w:tr2bl w:val="nil"/>
                  </w:tcBorders>
                  <w:noWrap/>
                  <w:tcMar>
                    <w:top w:w="57" w:type="dxa"/>
                    <w:left w:w="57" w:type="dxa"/>
                    <w:bottom w:w="57" w:type="dxa"/>
                    <w:right w:w="57" w:type="dxa"/>
                  </w:tcMar>
                  <w:vAlign w:val="center"/>
                </w:tcPr>
                <w:p w14:paraId="09BD0A9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bidi="ar-SA"/>
                    </w:rPr>
                  </w:pPr>
                  <w:r>
                    <w:rPr>
                      <w:rFonts w:hint="eastAsia" w:ascii="宋体" w:hAnsi="宋体" w:cs="宋体"/>
                      <w:b/>
                      <w:bCs/>
                      <w:color w:val="000000"/>
                      <w:kern w:val="2"/>
                      <w:sz w:val="22"/>
                      <w:szCs w:val="22"/>
                      <w:highlight w:val="none"/>
                      <w:lang w:val="en-US" w:eastAsia="zh-CN" w:bidi="ar-SA"/>
                    </w:rPr>
                    <w:t>现状浓度（</w:t>
                  </w:r>
                  <w:r>
                    <w:rPr>
                      <w:rFonts w:hint="default"/>
                      <w:b/>
                      <w:bCs/>
                      <w:color w:val="000000"/>
                      <w:kern w:val="0"/>
                      <w:sz w:val="22"/>
                      <w:szCs w:val="22"/>
                      <w:lang w:val="en-US" w:eastAsia="zh-CN"/>
                    </w:rPr>
                    <w:t>μg/m</w:t>
                  </w:r>
                  <w:r>
                    <w:rPr>
                      <w:rFonts w:hint="default"/>
                      <w:b/>
                      <w:bCs/>
                      <w:color w:val="000000"/>
                      <w:kern w:val="0"/>
                      <w:sz w:val="22"/>
                      <w:szCs w:val="22"/>
                      <w:vertAlign w:val="superscript"/>
                      <w:lang w:val="en-US" w:eastAsia="zh-CN"/>
                    </w:rPr>
                    <w:t>3</w:t>
                  </w:r>
                  <w:r>
                    <w:rPr>
                      <w:rFonts w:hint="eastAsia" w:ascii="宋体" w:hAnsi="宋体" w:cs="宋体"/>
                      <w:b/>
                      <w:bCs/>
                      <w:color w:val="000000"/>
                      <w:kern w:val="2"/>
                      <w:sz w:val="22"/>
                      <w:szCs w:val="22"/>
                      <w:highlight w:val="none"/>
                      <w:lang w:val="en-US" w:eastAsia="zh-CN" w:bidi="ar-SA"/>
                    </w:rPr>
                    <w:t>）</w:t>
                  </w:r>
                </w:p>
              </w:tc>
              <w:tc>
                <w:tcPr>
                  <w:tcW w:w="781" w:type="pct"/>
                  <w:tcBorders>
                    <w:tl2br w:val="nil"/>
                    <w:tr2bl w:val="nil"/>
                  </w:tcBorders>
                  <w:noWrap/>
                  <w:tcMar>
                    <w:top w:w="57" w:type="dxa"/>
                    <w:left w:w="57" w:type="dxa"/>
                    <w:bottom w:w="57" w:type="dxa"/>
                    <w:right w:w="57" w:type="dxa"/>
                  </w:tcMar>
                  <w:vAlign w:val="center"/>
                </w:tcPr>
                <w:p w14:paraId="681D457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bidi="ar-SA"/>
                    </w:rPr>
                  </w:pPr>
                  <w:r>
                    <w:rPr>
                      <w:rFonts w:hint="eastAsia" w:ascii="宋体" w:hAnsi="宋体" w:cs="宋体"/>
                      <w:b/>
                      <w:bCs/>
                      <w:color w:val="000000"/>
                      <w:kern w:val="2"/>
                      <w:sz w:val="22"/>
                      <w:szCs w:val="22"/>
                      <w:highlight w:val="none"/>
                      <w:lang w:val="en-US" w:eastAsia="zh-CN" w:bidi="ar-SA"/>
                    </w:rPr>
                    <w:t>达标情况</w:t>
                  </w:r>
                </w:p>
              </w:tc>
            </w:tr>
            <w:tr w14:paraId="09E3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restart"/>
                  <w:tcBorders>
                    <w:tl2br w:val="nil"/>
                    <w:tr2bl w:val="nil"/>
                  </w:tcBorders>
                  <w:noWrap/>
                  <w:tcMar>
                    <w:top w:w="57" w:type="dxa"/>
                    <w:left w:w="57" w:type="dxa"/>
                    <w:bottom w:w="57" w:type="dxa"/>
                    <w:right w:w="57" w:type="dxa"/>
                  </w:tcMar>
                  <w:vAlign w:val="center"/>
                </w:tcPr>
                <w:p w14:paraId="36AE6AE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SO</w:t>
                  </w:r>
                  <w:r>
                    <w:rPr>
                      <w:rFonts w:hint="eastAsia" w:cs="Times New Roman"/>
                      <w:color w:val="000000"/>
                      <w:kern w:val="2"/>
                      <w:sz w:val="21"/>
                      <w:szCs w:val="21"/>
                      <w:highlight w:val="none"/>
                      <w:vertAlign w:val="subscript"/>
                      <w:lang w:val="en-US" w:eastAsia="zh-CN"/>
                    </w:rPr>
                    <w:t>2</w:t>
                  </w:r>
                </w:p>
              </w:tc>
              <w:tc>
                <w:tcPr>
                  <w:tcW w:w="987" w:type="pct"/>
                  <w:tcBorders>
                    <w:tl2br w:val="nil"/>
                    <w:tr2bl w:val="nil"/>
                  </w:tcBorders>
                  <w:noWrap/>
                  <w:tcMar>
                    <w:top w:w="57" w:type="dxa"/>
                    <w:left w:w="57" w:type="dxa"/>
                    <w:bottom w:w="57" w:type="dxa"/>
                    <w:right w:w="57" w:type="dxa"/>
                  </w:tcMar>
                  <w:vAlign w:val="center"/>
                </w:tcPr>
                <w:p w14:paraId="3F5AAC3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年平均</w:t>
                  </w:r>
                </w:p>
              </w:tc>
              <w:tc>
                <w:tcPr>
                  <w:tcW w:w="1241" w:type="pct"/>
                  <w:tcBorders>
                    <w:tl2br w:val="nil"/>
                    <w:tr2bl w:val="nil"/>
                  </w:tcBorders>
                  <w:shd w:val="clear" w:color="auto" w:fill="auto"/>
                  <w:noWrap/>
                  <w:tcMar>
                    <w:top w:w="57" w:type="dxa"/>
                    <w:left w:w="57" w:type="dxa"/>
                    <w:bottom w:w="57" w:type="dxa"/>
                    <w:right w:w="57" w:type="dxa"/>
                  </w:tcMar>
                  <w:vAlign w:val="center"/>
                </w:tcPr>
                <w:p w14:paraId="3C21C5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60</w:t>
                  </w:r>
                </w:p>
              </w:tc>
              <w:tc>
                <w:tcPr>
                  <w:tcW w:w="1129" w:type="pct"/>
                  <w:tcBorders>
                    <w:tl2br w:val="nil"/>
                    <w:tr2bl w:val="nil"/>
                  </w:tcBorders>
                  <w:shd w:val="clear" w:color="auto" w:fill="auto"/>
                  <w:noWrap/>
                  <w:tcMar>
                    <w:top w:w="57" w:type="dxa"/>
                    <w:left w:w="57" w:type="dxa"/>
                    <w:bottom w:w="57" w:type="dxa"/>
                    <w:right w:w="57" w:type="dxa"/>
                  </w:tcMar>
                  <w:vAlign w:val="center"/>
                </w:tcPr>
                <w:p w14:paraId="443680C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6</w:t>
                  </w:r>
                </w:p>
              </w:tc>
              <w:tc>
                <w:tcPr>
                  <w:tcW w:w="781" w:type="pct"/>
                  <w:tcBorders>
                    <w:tl2br w:val="nil"/>
                    <w:tr2bl w:val="nil"/>
                  </w:tcBorders>
                  <w:shd w:val="clear" w:color="auto" w:fill="auto"/>
                  <w:noWrap/>
                  <w:tcMar>
                    <w:top w:w="57" w:type="dxa"/>
                    <w:left w:w="57" w:type="dxa"/>
                    <w:bottom w:w="57" w:type="dxa"/>
                    <w:right w:w="57" w:type="dxa"/>
                  </w:tcMar>
                  <w:vAlign w:val="center"/>
                </w:tcPr>
                <w:p w14:paraId="4F233E9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5DD6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0BE082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987" w:type="pct"/>
                  <w:tcBorders>
                    <w:tl2br w:val="nil"/>
                    <w:tr2bl w:val="nil"/>
                  </w:tcBorders>
                  <w:noWrap/>
                  <w:tcMar>
                    <w:top w:w="57" w:type="dxa"/>
                    <w:left w:w="57" w:type="dxa"/>
                    <w:bottom w:w="57" w:type="dxa"/>
                    <w:right w:w="57" w:type="dxa"/>
                  </w:tcMar>
                  <w:vAlign w:val="center"/>
                </w:tcPr>
                <w:p w14:paraId="67D8A5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24h平均</w:t>
                  </w:r>
                </w:p>
              </w:tc>
              <w:tc>
                <w:tcPr>
                  <w:tcW w:w="1241" w:type="pct"/>
                  <w:tcBorders>
                    <w:tl2br w:val="nil"/>
                    <w:tr2bl w:val="nil"/>
                  </w:tcBorders>
                  <w:shd w:val="clear" w:color="auto" w:fill="auto"/>
                  <w:noWrap/>
                  <w:tcMar>
                    <w:top w:w="57" w:type="dxa"/>
                    <w:left w:w="57" w:type="dxa"/>
                    <w:bottom w:w="57" w:type="dxa"/>
                    <w:right w:w="57" w:type="dxa"/>
                  </w:tcMar>
                  <w:vAlign w:val="center"/>
                </w:tcPr>
                <w:p w14:paraId="6FA808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150</w:t>
                  </w:r>
                </w:p>
              </w:tc>
              <w:tc>
                <w:tcPr>
                  <w:tcW w:w="1129" w:type="pct"/>
                  <w:tcBorders>
                    <w:tl2br w:val="nil"/>
                    <w:tr2bl w:val="nil"/>
                  </w:tcBorders>
                  <w:shd w:val="clear" w:color="auto" w:fill="auto"/>
                  <w:noWrap/>
                  <w:tcMar>
                    <w:top w:w="57" w:type="dxa"/>
                    <w:left w:w="57" w:type="dxa"/>
                    <w:bottom w:w="57" w:type="dxa"/>
                    <w:right w:w="57" w:type="dxa"/>
                  </w:tcMar>
                  <w:vAlign w:val="center"/>
                </w:tcPr>
                <w:p w14:paraId="74A0B53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2~15</w:t>
                  </w:r>
                </w:p>
              </w:tc>
              <w:tc>
                <w:tcPr>
                  <w:tcW w:w="781" w:type="pct"/>
                  <w:tcBorders>
                    <w:tl2br w:val="nil"/>
                    <w:tr2bl w:val="nil"/>
                  </w:tcBorders>
                  <w:shd w:val="clear" w:color="auto" w:fill="auto"/>
                  <w:noWrap/>
                  <w:tcMar>
                    <w:top w:w="57" w:type="dxa"/>
                    <w:left w:w="57" w:type="dxa"/>
                    <w:bottom w:w="57" w:type="dxa"/>
                    <w:right w:w="57" w:type="dxa"/>
                  </w:tcMar>
                  <w:vAlign w:val="center"/>
                </w:tcPr>
                <w:p w14:paraId="5E445D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30DA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612B7B1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987" w:type="pct"/>
                  <w:tcBorders>
                    <w:tl2br w:val="nil"/>
                    <w:tr2bl w:val="nil"/>
                  </w:tcBorders>
                  <w:noWrap/>
                  <w:tcMar>
                    <w:top w:w="57" w:type="dxa"/>
                    <w:left w:w="57" w:type="dxa"/>
                    <w:bottom w:w="57" w:type="dxa"/>
                    <w:right w:w="57" w:type="dxa"/>
                  </w:tcMar>
                  <w:vAlign w:val="center"/>
                </w:tcPr>
                <w:p w14:paraId="44BF84E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1h平均</w:t>
                  </w:r>
                </w:p>
              </w:tc>
              <w:tc>
                <w:tcPr>
                  <w:tcW w:w="1241" w:type="pct"/>
                  <w:tcBorders>
                    <w:tl2br w:val="nil"/>
                    <w:tr2bl w:val="nil"/>
                  </w:tcBorders>
                  <w:shd w:val="clear" w:color="auto" w:fill="auto"/>
                  <w:noWrap/>
                  <w:tcMar>
                    <w:top w:w="57" w:type="dxa"/>
                    <w:left w:w="57" w:type="dxa"/>
                    <w:bottom w:w="57" w:type="dxa"/>
                    <w:right w:w="57" w:type="dxa"/>
                  </w:tcMar>
                  <w:vAlign w:val="center"/>
                </w:tcPr>
                <w:p w14:paraId="440CF68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500</w:t>
                  </w:r>
                </w:p>
              </w:tc>
              <w:tc>
                <w:tcPr>
                  <w:tcW w:w="1129" w:type="pct"/>
                  <w:tcBorders>
                    <w:tl2br w:val="nil"/>
                    <w:tr2bl w:val="nil"/>
                  </w:tcBorders>
                  <w:shd w:val="clear" w:color="auto" w:fill="auto"/>
                  <w:noWrap/>
                  <w:tcMar>
                    <w:top w:w="57" w:type="dxa"/>
                    <w:left w:w="57" w:type="dxa"/>
                    <w:bottom w:w="57" w:type="dxa"/>
                    <w:right w:w="57" w:type="dxa"/>
                  </w:tcMar>
                  <w:vAlign w:val="center"/>
                </w:tcPr>
                <w:p w14:paraId="4893E4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1~21</w:t>
                  </w:r>
                </w:p>
              </w:tc>
              <w:tc>
                <w:tcPr>
                  <w:tcW w:w="781" w:type="pct"/>
                  <w:tcBorders>
                    <w:tl2br w:val="nil"/>
                    <w:tr2bl w:val="nil"/>
                  </w:tcBorders>
                  <w:shd w:val="clear" w:color="auto" w:fill="auto"/>
                  <w:noWrap/>
                  <w:tcMar>
                    <w:top w:w="57" w:type="dxa"/>
                    <w:left w:w="57" w:type="dxa"/>
                    <w:bottom w:w="57" w:type="dxa"/>
                    <w:right w:w="57" w:type="dxa"/>
                  </w:tcMar>
                  <w:vAlign w:val="center"/>
                </w:tcPr>
                <w:p w14:paraId="2EF95A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485E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restart"/>
                  <w:tcBorders>
                    <w:tl2br w:val="nil"/>
                    <w:tr2bl w:val="nil"/>
                  </w:tcBorders>
                  <w:noWrap/>
                  <w:tcMar>
                    <w:top w:w="57" w:type="dxa"/>
                    <w:left w:w="57" w:type="dxa"/>
                    <w:bottom w:w="57" w:type="dxa"/>
                    <w:right w:w="57" w:type="dxa"/>
                  </w:tcMar>
                  <w:vAlign w:val="center"/>
                </w:tcPr>
                <w:p w14:paraId="693D85C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NO</w:t>
                  </w:r>
                  <w:r>
                    <w:rPr>
                      <w:rFonts w:hint="eastAsia" w:cs="Times New Roman"/>
                      <w:color w:val="000000"/>
                      <w:kern w:val="2"/>
                      <w:sz w:val="21"/>
                      <w:szCs w:val="21"/>
                      <w:highlight w:val="none"/>
                      <w:vertAlign w:val="subscript"/>
                      <w:lang w:val="en-US" w:eastAsia="zh-CN"/>
                    </w:rPr>
                    <w:t>2</w:t>
                  </w:r>
                </w:p>
              </w:tc>
              <w:tc>
                <w:tcPr>
                  <w:tcW w:w="987" w:type="pct"/>
                  <w:tcBorders>
                    <w:tl2br w:val="nil"/>
                    <w:tr2bl w:val="nil"/>
                  </w:tcBorders>
                  <w:shd w:val="clear" w:color="auto" w:fill="auto"/>
                  <w:noWrap/>
                  <w:tcMar>
                    <w:top w:w="57" w:type="dxa"/>
                    <w:left w:w="57" w:type="dxa"/>
                    <w:bottom w:w="57" w:type="dxa"/>
                    <w:right w:w="57" w:type="dxa"/>
                  </w:tcMar>
                  <w:vAlign w:val="center"/>
                </w:tcPr>
                <w:p w14:paraId="56C74C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年平均</w:t>
                  </w:r>
                </w:p>
              </w:tc>
              <w:tc>
                <w:tcPr>
                  <w:tcW w:w="1241" w:type="pct"/>
                  <w:tcBorders>
                    <w:tl2br w:val="nil"/>
                    <w:tr2bl w:val="nil"/>
                  </w:tcBorders>
                  <w:noWrap/>
                  <w:tcMar>
                    <w:top w:w="57" w:type="dxa"/>
                    <w:left w:w="57" w:type="dxa"/>
                    <w:bottom w:w="57" w:type="dxa"/>
                    <w:right w:w="57" w:type="dxa"/>
                  </w:tcMar>
                  <w:vAlign w:val="center"/>
                </w:tcPr>
                <w:p w14:paraId="3993FA1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40</w:t>
                  </w:r>
                </w:p>
              </w:tc>
              <w:tc>
                <w:tcPr>
                  <w:tcW w:w="1129" w:type="pct"/>
                  <w:tcBorders>
                    <w:tl2br w:val="nil"/>
                    <w:tr2bl w:val="nil"/>
                  </w:tcBorders>
                  <w:shd w:val="clear" w:color="auto" w:fill="auto"/>
                  <w:noWrap/>
                  <w:tcMar>
                    <w:top w:w="57" w:type="dxa"/>
                    <w:left w:w="57" w:type="dxa"/>
                    <w:bottom w:w="57" w:type="dxa"/>
                    <w:right w:w="57" w:type="dxa"/>
                  </w:tcMar>
                  <w:vAlign w:val="center"/>
                </w:tcPr>
                <w:p w14:paraId="4748D84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19</w:t>
                  </w:r>
                </w:p>
              </w:tc>
              <w:tc>
                <w:tcPr>
                  <w:tcW w:w="781" w:type="pct"/>
                  <w:tcBorders>
                    <w:tl2br w:val="nil"/>
                    <w:tr2bl w:val="nil"/>
                  </w:tcBorders>
                  <w:shd w:val="clear" w:color="auto" w:fill="auto"/>
                  <w:noWrap/>
                  <w:tcMar>
                    <w:top w:w="57" w:type="dxa"/>
                    <w:left w:w="57" w:type="dxa"/>
                    <w:bottom w:w="57" w:type="dxa"/>
                    <w:right w:w="57" w:type="dxa"/>
                  </w:tcMar>
                  <w:vAlign w:val="center"/>
                </w:tcPr>
                <w:p w14:paraId="5EBFBD9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06CA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24F7666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987" w:type="pct"/>
                  <w:tcBorders>
                    <w:tl2br w:val="nil"/>
                    <w:tr2bl w:val="nil"/>
                  </w:tcBorders>
                  <w:shd w:val="clear" w:color="auto" w:fill="auto"/>
                  <w:noWrap/>
                  <w:tcMar>
                    <w:top w:w="57" w:type="dxa"/>
                    <w:left w:w="57" w:type="dxa"/>
                    <w:bottom w:w="57" w:type="dxa"/>
                    <w:right w:w="57" w:type="dxa"/>
                  </w:tcMar>
                  <w:vAlign w:val="center"/>
                </w:tcPr>
                <w:p w14:paraId="6C050AF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24h平均</w:t>
                  </w:r>
                </w:p>
              </w:tc>
              <w:tc>
                <w:tcPr>
                  <w:tcW w:w="1241" w:type="pct"/>
                  <w:tcBorders>
                    <w:tl2br w:val="nil"/>
                    <w:tr2bl w:val="nil"/>
                  </w:tcBorders>
                  <w:noWrap/>
                  <w:tcMar>
                    <w:top w:w="57" w:type="dxa"/>
                    <w:left w:w="57" w:type="dxa"/>
                    <w:bottom w:w="57" w:type="dxa"/>
                    <w:right w:w="57" w:type="dxa"/>
                  </w:tcMar>
                  <w:vAlign w:val="center"/>
                </w:tcPr>
                <w:p w14:paraId="128509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80</w:t>
                  </w:r>
                </w:p>
              </w:tc>
              <w:tc>
                <w:tcPr>
                  <w:tcW w:w="1129" w:type="pct"/>
                  <w:tcBorders>
                    <w:tl2br w:val="nil"/>
                    <w:tr2bl w:val="nil"/>
                  </w:tcBorders>
                  <w:shd w:val="clear" w:color="auto" w:fill="auto"/>
                  <w:noWrap/>
                  <w:tcMar>
                    <w:top w:w="57" w:type="dxa"/>
                    <w:left w:w="57" w:type="dxa"/>
                    <w:bottom w:w="57" w:type="dxa"/>
                    <w:right w:w="57" w:type="dxa"/>
                  </w:tcMar>
                  <w:vAlign w:val="center"/>
                </w:tcPr>
                <w:p w14:paraId="4348B57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2~59</w:t>
                  </w:r>
                </w:p>
              </w:tc>
              <w:tc>
                <w:tcPr>
                  <w:tcW w:w="781" w:type="pct"/>
                  <w:tcBorders>
                    <w:tl2br w:val="nil"/>
                    <w:tr2bl w:val="nil"/>
                  </w:tcBorders>
                  <w:shd w:val="clear" w:color="auto" w:fill="auto"/>
                  <w:noWrap/>
                  <w:tcMar>
                    <w:top w:w="57" w:type="dxa"/>
                    <w:left w:w="57" w:type="dxa"/>
                    <w:bottom w:w="57" w:type="dxa"/>
                    <w:right w:w="57" w:type="dxa"/>
                  </w:tcMar>
                  <w:vAlign w:val="center"/>
                </w:tcPr>
                <w:p w14:paraId="5117408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7CAA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6F7AC97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987" w:type="pct"/>
                  <w:tcBorders>
                    <w:tl2br w:val="nil"/>
                    <w:tr2bl w:val="nil"/>
                  </w:tcBorders>
                  <w:shd w:val="clear" w:color="auto" w:fill="auto"/>
                  <w:noWrap/>
                  <w:tcMar>
                    <w:top w:w="57" w:type="dxa"/>
                    <w:left w:w="57" w:type="dxa"/>
                    <w:bottom w:w="57" w:type="dxa"/>
                    <w:right w:w="57" w:type="dxa"/>
                  </w:tcMar>
                  <w:vAlign w:val="center"/>
                </w:tcPr>
                <w:p w14:paraId="3411359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1h平均</w:t>
                  </w:r>
                </w:p>
              </w:tc>
              <w:tc>
                <w:tcPr>
                  <w:tcW w:w="1241" w:type="pct"/>
                  <w:tcBorders>
                    <w:tl2br w:val="nil"/>
                    <w:tr2bl w:val="nil"/>
                  </w:tcBorders>
                  <w:noWrap/>
                  <w:tcMar>
                    <w:top w:w="57" w:type="dxa"/>
                    <w:left w:w="57" w:type="dxa"/>
                    <w:bottom w:w="57" w:type="dxa"/>
                    <w:right w:w="57" w:type="dxa"/>
                  </w:tcMar>
                  <w:vAlign w:val="center"/>
                </w:tcPr>
                <w:p w14:paraId="5E97F3D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200</w:t>
                  </w:r>
                </w:p>
              </w:tc>
              <w:tc>
                <w:tcPr>
                  <w:tcW w:w="1129" w:type="pct"/>
                  <w:tcBorders>
                    <w:tl2br w:val="nil"/>
                    <w:tr2bl w:val="nil"/>
                  </w:tcBorders>
                  <w:shd w:val="clear" w:color="auto" w:fill="auto"/>
                  <w:noWrap/>
                  <w:tcMar>
                    <w:top w:w="57" w:type="dxa"/>
                    <w:left w:w="57" w:type="dxa"/>
                    <w:bottom w:w="57" w:type="dxa"/>
                    <w:right w:w="57" w:type="dxa"/>
                  </w:tcMar>
                  <w:vAlign w:val="center"/>
                </w:tcPr>
                <w:p w14:paraId="0570D74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1~83</w:t>
                  </w:r>
                </w:p>
              </w:tc>
              <w:tc>
                <w:tcPr>
                  <w:tcW w:w="781" w:type="pct"/>
                  <w:tcBorders>
                    <w:tl2br w:val="nil"/>
                    <w:tr2bl w:val="nil"/>
                  </w:tcBorders>
                  <w:shd w:val="clear" w:color="auto" w:fill="auto"/>
                  <w:noWrap/>
                  <w:tcMar>
                    <w:top w:w="57" w:type="dxa"/>
                    <w:left w:w="57" w:type="dxa"/>
                    <w:bottom w:w="57" w:type="dxa"/>
                    <w:right w:w="57" w:type="dxa"/>
                  </w:tcMar>
                  <w:vAlign w:val="center"/>
                </w:tcPr>
                <w:p w14:paraId="3865E2C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1F48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restart"/>
                  <w:tcBorders>
                    <w:tl2br w:val="nil"/>
                    <w:tr2bl w:val="nil"/>
                  </w:tcBorders>
                  <w:noWrap/>
                  <w:tcMar>
                    <w:top w:w="57" w:type="dxa"/>
                    <w:left w:w="57" w:type="dxa"/>
                    <w:bottom w:w="57" w:type="dxa"/>
                    <w:right w:w="57" w:type="dxa"/>
                  </w:tcMar>
                  <w:vAlign w:val="center"/>
                </w:tcPr>
                <w:p w14:paraId="05FB135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CO</w:t>
                  </w:r>
                </w:p>
              </w:tc>
              <w:tc>
                <w:tcPr>
                  <w:tcW w:w="987" w:type="pct"/>
                  <w:tcBorders>
                    <w:tl2br w:val="nil"/>
                    <w:tr2bl w:val="nil"/>
                  </w:tcBorders>
                  <w:shd w:val="clear" w:color="auto" w:fill="auto"/>
                  <w:noWrap/>
                  <w:tcMar>
                    <w:top w:w="57" w:type="dxa"/>
                    <w:left w:w="57" w:type="dxa"/>
                    <w:bottom w:w="57" w:type="dxa"/>
                    <w:right w:w="57" w:type="dxa"/>
                  </w:tcMar>
                  <w:vAlign w:val="center"/>
                </w:tcPr>
                <w:p w14:paraId="5587AC1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24h平均</w:t>
                  </w:r>
                </w:p>
              </w:tc>
              <w:tc>
                <w:tcPr>
                  <w:tcW w:w="1241" w:type="pct"/>
                  <w:tcBorders>
                    <w:tl2br w:val="nil"/>
                    <w:tr2bl w:val="nil"/>
                  </w:tcBorders>
                  <w:noWrap/>
                  <w:tcMar>
                    <w:top w:w="57" w:type="dxa"/>
                    <w:left w:w="57" w:type="dxa"/>
                    <w:bottom w:w="57" w:type="dxa"/>
                    <w:right w:w="57" w:type="dxa"/>
                  </w:tcMar>
                  <w:vAlign w:val="center"/>
                </w:tcPr>
                <w:p w14:paraId="35713B6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4</w:t>
                  </w:r>
                </w:p>
              </w:tc>
              <w:tc>
                <w:tcPr>
                  <w:tcW w:w="1129" w:type="pct"/>
                  <w:tcBorders>
                    <w:tl2br w:val="nil"/>
                    <w:tr2bl w:val="nil"/>
                  </w:tcBorders>
                  <w:shd w:val="clear" w:color="auto" w:fill="auto"/>
                  <w:noWrap/>
                  <w:tcMar>
                    <w:top w:w="57" w:type="dxa"/>
                    <w:left w:w="57" w:type="dxa"/>
                    <w:bottom w:w="57" w:type="dxa"/>
                    <w:right w:w="57" w:type="dxa"/>
                  </w:tcMar>
                  <w:vAlign w:val="center"/>
                </w:tcPr>
                <w:p w14:paraId="3FB0358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0.3~1.2</w:t>
                  </w:r>
                </w:p>
              </w:tc>
              <w:tc>
                <w:tcPr>
                  <w:tcW w:w="781" w:type="pct"/>
                  <w:tcBorders>
                    <w:tl2br w:val="nil"/>
                    <w:tr2bl w:val="nil"/>
                  </w:tcBorders>
                  <w:shd w:val="clear" w:color="auto" w:fill="auto"/>
                  <w:noWrap/>
                  <w:tcMar>
                    <w:top w:w="57" w:type="dxa"/>
                    <w:left w:w="57" w:type="dxa"/>
                    <w:bottom w:w="57" w:type="dxa"/>
                    <w:right w:w="57" w:type="dxa"/>
                  </w:tcMar>
                  <w:vAlign w:val="center"/>
                </w:tcPr>
                <w:p w14:paraId="59F7D65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0FF0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7AB1AB8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987" w:type="pct"/>
                  <w:tcBorders>
                    <w:tl2br w:val="nil"/>
                    <w:tr2bl w:val="nil"/>
                  </w:tcBorders>
                  <w:shd w:val="clear" w:color="auto" w:fill="auto"/>
                  <w:noWrap/>
                  <w:tcMar>
                    <w:top w:w="57" w:type="dxa"/>
                    <w:left w:w="57" w:type="dxa"/>
                    <w:bottom w:w="57" w:type="dxa"/>
                    <w:right w:w="57" w:type="dxa"/>
                  </w:tcMar>
                  <w:vAlign w:val="center"/>
                </w:tcPr>
                <w:p w14:paraId="22C0187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1h平均</w:t>
                  </w:r>
                </w:p>
              </w:tc>
              <w:tc>
                <w:tcPr>
                  <w:tcW w:w="1241" w:type="pct"/>
                  <w:tcBorders>
                    <w:tl2br w:val="nil"/>
                    <w:tr2bl w:val="nil"/>
                  </w:tcBorders>
                  <w:noWrap/>
                  <w:tcMar>
                    <w:top w:w="57" w:type="dxa"/>
                    <w:left w:w="57" w:type="dxa"/>
                    <w:bottom w:w="57" w:type="dxa"/>
                    <w:right w:w="57" w:type="dxa"/>
                  </w:tcMar>
                  <w:vAlign w:val="center"/>
                </w:tcPr>
                <w:p w14:paraId="5858433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10</w:t>
                  </w:r>
                </w:p>
              </w:tc>
              <w:tc>
                <w:tcPr>
                  <w:tcW w:w="1129" w:type="pct"/>
                  <w:tcBorders>
                    <w:tl2br w:val="nil"/>
                    <w:tr2bl w:val="nil"/>
                  </w:tcBorders>
                  <w:shd w:val="clear" w:color="auto" w:fill="auto"/>
                  <w:noWrap/>
                  <w:tcMar>
                    <w:top w:w="57" w:type="dxa"/>
                    <w:left w:w="57" w:type="dxa"/>
                    <w:bottom w:w="57" w:type="dxa"/>
                    <w:right w:w="57" w:type="dxa"/>
                  </w:tcMar>
                  <w:vAlign w:val="center"/>
                </w:tcPr>
                <w:p w14:paraId="2DAE4E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0.2~2.0</w:t>
                  </w:r>
                </w:p>
              </w:tc>
              <w:tc>
                <w:tcPr>
                  <w:tcW w:w="781" w:type="pct"/>
                  <w:tcBorders>
                    <w:tl2br w:val="nil"/>
                    <w:tr2bl w:val="nil"/>
                  </w:tcBorders>
                  <w:shd w:val="clear" w:color="auto" w:fill="auto"/>
                  <w:noWrap/>
                  <w:tcMar>
                    <w:top w:w="57" w:type="dxa"/>
                    <w:left w:w="57" w:type="dxa"/>
                    <w:bottom w:w="57" w:type="dxa"/>
                    <w:right w:w="57" w:type="dxa"/>
                  </w:tcMar>
                  <w:vAlign w:val="center"/>
                </w:tcPr>
                <w:p w14:paraId="6FD82A0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54E4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restart"/>
                  <w:tcBorders>
                    <w:tl2br w:val="nil"/>
                    <w:tr2bl w:val="nil"/>
                  </w:tcBorders>
                  <w:noWrap/>
                  <w:tcMar>
                    <w:top w:w="57" w:type="dxa"/>
                    <w:left w:w="57" w:type="dxa"/>
                    <w:bottom w:w="57" w:type="dxa"/>
                    <w:right w:w="57" w:type="dxa"/>
                  </w:tcMar>
                  <w:vAlign w:val="center"/>
                </w:tcPr>
                <w:p w14:paraId="1B9939A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O</w:t>
                  </w:r>
                  <w:r>
                    <w:rPr>
                      <w:rFonts w:hint="eastAsia" w:cs="Times New Roman"/>
                      <w:color w:val="000000"/>
                      <w:kern w:val="2"/>
                      <w:sz w:val="21"/>
                      <w:szCs w:val="21"/>
                      <w:highlight w:val="none"/>
                      <w:vertAlign w:val="subscript"/>
                      <w:lang w:val="en-US" w:eastAsia="zh-CN"/>
                    </w:rPr>
                    <w:t>3</w:t>
                  </w:r>
                </w:p>
              </w:tc>
              <w:tc>
                <w:tcPr>
                  <w:tcW w:w="987" w:type="pct"/>
                  <w:tcBorders>
                    <w:tl2br w:val="nil"/>
                    <w:tr2bl w:val="nil"/>
                  </w:tcBorders>
                  <w:noWrap/>
                  <w:tcMar>
                    <w:top w:w="57" w:type="dxa"/>
                    <w:left w:w="57" w:type="dxa"/>
                    <w:bottom w:w="57" w:type="dxa"/>
                    <w:right w:w="57" w:type="dxa"/>
                  </w:tcMar>
                  <w:vAlign w:val="center"/>
                </w:tcPr>
                <w:p w14:paraId="2A10867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日最大8h平均</w:t>
                  </w:r>
                </w:p>
              </w:tc>
              <w:tc>
                <w:tcPr>
                  <w:tcW w:w="1241" w:type="pct"/>
                  <w:tcBorders>
                    <w:tl2br w:val="nil"/>
                    <w:tr2bl w:val="nil"/>
                  </w:tcBorders>
                  <w:noWrap/>
                  <w:tcMar>
                    <w:top w:w="57" w:type="dxa"/>
                    <w:left w:w="57" w:type="dxa"/>
                    <w:bottom w:w="57" w:type="dxa"/>
                    <w:right w:w="57" w:type="dxa"/>
                  </w:tcMar>
                  <w:vAlign w:val="center"/>
                </w:tcPr>
                <w:p w14:paraId="0F8CAA9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160</w:t>
                  </w:r>
                </w:p>
              </w:tc>
              <w:tc>
                <w:tcPr>
                  <w:tcW w:w="1129" w:type="pct"/>
                  <w:tcBorders>
                    <w:tl2br w:val="nil"/>
                    <w:tr2bl w:val="nil"/>
                  </w:tcBorders>
                  <w:shd w:val="clear" w:color="auto" w:fill="auto"/>
                  <w:noWrap/>
                  <w:tcMar>
                    <w:top w:w="57" w:type="dxa"/>
                    <w:left w:w="57" w:type="dxa"/>
                    <w:bottom w:w="57" w:type="dxa"/>
                    <w:right w:w="57" w:type="dxa"/>
                  </w:tcMar>
                  <w:vAlign w:val="center"/>
                </w:tcPr>
                <w:p w14:paraId="713A44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175</w:t>
                  </w:r>
                </w:p>
              </w:tc>
              <w:tc>
                <w:tcPr>
                  <w:tcW w:w="781" w:type="pct"/>
                  <w:tcBorders>
                    <w:tl2br w:val="nil"/>
                    <w:tr2bl w:val="nil"/>
                  </w:tcBorders>
                  <w:shd w:val="clear" w:color="auto" w:fill="auto"/>
                  <w:noWrap/>
                  <w:tcMar>
                    <w:top w:w="57" w:type="dxa"/>
                    <w:left w:w="57" w:type="dxa"/>
                    <w:bottom w:w="57" w:type="dxa"/>
                    <w:right w:w="57" w:type="dxa"/>
                  </w:tcMar>
                  <w:vAlign w:val="center"/>
                </w:tcPr>
                <w:p w14:paraId="04F47CB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未达标</w:t>
                  </w:r>
                </w:p>
              </w:tc>
            </w:tr>
            <w:tr w14:paraId="17CE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2DA951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987" w:type="pct"/>
                  <w:tcBorders>
                    <w:tl2br w:val="nil"/>
                    <w:tr2bl w:val="nil"/>
                  </w:tcBorders>
                  <w:noWrap/>
                  <w:tcMar>
                    <w:top w:w="57" w:type="dxa"/>
                    <w:left w:w="57" w:type="dxa"/>
                    <w:bottom w:w="57" w:type="dxa"/>
                    <w:right w:w="57" w:type="dxa"/>
                  </w:tcMar>
                  <w:vAlign w:val="center"/>
                </w:tcPr>
                <w:p w14:paraId="6E9BF24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1h平均</w:t>
                  </w:r>
                </w:p>
              </w:tc>
              <w:tc>
                <w:tcPr>
                  <w:tcW w:w="1241" w:type="pct"/>
                  <w:tcBorders>
                    <w:tl2br w:val="nil"/>
                    <w:tr2bl w:val="nil"/>
                  </w:tcBorders>
                  <w:noWrap/>
                  <w:tcMar>
                    <w:top w:w="57" w:type="dxa"/>
                    <w:left w:w="57" w:type="dxa"/>
                    <w:bottom w:w="57" w:type="dxa"/>
                    <w:right w:w="57" w:type="dxa"/>
                  </w:tcMar>
                  <w:vAlign w:val="center"/>
                </w:tcPr>
                <w:p w14:paraId="3B3A43D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200</w:t>
                  </w:r>
                </w:p>
              </w:tc>
              <w:tc>
                <w:tcPr>
                  <w:tcW w:w="1129" w:type="pct"/>
                  <w:tcBorders>
                    <w:tl2br w:val="nil"/>
                    <w:tr2bl w:val="nil"/>
                  </w:tcBorders>
                  <w:shd w:val="clear" w:color="auto" w:fill="auto"/>
                  <w:noWrap/>
                  <w:tcMar>
                    <w:top w:w="57" w:type="dxa"/>
                    <w:left w:w="57" w:type="dxa"/>
                    <w:bottom w:w="57" w:type="dxa"/>
                    <w:right w:w="57" w:type="dxa"/>
                  </w:tcMar>
                  <w:vAlign w:val="center"/>
                </w:tcPr>
                <w:p w14:paraId="683D227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2~264</w:t>
                  </w:r>
                </w:p>
              </w:tc>
              <w:tc>
                <w:tcPr>
                  <w:tcW w:w="781" w:type="pct"/>
                  <w:tcBorders>
                    <w:tl2br w:val="nil"/>
                    <w:tr2bl w:val="nil"/>
                  </w:tcBorders>
                  <w:shd w:val="clear" w:color="auto" w:fill="auto"/>
                  <w:noWrap/>
                  <w:tcMar>
                    <w:top w:w="57" w:type="dxa"/>
                    <w:left w:w="57" w:type="dxa"/>
                    <w:bottom w:w="57" w:type="dxa"/>
                    <w:right w:w="57" w:type="dxa"/>
                  </w:tcMar>
                  <w:vAlign w:val="center"/>
                </w:tcPr>
                <w:p w14:paraId="15D839A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未达标</w:t>
                  </w:r>
                </w:p>
              </w:tc>
            </w:tr>
            <w:tr w14:paraId="46C7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restart"/>
                  <w:tcBorders>
                    <w:tl2br w:val="nil"/>
                    <w:tr2bl w:val="nil"/>
                  </w:tcBorders>
                  <w:noWrap/>
                  <w:tcMar>
                    <w:top w:w="57" w:type="dxa"/>
                    <w:left w:w="57" w:type="dxa"/>
                    <w:bottom w:w="57" w:type="dxa"/>
                    <w:right w:w="57" w:type="dxa"/>
                  </w:tcMar>
                  <w:vAlign w:val="center"/>
                </w:tcPr>
                <w:p w14:paraId="4310137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PM</w:t>
                  </w:r>
                  <w:r>
                    <w:rPr>
                      <w:rFonts w:hint="eastAsia" w:cs="Times New Roman"/>
                      <w:color w:val="000000"/>
                      <w:kern w:val="2"/>
                      <w:sz w:val="21"/>
                      <w:szCs w:val="21"/>
                      <w:highlight w:val="none"/>
                      <w:vertAlign w:val="subscript"/>
                      <w:lang w:val="en-US" w:eastAsia="zh-CN"/>
                    </w:rPr>
                    <w:t>2.5</w:t>
                  </w:r>
                </w:p>
              </w:tc>
              <w:tc>
                <w:tcPr>
                  <w:tcW w:w="987" w:type="pct"/>
                  <w:tcBorders>
                    <w:tl2br w:val="nil"/>
                    <w:tr2bl w:val="nil"/>
                  </w:tcBorders>
                  <w:noWrap/>
                  <w:tcMar>
                    <w:top w:w="57" w:type="dxa"/>
                    <w:left w:w="57" w:type="dxa"/>
                    <w:bottom w:w="57" w:type="dxa"/>
                    <w:right w:w="57" w:type="dxa"/>
                  </w:tcMar>
                  <w:vAlign w:val="center"/>
                </w:tcPr>
                <w:p w14:paraId="002D5A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年平均</w:t>
                  </w:r>
                </w:p>
              </w:tc>
              <w:tc>
                <w:tcPr>
                  <w:tcW w:w="1241" w:type="pct"/>
                  <w:tcBorders>
                    <w:tl2br w:val="nil"/>
                    <w:tr2bl w:val="nil"/>
                  </w:tcBorders>
                  <w:shd w:val="clear" w:color="auto" w:fill="auto"/>
                  <w:noWrap/>
                  <w:tcMar>
                    <w:top w:w="57" w:type="dxa"/>
                    <w:left w:w="57" w:type="dxa"/>
                    <w:bottom w:w="57" w:type="dxa"/>
                    <w:right w:w="57" w:type="dxa"/>
                  </w:tcMar>
                  <w:vAlign w:val="center"/>
                </w:tcPr>
                <w:p w14:paraId="5FB5538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35</w:t>
                  </w:r>
                </w:p>
              </w:tc>
              <w:tc>
                <w:tcPr>
                  <w:tcW w:w="1129" w:type="pct"/>
                  <w:tcBorders>
                    <w:tl2br w:val="nil"/>
                    <w:tr2bl w:val="nil"/>
                  </w:tcBorders>
                  <w:shd w:val="clear" w:color="auto" w:fill="auto"/>
                  <w:noWrap/>
                  <w:tcMar>
                    <w:top w:w="57" w:type="dxa"/>
                    <w:left w:w="57" w:type="dxa"/>
                    <w:bottom w:w="57" w:type="dxa"/>
                    <w:right w:w="57" w:type="dxa"/>
                  </w:tcMar>
                  <w:vAlign w:val="center"/>
                </w:tcPr>
                <w:p w14:paraId="4B1D014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43</w:t>
                  </w:r>
                </w:p>
              </w:tc>
              <w:tc>
                <w:tcPr>
                  <w:tcW w:w="781" w:type="pct"/>
                  <w:tcBorders>
                    <w:tl2br w:val="nil"/>
                    <w:tr2bl w:val="nil"/>
                  </w:tcBorders>
                  <w:shd w:val="clear" w:color="auto" w:fill="auto"/>
                  <w:noWrap/>
                  <w:tcMar>
                    <w:top w:w="57" w:type="dxa"/>
                    <w:left w:w="57" w:type="dxa"/>
                    <w:bottom w:w="57" w:type="dxa"/>
                    <w:right w:w="57" w:type="dxa"/>
                  </w:tcMar>
                  <w:vAlign w:val="center"/>
                </w:tcPr>
                <w:p w14:paraId="48F9EA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未达标</w:t>
                  </w:r>
                </w:p>
              </w:tc>
            </w:tr>
            <w:tr w14:paraId="7DB4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005D967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987" w:type="pct"/>
                  <w:tcBorders>
                    <w:tl2br w:val="nil"/>
                    <w:tr2bl w:val="nil"/>
                  </w:tcBorders>
                  <w:noWrap/>
                  <w:tcMar>
                    <w:top w:w="57" w:type="dxa"/>
                    <w:left w:w="57" w:type="dxa"/>
                    <w:bottom w:w="57" w:type="dxa"/>
                    <w:right w:w="57" w:type="dxa"/>
                  </w:tcMar>
                  <w:vAlign w:val="center"/>
                </w:tcPr>
                <w:p w14:paraId="16F6F42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24h平均</w:t>
                  </w:r>
                </w:p>
              </w:tc>
              <w:tc>
                <w:tcPr>
                  <w:tcW w:w="1241" w:type="pct"/>
                  <w:tcBorders>
                    <w:tl2br w:val="nil"/>
                    <w:tr2bl w:val="nil"/>
                  </w:tcBorders>
                  <w:shd w:val="clear" w:color="auto" w:fill="auto"/>
                  <w:noWrap/>
                  <w:tcMar>
                    <w:top w:w="57" w:type="dxa"/>
                    <w:left w:w="57" w:type="dxa"/>
                    <w:bottom w:w="57" w:type="dxa"/>
                    <w:right w:w="57" w:type="dxa"/>
                  </w:tcMar>
                  <w:vAlign w:val="center"/>
                </w:tcPr>
                <w:p w14:paraId="1D533FE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75</w:t>
                  </w:r>
                </w:p>
              </w:tc>
              <w:tc>
                <w:tcPr>
                  <w:tcW w:w="1129" w:type="pct"/>
                  <w:tcBorders>
                    <w:tl2br w:val="nil"/>
                    <w:tr2bl w:val="nil"/>
                  </w:tcBorders>
                  <w:shd w:val="clear" w:color="auto" w:fill="auto"/>
                  <w:noWrap/>
                  <w:tcMar>
                    <w:top w:w="57" w:type="dxa"/>
                    <w:left w:w="57" w:type="dxa"/>
                    <w:bottom w:w="57" w:type="dxa"/>
                    <w:right w:w="57" w:type="dxa"/>
                  </w:tcMar>
                  <w:vAlign w:val="center"/>
                </w:tcPr>
                <w:p w14:paraId="4D6E5B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6~238</w:t>
                  </w:r>
                </w:p>
              </w:tc>
              <w:tc>
                <w:tcPr>
                  <w:tcW w:w="781" w:type="pct"/>
                  <w:tcBorders>
                    <w:tl2br w:val="nil"/>
                    <w:tr2bl w:val="nil"/>
                  </w:tcBorders>
                  <w:shd w:val="clear" w:color="auto" w:fill="auto"/>
                  <w:noWrap/>
                  <w:tcMar>
                    <w:top w:w="57" w:type="dxa"/>
                    <w:left w:w="57" w:type="dxa"/>
                    <w:bottom w:w="57" w:type="dxa"/>
                    <w:right w:w="57" w:type="dxa"/>
                  </w:tcMar>
                  <w:vAlign w:val="center"/>
                </w:tcPr>
                <w:p w14:paraId="6AA623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不达标</w:t>
                  </w:r>
                </w:p>
              </w:tc>
            </w:tr>
            <w:tr w14:paraId="0E07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restart"/>
                  <w:tcBorders>
                    <w:tl2br w:val="nil"/>
                    <w:tr2bl w:val="nil"/>
                  </w:tcBorders>
                  <w:noWrap/>
                  <w:tcMar>
                    <w:top w:w="57" w:type="dxa"/>
                    <w:left w:w="57" w:type="dxa"/>
                    <w:bottom w:w="57" w:type="dxa"/>
                    <w:right w:w="57" w:type="dxa"/>
                  </w:tcMar>
                  <w:vAlign w:val="center"/>
                </w:tcPr>
                <w:p w14:paraId="55094B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PM</w:t>
                  </w:r>
                  <w:r>
                    <w:rPr>
                      <w:rFonts w:hint="eastAsia" w:cs="Times New Roman"/>
                      <w:color w:val="000000"/>
                      <w:kern w:val="2"/>
                      <w:sz w:val="21"/>
                      <w:szCs w:val="21"/>
                      <w:highlight w:val="none"/>
                      <w:vertAlign w:val="subscript"/>
                      <w:lang w:val="en-US" w:eastAsia="zh-CN"/>
                    </w:rPr>
                    <w:t>10</w:t>
                  </w:r>
                </w:p>
              </w:tc>
              <w:tc>
                <w:tcPr>
                  <w:tcW w:w="987" w:type="pct"/>
                  <w:tcBorders>
                    <w:tl2br w:val="nil"/>
                    <w:tr2bl w:val="nil"/>
                  </w:tcBorders>
                  <w:noWrap/>
                  <w:tcMar>
                    <w:top w:w="57" w:type="dxa"/>
                    <w:left w:w="57" w:type="dxa"/>
                    <w:bottom w:w="57" w:type="dxa"/>
                    <w:right w:w="57" w:type="dxa"/>
                  </w:tcMar>
                  <w:vAlign w:val="center"/>
                </w:tcPr>
                <w:p w14:paraId="2C6CC9F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年平均</w:t>
                  </w:r>
                </w:p>
              </w:tc>
              <w:tc>
                <w:tcPr>
                  <w:tcW w:w="1241" w:type="pct"/>
                  <w:tcBorders>
                    <w:tl2br w:val="nil"/>
                    <w:tr2bl w:val="nil"/>
                  </w:tcBorders>
                  <w:shd w:val="clear" w:color="auto" w:fill="auto"/>
                  <w:noWrap/>
                  <w:tcMar>
                    <w:top w:w="57" w:type="dxa"/>
                    <w:left w:w="57" w:type="dxa"/>
                    <w:bottom w:w="57" w:type="dxa"/>
                    <w:right w:w="57" w:type="dxa"/>
                  </w:tcMar>
                  <w:vAlign w:val="center"/>
                </w:tcPr>
                <w:p w14:paraId="724E066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70</w:t>
                  </w:r>
                </w:p>
              </w:tc>
              <w:tc>
                <w:tcPr>
                  <w:tcW w:w="1129" w:type="pct"/>
                  <w:tcBorders>
                    <w:tl2br w:val="nil"/>
                    <w:tr2bl w:val="nil"/>
                  </w:tcBorders>
                  <w:shd w:val="clear" w:color="auto" w:fill="auto"/>
                  <w:noWrap/>
                  <w:tcMar>
                    <w:top w:w="57" w:type="dxa"/>
                    <w:left w:w="57" w:type="dxa"/>
                    <w:bottom w:w="57" w:type="dxa"/>
                    <w:right w:w="57" w:type="dxa"/>
                  </w:tcMar>
                  <w:vAlign w:val="center"/>
                </w:tcPr>
                <w:p w14:paraId="50E8E06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70</w:t>
                  </w:r>
                </w:p>
              </w:tc>
              <w:tc>
                <w:tcPr>
                  <w:tcW w:w="781" w:type="pct"/>
                  <w:tcBorders>
                    <w:tl2br w:val="nil"/>
                    <w:tr2bl w:val="nil"/>
                  </w:tcBorders>
                  <w:shd w:val="clear" w:color="auto" w:fill="auto"/>
                  <w:noWrap/>
                  <w:tcMar>
                    <w:top w:w="57" w:type="dxa"/>
                    <w:left w:w="57" w:type="dxa"/>
                    <w:bottom w:w="57" w:type="dxa"/>
                    <w:right w:w="57" w:type="dxa"/>
                  </w:tcMar>
                  <w:vAlign w:val="center"/>
                </w:tcPr>
                <w:p w14:paraId="61872F4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4A2E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2AA3416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987" w:type="pct"/>
                  <w:tcBorders>
                    <w:tl2br w:val="nil"/>
                    <w:tr2bl w:val="nil"/>
                  </w:tcBorders>
                  <w:noWrap/>
                  <w:tcMar>
                    <w:top w:w="57" w:type="dxa"/>
                    <w:left w:w="57" w:type="dxa"/>
                    <w:bottom w:w="57" w:type="dxa"/>
                    <w:right w:w="57" w:type="dxa"/>
                  </w:tcMar>
                  <w:vAlign w:val="center"/>
                </w:tcPr>
                <w:p w14:paraId="50BFA90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24h平均</w:t>
                  </w:r>
                </w:p>
              </w:tc>
              <w:tc>
                <w:tcPr>
                  <w:tcW w:w="1241" w:type="pct"/>
                  <w:tcBorders>
                    <w:tl2br w:val="nil"/>
                    <w:tr2bl w:val="nil"/>
                  </w:tcBorders>
                  <w:shd w:val="clear" w:color="auto" w:fill="auto"/>
                  <w:noWrap/>
                  <w:tcMar>
                    <w:top w:w="57" w:type="dxa"/>
                    <w:left w:w="57" w:type="dxa"/>
                    <w:bottom w:w="57" w:type="dxa"/>
                    <w:right w:w="57" w:type="dxa"/>
                  </w:tcMar>
                  <w:vAlign w:val="center"/>
                </w:tcPr>
                <w:p w14:paraId="08721D5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150</w:t>
                  </w:r>
                </w:p>
              </w:tc>
              <w:tc>
                <w:tcPr>
                  <w:tcW w:w="1129" w:type="pct"/>
                  <w:tcBorders>
                    <w:tl2br w:val="nil"/>
                    <w:tr2bl w:val="nil"/>
                  </w:tcBorders>
                  <w:shd w:val="clear" w:color="auto" w:fill="auto"/>
                  <w:noWrap/>
                  <w:tcMar>
                    <w:top w:w="57" w:type="dxa"/>
                    <w:left w:w="57" w:type="dxa"/>
                    <w:bottom w:w="57" w:type="dxa"/>
                    <w:right w:w="57" w:type="dxa"/>
                  </w:tcMar>
                  <w:vAlign w:val="center"/>
                </w:tcPr>
                <w:p w14:paraId="11A1C0E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12~336</w:t>
                  </w:r>
                </w:p>
              </w:tc>
              <w:tc>
                <w:tcPr>
                  <w:tcW w:w="781" w:type="pct"/>
                  <w:tcBorders>
                    <w:tl2br w:val="nil"/>
                    <w:tr2bl w:val="nil"/>
                  </w:tcBorders>
                  <w:shd w:val="clear" w:color="auto" w:fill="auto"/>
                  <w:noWrap/>
                  <w:tcMar>
                    <w:top w:w="57" w:type="dxa"/>
                    <w:left w:w="57" w:type="dxa"/>
                    <w:bottom w:w="57" w:type="dxa"/>
                    <w:right w:w="57" w:type="dxa"/>
                  </w:tcMar>
                  <w:vAlign w:val="center"/>
                </w:tcPr>
                <w:p w14:paraId="59FB33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未达标</w:t>
                  </w:r>
                </w:p>
              </w:tc>
            </w:tr>
          </w:tbl>
          <w:p w14:paraId="3D7C77B4">
            <w:pPr>
              <w:bidi w:val="0"/>
              <w:rPr>
                <w:rFonts w:hint="eastAsia"/>
                <w:lang w:val="en-US" w:eastAsia="zh-CN"/>
              </w:rPr>
            </w:pPr>
          </w:p>
          <w:p w14:paraId="7CB4C747">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由上可知，淮北市为环境空气质量不达标城市，未达标的污染物为</w:t>
            </w:r>
            <w:r>
              <w:rPr>
                <w:rFonts w:hint="eastAsia" w:cs="Times New Roman"/>
                <w:color w:val="000000"/>
                <w:kern w:val="2"/>
                <w:sz w:val="24"/>
                <w:szCs w:val="24"/>
                <w:highlight w:val="none"/>
                <w:lang w:val="en-US" w:eastAsia="zh-CN"/>
              </w:rPr>
              <w:t>O</w:t>
            </w:r>
            <w:r>
              <w:rPr>
                <w:rFonts w:hint="eastAsia" w:cs="Times New Roman"/>
                <w:color w:val="000000"/>
                <w:kern w:val="2"/>
                <w:sz w:val="24"/>
                <w:szCs w:val="24"/>
                <w:highlight w:val="none"/>
                <w:vertAlign w:val="subscript"/>
                <w:lang w:val="en-US" w:eastAsia="zh-CN"/>
              </w:rPr>
              <w:t>3</w:t>
            </w:r>
            <w:r>
              <w:rPr>
                <w:rFonts w:hint="eastAsia"/>
                <w:color w:val="000000"/>
                <w:kern w:val="0"/>
                <w:sz w:val="24"/>
                <w:szCs w:val="24"/>
                <w:lang w:val="en-US" w:eastAsia="zh-CN"/>
              </w:rPr>
              <w:t>、</w:t>
            </w:r>
            <w:r>
              <w:rPr>
                <w:rFonts w:hint="eastAsia" w:cs="Times New Roman"/>
                <w:color w:val="000000"/>
                <w:kern w:val="2"/>
                <w:sz w:val="24"/>
                <w:szCs w:val="24"/>
                <w:highlight w:val="none"/>
                <w:lang w:val="en-US" w:eastAsia="zh-CN"/>
              </w:rPr>
              <w:t>PM</w:t>
            </w:r>
            <w:r>
              <w:rPr>
                <w:rFonts w:hint="eastAsia" w:cs="Times New Roman"/>
                <w:color w:val="000000"/>
                <w:kern w:val="2"/>
                <w:sz w:val="24"/>
                <w:szCs w:val="24"/>
                <w:highlight w:val="none"/>
                <w:vertAlign w:val="subscript"/>
                <w:lang w:val="en-US" w:eastAsia="zh-CN"/>
              </w:rPr>
              <w:t>2.5</w:t>
            </w:r>
            <w:r>
              <w:rPr>
                <w:rFonts w:hint="eastAsia"/>
                <w:color w:val="000000"/>
                <w:kern w:val="0"/>
                <w:sz w:val="24"/>
                <w:szCs w:val="24"/>
                <w:lang w:val="en-US" w:eastAsia="zh-CN"/>
              </w:rPr>
              <w:t>、</w:t>
            </w:r>
            <w:r>
              <w:rPr>
                <w:rFonts w:hint="eastAsia" w:cs="Times New Roman"/>
                <w:color w:val="000000"/>
                <w:kern w:val="2"/>
                <w:sz w:val="24"/>
                <w:szCs w:val="24"/>
                <w:highlight w:val="none"/>
                <w:lang w:val="en-US" w:eastAsia="zh-CN"/>
              </w:rPr>
              <w:t>PM</w:t>
            </w:r>
            <w:r>
              <w:rPr>
                <w:rFonts w:hint="eastAsia" w:cs="Times New Roman"/>
                <w:color w:val="000000"/>
                <w:kern w:val="2"/>
                <w:sz w:val="24"/>
                <w:szCs w:val="24"/>
                <w:highlight w:val="none"/>
                <w:vertAlign w:val="subscript"/>
                <w:lang w:val="en-US" w:eastAsia="zh-CN"/>
              </w:rPr>
              <w:t>10</w:t>
            </w:r>
            <w:r>
              <w:rPr>
                <w:rFonts w:hint="eastAsia"/>
                <w:color w:val="000000"/>
                <w:kern w:val="0"/>
                <w:sz w:val="24"/>
                <w:szCs w:val="24"/>
                <w:lang w:val="en-US" w:eastAsia="zh-CN"/>
              </w:rPr>
              <w:t>。</w:t>
            </w:r>
          </w:p>
          <w:p w14:paraId="6232C88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（2）特征污染物因子</w:t>
            </w:r>
          </w:p>
          <w:p w14:paraId="0BD69921">
            <w:pPr>
              <w:autoSpaceDE w:val="0"/>
              <w:autoSpaceDN w:val="0"/>
              <w:adjustRightInd w:val="0"/>
              <w:snapToGrid w:val="0"/>
              <w:spacing w:line="360" w:lineRule="auto"/>
              <w:ind w:firstLine="480" w:firstLineChars="200"/>
              <w:jc w:val="both"/>
              <w:rPr>
                <w:rFonts w:hint="eastAsia" w:ascii="宋体" w:hAnsi="宋体" w:cs="宋体"/>
                <w:kern w:val="0"/>
                <w:sz w:val="24"/>
                <w:szCs w:val="24"/>
                <w:lang w:val="en-US" w:eastAsia="zh-CN"/>
              </w:rPr>
            </w:pPr>
            <w:r>
              <w:rPr>
                <w:rFonts w:hint="eastAsia"/>
                <w:color w:val="000000"/>
                <w:kern w:val="0"/>
                <w:sz w:val="24"/>
                <w:lang w:val="en-US" w:eastAsia="zh-CN"/>
              </w:rPr>
              <w:t>本项目特征污染物因子有TSP、NMHC。引用《安徽淮北烈山经济开发区环境影响区域评估报告（2024年版）》中现状检测数据，检测日期为2024年8月19日至8月26日，连续监测7天，检测点位在烈山经济开发区内，距离本项目厂址约1600m，故引用数据有效。检测结果详见下表。</w:t>
            </w:r>
          </w:p>
          <w:p w14:paraId="0EAE631F">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default" w:ascii="宋体" w:hAnsi="宋体" w:eastAsia="宋体" w:cs="宋体"/>
                <w:b/>
                <w:bCs/>
                <w:sz w:val="22"/>
                <w:szCs w:val="22"/>
                <w:lang w:val="en-US" w:eastAsia="zh-CN"/>
              </w:rPr>
              <w:t>表</w:t>
            </w:r>
            <w:r>
              <w:rPr>
                <w:rFonts w:hint="eastAsia" w:ascii="宋体" w:hAnsi="宋体" w:eastAsia="宋体" w:cs="宋体"/>
                <w:b/>
                <w:bCs/>
                <w:sz w:val="22"/>
                <w:szCs w:val="22"/>
                <w:lang w:val="en-US" w:eastAsia="zh-CN"/>
              </w:rPr>
              <w:t>3-</w:t>
            </w:r>
            <w:r>
              <w:rPr>
                <w:rFonts w:hint="eastAsia" w:cs="Times New Roman"/>
                <w:b/>
                <w:bCs/>
                <w:sz w:val="22"/>
                <w:szCs w:val="22"/>
                <w:lang w:val="en-US" w:eastAsia="zh-CN"/>
              </w:rPr>
              <w:t>2</w:t>
            </w:r>
            <w:r>
              <w:rPr>
                <w:rFonts w:hint="default" w:ascii="宋体" w:hAnsi="宋体" w:eastAsia="宋体" w:cs="宋体"/>
                <w:b/>
                <w:bCs/>
                <w:sz w:val="22"/>
                <w:szCs w:val="22"/>
                <w:lang w:val="en-US" w:eastAsia="zh-CN"/>
              </w:rPr>
              <w:t xml:space="preserve">  </w:t>
            </w:r>
            <w:r>
              <w:rPr>
                <w:rFonts w:hint="eastAsia" w:ascii="宋体" w:hAnsi="宋体" w:eastAsia="宋体" w:cs="宋体"/>
                <w:b/>
                <w:bCs/>
                <w:sz w:val="22"/>
                <w:szCs w:val="22"/>
                <w:lang w:val="en-US" w:eastAsia="zh-CN"/>
              </w:rPr>
              <w:t>特征污染物现状浓度</w:t>
            </w:r>
            <w:r>
              <w:rPr>
                <w:rFonts w:hint="default" w:ascii="Times New Roman" w:hAnsi="Times New Roman" w:eastAsia="宋体" w:cs="Times New Roman"/>
                <w:b/>
                <w:bCs/>
                <w:sz w:val="22"/>
                <w:szCs w:val="22"/>
                <w:lang w:val="en-US" w:eastAsia="zh-CN"/>
              </w:rPr>
              <w:t>一览表</w:t>
            </w:r>
          </w:p>
          <w:tbl>
            <w:tblPr>
              <w:tblStyle w:val="15"/>
              <w:tblW w:w="46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53"/>
              <w:gridCol w:w="1788"/>
              <w:gridCol w:w="2224"/>
              <w:gridCol w:w="2268"/>
            </w:tblGrid>
            <w:tr w14:paraId="2694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775" w:type="pct"/>
                  <w:tcBorders>
                    <w:tl2br w:val="nil"/>
                    <w:tr2bl w:val="nil"/>
                  </w:tcBorders>
                  <w:noWrap/>
                  <w:tcMar>
                    <w:top w:w="57" w:type="dxa"/>
                    <w:left w:w="57" w:type="dxa"/>
                    <w:bottom w:w="57" w:type="dxa"/>
                    <w:right w:w="57" w:type="dxa"/>
                  </w:tcMar>
                  <w:vAlign w:val="center"/>
                </w:tcPr>
                <w:p w14:paraId="0A01DB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监测点位</w:t>
                  </w:r>
                </w:p>
              </w:tc>
              <w:tc>
                <w:tcPr>
                  <w:tcW w:w="1202" w:type="pct"/>
                  <w:tcBorders>
                    <w:tl2br w:val="nil"/>
                    <w:tr2bl w:val="nil"/>
                  </w:tcBorders>
                  <w:noWrap/>
                  <w:tcMar>
                    <w:top w:w="57" w:type="dxa"/>
                    <w:left w:w="57" w:type="dxa"/>
                    <w:bottom w:w="57" w:type="dxa"/>
                    <w:right w:w="57" w:type="dxa"/>
                  </w:tcMar>
                  <w:vAlign w:val="center"/>
                </w:tcPr>
                <w:p w14:paraId="03D1B2F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监测时间</w:t>
                  </w:r>
                </w:p>
              </w:tc>
              <w:tc>
                <w:tcPr>
                  <w:tcW w:w="1496" w:type="pct"/>
                  <w:tcBorders>
                    <w:tl2br w:val="nil"/>
                    <w:tr2bl w:val="nil"/>
                  </w:tcBorders>
                  <w:noWrap/>
                  <w:tcMar>
                    <w:top w:w="57" w:type="dxa"/>
                    <w:left w:w="57" w:type="dxa"/>
                    <w:bottom w:w="57" w:type="dxa"/>
                    <w:right w:w="57" w:type="dxa"/>
                  </w:tcMar>
                  <w:vAlign w:val="center"/>
                </w:tcPr>
                <w:p w14:paraId="19D1ACB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监测项目</w:t>
                  </w:r>
                </w:p>
              </w:tc>
              <w:tc>
                <w:tcPr>
                  <w:tcW w:w="1525" w:type="pct"/>
                  <w:tcBorders>
                    <w:tl2br w:val="nil"/>
                    <w:tr2bl w:val="nil"/>
                  </w:tcBorders>
                  <w:noWrap/>
                  <w:tcMar>
                    <w:top w:w="57" w:type="dxa"/>
                    <w:left w:w="57" w:type="dxa"/>
                    <w:bottom w:w="57" w:type="dxa"/>
                    <w:right w:w="57" w:type="dxa"/>
                  </w:tcMar>
                  <w:vAlign w:val="center"/>
                </w:tcPr>
                <w:p w14:paraId="32D76D2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监测</w:t>
                  </w:r>
                  <w:r>
                    <w:rPr>
                      <w:rFonts w:hint="eastAsia" w:ascii="Times New Roman" w:hAnsi="Times New Roman" w:eastAsia="宋体" w:cs="Times New Roman"/>
                      <w:b/>
                      <w:bCs/>
                      <w:color w:val="000000"/>
                      <w:kern w:val="2"/>
                      <w:sz w:val="22"/>
                      <w:szCs w:val="22"/>
                      <w:highlight w:val="none"/>
                      <w:lang w:val="en-US" w:eastAsia="zh-CN"/>
                    </w:rPr>
                    <w:t>结果（</w:t>
                  </w:r>
                  <w:r>
                    <w:rPr>
                      <w:rFonts w:hint="default" w:ascii="Times New Roman" w:hAnsi="Times New Roman" w:eastAsia="宋体" w:cs="Times New Roman"/>
                      <w:b/>
                      <w:bCs/>
                      <w:color w:val="000000"/>
                      <w:kern w:val="2"/>
                      <w:sz w:val="22"/>
                      <w:szCs w:val="22"/>
                      <w:highlight w:val="none"/>
                      <w:lang w:val="en-US" w:eastAsia="zh-CN"/>
                    </w:rPr>
                    <w:t>mg</w:t>
                  </w:r>
                  <w:r>
                    <w:rPr>
                      <w:rFonts w:hint="default" w:ascii="宋体" w:hAnsi="宋体" w:eastAsia="宋体" w:cs="宋体"/>
                      <w:b/>
                      <w:bCs/>
                      <w:color w:val="000000"/>
                      <w:kern w:val="2"/>
                      <w:sz w:val="22"/>
                      <w:szCs w:val="22"/>
                      <w:highlight w:val="none"/>
                      <w:lang w:val="en-US" w:eastAsia="zh-CN"/>
                    </w:rPr>
                    <w:t>/</w:t>
                  </w:r>
                  <w:r>
                    <w:rPr>
                      <w:rFonts w:hint="default" w:ascii="Times New Roman" w:hAnsi="Times New Roman" w:eastAsia="宋体" w:cs="Times New Roman"/>
                      <w:b/>
                      <w:bCs/>
                      <w:color w:val="000000"/>
                      <w:kern w:val="2"/>
                      <w:sz w:val="22"/>
                      <w:szCs w:val="22"/>
                      <w:highlight w:val="none"/>
                      <w:lang w:val="en-US" w:eastAsia="zh-CN"/>
                    </w:rPr>
                    <w:t>m</w:t>
                  </w:r>
                  <w:r>
                    <w:rPr>
                      <w:rFonts w:hint="default" w:ascii="Times New Roman" w:hAnsi="Times New Roman" w:eastAsia="宋体" w:cs="Times New Roman"/>
                      <w:b/>
                      <w:bCs/>
                      <w:color w:val="000000"/>
                      <w:kern w:val="2"/>
                      <w:sz w:val="22"/>
                      <w:szCs w:val="22"/>
                      <w:highlight w:val="none"/>
                      <w:vertAlign w:val="superscript"/>
                      <w:lang w:val="en-US" w:eastAsia="zh-CN"/>
                    </w:rPr>
                    <w:t>3</w:t>
                  </w:r>
                  <w:r>
                    <w:rPr>
                      <w:rFonts w:hint="eastAsia" w:ascii="Times New Roman" w:hAnsi="Times New Roman" w:eastAsia="宋体" w:cs="Times New Roman"/>
                      <w:b/>
                      <w:bCs/>
                      <w:color w:val="000000"/>
                      <w:kern w:val="2"/>
                      <w:sz w:val="22"/>
                      <w:szCs w:val="22"/>
                      <w:highlight w:val="none"/>
                      <w:lang w:val="en-US" w:eastAsia="zh-CN"/>
                    </w:rPr>
                    <w:t>）</w:t>
                  </w:r>
                </w:p>
              </w:tc>
            </w:tr>
            <w:tr w14:paraId="7E5F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restart"/>
                  <w:tcBorders>
                    <w:tl2br w:val="nil"/>
                    <w:tr2bl w:val="nil"/>
                  </w:tcBorders>
                  <w:noWrap/>
                  <w:tcMar>
                    <w:top w:w="57" w:type="dxa"/>
                    <w:left w:w="57" w:type="dxa"/>
                    <w:bottom w:w="57" w:type="dxa"/>
                    <w:right w:w="57" w:type="dxa"/>
                  </w:tcMar>
                  <w:vAlign w:val="center"/>
                </w:tcPr>
                <w:p w14:paraId="04E58E6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开发区内</w:t>
                  </w:r>
                </w:p>
              </w:tc>
              <w:tc>
                <w:tcPr>
                  <w:tcW w:w="1202" w:type="pct"/>
                  <w:vMerge w:val="restart"/>
                  <w:tcBorders>
                    <w:tl2br w:val="nil"/>
                    <w:tr2bl w:val="nil"/>
                  </w:tcBorders>
                  <w:noWrap/>
                  <w:tcMar>
                    <w:top w:w="57" w:type="dxa"/>
                    <w:left w:w="57" w:type="dxa"/>
                    <w:bottom w:w="57" w:type="dxa"/>
                    <w:right w:w="57" w:type="dxa"/>
                  </w:tcMar>
                  <w:vAlign w:val="center"/>
                </w:tcPr>
                <w:p w14:paraId="39717DF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2024.8.19-8.20</w:t>
                  </w:r>
                </w:p>
              </w:tc>
              <w:tc>
                <w:tcPr>
                  <w:tcW w:w="1496" w:type="pct"/>
                  <w:tcBorders>
                    <w:tl2br w:val="nil"/>
                    <w:tr2bl w:val="nil"/>
                  </w:tcBorders>
                  <w:noWrap/>
                  <w:tcMar>
                    <w:top w:w="57" w:type="dxa"/>
                    <w:left w:w="57" w:type="dxa"/>
                    <w:bottom w:w="57" w:type="dxa"/>
                    <w:right w:w="57" w:type="dxa"/>
                  </w:tcMar>
                  <w:vAlign w:val="center"/>
                </w:tcPr>
                <w:p w14:paraId="5AEC3C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Times New Roman" w:hAnsi="Times New Roman" w:eastAsia="宋体" w:cs="Times New Roman"/>
                      <w:color w:val="000000"/>
                      <w:kern w:val="2"/>
                      <w:sz w:val="22"/>
                      <w:szCs w:val="22"/>
                      <w:highlight w:val="none"/>
                      <w:lang w:val="en-US" w:eastAsia="zh-CN"/>
                    </w:rPr>
                    <w:t>TSP（日均值）</w:t>
                  </w:r>
                </w:p>
              </w:tc>
              <w:tc>
                <w:tcPr>
                  <w:tcW w:w="1525" w:type="pct"/>
                  <w:tcBorders>
                    <w:tl2br w:val="nil"/>
                    <w:tr2bl w:val="nil"/>
                  </w:tcBorders>
                  <w:shd w:val="clear" w:color="auto" w:fill="auto"/>
                  <w:noWrap/>
                  <w:tcMar>
                    <w:top w:w="57" w:type="dxa"/>
                    <w:left w:w="57" w:type="dxa"/>
                    <w:bottom w:w="57" w:type="dxa"/>
                    <w:right w:w="57" w:type="dxa"/>
                  </w:tcMar>
                  <w:vAlign w:val="center"/>
                </w:tcPr>
                <w:p w14:paraId="08594F4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0.041</w:t>
                  </w:r>
                </w:p>
              </w:tc>
            </w:tr>
            <w:tr w14:paraId="1E6F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continue"/>
                  <w:tcBorders>
                    <w:tl2br w:val="nil"/>
                    <w:tr2bl w:val="nil"/>
                  </w:tcBorders>
                  <w:noWrap/>
                  <w:tcMar>
                    <w:top w:w="57" w:type="dxa"/>
                    <w:left w:w="57" w:type="dxa"/>
                    <w:bottom w:w="57" w:type="dxa"/>
                    <w:right w:w="57" w:type="dxa"/>
                  </w:tcMar>
                  <w:vAlign w:val="center"/>
                </w:tcPr>
                <w:p w14:paraId="2C37D38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02" w:type="pct"/>
                  <w:vMerge w:val="continue"/>
                  <w:tcBorders>
                    <w:tl2br w:val="nil"/>
                    <w:tr2bl w:val="nil"/>
                  </w:tcBorders>
                  <w:noWrap/>
                  <w:tcMar>
                    <w:top w:w="57" w:type="dxa"/>
                    <w:left w:w="57" w:type="dxa"/>
                    <w:bottom w:w="57" w:type="dxa"/>
                    <w:right w:w="57" w:type="dxa"/>
                  </w:tcMar>
                  <w:vAlign w:val="center"/>
                </w:tcPr>
                <w:p w14:paraId="521F26B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496" w:type="pct"/>
                  <w:tcBorders>
                    <w:tl2br w:val="nil"/>
                    <w:tr2bl w:val="nil"/>
                  </w:tcBorders>
                  <w:noWrap/>
                  <w:tcMar>
                    <w:top w:w="57" w:type="dxa"/>
                    <w:left w:w="57" w:type="dxa"/>
                    <w:bottom w:w="57" w:type="dxa"/>
                    <w:right w:w="57" w:type="dxa"/>
                  </w:tcMar>
                  <w:vAlign w:val="center"/>
                </w:tcPr>
                <w:p w14:paraId="19786D9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Times New Roman" w:hAnsi="Times New Roman" w:eastAsia="宋体" w:cs="Times New Roman"/>
                      <w:color w:val="000000"/>
                      <w:kern w:val="2"/>
                      <w:sz w:val="22"/>
                      <w:szCs w:val="22"/>
                      <w:highlight w:val="none"/>
                      <w:lang w:val="en-US" w:eastAsia="zh-CN"/>
                    </w:rPr>
                    <w:t>NMHC（小时值）</w:t>
                  </w:r>
                </w:p>
              </w:tc>
              <w:tc>
                <w:tcPr>
                  <w:tcW w:w="1525" w:type="pct"/>
                  <w:tcBorders>
                    <w:tl2br w:val="nil"/>
                    <w:tr2bl w:val="nil"/>
                  </w:tcBorders>
                  <w:shd w:val="clear" w:color="auto" w:fill="auto"/>
                  <w:noWrap/>
                  <w:tcMar>
                    <w:top w:w="57" w:type="dxa"/>
                    <w:left w:w="57" w:type="dxa"/>
                    <w:bottom w:w="57" w:type="dxa"/>
                    <w:right w:w="57" w:type="dxa"/>
                  </w:tcMar>
                  <w:vAlign w:val="center"/>
                </w:tcPr>
                <w:p w14:paraId="1F85E6E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1.19-1.2</w:t>
                  </w:r>
                </w:p>
              </w:tc>
            </w:tr>
            <w:tr w14:paraId="1E02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continue"/>
                  <w:tcBorders>
                    <w:tl2br w:val="nil"/>
                    <w:tr2bl w:val="nil"/>
                  </w:tcBorders>
                  <w:noWrap/>
                  <w:tcMar>
                    <w:top w:w="57" w:type="dxa"/>
                    <w:left w:w="57" w:type="dxa"/>
                    <w:bottom w:w="57" w:type="dxa"/>
                    <w:right w:w="57" w:type="dxa"/>
                  </w:tcMar>
                  <w:vAlign w:val="center"/>
                </w:tcPr>
                <w:p w14:paraId="7A7C7DA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02" w:type="pct"/>
                  <w:vMerge w:val="restart"/>
                  <w:tcBorders>
                    <w:tl2br w:val="nil"/>
                    <w:tr2bl w:val="nil"/>
                  </w:tcBorders>
                  <w:noWrap/>
                  <w:tcMar>
                    <w:top w:w="57" w:type="dxa"/>
                    <w:left w:w="57" w:type="dxa"/>
                    <w:bottom w:w="57" w:type="dxa"/>
                    <w:right w:w="57" w:type="dxa"/>
                  </w:tcMar>
                  <w:vAlign w:val="center"/>
                </w:tcPr>
                <w:p w14:paraId="24AE8BA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2024.8.20-8.21</w:t>
                  </w:r>
                </w:p>
              </w:tc>
              <w:tc>
                <w:tcPr>
                  <w:tcW w:w="2224" w:type="dxa"/>
                  <w:tcBorders>
                    <w:tl2br w:val="nil"/>
                    <w:tr2bl w:val="nil"/>
                  </w:tcBorders>
                  <w:noWrap/>
                  <w:tcMar>
                    <w:top w:w="57" w:type="dxa"/>
                    <w:left w:w="57" w:type="dxa"/>
                    <w:bottom w:w="57" w:type="dxa"/>
                    <w:right w:w="57" w:type="dxa"/>
                  </w:tcMar>
                  <w:vAlign w:val="center"/>
                </w:tcPr>
                <w:p w14:paraId="1DB40A5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TSP（日均值）</w:t>
                  </w:r>
                </w:p>
              </w:tc>
              <w:tc>
                <w:tcPr>
                  <w:tcW w:w="1525" w:type="pct"/>
                  <w:tcBorders>
                    <w:tl2br w:val="nil"/>
                    <w:tr2bl w:val="nil"/>
                  </w:tcBorders>
                  <w:shd w:val="clear" w:color="auto" w:fill="auto"/>
                  <w:noWrap/>
                  <w:tcMar>
                    <w:top w:w="57" w:type="dxa"/>
                    <w:left w:w="57" w:type="dxa"/>
                    <w:bottom w:w="57" w:type="dxa"/>
                    <w:right w:w="57" w:type="dxa"/>
                  </w:tcMar>
                  <w:vAlign w:val="center"/>
                </w:tcPr>
                <w:p w14:paraId="48A331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0.062</w:t>
                  </w:r>
                </w:p>
              </w:tc>
            </w:tr>
            <w:tr w14:paraId="4BBB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continue"/>
                  <w:tcBorders>
                    <w:tl2br w:val="nil"/>
                    <w:tr2bl w:val="nil"/>
                  </w:tcBorders>
                  <w:noWrap/>
                  <w:tcMar>
                    <w:top w:w="57" w:type="dxa"/>
                    <w:left w:w="57" w:type="dxa"/>
                    <w:bottom w:w="57" w:type="dxa"/>
                    <w:right w:w="57" w:type="dxa"/>
                  </w:tcMar>
                  <w:vAlign w:val="center"/>
                </w:tcPr>
                <w:p w14:paraId="165D01D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02" w:type="pct"/>
                  <w:vMerge w:val="continue"/>
                  <w:tcBorders>
                    <w:tl2br w:val="nil"/>
                    <w:tr2bl w:val="nil"/>
                  </w:tcBorders>
                  <w:noWrap/>
                  <w:tcMar>
                    <w:top w:w="57" w:type="dxa"/>
                    <w:left w:w="57" w:type="dxa"/>
                    <w:bottom w:w="57" w:type="dxa"/>
                    <w:right w:w="57" w:type="dxa"/>
                  </w:tcMar>
                  <w:vAlign w:val="center"/>
                </w:tcPr>
                <w:p w14:paraId="605F94C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2224" w:type="dxa"/>
                  <w:tcBorders>
                    <w:tl2br w:val="nil"/>
                    <w:tr2bl w:val="nil"/>
                  </w:tcBorders>
                  <w:noWrap/>
                  <w:tcMar>
                    <w:top w:w="57" w:type="dxa"/>
                    <w:left w:w="57" w:type="dxa"/>
                    <w:bottom w:w="57" w:type="dxa"/>
                    <w:right w:w="57" w:type="dxa"/>
                  </w:tcMar>
                  <w:vAlign w:val="center"/>
                </w:tcPr>
                <w:p w14:paraId="2CE1B5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NMHC（小时值）</w:t>
                  </w:r>
                </w:p>
              </w:tc>
              <w:tc>
                <w:tcPr>
                  <w:tcW w:w="1525" w:type="pct"/>
                  <w:tcBorders>
                    <w:tl2br w:val="nil"/>
                    <w:tr2bl w:val="nil"/>
                  </w:tcBorders>
                  <w:shd w:val="clear" w:color="auto" w:fill="auto"/>
                  <w:noWrap/>
                  <w:tcMar>
                    <w:top w:w="57" w:type="dxa"/>
                    <w:left w:w="57" w:type="dxa"/>
                    <w:bottom w:w="57" w:type="dxa"/>
                    <w:right w:w="57" w:type="dxa"/>
                  </w:tcMar>
                  <w:vAlign w:val="center"/>
                </w:tcPr>
                <w:p w14:paraId="19DB24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1.23-1.24</w:t>
                  </w:r>
                </w:p>
              </w:tc>
            </w:tr>
            <w:tr w14:paraId="18DC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continue"/>
                  <w:tcBorders>
                    <w:tl2br w:val="nil"/>
                    <w:tr2bl w:val="nil"/>
                  </w:tcBorders>
                  <w:noWrap/>
                  <w:tcMar>
                    <w:top w:w="57" w:type="dxa"/>
                    <w:left w:w="57" w:type="dxa"/>
                    <w:bottom w:w="57" w:type="dxa"/>
                    <w:right w:w="57" w:type="dxa"/>
                  </w:tcMar>
                  <w:vAlign w:val="center"/>
                </w:tcPr>
                <w:p w14:paraId="0931A8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02" w:type="pct"/>
                  <w:vMerge w:val="restart"/>
                  <w:tcBorders>
                    <w:tl2br w:val="nil"/>
                    <w:tr2bl w:val="nil"/>
                  </w:tcBorders>
                  <w:noWrap/>
                  <w:tcMar>
                    <w:top w:w="57" w:type="dxa"/>
                    <w:left w:w="57" w:type="dxa"/>
                    <w:bottom w:w="57" w:type="dxa"/>
                    <w:right w:w="57" w:type="dxa"/>
                  </w:tcMar>
                  <w:vAlign w:val="center"/>
                </w:tcPr>
                <w:p w14:paraId="70CB85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2024.8.21-8.22</w:t>
                  </w:r>
                </w:p>
              </w:tc>
              <w:tc>
                <w:tcPr>
                  <w:tcW w:w="2224" w:type="dxa"/>
                  <w:tcBorders>
                    <w:tl2br w:val="nil"/>
                    <w:tr2bl w:val="nil"/>
                  </w:tcBorders>
                  <w:noWrap/>
                  <w:tcMar>
                    <w:top w:w="57" w:type="dxa"/>
                    <w:left w:w="57" w:type="dxa"/>
                    <w:bottom w:w="57" w:type="dxa"/>
                    <w:right w:w="57" w:type="dxa"/>
                  </w:tcMar>
                  <w:vAlign w:val="center"/>
                </w:tcPr>
                <w:p w14:paraId="26FFF3D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TSP（日均值）</w:t>
                  </w:r>
                </w:p>
              </w:tc>
              <w:tc>
                <w:tcPr>
                  <w:tcW w:w="1525" w:type="pct"/>
                  <w:tcBorders>
                    <w:tl2br w:val="nil"/>
                    <w:tr2bl w:val="nil"/>
                  </w:tcBorders>
                  <w:shd w:val="clear" w:color="auto" w:fill="auto"/>
                  <w:noWrap/>
                  <w:tcMar>
                    <w:top w:w="57" w:type="dxa"/>
                    <w:left w:w="57" w:type="dxa"/>
                    <w:bottom w:w="57" w:type="dxa"/>
                    <w:right w:w="57" w:type="dxa"/>
                  </w:tcMar>
                  <w:vAlign w:val="center"/>
                </w:tcPr>
                <w:p w14:paraId="08EE020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0.111</w:t>
                  </w:r>
                </w:p>
              </w:tc>
            </w:tr>
            <w:tr w14:paraId="60B0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continue"/>
                  <w:tcBorders>
                    <w:tl2br w:val="nil"/>
                    <w:tr2bl w:val="nil"/>
                  </w:tcBorders>
                  <w:noWrap/>
                  <w:tcMar>
                    <w:top w:w="57" w:type="dxa"/>
                    <w:left w:w="57" w:type="dxa"/>
                    <w:bottom w:w="57" w:type="dxa"/>
                    <w:right w:w="57" w:type="dxa"/>
                  </w:tcMar>
                  <w:vAlign w:val="center"/>
                </w:tcPr>
                <w:p w14:paraId="5DD2FB9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02" w:type="pct"/>
                  <w:vMerge w:val="continue"/>
                  <w:tcBorders>
                    <w:tl2br w:val="nil"/>
                    <w:tr2bl w:val="nil"/>
                  </w:tcBorders>
                  <w:noWrap/>
                  <w:tcMar>
                    <w:top w:w="57" w:type="dxa"/>
                    <w:left w:w="57" w:type="dxa"/>
                    <w:bottom w:w="57" w:type="dxa"/>
                    <w:right w:w="57" w:type="dxa"/>
                  </w:tcMar>
                  <w:vAlign w:val="center"/>
                </w:tcPr>
                <w:p w14:paraId="2390F3D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2224" w:type="dxa"/>
                  <w:tcBorders>
                    <w:tl2br w:val="nil"/>
                    <w:tr2bl w:val="nil"/>
                  </w:tcBorders>
                  <w:noWrap/>
                  <w:tcMar>
                    <w:top w:w="57" w:type="dxa"/>
                    <w:left w:w="57" w:type="dxa"/>
                    <w:bottom w:w="57" w:type="dxa"/>
                    <w:right w:w="57" w:type="dxa"/>
                  </w:tcMar>
                  <w:vAlign w:val="center"/>
                </w:tcPr>
                <w:p w14:paraId="26958E6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NMHC（小时值）</w:t>
                  </w:r>
                </w:p>
              </w:tc>
              <w:tc>
                <w:tcPr>
                  <w:tcW w:w="1525" w:type="pct"/>
                  <w:tcBorders>
                    <w:tl2br w:val="nil"/>
                    <w:tr2bl w:val="nil"/>
                  </w:tcBorders>
                  <w:shd w:val="clear" w:color="auto" w:fill="auto"/>
                  <w:noWrap/>
                  <w:tcMar>
                    <w:top w:w="57" w:type="dxa"/>
                    <w:left w:w="57" w:type="dxa"/>
                    <w:bottom w:w="57" w:type="dxa"/>
                    <w:right w:w="57" w:type="dxa"/>
                  </w:tcMar>
                  <w:vAlign w:val="center"/>
                </w:tcPr>
                <w:p w14:paraId="4A10FF7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1.23-1.27</w:t>
                  </w:r>
                </w:p>
              </w:tc>
            </w:tr>
            <w:tr w14:paraId="3C2B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continue"/>
                  <w:tcBorders>
                    <w:tl2br w:val="nil"/>
                    <w:tr2bl w:val="nil"/>
                  </w:tcBorders>
                  <w:noWrap/>
                  <w:tcMar>
                    <w:top w:w="57" w:type="dxa"/>
                    <w:left w:w="57" w:type="dxa"/>
                    <w:bottom w:w="57" w:type="dxa"/>
                    <w:right w:w="57" w:type="dxa"/>
                  </w:tcMar>
                  <w:vAlign w:val="center"/>
                </w:tcPr>
                <w:p w14:paraId="09320F2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02" w:type="pct"/>
                  <w:vMerge w:val="restart"/>
                  <w:tcBorders>
                    <w:tl2br w:val="nil"/>
                    <w:tr2bl w:val="nil"/>
                  </w:tcBorders>
                  <w:noWrap/>
                  <w:tcMar>
                    <w:top w:w="57" w:type="dxa"/>
                    <w:left w:w="57" w:type="dxa"/>
                    <w:bottom w:w="57" w:type="dxa"/>
                    <w:right w:w="57" w:type="dxa"/>
                  </w:tcMar>
                  <w:vAlign w:val="center"/>
                </w:tcPr>
                <w:p w14:paraId="3F6722D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2024.8.22-8.23</w:t>
                  </w:r>
                </w:p>
              </w:tc>
              <w:tc>
                <w:tcPr>
                  <w:tcW w:w="2224" w:type="dxa"/>
                  <w:tcBorders>
                    <w:tl2br w:val="nil"/>
                    <w:tr2bl w:val="nil"/>
                  </w:tcBorders>
                  <w:noWrap/>
                  <w:tcMar>
                    <w:top w:w="57" w:type="dxa"/>
                    <w:left w:w="57" w:type="dxa"/>
                    <w:bottom w:w="57" w:type="dxa"/>
                    <w:right w:w="57" w:type="dxa"/>
                  </w:tcMar>
                  <w:vAlign w:val="center"/>
                </w:tcPr>
                <w:p w14:paraId="03C5600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TSP（日均值）</w:t>
                  </w:r>
                </w:p>
              </w:tc>
              <w:tc>
                <w:tcPr>
                  <w:tcW w:w="1525" w:type="pct"/>
                  <w:tcBorders>
                    <w:tl2br w:val="nil"/>
                    <w:tr2bl w:val="nil"/>
                  </w:tcBorders>
                  <w:shd w:val="clear" w:color="auto" w:fill="auto"/>
                  <w:noWrap/>
                  <w:tcMar>
                    <w:top w:w="57" w:type="dxa"/>
                    <w:left w:w="57" w:type="dxa"/>
                    <w:bottom w:w="57" w:type="dxa"/>
                    <w:right w:w="57" w:type="dxa"/>
                  </w:tcMar>
                  <w:vAlign w:val="center"/>
                </w:tcPr>
                <w:p w14:paraId="14D195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0.094</w:t>
                  </w:r>
                </w:p>
              </w:tc>
            </w:tr>
            <w:tr w14:paraId="117A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continue"/>
                  <w:tcBorders>
                    <w:tl2br w:val="nil"/>
                    <w:tr2bl w:val="nil"/>
                  </w:tcBorders>
                  <w:noWrap/>
                  <w:tcMar>
                    <w:top w:w="57" w:type="dxa"/>
                    <w:left w:w="57" w:type="dxa"/>
                    <w:bottom w:w="57" w:type="dxa"/>
                    <w:right w:w="57" w:type="dxa"/>
                  </w:tcMar>
                  <w:vAlign w:val="center"/>
                </w:tcPr>
                <w:p w14:paraId="6F3E00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02" w:type="pct"/>
                  <w:vMerge w:val="continue"/>
                  <w:tcBorders>
                    <w:tl2br w:val="nil"/>
                    <w:tr2bl w:val="nil"/>
                  </w:tcBorders>
                  <w:noWrap/>
                  <w:tcMar>
                    <w:top w:w="57" w:type="dxa"/>
                    <w:left w:w="57" w:type="dxa"/>
                    <w:bottom w:w="57" w:type="dxa"/>
                    <w:right w:w="57" w:type="dxa"/>
                  </w:tcMar>
                  <w:vAlign w:val="center"/>
                </w:tcPr>
                <w:p w14:paraId="5DACDEB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2224" w:type="dxa"/>
                  <w:tcBorders>
                    <w:tl2br w:val="nil"/>
                    <w:tr2bl w:val="nil"/>
                  </w:tcBorders>
                  <w:noWrap/>
                  <w:tcMar>
                    <w:top w:w="57" w:type="dxa"/>
                    <w:left w:w="57" w:type="dxa"/>
                    <w:bottom w:w="57" w:type="dxa"/>
                    <w:right w:w="57" w:type="dxa"/>
                  </w:tcMar>
                  <w:vAlign w:val="center"/>
                </w:tcPr>
                <w:p w14:paraId="12AE6D5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NMHC（小时值）</w:t>
                  </w:r>
                </w:p>
              </w:tc>
              <w:tc>
                <w:tcPr>
                  <w:tcW w:w="1525" w:type="pct"/>
                  <w:tcBorders>
                    <w:tl2br w:val="nil"/>
                    <w:tr2bl w:val="nil"/>
                  </w:tcBorders>
                  <w:shd w:val="clear" w:color="auto" w:fill="auto"/>
                  <w:noWrap/>
                  <w:tcMar>
                    <w:top w:w="57" w:type="dxa"/>
                    <w:left w:w="57" w:type="dxa"/>
                    <w:bottom w:w="57" w:type="dxa"/>
                    <w:right w:w="57" w:type="dxa"/>
                  </w:tcMar>
                  <w:vAlign w:val="center"/>
                </w:tcPr>
                <w:p w14:paraId="79EF5D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1.15-1.21</w:t>
                  </w:r>
                </w:p>
              </w:tc>
            </w:tr>
            <w:tr w14:paraId="12E8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continue"/>
                  <w:tcBorders>
                    <w:tl2br w:val="nil"/>
                    <w:tr2bl w:val="nil"/>
                  </w:tcBorders>
                  <w:noWrap/>
                  <w:tcMar>
                    <w:top w:w="57" w:type="dxa"/>
                    <w:left w:w="57" w:type="dxa"/>
                    <w:bottom w:w="57" w:type="dxa"/>
                    <w:right w:w="57" w:type="dxa"/>
                  </w:tcMar>
                  <w:vAlign w:val="center"/>
                </w:tcPr>
                <w:p w14:paraId="3879632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02" w:type="pct"/>
                  <w:vMerge w:val="restart"/>
                  <w:tcBorders>
                    <w:tl2br w:val="nil"/>
                    <w:tr2bl w:val="nil"/>
                  </w:tcBorders>
                  <w:noWrap/>
                  <w:tcMar>
                    <w:top w:w="57" w:type="dxa"/>
                    <w:left w:w="57" w:type="dxa"/>
                    <w:bottom w:w="57" w:type="dxa"/>
                    <w:right w:w="57" w:type="dxa"/>
                  </w:tcMar>
                  <w:vAlign w:val="center"/>
                </w:tcPr>
                <w:p w14:paraId="0728219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2024.8.23-8.24</w:t>
                  </w:r>
                </w:p>
              </w:tc>
              <w:tc>
                <w:tcPr>
                  <w:tcW w:w="2224" w:type="dxa"/>
                  <w:tcBorders>
                    <w:tl2br w:val="nil"/>
                    <w:tr2bl w:val="nil"/>
                  </w:tcBorders>
                  <w:noWrap/>
                  <w:tcMar>
                    <w:top w:w="57" w:type="dxa"/>
                    <w:left w:w="57" w:type="dxa"/>
                    <w:bottom w:w="57" w:type="dxa"/>
                    <w:right w:w="57" w:type="dxa"/>
                  </w:tcMar>
                  <w:vAlign w:val="center"/>
                </w:tcPr>
                <w:p w14:paraId="172AFC8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TSP（日均值）</w:t>
                  </w:r>
                </w:p>
              </w:tc>
              <w:tc>
                <w:tcPr>
                  <w:tcW w:w="1525" w:type="pct"/>
                  <w:tcBorders>
                    <w:tl2br w:val="nil"/>
                    <w:tr2bl w:val="nil"/>
                  </w:tcBorders>
                  <w:shd w:val="clear" w:color="auto" w:fill="auto"/>
                  <w:noWrap/>
                  <w:tcMar>
                    <w:top w:w="57" w:type="dxa"/>
                    <w:left w:w="57" w:type="dxa"/>
                    <w:bottom w:w="57" w:type="dxa"/>
                    <w:right w:w="57" w:type="dxa"/>
                  </w:tcMar>
                  <w:vAlign w:val="center"/>
                </w:tcPr>
                <w:p w14:paraId="73AE476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0.093</w:t>
                  </w:r>
                </w:p>
              </w:tc>
            </w:tr>
            <w:tr w14:paraId="5EF7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continue"/>
                  <w:tcBorders>
                    <w:tl2br w:val="nil"/>
                    <w:tr2bl w:val="nil"/>
                  </w:tcBorders>
                  <w:noWrap/>
                  <w:tcMar>
                    <w:top w:w="57" w:type="dxa"/>
                    <w:left w:w="57" w:type="dxa"/>
                    <w:bottom w:w="57" w:type="dxa"/>
                    <w:right w:w="57" w:type="dxa"/>
                  </w:tcMar>
                  <w:vAlign w:val="center"/>
                </w:tcPr>
                <w:p w14:paraId="08E19A8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02" w:type="pct"/>
                  <w:vMerge w:val="continue"/>
                  <w:tcBorders>
                    <w:tl2br w:val="nil"/>
                    <w:tr2bl w:val="nil"/>
                  </w:tcBorders>
                  <w:noWrap/>
                  <w:tcMar>
                    <w:top w:w="57" w:type="dxa"/>
                    <w:left w:w="57" w:type="dxa"/>
                    <w:bottom w:w="57" w:type="dxa"/>
                    <w:right w:w="57" w:type="dxa"/>
                  </w:tcMar>
                  <w:vAlign w:val="center"/>
                </w:tcPr>
                <w:p w14:paraId="2C803F9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2224" w:type="dxa"/>
                  <w:tcBorders>
                    <w:tl2br w:val="nil"/>
                    <w:tr2bl w:val="nil"/>
                  </w:tcBorders>
                  <w:noWrap/>
                  <w:tcMar>
                    <w:top w:w="57" w:type="dxa"/>
                    <w:left w:w="57" w:type="dxa"/>
                    <w:bottom w:w="57" w:type="dxa"/>
                    <w:right w:w="57" w:type="dxa"/>
                  </w:tcMar>
                  <w:vAlign w:val="center"/>
                </w:tcPr>
                <w:p w14:paraId="4083C5B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NMHC（小时值）</w:t>
                  </w:r>
                </w:p>
              </w:tc>
              <w:tc>
                <w:tcPr>
                  <w:tcW w:w="1525" w:type="pct"/>
                  <w:tcBorders>
                    <w:tl2br w:val="nil"/>
                    <w:tr2bl w:val="nil"/>
                  </w:tcBorders>
                  <w:shd w:val="clear" w:color="auto" w:fill="auto"/>
                  <w:noWrap/>
                  <w:tcMar>
                    <w:top w:w="57" w:type="dxa"/>
                    <w:left w:w="57" w:type="dxa"/>
                    <w:bottom w:w="57" w:type="dxa"/>
                    <w:right w:w="57" w:type="dxa"/>
                  </w:tcMar>
                  <w:vAlign w:val="center"/>
                </w:tcPr>
                <w:p w14:paraId="17E260F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1.23-1.28</w:t>
                  </w:r>
                </w:p>
              </w:tc>
            </w:tr>
            <w:tr w14:paraId="085D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continue"/>
                  <w:tcBorders>
                    <w:tl2br w:val="nil"/>
                    <w:tr2bl w:val="nil"/>
                  </w:tcBorders>
                  <w:noWrap/>
                  <w:tcMar>
                    <w:top w:w="57" w:type="dxa"/>
                    <w:left w:w="57" w:type="dxa"/>
                    <w:bottom w:w="57" w:type="dxa"/>
                    <w:right w:w="57" w:type="dxa"/>
                  </w:tcMar>
                  <w:vAlign w:val="center"/>
                </w:tcPr>
                <w:p w14:paraId="358FBB5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02" w:type="pct"/>
                  <w:vMerge w:val="restart"/>
                  <w:tcBorders>
                    <w:tl2br w:val="nil"/>
                    <w:tr2bl w:val="nil"/>
                  </w:tcBorders>
                  <w:noWrap/>
                  <w:tcMar>
                    <w:top w:w="57" w:type="dxa"/>
                    <w:left w:w="57" w:type="dxa"/>
                    <w:bottom w:w="57" w:type="dxa"/>
                    <w:right w:w="57" w:type="dxa"/>
                  </w:tcMar>
                  <w:vAlign w:val="center"/>
                </w:tcPr>
                <w:p w14:paraId="34B5F4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2024.8.24-8.25</w:t>
                  </w:r>
                </w:p>
              </w:tc>
              <w:tc>
                <w:tcPr>
                  <w:tcW w:w="2224" w:type="dxa"/>
                  <w:tcBorders>
                    <w:tl2br w:val="nil"/>
                    <w:tr2bl w:val="nil"/>
                  </w:tcBorders>
                  <w:noWrap/>
                  <w:tcMar>
                    <w:top w:w="57" w:type="dxa"/>
                    <w:left w:w="57" w:type="dxa"/>
                    <w:bottom w:w="57" w:type="dxa"/>
                    <w:right w:w="57" w:type="dxa"/>
                  </w:tcMar>
                  <w:vAlign w:val="center"/>
                </w:tcPr>
                <w:p w14:paraId="0E74051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TSP（日均值）</w:t>
                  </w:r>
                </w:p>
              </w:tc>
              <w:tc>
                <w:tcPr>
                  <w:tcW w:w="1525" w:type="pct"/>
                  <w:tcBorders>
                    <w:tl2br w:val="nil"/>
                    <w:tr2bl w:val="nil"/>
                  </w:tcBorders>
                  <w:shd w:val="clear" w:color="auto" w:fill="auto"/>
                  <w:noWrap/>
                  <w:tcMar>
                    <w:top w:w="57" w:type="dxa"/>
                    <w:left w:w="57" w:type="dxa"/>
                    <w:bottom w:w="57" w:type="dxa"/>
                    <w:right w:w="57" w:type="dxa"/>
                  </w:tcMar>
                  <w:vAlign w:val="center"/>
                </w:tcPr>
                <w:p w14:paraId="5AC946D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0.067</w:t>
                  </w:r>
                </w:p>
              </w:tc>
            </w:tr>
            <w:tr w14:paraId="1DF5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continue"/>
                  <w:tcBorders>
                    <w:tl2br w:val="nil"/>
                    <w:tr2bl w:val="nil"/>
                  </w:tcBorders>
                  <w:noWrap/>
                  <w:tcMar>
                    <w:top w:w="57" w:type="dxa"/>
                    <w:left w:w="57" w:type="dxa"/>
                    <w:bottom w:w="57" w:type="dxa"/>
                    <w:right w:w="57" w:type="dxa"/>
                  </w:tcMar>
                  <w:vAlign w:val="center"/>
                </w:tcPr>
                <w:p w14:paraId="64EAA2F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02" w:type="pct"/>
                  <w:vMerge w:val="continue"/>
                  <w:tcBorders>
                    <w:tl2br w:val="nil"/>
                    <w:tr2bl w:val="nil"/>
                  </w:tcBorders>
                  <w:noWrap/>
                  <w:tcMar>
                    <w:top w:w="57" w:type="dxa"/>
                    <w:left w:w="57" w:type="dxa"/>
                    <w:bottom w:w="57" w:type="dxa"/>
                    <w:right w:w="57" w:type="dxa"/>
                  </w:tcMar>
                  <w:vAlign w:val="center"/>
                </w:tcPr>
                <w:p w14:paraId="3F0DA90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2224" w:type="dxa"/>
                  <w:tcBorders>
                    <w:tl2br w:val="nil"/>
                    <w:tr2bl w:val="nil"/>
                  </w:tcBorders>
                  <w:noWrap/>
                  <w:tcMar>
                    <w:top w:w="57" w:type="dxa"/>
                    <w:left w:w="57" w:type="dxa"/>
                    <w:bottom w:w="57" w:type="dxa"/>
                    <w:right w:w="57" w:type="dxa"/>
                  </w:tcMar>
                  <w:vAlign w:val="center"/>
                </w:tcPr>
                <w:p w14:paraId="03D7C7E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NMHC（小时值）</w:t>
                  </w:r>
                </w:p>
              </w:tc>
              <w:tc>
                <w:tcPr>
                  <w:tcW w:w="1525" w:type="pct"/>
                  <w:tcBorders>
                    <w:tl2br w:val="nil"/>
                    <w:tr2bl w:val="nil"/>
                  </w:tcBorders>
                  <w:shd w:val="clear" w:color="auto" w:fill="auto"/>
                  <w:noWrap/>
                  <w:tcMar>
                    <w:top w:w="57" w:type="dxa"/>
                    <w:left w:w="57" w:type="dxa"/>
                    <w:bottom w:w="57" w:type="dxa"/>
                    <w:right w:w="57" w:type="dxa"/>
                  </w:tcMar>
                  <w:vAlign w:val="center"/>
                </w:tcPr>
                <w:p w14:paraId="63173EF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1.15-1.24</w:t>
                  </w:r>
                </w:p>
              </w:tc>
            </w:tr>
            <w:tr w14:paraId="126F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continue"/>
                  <w:tcBorders>
                    <w:tl2br w:val="nil"/>
                    <w:tr2bl w:val="nil"/>
                  </w:tcBorders>
                  <w:noWrap/>
                  <w:tcMar>
                    <w:top w:w="57" w:type="dxa"/>
                    <w:left w:w="57" w:type="dxa"/>
                    <w:bottom w:w="57" w:type="dxa"/>
                    <w:right w:w="57" w:type="dxa"/>
                  </w:tcMar>
                  <w:vAlign w:val="center"/>
                </w:tcPr>
                <w:p w14:paraId="1F6668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02" w:type="pct"/>
                  <w:vMerge w:val="restart"/>
                  <w:tcBorders>
                    <w:tl2br w:val="nil"/>
                    <w:tr2bl w:val="nil"/>
                  </w:tcBorders>
                  <w:noWrap/>
                  <w:tcMar>
                    <w:top w:w="57" w:type="dxa"/>
                    <w:left w:w="57" w:type="dxa"/>
                    <w:bottom w:w="57" w:type="dxa"/>
                    <w:right w:w="57" w:type="dxa"/>
                  </w:tcMar>
                  <w:vAlign w:val="center"/>
                </w:tcPr>
                <w:p w14:paraId="198105E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2024.8.25-8.26</w:t>
                  </w:r>
                </w:p>
              </w:tc>
              <w:tc>
                <w:tcPr>
                  <w:tcW w:w="2224" w:type="dxa"/>
                  <w:tcBorders>
                    <w:tl2br w:val="nil"/>
                    <w:tr2bl w:val="nil"/>
                  </w:tcBorders>
                  <w:noWrap/>
                  <w:tcMar>
                    <w:top w:w="57" w:type="dxa"/>
                    <w:left w:w="57" w:type="dxa"/>
                    <w:bottom w:w="57" w:type="dxa"/>
                    <w:right w:w="57" w:type="dxa"/>
                  </w:tcMar>
                  <w:vAlign w:val="center"/>
                </w:tcPr>
                <w:p w14:paraId="63B1D0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TSP（日均值）</w:t>
                  </w:r>
                </w:p>
              </w:tc>
              <w:tc>
                <w:tcPr>
                  <w:tcW w:w="1525" w:type="pct"/>
                  <w:tcBorders>
                    <w:tl2br w:val="nil"/>
                    <w:tr2bl w:val="nil"/>
                  </w:tcBorders>
                  <w:shd w:val="clear" w:color="auto" w:fill="auto"/>
                  <w:noWrap/>
                  <w:tcMar>
                    <w:top w:w="57" w:type="dxa"/>
                    <w:left w:w="57" w:type="dxa"/>
                    <w:bottom w:w="57" w:type="dxa"/>
                    <w:right w:w="57" w:type="dxa"/>
                  </w:tcMar>
                  <w:vAlign w:val="center"/>
                </w:tcPr>
                <w:p w14:paraId="405AB6C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0.072</w:t>
                  </w:r>
                </w:p>
              </w:tc>
            </w:tr>
            <w:tr w14:paraId="446F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vMerge w:val="continue"/>
                  <w:tcBorders>
                    <w:tl2br w:val="nil"/>
                    <w:tr2bl w:val="nil"/>
                  </w:tcBorders>
                  <w:noWrap/>
                  <w:tcMar>
                    <w:top w:w="57" w:type="dxa"/>
                    <w:left w:w="57" w:type="dxa"/>
                    <w:bottom w:w="57" w:type="dxa"/>
                    <w:right w:w="57" w:type="dxa"/>
                  </w:tcMar>
                  <w:vAlign w:val="center"/>
                </w:tcPr>
                <w:p w14:paraId="645E99F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02" w:type="pct"/>
                  <w:vMerge w:val="continue"/>
                  <w:tcBorders>
                    <w:tl2br w:val="nil"/>
                    <w:tr2bl w:val="nil"/>
                  </w:tcBorders>
                  <w:noWrap/>
                  <w:tcMar>
                    <w:top w:w="57" w:type="dxa"/>
                    <w:left w:w="57" w:type="dxa"/>
                    <w:bottom w:w="57" w:type="dxa"/>
                    <w:right w:w="57" w:type="dxa"/>
                  </w:tcMar>
                  <w:vAlign w:val="center"/>
                </w:tcPr>
                <w:p w14:paraId="338835C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2224" w:type="dxa"/>
                  <w:tcBorders>
                    <w:tl2br w:val="nil"/>
                    <w:tr2bl w:val="nil"/>
                  </w:tcBorders>
                  <w:noWrap/>
                  <w:tcMar>
                    <w:top w:w="57" w:type="dxa"/>
                    <w:left w:w="57" w:type="dxa"/>
                    <w:bottom w:w="57" w:type="dxa"/>
                    <w:right w:w="57" w:type="dxa"/>
                  </w:tcMar>
                  <w:vAlign w:val="center"/>
                </w:tcPr>
                <w:p w14:paraId="714A55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NMHC（小时值）</w:t>
                  </w:r>
                </w:p>
              </w:tc>
              <w:tc>
                <w:tcPr>
                  <w:tcW w:w="1525" w:type="pct"/>
                  <w:tcBorders>
                    <w:tl2br w:val="nil"/>
                    <w:tr2bl w:val="nil"/>
                  </w:tcBorders>
                  <w:shd w:val="clear" w:color="auto" w:fill="auto"/>
                  <w:noWrap/>
                  <w:tcMar>
                    <w:top w:w="57" w:type="dxa"/>
                    <w:left w:w="57" w:type="dxa"/>
                    <w:bottom w:w="57" w:type="dxa"/>
                    <w:right w:w="57" w:type="dxa"/>
                  </w:tcMar>
                  <w:vAlign w:val="center"/>
                </w:tcPr>
                <w:p w14:paraId="06E5275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1.23-1.26</w:t>
                  </w:r>
                </w:p>
              </w:tc>
            </w:tr>
          </w:tbl>
          <w:p w14:paraId="2F7C812A">
            <w:pPr>
              <w:bidi w:val="0"/>
              <w:rPr>
                <w:rFonts w:hint="eastAsia"/>
                <w:lang w:val="en-US" w:eastAsia="zh-CN"/>
              </w:rPr>
            </w:pPr>
          </w:p>
          <w:p w14:paraId="0D2AF64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由上表可知，TSP现状检测浓度为0.041-0.111</w:t>
            </w:r>
            <w:r>
              <w:rPr>
                <w:rFonts w:hint="default"/>
                <w:color w:val="000000"/>
                <w:kern w:val="0"/>
                <w:sz w:val="24"/>
                <w:lang w:val="en-US" w:eastAsia="zh-CN"/>
              </w:rPr>
              <w:t>mg/m</w:t>
            </w:r>
            <w:r>
              <w:rPr>
                <w:rFonts w:hint="default"/>
                <w:color w:val="000000"/>
                <w:kern w:val="0"/>
                <w:sz w:val="24"/>
                <w:vertAlign w:val="superscript"/>
                <w:lang w:val="en-US" w:eastAsia="zh-CN"/>
              </w:rPr>
              <w:t>3</w:t>
            </w:r>
            <w:r>
              <w:rPr>
                <w:rFonts w:hint="eastAsia"/>
                <w:color w:val="000000"/>
                <w:kern w:val="0"/>
                <w:sz w:val="24"/>
                <w:lang w:val="en-US" w:eastAsia="zh-CN"/>
              </w:rPr>
              <w:t>，能够满足《环境空气质量标准》（GB3095-2012）中总悬浮颗粒物的二级浓度限值（300</w:t>
            </w:r>
            <w:r>
              <w:rPr>
                <w:rFonts w:hint="default"/>
                <w:color w:val="000000"/>
                <w:kern w:val="0"/>
                <w:sz w:val="24"/>
                <w:lang w:val="en-US" w:eastAsia="zh-CN"/>
              </w:rPr>
              <w:t>μg/m</w:t>
            </w:r>
            <w:r>
              <w:rPr>
                <w:rFonts w:hint="default"/>
                <w:color w:val="000000"/>
                <w:kern w:val="0"/>
                <w:sz w:val="24"/>
                <w:vertAlign w:val="superscript"/>
                <w:lang w:val="en-US" w:eastAsia="zh-CN"/>
              </w:rPr>
              <w:t>3</w:t>
            </w:r>
            <w:r>
              <w:rPr>
                <w:rFonts w:hint="eastAsia"/>
                <w:color w:val="000000"/>
                <w:kern w:val="0"/>
                <w:sz w:val="24"/>
                <w:lang w:val="en-US" w:eastAsia="zh-CN"/>
              </w:rPr>
              <w:t>）要求。</w:t>
            </w:r>
          </w:p>
          <w:p w14:paraId="7C13F7A3">
            <w:pPr>
              <w:autoSpaceDE w:val="0"/>
              <w:autoSpaceDN w:val="0"/>
              <w:adjustRightInd w:val="0"/>
              <w:snapToGrid w:val="0"/>
              <w:spacing w:line="360" w:lineRule="auto"/>
              <w:jc w:val="both"/>
              <w:rPr>
                <w:rFonts w:hint="eastAsia" w:ascii="宋体" w:hAnsi="宋体" w:eastAsia="宋体" w:cs="宋体"/>
                <w:kern w:val="0"/>
                <w:sz w:val="24"/>
                <w:szCs w:val="24"/>
                <w:lang w:val="en-US" w:eastAsia="zh-CN"/>
              </w:rPr>
            </w:pPr>
            <w:r>
              <w:drawing>
                <wp:anchor distT="0" distB="0" distL="114300" distR="114300" simplePos="0" relativeHeight="251665408" behindDoc="0" locked="0" layoutInCell="1" allowOverlap="1">
                  <wp:simplePos x="0" y="0"/>
                  <wp:positionH relativeFrom="column">
                    <wp:posOffset>4729480</wp:posOffset>
                  </wp:positionH>
                  <wp:positionV relativeFrom="paragraph">
                    <wp:posOffset>2540</wp:posOffset>
                  </wp:positionV>
                  <wp:extent cx="383540" cy="703580"/>
                  <wp:effectExtent l="0" t="0" r="12700" b="12700"/>
                  <wp:wrapNone/>
                  <wp:docPr id="216" name="图片 453"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453" descr="指北针"/>
                          <pic:cNvPicPr>
                            <a:picLocks noChangeAspect="1"/>
                          </pic:cNvPicPr>
                        </pic:nvPicPr>
                        <pic:blipFill>
                          <a:blip r:embed="rId20"/>
                          <a:stretch>
                            <a:fillRect/>
                          </a:stretch>
                        </pic:blipFill>
                        <pic:spPr>
                          <a:xfrm>
                            <a:off x="0" y="0"/>
                            <a:ext cx="383540" cy="703580"/>
                          </a:xfrm>
                          <a:prstGeom prst="rect">
                            <a:avLst/>
                          </a:prstGeom>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2696845</wp:posOffset>
                      </wp:positionH>
                      <wp:positionV relativeFrom="paragraph">
                        <wp:posOffset>2884805</wp:posOffset>
                      </wp:positionV>
                      <wp:extent cx="699135" cy="274955"/>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699135" cy="27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E74616">
                                  <w:pPr>
                                    <w:rPr>
                                      <w:rFonts w:hint="default" w:eastAsia="宋体"/>
                                      <w:b/>
                                      <w:bCs/>
                                      <w:color w:val="FF0000"/>
                                      <w:lang w:val="en-US" w:eastAsia="zh-CN"/>
                                    </w:rPr>
                                  </w:pPr>
                                  <w:r>
                                    <w:rPr>
                                      <w:rFonts w:hint="eastAsia"/>
                                      <w:b/>
                                      <w:bCs/>
                                      <w:color w:val="FF0000"/>
                                      <w:lang w:val="en-US" w:eastAsia="zh-CN"/>
                                    </w:rPr>
                                    <w:t>1600m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35pt;margin-top:227.15pt;height:21.65pt;width:55.05pt;z-index:251664384;mso-width-relative:page;mso-height-relative:page;" filled="f" stroked="f" coordsize="21600,21600" o:gfxdata="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gbLl90AAAALAQAADwAAAAAAAAABACAAAAAi&#10;AAAAZHJzL2Rvd25yZXYueG1sUEsBAhQAFAAAAAgAh07iQExkTXs+AgAAaQQAAA4AAAAAAAAAAQAg&#10;AAAALAEAAGRycy9lMm9Eb2MueG1sUEsFBgAAAAAGAAYAWQEAANwFAAAAAA==&#10;">
                      <v:fill on="f" focussize="0,0"/>
                      <v:stroke on="f" weight="0.5pt"/>
                      <v:imagedata o:title=""/>
                      <o:lock v:ext="edit" aspectratio="f"/>
                      <v:textbox>
                        <w:txbxContent>
                          <w:p w14:paraId="3DE74616">
                            <w:pPr>
                              <w:rPr>
                                <w:rFonts w:hint="default" w:eastAsia="宋体"/>
                                <w:b/>
                                <w:bCs/>
                                <w:color w:val="FF0000"/>
                                <w:lang w:val="en-US" w:eastAsia="zh-CN"/>
                              </w:rPr>
                            </w:pPr>
                            <w:r>
                              <w:rPr>
                                <w:rFonts w:hint="eastAsia"/>
                                <w:b/>
                                <w:bCs/>
                                <w:color w:val="FF0000"/>
                                <w:lang w:val="en-US" w:eastAsia="zh-CN"/>
                              </w:rPr>
                              <w:t>1600m</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2505075</wp:posOffset>
                      </wp:positionH>
                      <wp:positionV relativeFrom="paragraph">
                        <wp:posOffset>2301875</wp:posOffset>
                      </wp:positionV>
                      <wp:extent cx="602615" cy="1298575"/>
                      <wp:effectExtent l="9525" t="0" r="12700" b="12065"/>
                      <wp:wrapNone/>
                      <wp:docPr id="214" name="直接箭头连接符 214"/>
                      <wp:cNvGraphicFramePr/>
                      <a:graphic xmlns:a="http://schemas.openxmlformats.org/drawingml/2006/main">
                        <a:graphicData uri="http://schemas.microsoft.com/office/word/2010/wordprocessingShape">
                          <wps:wsp>
                            <wps:cNvCnPr>
                              <a:endCxn id="207" idx="7"/>
                            </wps:cNvCnPr>
                            <wps:spPr>
                              <a:xfrm flipH="1">
                                <a:off x="4481830" y="3265170"/>
                                <a:ext cx="602615" cy="1298575"/>
                              </a:xfrm>
                              <a:prstGeom prst="straightConnector1">
                                <a:avLst/>
                              </a:prstGeom>
                              <a:ln w="12700">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7.25pt;margin-top:181.25pt;height:102.25pt;width:47.45pt;z-index:251663360;mso-width-relative:page;mso-height-relative:page;" filled="f" stroked="t" coordsize="21600,21600" o:gfxdata="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59yRTZAAAACwEAAA8AAAAAAAAAAQAgAAAAIgAAAGRycy9kb3ducmV2LnhtbFBL&#10;AQIUABQAAAAIAIdO4kA4urCbLgIAACkEAAAOAAAAAAAAAAEAIAAAACgBAABkcnMvZTJvRG9jLnht&#10;bFBLBQYAAAAABgAGAFkBAADIBQAAAAA=&#10;">
                      <v:fill on="f" focussize="0,0"/>
                      <v:stroke weight="1pt" color="#FF0000 [3204]" joinstyle="round" startarrow="open" endarrow="open"/>
                      <v:imagedata o:title=""/>
                      <o:lock v:ext="edit" aspectratio="f"/>
                    </v:shape>
                  </w:pict>
                </mc:Fallback>
              </mc:AlternateContent>
            </w:r>
            <w:r>
              <w:rPr>
                <w:sz w:val="24"/>
              </w:rPr>
              <mc:AlternateContent>
                <mc:Choice Requires="wpg">
                  <w:drawing>
                    <wp:anchor distT="0" distB="0" distL="114300" distR="114300" simplePos="0" relativeHeight="251662336" behindDoc="0" locked="0" layoutInCell="1" allowOverlap="1">
                      <wp:simplePos x="0" y="0"/>
                      <wp:positionH relativeFrom="column">
                        <wp:posOffset>3793490</wp:posOffset>
                      </wp:positionH>
                      <wp:positionV relativeFrom="paragraph">
                        <wp:posOffset>5788025</wp:posOffset>
                      </wp:positionV>
                      <wp:extent cx="1416050" cy="527050"/>
                      <wp:effectExtent l="12700" t="0" r="0" b="0"/>
                      <wp:wrapNone/>
                      <wp:docPr id="213" name="组合 213"/>
                      <wp:cNvGraphicFramePr/>
                      <a:graphic xmlns:a="http://schemas.openxmlformats.org/drawingml/2006/main">
                        <a:graphicData uri="http://schemas.microsoft.com/office/word/2010/wordprocessingGroup">
                          <wpg:wgp>
                            <wpg:cNvGrpSpPr/>
                            <wpg:grpSpPr>
                              <a:xfrm>
                                <a:off x="0" y="0"/>
                                <a:ext cx="1416050" cy="527050"/>
                                <a:chOff x="12613" y="678658"/>
                                <a:chExt cx="2230" cy="830"/>
                              </a:xfrm>
                            </wpg:grpSpPr>
                            <wpg:grpSp>
                              <wpg:cNvPr id="210" name="组合 210"/>
                              <wpg:cNvGrpSpPr/>
                              <wpg:grpSpPr>
                                <a:xfrm>
                                  <a:off x="12697" y="679006"/>
                                  <a:ext cx="1835" cy="482"/>
                                  <a:chOff x="12397" y="678862"/>
                                  <a:chExt cx="1835" cy="482"/>
                                </a:xfrm>
                              </wpg:grpSpPr>
                              <wps:wsp>
                                <wps:cNvPr id="208" name="椭圆 208"/>
                                <wps:cNvSpPr/>
                                <wps:spPr>
                                  <a:xfrm>
                                    <a:off x="12397" y="679018"/>
                                    <a:ext cx="168" cy="156"/>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 name="文本框 209"/>
                                <wps:cNvSpPr txBox="1"/>
                                <wps:spPr>
                                  <a:xfrm>
                                    <a:off x="12481" y="678862"/>
                                    <a:ext cx="1751"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7F986">
                                      <w:pPr>
                                        <w:rPr>
                                          <w:rFonts w:hint="default" w:eastAsia="宋体"/>
                                          <w:b/>
                                          <w:bCs/>
                                          <w:color w:val="FF0000"/>
                                          <w:lang w:val="en-US" w:eastAsia="zh-CN"/>
                                        </w:rPr>
                                      </w:pPr>
                                      <w:r>
                                        <w:rPr>
                                          <w:rFonts w:hint="eastAsia"/>
                                          <w:b/>
                                          <w:bCs/>
                                          <w:color w:val="FF0000"/>
                                          <w:lang w:val="en-US" w:eastAsia="zh-CN"/>
                                        </w:rPr>
                                        <w:t>现状监测点位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12" name="组合 212"/>
                              <wpg:cNvGrpSpPr/>
                              <wpg:grpSpPr>
                                <a:xfrm>
                                  <a:off x="12613" y="678658"/>
                                  <a:ext cx="2230" cy="517"/>
                                  <a:chOff x="12541" y="677470"/>
                                  <a:chExt cx="2230" cy="517"/>
                                </a:xfrm>
                              </wpg:grpSpPr>
                              <wps:wsp>
                                <wps:cNvPr id="206" name="文本框 206"/>
                                <wps:cNvSpPr txBox="1"/>
                                <wps:spPr>
                                  <a:xfrm>
                                    <a:off x="12710" y="677470"/>
                                    <a:ext cx="2061" cy="5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06282">
                                      <w:pPr>
                                        <w:rPr>
                                          <w:rFonts w:hint="default" w:eastAsia="宋体"/>
                                          <w:b/>
                                          <w:bCs/>
                                          <w:color w:val="FF0000"/>
                                          <w:lang w:val="en-US" w:eastAsia="zh-CN"/>
                                        </w:rPr>
                                      </w:pPr>
                                      <w:r>
                                        <w:rPr>
                                          <w:rFonts w:hint="eastAsia"/>
                                          <w:b/>
                                          <w:bCs/>
                                          <w:color w:val="FF0000"/>
                                          <w:lang w:val="en-US" w:eastAsia="zh-CN"/>
                                        </w:rPr>
                                        <w:t>本项目所在位置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 name="矩形 211"/>
                                <wps:cNvSpPr/>
                                <wps:spPr>
                                  <a:xfrm>
                                    <a:off x="12541" y="677632"/>
                                    <a:ext cx="265" cy="156"/>
                                  </a:xfrm>
                                  <a:prstGeom prst="rect">
                                    <a:avLst/>
                                  </a:prstGeom>
                                  <a:solidFill>
                                    <a:srgbClr val="FF0000">
                                      <a:alpha val="60000"/>
                                    </a:srgbClr>
                                  </a:solidFill>
                                  <a:ln>
                                    <a:solidFill>
                                      <a:srgbClr val="FF0000">
                                        <a:alpha val="4000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298.7pt;margin-top:455.75pt;height:41.5pt;width:111.5pt;z-index:251662336;mso-width-relative:page;mso-height-relative:page;" coordorigin="12613,678658" coordsize="2230,830" o:gfxdata="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">
                      <o:lock v:ext="edit" aspectratio="f"/>
                      <v:group id="_x0000_s1026" o:spid="_x0000_s1026" o:spt="203" style="position:absolute;left:12697;top:679006;height:482;width:1835;" coordorigin="12397,678862" coordsize="1835,482"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12397;top:679018;height:156;width:168;v-text-anchor:middle;" fillcolor="#FF0000" filled="t" stroked="t" coordsize="21600,21600" o:gfxdata="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6gTe5AAAA3AAA&#10;AA8AAAAAAAAAAQAgAAAAIgAAAGRycy9kb3ducmV2LnhtbFBLAQIUABQAAAAIAIdO4kAzLwWeOwAA&#10;ADkAAAAQAAAAAAAAAAEAIAAAAAgBAABkcnMvc2hhcGV4bWwueG1sUEsFBgAAAAAGAAYAWwEAALID&#10;AAAAAA==&#10;">
                          <v:fill on="t" focussize="0,0"/>
                          <v:stroke weight="2pt" color="#FF0000 [2404]" joinstyle="round"/>
                          <v:imagedata o:title=""/>
                          <o:lock v:ext="edit" aspectratio="f"/>
                        </v:shape>
                        <v:shape id="_x0000_s1026" o:spid="_x0000_s1026" o:spt="202" type="#_x0000_t202" style="position:absolute;left:12481;top:678862;height:482;width:1751;" filled="f" stroked="f" coordsize="21600,21600" o:gfxdata="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1cV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DB7F986">
                                <w:pPr>
                                  <w:rPr>
                                    <w:rFonts w:hint="default" w:eastAsia="宋体"/>
                                    <w:b/>
                                    <w:bCs/>
                                    <w:color w:val="FF0000"/>
                                    <w:lang w:val="en-US" w:eastAsia="zh-CN"/>
                                  </w:rPr>
                                </w:pPr>
                                <w:r>
                                  <w:rPr>
                                    <w:rFonts w:hint="eastAsia"/>
                                    <w:b/>
                                    <w:bCs/>
                                    <w:color w:val="FF0000"/>
                                    <w:lang w:val="en-US" w:eastAsia="zh-CN"/>
                                  </w:rPr>
                                  <w:t>现状监测点位</w:t>
                                </w:r>
                              </w:p>
                            </w:txbxContent>
                          </v:textbox>
                        </v:shape>
                      </v:group>
                      <v:group id="_x0000_s1026" o:spid="_x0000_s1026" o:spt="203" style="position:absolute;left:12613;top:678658;height:517;width:2230;" coordorigin="12541,677470" coordsize="2230,517"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2710;top:677470;height:517;width:2061;" filled="f" stroked="f" coordsize="21600,21600" o:gfxdata="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KUR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3E06282">
                                <w:pPr>
                                  <w:rPr>
                                    <w:rFonts w:hint="default" w:eastAsia="宋体"/>
                                    <w:b/>
                                    <w:bCs/>
                                    <w:color w:val="FF0000"/>
                                    <w:lang w:val="en-US" w:eastAsia="zh-CN"/>
                                  </w:rPr>
                                </w:pPr>
                                <w:r>
                                  <w:rPr>
                                    <w:rFonts w:hint="eastAsia"/>
                                    <w:b/>
                                    <w:bCs/>
                                    <w:color w:val="FF0000"/>
                                    <w:lang w:val="en-US" w:eastAsia="zh-CN"/>
                                  </w:rPr>
                                  <w:t>本项目所在位置</w:t>
                                </w:r>
                              </w:p>
                            </w:txbxContent>
                          </v:textbox>
                        </v:shape>
                        <v:rect id="_x0000_s1026" o:spid="_x0000_s1026" o:spt="1" style="position:absolute;left:12541;top:677632;height:156;width:265;v-text-anchor:middle;" fillcolor="#FF0000" filled="t" stroked="t" coordsize="21600,21600" o:gfxdata="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mmIm/&#10;AAAA3AAAAA8AAAAAAAAAAQAgAAAAIgAAAGRycy9kb3ducmV2LnhtbFBLAQIUABQAAAAIAIdO4kAz&#10;LwWeOwAAADkAAAAQAAAAAAAAAAEAIAAAAA4BAABkcnMvc2hhcGV4bWwueG1sUEsFBgAAAAAGAAYA&#10;WwEAALgDAAAAAA==&#10;">
                          <v:fill on="t" opacity="39321f" focussize="0,0"/>
                          <v:stroke weight="2pt" color="#FF0000 [2404]" opacity="26214f" joinstyle="round"/>
                          <v:imagedata o:title=""/>
                          <o:lock v:ext="edit" aspectratio="f"/>
                        </v:rect>
                      </v:group>
                    </v:group>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2414270</wp:posOffset>
                      </wp:positionH>
                      <wp:positionV relativeFrom="paragraph">
                        <wp:posOffset>3585845</wp:posOffset>
                      </wp:positionV>
                      <wp:extent cx="106680" cy="99060"/>
                      <wp:effectExtent l="12700" t="12700" r="17780" b="25400"/>
                      <wp:wrapNone/>
                      <wp:docPr id="207" name="椭圆 207"/>
                      <wp:cNvGraphicFramePr/>
                      <a:graphic xmlns:a="http://schemas.openxmlformats.org/drawingml/2006/main">
                        <a:graphicData uri="http://schemas.microsoft.com/office/word/2010/wordprocessingShape">
                          <wps:wsp>
                            <wps:cNvSpPr/>
                            <wps:spPr>
                              <a:xfrm>
                                <a:off x="3818890" y="4564380"/>
                                <a:ext cx="106680" cy="9906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0.1pt;margin-top:282.35pt;height:7.8pt;width:8.4pt;z-index:251661312;v-text-anchor:middle;mso-width-relative:page;mso-height-relative:page;" fillcolor="#FF0000" filled="t" stroked="t" coordsize="21600,21600" o:gfxdata="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IZu781wAAAAsBAAAPAAAAAAAAAAEAIAAAACIAAABkcnMvZG93bnJl&#10;di54bWxQSwECFAAUAAAACACHTuJAtY2p5XACAADuBAAADgAAAAAAAAABACAAAAAmAQAAZHJzL2Uy&#10;b0RvYy54bWxQSwUGAAAAAAYABgBZAQAACAYAAAAA&#10;">
                      <v:fill on="t" focussize="0,0"/>
                      <v:stroke weight="2pt" color="#FF0000 [2404]" joinstyle="round"/>
                      <v:imagedata o:title=""/>
                      <o:lock v:ext="edit" aspectratio="f"/>
                    </v:shape>
                  </w:pict>
                </mc:Fallback>
              </mc:AlternateContent>
            </w:r>
            <w:r>
              <w:drawing>
                <wp:inline distT="0" distB="0" distL="114300" distR="114300">
                  <wp:extent cx="5127625" cy="6454775"/>
                  <wp:effectExtent l="0" t="0" r="8255" b="6985"/>
                  <wp:docPr id="20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57"/>
                          <pic:cNvPicPr>
                            <a:picLocks noChangeAspect="1"/>
                          </pic:cNvPicPr>
                        </pic:nvPicPr>
                        <pic:blipFill>
                          <a:blip r:embed="rId21"/>
                          <a:stretch>
                            <a:fillRect/>
                          </a:stretch>
                        </pic:blipFill>
                        <pic:spPr>
                          <a:xfrm>
                            <a:off x="0" y="0"/>
                            <a:ext cx="5127625" cy="6454775"/>
                          </a:xfrm>
                          <a:prstGeom prst="rect">
                            <a:avLst/>
                          </a:prstGeom>
                          <a:noFill/>
                          <a:ln>
                            <a:noFill/>
                          </a:ln>
                        </pic:spPr>
                      </pic:pic>
                    </a:graphicData>
                  </a:graphic>
                </wp:inline>
              </w:drawing>
            </w:r>
          </w:p>
          <w:p w14:paraId="632B6523">
            <w:pPr>
              <w:keepNext w:val="0"/>
              <w:keepLines w:val="0"/>
              <w:pageBreakBefore w:val="0"/>
              <w:widowControl w:val="0"/>
              <w:kinsoku/>
              <w:wordWrap/>
              <w:overflowPunct/>
              <w:topLinePunct w:val="0"/>
              <w:autoSpaceDE/>
              <w:autoSpaceDN/>
              <w:bidi w:val="0"/>
              <w:adjustRightInd w:val="0"/>
              <w:snapToGrid w:val="0"/>
              <w:spacing w:after="157" w:afterLines="50" w:line="240" w:lineRule="auto"/>
              <w:jc w:val="center"/>
              <w:textAlignment w:val="auto"/>
              <w:rPr>
                <w:rFonts w:hint="eastAsia"/>
                <w:lang w:val="en-US" w:eastAsia="zh-CN"/>
              </w:rPr>
            </w:pPr>
            <w:r>
              <w:rPr>
                <w:rFonts w:hint="eastAsia" w:ascii="宋体" w:hAnsi="宋体" w:cs="宋体"/>
                <w:b/>
                <w:bCs/>
                <w:sz w:val="22"/>
                <w:szCs w:val="22"/>
                <w:lang w:val="en-US" w:eastAsia="zh-CN"/>
              </w:rPr>
              <w:t>图</w:t>
            </w:r>
            <w:r>
              <w:rPr>
                <w:rFonts w:hint="eastAsia" w:ascii="宋体" w:hAnsi="宋体" w:eastAsia="宋体" w:cs="宋体"/>
                <w:b/>
                <w:bCs/>
                <w:sz w:val="22"/>
                <w:szCs w:val="22"/>
                <w:lang w:val="en-US" w:eastAsia="zh-CN"/>
              </w:rPr>
              <w:t>3-</w:t>
            </w:r>
            <w:r>
              <w:rPr>
                <w:rFonts w:hint="eastAsia" w:cs="Times New Roman"/>
                <w:b/>
                <w:bCs/>
                <w:sz w:val="22"/>
                <w:szCs w:val="22"/>
                <w:lang w:val="en-US" w:eastAsia="zh-CN"/>
              </w:rPr>
              <w:t>1</w:t>
            </w:r>
            <w:r>
              <w:rPr>
                <w:rFonts w:hint="default" w:ascii="宋体" w:hAnsi="宋体" w:eastAsia="宋体" w:cs="宋体"/>
                <w:b/>
                <w:bCs/>
                <w:sz w:val="22"/>
                <w:szCs w:val="22"/>
                <w:lang w:val="en-US" w:eastAsia="zh-CN"/>
              </w:rPr>
              <w:t xml:space="preserve">  </w:t>
            </w:r>
            <w:r>
              <w:rPr>
                <w:rFonts w:hint="eastAsia" w:ascii="宋体" w:hAnsi="宋体" w:cs="宋体"/>
                <w:b/>
                <w:bCs/>
                <w:sz w:val="22"/>
                <w:szCs w:val="22"/>
                <w:lang w:val="en-US" w:eastAsia="zh-CN"/>
              </w:rPr>
              <w:t>现状监测点位一览图</w:t>
            </w:r>
          </w:p>
          <w:p w14:paraId="3E1E3C20">
            <w:pPr>
              <w:autoSpaceDE w:val="0"/>
              <w:autoSpaceDN w:val="0"/>
              <w:adjustRightInd w:val="0"/>
              <w:snapToGrid w:val="0"/>
              <w:spacing w:line="360" w:lineRule="auto"/>
              <w:jc w:val="left"/>
              <w:rPr>
                <w:rFonts w:hint="default" w:ascii="宋体" w:hAnsi="宋体" w:eastAsia="宋体" w:cs="宋体"/>
                <w:kern w:val="0"/>
                <w:sz w:val="24"/>
                <w:szCs w:val="24"/>
                <w:lang w:val="en-US" w:eastAsia="zh-CN"/>
              </w:rPr>
            </w:pPr>
            <w:r>
              <w:rPr>
                <w:rFonts w:hint="eastAsia" w:ascii="宋体" w:hAnsi="宋体" w:cs="宋体"/>
                <w:b/>
                <w:bCs/>
                <w:kern w:val="0"/>
                <w:sz w:val="24"/>
                <w:szCs w:val="24"/>
                <w:lang w:val="en-US" w:eastAsia="zh-CN"/>
              </w:rPr>
              <w:t>2、地表水环境</w:t>
            </w:r>
          </w:p>
          <w:p w14:paraId="0E9A8347">
            <w:pPr>
              <w:autoSpaceDE w:val="0"/>
              <w:autoSpaceDN w:val="0"/>
              <w:adjustRightInd w:val="0"/>
              <w:snapToGrid w:val="0"/>
              <w:spacing w:line="360" w:lineRule="auto"/>
              <w:ind w:firstLine="480" w:firstLineChars="200"/>
              <w:jc w:val="both"/>
              <w:rPr>
                <w:rFonts w:hint="default"/>
                <w:lang w:val="en-US" w:eastAsia="zh-CN"/>
              </w:rPr>
            </w:pPr>
            <w:r>
              <w:rPr>
                <w:rFonts w:hint="eastAsia"/>
                <w:color w:val="000000"/>
                <w:kern w:val="0"/>
                <w:sz w:val="24"/>
                <w:lang w:val="en-US" w:eastAsia="zh-CN"/>
              </w:rPr>
              <w:t>根据《建设项目环境影响报告表编制技术指南（污染影响类）》（试行）的文件要求，地表水环境引用与建设项目距离近的有效数据，包括近3年的规划环境影响评价的监测数据，所在流域控制单元内国家、地方控制断面监测数据，生态环境主管部门发布的水环境质量数据或地表水达标情况的结论。本次评价引用《安徽淮北烈山经济开发区环境影响区域评估报告（2024年版）》中对新濉河、闸河的水环境现状监测情况，采样日期为2024年10月8日至10月10日，检测结果详见下表。</w:t>
            </w:r>
          </w:p>
          <w:p w14:paraId="5E6FF939">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default" w:ascii="宋体" w:hAnsi="宋体" w:eastAsia="宋体" w:cs="宋体"/>
                <w:b/>
                <w:bCs/>
                <w:sz w:val="22"/>
                <w:szCs w:val="22"/>
                <w:lang w:val="en-US" w:eastAsia="zh-CN"/>
              </w:rPr>
              <w:t>表</w:t>
            </w:r>
            <w:r>
              <w:rPr>
                <w:rFonts w:hint="eastAsia" w:ascii="宋体" w:hAnsi="宋体" w:eastAsia="宋体" w:cs="宋体"/>
                <w:b/>
                <w:bCs/>
                <w:sz w:val="22"/>
                <w:szCs w:val="22"/>
                <w:lang w:val="en-US" w:eastAsia="zh-CN"/>
              </w:rPr>
              <w:t>3-</w:t>
            </w:r>
            <w:r>
              <w:rPr>
                <w:rFonts w:hint="eastAsia" w:cs="Times New Roman"/>
                <w:b/>
                <w:bCs/>
                <w:sz w:val="22"/>
                <w:szCs w:val="22"/>
                <w:lang w:val="en-US" w:eastAsia="zh-CN"/>
              </w:rPr>
              <w:t>2</w:t>
            </w:r>
            <w:r>
              <w:rPr>
                <w:rFonts w:hint="default" w:ascii="宋体" w:hAnsi="宋体" w:eastAsia="宋体" w:cs="宋体"/>
                <w:b/>
                <w:bCs/>
                <w:sz w:val="22"/>
                <w:szCs w:val="22"/>
                <w:lang w:val="en-US" w:eastAsia="zh-CN"/>
              </w:rPr>
              <w:t xml:space="preserve">  </w:t>
            </w:r>
            <w:r>
              <w:rPr>
                <w:rFonts w:hint="eastAsia" w:ascii="宋体" w:hAnsi="宋体" w:cs="宋体"/>
                <w:b/>
                <w:bCs/>
                <w:sz w:val="22"/>
                <w:szCs w:val="22"/>
                <w:lang w:val="en-US" w:eastAsia="zh-CN"/>
              </w:rPr>
              <w:t>闸河水</w:t>
            </w:r>
            <w:r>
              <w:rPr>
                <w:rFonts w:hint="eastAsia" w:ascii="宋体" w:hAnsi="宋体" w:eastAsia="宋体" w:cs="宋体"/>
                <w:b/>
                <w:bCs/>
                <w:sz w:val="22"/>
                <w:szCs w:val="22"/>
                <w:lang w:val="en-US" w:eastAsia="zh-CN"/>
              </w:rPr>
              <w:t>环境质量现状检测结果一览表</w:t>
            </w:r>
          </w:p>
          <w:tbl>
            <w:tblPr>
              <w:tblStyle w:val="15"/>
              <w:tblW w:w="46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582"/>
              <w:gridCol w:w="2209"/>
              <w:gridCol w:w="1848"/>
              <w:gridCol w:w="1829"/>
            </w:tblGrid>
            <w:tr w14:paraId="4636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restart"/>
                  <w:tcBorders>
                    <w:tl2br w:val="nil"/>
                    <w:tr2bl w:val="nil"/>
                  </w:tcBorders>
                  <w:noWrap/>
                  <w:tcMar>
                    <w:top w:w="57" w:type="dxa"/>
                    <w:left w:w="57" w:type="dxa"/>
                    <w:bottom w:w="57" w:type="dxa"/>
                    <w:right w:w="57" w:type="dxa"/>
                  </w:tcMar>
                  <w:vAlign w:val="center"/>
                </w:tcPr>
                <w:p w14:paraId="515D384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断面编号</w:t>
                  </w:r>
                </w:p>
              </w:tc>
              <w:tc>
                <w:tcPr>
                  <w:tcW w:w="2209" w:type="dxa"/>
                  <w:vMerge w:val="restart"/>
                  <w:tcBorders>
                    <w:tl2br w:val="nil"/>
                    <w:tr2bl w:val="nil"/>
                  </w:tcBorders>
                  <w:noWrap/>
                  <w:tcMar>
                    <w:top w:w="57" w:type="dxa"/>
                    <w:left w:w="57" w:type="dxa"/>
                    <w:bottom w:w="57" w:type="dxa"/>
                    <w:right w:w="57" w:type="dxa"/>
                  </w:tcMar>
                  <w:vAlign w:val="center"/>
                </w:tcPr>
                <w:p w14:paraId="76F61FC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检测项目</w:t>
                  </w:r>
                </w:p>
              </w:tc>
              <w:tc>
                <w:tcPr>
                  <w:tcW w:w="3677" w:type="dxa"/>
                  <w:gridSpan w:val="2"/>
                  <w:tcBorders>
                    <w:tl2br w:val="nil"/>
                    <w:tr2bl w:val="nil"/>
                  </w:tcBorders>
                  <w:noWrap/>
                  <w:tcMar>
                    <w:top w:w="57" w:type="dxa"/>
                    <w:left w:w="57" w:type="dxa"/>
                    <w:bottom w:w="57" w:type="dxa"/>
                    <w:right w:w="57" w:type="dxa"/>
                  </w:tcMar>
                  <w:vAlign w:val="center"/>
                </w:tcPr>
                <w:p w14:paraId="5C8C51A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rPr>
                  </w:pPr>
                  <w:r>
                    <w:rPr>
                      <w:rFonts w:hint="eastAsia" w:ascii="Times New Roman" w:hAnsi="Times New Roman" w:eastAsia="宋体" w:cs="Times New Roman"/>
                      <w:b/>
                      <w:bCs/>
                      <w:color w:val="000000"/>
                      <w:kern w:val="2"/>
                      <w:sz w:val="22"/>
                      <w:szCs w:val="22"/>
                      <w:highlight w:val="none"/>
                      <w:lang w:val="en-US" w:eastAsia="zh-CN"/>
                    </w:rPr>
                    <w:t>检测结果（</w:t>
                  </w:r>
                  <w:r>
                    <w:rPr>
                      <w:rFonts w:hint="eastAsia" w:ascii="宋体" w:hAnsi="宋体" w:eastAsia="宋体" w:cs="宋体"/>
                      <w:b/>
                      <w:bCs/>
                      <w:sz w:val="22"/>
                      <w:szCs w:val="22"/>
                      <w:lang w:val="en-US" w:eastAsia="zh-CN"/>
                    </w:rPr>
                    <w:t>mg/L，pH无量纲</w:t>
                  </w:r>
                  <w:r>
                    <w:rPr>
                      <w:rFonts w:hint="eastAsia" w:ascii="Times New Roman" w:hAnsi="Times New Roman" w:eastAsia="宋体" w:cs="Times New Roman"/>
                      <w:b/>
                      <w:bCs/>
                      <w:color w:val="000000"/>
                      <w:kern w:val="2"/>
                      <w:sz w:val="22"/>
                      <w:szCs w:val="22"/>
                      <w:highlight w:val="none"/>
                      <w:lang w:val="en-US" w:eastAsia="zh-CN"/>
                    </w:rPr>
                    <w:t>）</w:t>
                  </w:r>
                </w:p>
              </w:tc>
            </w:tr>
            <w:tr w14:paraId="588E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continue"/>
                  <w:tcBorders>
                    <w:tl2br w:val="nil"/>
                    <w:tr2bl w:val="nil"/>
                  </w:tcBorders>
                  <w:noWrap/>
                  <w:tcMar>
                    <w:top w:w="57" w:type="dxa"/>
                    <w:left w:w="57" w:type="dxa"/>
                    <w:bottom w:w="57" w:type="dxa"/>
                    <w:right w:w="57" w:type="dxa"/>
                  </w:tcMar>
                  <w:vAlign w:val="center"/>
                </w:tcPr>
                <w:p w14:paraId="798BB59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2"/>
                      <w:szCs w:val="22"/>
                      <w:highlight w:val="none"/>
                      <w:lang w:val="en-US" w:eastAsia="zh-CN"/>
                    </w:rPr>
                  </w:pPr>
                </w:p>
              </w:tc>
              <w:tc>
                <w:tcPr>
                  <w:tcW w:w="2209" w:type="dxa"/>
                  <w:vMerge w:val="continue"/>
                  <w:tcBorders>
                    <w:tl2br w:val="nil"/>
                    <w:tr2bl w:val="nil"/>
                  </w:tcBorders>
                  <w:noWrap/>
                  <w:tcMar>
                    <w:top w:w="57" w:type="dxa"/>
                    <w:left w:w="57" w:type="dxa"/>
                    <w:bottom w:w="57" w:type="dxa"/>
                    <w:right w:w="57" w:type="dxa"/>
                  </w:tcMar>
                  <w:vAlign w:val="center"/>
                </w:tcPr>
                <w:p w14:paraId="78BE277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2"/>
                      <w:szCs w:val="22"/>
                      <w:highlight w:val="none"/>
                      <w:lang w:val="en-US" w:eastAsia="zh-CN"/>
                    </w:rPr>
                  </w:pPr>
                </w:p>
              </w:tc>
              <w:tc>
                <w:tcPr>
                  <w:tcW w:w="1848" w:type="dxa"/>
                  <w:tcBorders>
                    <w:tl2br w:val="nil"/>
                    <w:tr2bl w:val="nil"/>
                  </w:tcBorders>
                  <w:shd w:val="clear" w:color="auto" w:fill="auto"/>
                  <w:noWrap/>
                  <w:tcMar>
                    <w:top w:w="57" w:type="dxa"/>
                    <w:left w:w="57" w:type="dxa"/>
                    <w:bottom w:w="57" w:type="dxa"/>
                    <w:right w:w="57" w:type="dxa"/>
                  </w:tcMar>
                  <w:vAlign w:val="center"/>
                </w:tcPr>
                <w:p w14:paraId="59A5D17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2"/>
                      <w:szCs w:val="22"/>
                      <w:highlight w:val="none"/>
                      <w:lang w:val="en-US" w:eastAsia="zh-CN" w:bidi="ar-SA"/>
                    </w:rPr>
                  </w:pPr>
                  <w:r>
                    <w:rPr>
                      <w:rFonts w:hint="eastAsia" w:ascii="宋体" w:hAnsi="宋体" w:cs="宋体"/>
                      <w:color w:val="000000"/>
                      <w:kern w:val="2"/>
                      <w:sz w:val="22"/>
                      <w:szCs w:val="22"/>
                      <w:highlight w:val="none"/>
                      <w:lang w:val="en-US" w:eastAsia="zh-CN" w:bidi="ar-SA"/>
                    </w:rPr>
                    <w:t>最小值</w:t>
                  </w:r>
                </w:p>
              </w:tc>
              <w:tc>
                <w:tcPr>
                  <w:tcW w:w="1829" w:type="dxa"/>
                  <w:tcBorders>
                    <w:tl2br w:val="nil"/>
                    <w:tr2bl w:val="nil"/>
                  </w:tcBorders>
                  <w:shd w:val="clear" w:color="auto" w:fill="auto"/>
                  <w:noWrap/>
                  <w:tcMar>
                    <w:top w:w="57" w:type="dxa"/>
                    <w:left w:w="57" w:type="dxa"/>
                    <w:bottom w:w="57" w:type="dxa"/>
                    <w:right w:w="57" w:type="dxa"/>
                  </w:tcMar>
                  <w:vAlign w:val="center"/>
                </w:tcPr>
                <w:p w14:paraId="724E882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2"/>
                      <w:szCs w:val="22"/>
                      <w:highlight w:val="none"/>
                      <w:lang w:val="en-US" w:eastAsia="zh-CN" w:bidi="ar-SA"/>
                    </w:rPr>
                  </w:pPr>
                  <w:r>
                    <w:rPr>
                      <w:rFonts w:hint="eastAsia" w:ascii="宋体" w:hAnsi="宋体" w:cs="宋体"/>
                      <w:color w:val="000000"/>
                      <w:kern w:val="2"/>
                      <w:sz w:val="22"/>
                      <w:szCs w:val="22"/>
                      <w:highlight w:val="none"/>
                      <w:lang w:val="en-US" w:eastAsia="zh-CN" w:bidi="ar-SA"/>
                    </w:rPr>
                    <w:t>最大值</w:t>
                  </w:r>
                </w:p>
              </w:tc>
            </w:tr>
            <w:tr w14:paraId="07E4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restart"/>
                  <w:tcBorders>
                    <w:tl2br w:val="nil"/>
                    <w:tr2bl w:val="nil"/>
                  </w:tcBorders>
                  <w:noWrap/>
                  <w:tcMar>
                    <w:top w:w="57" w:type="dxa"/>
                    <w:left w:w="57" w:type="dxa"/>
                    <w:bottom w:w="57" w:type="dxa"/>
                    <w:right w:w="57" w:type="dxa"/>
                  </w:tcMar>
                  <w:vAlign w:val="center"/>
                </w:tcPr>
                <w:p w14:paraId="33C4F7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W9</w:t>
                  </w:r>
                </w:p>
              </w:tc>
              <w:tc>
                <w:tcPr>
                  <w:tcW w:w="2209" w:type="dxa"/>
                  <w:tcBorders>
                    <w:tl2br w:val="nil"/>
                    <w:tr2bl w:val="nil"/>
                  </w:tcBorders>
                  <w:noWrap/>
                  <w:tcMar>
                    <w:top w:w="57" w:type="dxa"/>
                    <w:left w:w="57" w:type="dxa"/>
                    <w:bottom w:w="57" w:type="dxa"/>
                    <w:right w:w="57" w:type="dxa"/>
                  </w:tcMar>
                  <w:vAlign w:val="center"/>
                </w:tcPr>
                <w:p w14:paraId="7ED12F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Times New Roman" w:hAnsi="Times New Roman" w:eastAsia="宋体" w:cs="Times New Roman"/>
                      <w:color w:val="000000"/>
                      <w:kern w:val="2"/>
                      <w:sz w:val="22"/>
                      <w:szCs w:val="22"/>
                      <w:highlight w:val="none"/>
                      <w:lang w:val="en-US" w:eastAsia="zh-CN"/>
                    </w:rPr>
                    <w:t>PH</w:t>
                  </w:r>
                </w:p>
              </w:tc>
              <w:tc>
                <w:tcPr>
                  <w:tcW w:w="1848" w:type="dxa"/>
                  <w:tcBorders>
                    <w:tl2br w:val="nil"/>
                    <w:tr2bl w:val="nil"/>
                  </w:tcBorders>
                  <w:noWrap/>
                  <w:tcMar>
                    <w:top w:w="57" w:type="dxa"/>
                    <w:left w:w="57" w:type="dxa"/>
                    <w:bottom w:w="57" w:type="dxa"/>
                    <w:right w:w="57" w:type="dxa"/>
                  </w:tcMar>
                  <w:vAlign w:val="center"/>
                </w:tcPr>
                <w:p w14:paraId="0CC77FA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8.4</w:t>
                  </w:r>
                </w:p>
              </w:tc>
              <w:tc>
                <w:tcPr>
                  <w:tcW w:w="1829" w:type="dxa"/>
                  <w:tcBorders>
                    <w:tl2br w:val="nil"/>
                    <w:tr2bl w:val="nil"/>
                  </w:tcBorders>
                  <w:shd w:val="clear" w:color="auto" w:fill="auto"/>
                  <w:noWrap/>
                  <w:tcMar>
                    <w:top w:w="57" w:type="dxa"/>
                    <w:left w:w="57" w:type="dxa"/>
                    <w:bottom w:w="57" w:type="dxa"/>
                    <w:right w:w="57" w:type="dxa"/>
                  </w:tcMar>
                  <w:vAlign w:val="center"/>
                </w:tcPr>
                <w:p w14:paraId="696F4A8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8.5</w:t>
                  </w:r>
                </w:p>
              </w:tc>
            </w:tr>
            <w:tr w14:paraId="6B4C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582" w:type="dxa"/>
                  <w:vMerge w:val="continue"/>
                  <w:tcBorders>
                    <w:tl2br w:val="nil"/>
                    <w:tr2bl w:val="nil"/>
                  </w:tcBorders>
                  <w:noWrap/>
                  <w:tcMar>
                    <w:top w:w="57" w:type="dxa"/>
                    <w:left w:w="57" w:type="dxa"/>
                    <w:bottom w:w="57" w:type="dxa"/>
                    <w:right w:w="57" w:type="dxa"/>
                  </w:tcMar>
                  <w:vAlign w:val="center"/>
                </w:tcPr>
                <w:p w14:paraId="11A74A9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2209" w:type="dxa"/>
                  <w:tcBorders>
                    <w:tl2br w:val="nil"/>
                    <w:tr2bl w:val="nil"/>
                  </w:tcBorders>
                  <w:noWrap/>
                  <w:tcMar>
                    <w:top w:w="57" w:type="dxa"/>
                    <w:left w:w="57" w:type="dxa"/>
                    <w:bottom w:w="57" w:type="dxa"/>
                    <w:right w:w="57" w:type="dxa"/>
                  </w:tcMar>
                  <w:vAlign w:val="center"/>
                </w:tcPr>
                <w:p w14:paraId="420BF72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Times New Roman" w:hAnsi="Times New Roman" w:eastAsia="宋体" w:cs="Times New Roman"/>
                      <w:color w:val="000000"/>
                      <w:kern w:val="2"/>
                      <w:sz w:val="22"/>
                      <w:szCs w:val="22"/>
                      <w:highlight w:val="none"/>
                      <w:lang w:val="en-US" w:eastAsia="zh-CN"/>
                    </w:rPr>
                    <w:t>COD</w:t>
                  </w:r>
                </w:p>
              </w:tc>
              <w:tc>
                <w:tcPr>
                  <w:tcW w:w="1848" w:type="dxa"/>
                  <w:tcBorders>
                    <w:tl2br w:val="nil"/>
                    <w:tr2bl w:val="nil"/>
                  </w:tcBorders>
                  <w:noWrap/>
                  <w:tcMar>
                    <w:top w:w="57" w:type="dxa"/>
                    <w:left w:w="57" w:type="dxa"/>
                    <w:bottom w:w="57" w:type="dxa"/>
                    <w:right w:w="57" w:type="dxa"/>
                  </w:tcMar>
                  <w:vAlign w:val="center"/>
                </w:tcPr>
                <w:p w14:paraId="3D53AE6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14</w:t>
                  </w:r>
                </w:p>
              </w:tc>
              <w:tc>
                <w:tcPr>
                  <w:tcW w:w="1829" w:type="dxa"/>
                  <w:tcBorders>
                    <w:tl2br w:val="nil"/>
                    <w:tr2bl w:val="nil"/>
                  </w:tcBorders>
                  <w:shd w:val="clear" w:color="auto" w:fill="auto"/>
                  <w:noWrap/>
                  <w:tcMar>
                    <w:top w:w="57" w:type="dxa"/>
                    <w:left w:w="57" w:type="dxa"/>
                    <w:bottom w:w="57" w:type="dxa"/>
                    <w:right w:w="57" w:type="dxa"/>
                  </w:tcMar>
                  <w:vAlign w:val="center"/>
                </w:tcPr>
                <w:p w14:paraId="70CB46E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16</w:t>
                  </w:r>
                </w:p>
              </w:tc>
            </w:tr>
            <w:tr w14:paraId="4AB2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continue"/>
                  <w:tcBorders>
                    <w:tl2br w:val="nil"/>
                    <w:tr2bl w:val="nil"/>
                  </w:tcBorders>
                  <w:noWrap/>
                  <w:tcMar>
                    <w:top w:w="57" w:type="dxa"/>
                    <w:left w:w="57" w:type="dxa"/>
                    <w:bottom w:w="57" w:type="dxa"/>
                    <w:right w:w="57" w:type="dxa"/>
                  </w:tcMar>
                  <w:vAlign w:val="center"/>
                </w:tcPr>
                <w:p w14:paraId="48A5E8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p>
              </w:tc>
              <w:tc>
                <w:tcPr>
                  <w:tcW w:w="2209" w:type="dxa"/>
                  <w:tcBorders>
                    <w:tl2br w:val="nil"/>
                    <w:tr2bl w:val="nil"/>
                  </w:tcBorders>
                  <w:noWrap/>
                  <w:tcMar>
                    <w:top w:w="57" w:type="dxa"/>
                    <w:left w:w="57" w:type="dxa"/>
                    <w:bottom w:w="57" w:type="dxa"/>
                    <w:right w:w="57" w:type="dxa"/>
                  </w:tcMar>
                  <w:vAlign w:val="center"/>
                </w:tcPr>
                <w:p w14:paraId="6E666F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Times New Roman" w:hAnsi="Times New Roman" w:eastAsia="宋体" w:cs="Times New Roman"/>
                      <w:color w:val="000000"/>
                      <w:kern w:val="2"/>
                      <w:sz w:val="22"/>
                      <w:szCs w:val="22"/>
                      <w:highlight w:val="none"/>
                      <w:lang w:val="en-US" w:eastAsia="zh-CN"/>
                    </w:rPr>
                    <w:t>BOD</w:t>
                  </w:r>
                  <w:r>
                    <w:rPr>
                      <w:rFonts w:hint="eastAsia" w:ascii="Times New Roman" w:hAnsi="Times New Roman" w:eastAsia="宋体" w:cs="Times New Roman"/>
                      <w:color w:val="000000"/>
                      <w:kern w:val="2"/>
                      <w:sz w:val="22"/>
                      <w:szCs w:val="22"/>
                      <w:highlight w:val="none"/>
                      <w:vertAlign w:val="subscript"/>
                      <w:lang w:val="en-US" w:eastAsia="zh-CN"/>
                    </w:rPr>
                    <w:t>5</w:t>
                  </w:r>
                </w:p>
              </w:tc>
              <w:tc>
                <w:tcPr>
                  <w:tcW w:w="1848" w:type="dxa"/>
                  <w:tcBorders>
                    <w:tl2br w:val="nil"/>
                    <w:tr2bl w:val="nil"/>
                  </w:tcBorders>
                  <w:noWrap/>
                  <w:tcMar>
                    <w:top w:w="57" w:type="dxa"/>
                    <w:left w:w="57" w:type="dxa"/>
                    <w:bottom w:w="57" w:type="dxa"/>
                    <w:right w:w="57" w:type="dxa"/>
                  </w:tcMar>
                  <w:vAlign w:val="center"/>
                </w:tcPr>
                <w:p w14:paraId="5A51AB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3.2</w:t>
                  </w:r>
                </w:p>
              </w:tc>
              <w:tc>
                <w:tcPr>
                  <w:tcW w:w="1829" w:type="dxa"/>
                  <w:tcBorders>
                    <w:tl2br w:val="nil"/>
                    <w:tr2bl w:val="nil"/>
                  </w:tcBorders>
                  <w:shd w:val="clear" w:color="auto" w:fill="auto"/>
                  <w:noWrap/>
                  <w:tcMar>
                    <w:top w:w="57" w:type="dxa"/>
                    <w:left w:w="57" w:type="dxa"/>
                    <w:bottom w:w="57" w:type="dxa"/>
                    <w:right w:w="57" w:type="dxa"/>
                  </w:tcMar>
                  <w:vAlign w:val="center"/>
                </w:tcPr>
                <w:p w14:paraId="32D0506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4.1</w:t>
                  </w:r>
                </w:p>
              </w:tc>
            </w:tr>
            <w:tr w14:paraId="3A41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continue"/>
                  <w:tcBorders>
                    <w:tl2br w:val="nil"/>
                    <w:tr2bl w:val="nil"/>
                  </w:tcBorders>
                  <w:noWrap/>
                  <w:tcMar>
                    <w:top w:w="57" w:type="dxa"/>
                    <w:left w:w="57" w:type="dxa"/>
                    <w:bottom w:w="57" w:type="dxa"/>
                    <w:right w:w="57" w:type="dxa"/>
                  </w:tcMar>
                  <w:vAlign w:val="center"/>
                </w:tcPr>
                <w:p w14:paraId="644CDFD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2209" w:type="dxa"/>
                  <w:tcBorders>
                    <w:tl2br w:val="nil"/>
                    <w:tr2bl w:val="nil"/>
                  </w:tcBorders>
                  <w:noWrap/>
                  <w:tcMar>
                    <w:top w:w="57" w:type="dxa"/>
                    <w:left w:w="57" w:type="dxa"/>
                    <w:bottom w:w="57" w:type="dxa"/>
                    <w:right w:w="57" w:type="dxa"/>
                  </w:tcMar>
                  <w:vAlign w:val="center"/>
                </w:tcPr>
                <w:p w14:paraId="282E3A7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Times New Roman" w:hAnsi="Times New Roman" w:eastAsia="宋体" w:cs="Times New Roman"/>
                      <w:color w:val="000000"/>
                      <w:kern w:val="2"/>
                      <w:sz w:val="22"/>
                      <w:szCs w:val="22"/>
                      <w:highlight w:val="none"/>
                      <w:lang w:val="en-US" w:eastAsia="zh-CN"/>
                    </w:rPr>
                    <w:t>氨氮</w:t>
                  </w:r>
                </w:p>
              </w:tc>
              <w:tc>
                <w:tcPr>
                  <w:tcW w:w="1848" w:type="dxa"/>
                  <w:tcBorders>
                    <w:tl2br w:val="nil"/>
                    <w:tr2bl w:val="nil"/>
                  </w:tcBorders>
                  <w:noWrap/>
                  <w:tcMar>
                    <w:top w:w="57" w:type="dxa"/>
                    <w:left w:w="57" w:type="dxa"/>
                    <w:bottom w:w="57" w:type="dxa"/>
                    <w:right w:w="57" w:type="dxa"/>
                  </w:tcMar>
                  <w:vAlign w:val="center"/>
                </w:tcPr>
                <w:p w14:paraId="49921E5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0.187</w:t>
                  </w:r>
                </w:p>
              </w:tc>
              <w:tc>
                <w:tcPr>
                  <w:tcW w:w="1829" w:type="dxa"/>
                  <w:tcBorders>
                    <w:tl2br w:val="nil"/>
                    <w:tr2bl w:val="nil"/>
                  </w:tcBorders>
                  <w:shd w:val="clear" w:color="auto" w:fill="auto"/>
                  <w:noWrap/>
                  <w:tcMar>
                    <w:top w:w="57" w:type="dxa"/>
                    <w:left w:w="57" w:type="dxa"/>
                    <w:bottom w:w="57" w:type="dxa"/>
                    <w:right w:w="57" w:type="dxa"/>
                  </w:tcMar>
                  <w:vAlign w:val="center"/>
                </w:tcPr>
                <w:p w14:paraId="4BCB801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0.2</w:t>
                  </w:r>
                </w:p>
              </w:tc>
            </w:tr>
            <w:tr w14:paraId="277E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restart"/>
                  <w:tcBorders>
                    <w:tl2br w:val="nil"/>
                    <w:tr2bl w:val="nil"/>
                  </w:tcBorders>
                  <w:noWrap/>
                  <w:tcMar>
                    <w:top w:w="57" w:type="dxa"/>
                    <w:left w:w="57" w:type="dxa"/>
                    <w:bottom w:w="57" w:type="dxa"/>
                    <w:right w:w="57" w:type="dxa"/>
                  </w:tcMar>
                  <w:vAlign w:val="center"/>
                </w:tcPr>
                <w:p w14:paraId="50E2E98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W10</w:t>
                  </w:r>
                </w:p>
              </w:tc>
              <w:tc>
                <w:tcPr>
                  <w:tcW w:w="2209" w:type="dxa"/>
                  <w:tcBorders>
                    <w:tl2br w:val="nil"/>
                    <w:tr2bl w:val="nil"/>
                  </w:tcBorders>
                  <w:shd w:val="clear" w:color="auto" w:fill="auto"/>
                  <w:noWrap/>
                  <w:tcMar>
                    <w:top w:w="57" w:type="dxa"/>
                    <w:left w:w="57" w:type="dxa"/>
                    <w:bottom w:w="57" w:type="dxa"/>
                    <w:right w:w="57" w:type="dxa"/>
                  </w:tcMar>
                  <w:vAlign w:val="center"/>
                </w:tcPr>
                <w:p w14:paraId="4200A3E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PH</w:t>
                  </w:r>
                </w:p>
              </w:tc>
              <w:tc>
                <w:tcPr>
                  <w:tcW w:w="1848" w:type="dxa"/>
                  <w:tcBorders>
                    <w:tl2br w:val="nil"/>
                    <w:tr2bl w:val="nil"/>
                  </w:tcBorders>
                  <w:noWrap/>
                  <w:tcMar>
                    <w:top w:w="57" w:type="dxa"/>
                    <w:left w:w="57" w:type="dxa"/>
                    <w:bottom w:w="57" w:type="dxa"/>
                    <w:right w:w="57" w:type="dxa"/>
                  </w:tcMar>
                  <w:vAlign w:val="center"/>
                </w:tcPr>
                <w:p w14:paraId="0ACCC82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8</w:t>
                  </w:r>
                </w:p>
              </w:tc>
              <w:tc>
                <w:tcPr>
                  <w:tcW w:w="1829" w:type="dxa"/>
                  <w:tcBorders>
                    <w:tl2br w:val="nil"/>
                    <w:tr2bl w:val="nil"/>
                  </w:tcBorders>
                  <w:shd w:val="clear" w:color="auto" w:fill="auto"/>
                  <w:noWrap/>
                  <w:tcMar>
                    <w:top w:w="57" w:type="dxa"/>
                    <w:left w:w="57" w:type="dxa"/>
                    <w:bottom w:w="57" w:type="dxa"/>
                    <w:right w:w="57" w:type="dxa"/>
                  </w:tcMar>
                  <w:vAlign w:val="center"/>
                </w:tcPr>
                <w:p w14:paraId="3AC137D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8.2</w:t>
                  </w:r>
                </w:p>
              </w:tc>
            </w:tr>
            <w:tr w14:paraId="2F3D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continue"/>
                  <w:tcBorders>
                    <w:tl2br w:val="nil"/>
                    <w:tr2bl w:val="nil"/>
                  </w:tcBorders>
                  <w:noWrap/>
                  <w:tcMar>
                    <w:top w:w="57" w:type="dxa"/>
                    <w:left w:w="57" w:type="dxa"/>
                    <w:bottom w:w="57" w:type="dxa"/>
                    <w:right w:w="57" w:type="dxa"/>
                  </w:tcMar>
                  <w:vAlign w:val="center"/>
                </w:tcPr>
                <w:p w14:paraId="2642105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2209" w:type="dxa"/>
                  <w:tcBorders>
                    <w:tl2br w:val="nil"/>
                    <w:tr2bl w:val="nil"/>
                  </w:tcBorders>
                  <w:shd w:val="clear" w:color="auto" w:fill="auto"/>
                  <w:noWrap/>
                  <w:tcMar>
                    <w:top w:w="57" w:type="dxa"/>
                    <w:left w:w="57" w:type="dxa"/>
                    <w:bottom w:w="57" w:type="dxa"/>
                    <w:right w:w="57" w:type="dxa"/>
                  </w:tcMar>
                  <w:vAlign w:val="center"/>
                </w:tcPr>
                <w:p w14:paraId="6AA34F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COD</w:t>
                  </w:r>
                </w:p>
              </w:tc>
              <w:tc>
                <w:tcPr>
                  <w:tcW w:w="1848" w:type="dxa"/>
                  <w:tcBorders>
                    <w:tl2br w:val="nil"/>
                    <w:tr2bl w:val="nil"/>
                  </w:tcBorders>
                  <w:noWrap/>
                  <w:tcMar>
                    <w:top w:w="57" w:type="dxa"/>
                    <w:left w:w="57" w:type="dxa"/>
                    <w:bottom w:w="57" w:type="dxa"/>
                    <w:right w:w="57" w:type="dxa"/>
                  </w:tcMar>
                  <w:vAlign w:val="center"/>
                </w:tcPr>
                <w:p w14:paraId="327AED1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13</w:t>
                  </w:r>
                </w:p>
              </w:tc>
              <w:tc>
                <w:tcPr>
                  <w:tcW w:w="1829" w:type="dxa"/>
                  <w:tcBorders>
                    <w:tl2br w:val="nil"/>
                    <w:tr2bl w:val="nil"/>
                  </w:tcBorders>
                  <w:shd w:val="clear" w:color="auto" w:fill="auto"/>
                  <w:noWrap/>
                  <w:tcMar>
                    <w:top w:w="57" w:type="dxa"/>
                    <w:left w:w="57" w:type="dxa"/>
                    <w:bottom w:w="57" w:type="dxa"/>
                    <w:right w:w="57" w:type="dxa"/>
                  </w:tcMar>
                  <w:vAlign w:val="center"/>
                </w:tcPr>
                <w:p w14:paraId="4461A0C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16</w:t>
                  </w:r>
                </w:p>
              </w:tc>
            </w:tr>
            <w:tr w14:paraId="5FDF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continue"/>
                  <w:tcBorders>
                    <w:tl2br w:val="nil"/>
                    <w:tr2bl w:val="nil"/>
                  </w:tcBorders>
                  <w:noWrap/>
                  <w:tcMar>
                    <w:top w:w="57" w:type="dxa"/>
                    <w:left w:w="57" w:type="dxa"/>
                    <w:bottom w:w="57" w:type="dxa"/>
                    <w:right w:w="57" w:type="dxa"/>
                  </w:tcMar>
                  <w:vAlign w:val="center"/>
                </w:tcPr>
                <w:p w14:paraId="3034772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2209" w:type="dxa"/>
                  <w:tcBorders>
                    <w:tl2br w:val="nil"/>
                    <w:tr2bl w:val="nil"/>
                  </w:tcBorders>
                  <w:shd w:val="clear" w:color="auto" w:fill="auto"/>
                  <w:noWrap/>
                  <w:tcMar>
                    <w:top w:w="57" w:type="dxa"/>
                    <w:left w:w="57" w:type="dxa"/>
                    <w:bottom w:w="57" w:type="dxa"/>
                    <w:right w:w="57" w:type="dxa"/>
                  </w:tcMar>
                  <w:vAlign w:val="center"/>
                </w:tcPr>
                <w:p w14:paraId="643496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BOD</w:t>
                  </w:r>
                  <w:r>
                    <w:rPr>
                      <w:rFonts w:hint="eastAsia" w:ascii="Times New Roman" w:hAnsi="Times New Roman" w:eastAsia="宋体" w:cs="Times New Roman"/>
                      <w:color w:val="000000"/>
                      <w:kern w:val="2"/>
                      <w:sz w:val="22"/>
                      <w:szCs w:val="22"/>
                      <w:highlight w:val="none"/>
                      <w:vertAlign w:val="subscript"/>
                      <w:lang w:val="en-US" w:eastAsia="zh-CN"/>
                    </w:rPr>
                    <w:t>5</w:t>
                  </w:r>
                </w:p>
              </w:tc>
              <w:tc>
                <w:tcPr>
                  <w:tcW w:w="1848" w:type="dxa"/>
                  <w:tcBorders>
                    <w:tl2br w:val="nil"/>
                    <w:tr2bl w:val="nil"/>
                  </w:tcBorders>
                  <w:noWrap/>
                  <w:tcMar>
                    <w:top w:w="57" w:type="dxa"/>
                    <w:left w:w="57" w:type="dxa"/>
                    <w:bottom w:w="57" w:type="dxa"/>
                    <w:right w:w="57" w:type="dxa"/>
                  </w:tcMar>
                  <w:vAlign w:val="center"/>
                </w:tcPr>
                <w:p w14:paraId="434E18A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3.1</w:t>
                  </w:r>
                </w:p>
              </w:tc>
              <w:tc>
                <w:tcPr>
                  <w:tcW w:w="1829" w:type="dxa"/>
                  <w:tcBorders>
                    <w:tl2br w:val="nil"/>
                    <w:tr2bl w:val="nil"/>
                  </w:tcBorders>
                  <w:shd w:val="clear" w:color="auto" w:fill="auto"/>
                  <w:noWrap/>
                  <w:tcMar>
                    <w:top w:w="57" w:type="dxa"/>
                    <w:left w:w="57" w:type="dxa"/>
                    <w:bottom w:w="57" w:type="dxa"/>
                    <w:right w:w="57" w:type="dxa"/>
                  </w:tcMar>
                  <w:vAlign w:val="center"/>
                </w:tcPr>
                <w:p w14:paraId="4863F3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3.9</w:t>
                  </w:r>
                </w:p>
              </w:tc>
            </w:tr>
            <w:tr w14:paraId="6C5D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continue"/>
                  <w:tcBorders>
                    <w:tl2br w:val="nil"/>
                    <w:tr2bl w:val="nil"/>
                  </w:tcBorders>
                  <w:noWrap/>
                  <w:tcMar>
                    <w:top w:w="57" w:type="dxa"/>
                    <w:left w:w="57" w:type="dxa"/>
                    <w:bottom w:w="57" w:type="dxa"/>
                    <w:right w:w="57" w:type="dxa"/>
                  </w:tcMar>
                  <w:vAlign w:val="center"/>
                </w:tcPr>
                <w:p w14:paraId="0CE88FF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2209" w:type="dxa"/>
                  <w:tcBorders>
                    <w:tl2br w:val="nil"/>
                    <w:tr2bl w:val="nil"/>
                  </w:tcBorders>
                  <w:shd w:val="clear" w:color="auto" w:fill="auto"/>
                  <w:noWrap/>
                  <w:tcMar>
                    <w:top w:w="57" w:type="dxa"/>
                    <w:left w:w="57" w:type="dxa"/>
                    <w:bottom w:w="57" w:type="dxa"/>
                    <w:right w:w="57" w:type="dxa"/>
                  </w:tcMar>
                  <w:vAlign w:val="center"/>
                </w:tcPr>
                <w:p w14:paraId="3D2647E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氨氮</w:t>
                  </w:r>
                </w:p>
              </w:tc>
              <w:tc>
                <w:tcPr>
                  <w:tcW w:w="1848" w:type="dxa"/>
                  <w:tcBorders>
                    <w:tl2br w:val="nil"/>
                    <w:tr2bl w:val="nil"/>
                  </w:tcBorders>
                  <w:noWrap/>
                  <w:tcMar>
                    <w:top w:w="57" w:type="dxa"/>
                    <w:left w:w="57" w:type="dxa"/>
                    <w:bottom w:w="57" w:type="dxa"/>
                    <w:right w:w="57" w:type="dxa"/>
                  </w:tcMar>
                  <w:vAlign w:val="center"/>
                </w:tcPr>
                <w:p w14:paraId="6528B4F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0.186</w:t>
                  </w:r>
                </w:p>
              </w:tc>
              <w:tc>
                <w:tcPr>
                  <w:tcW w:w="1829" w:type="dxa"/>
                  <w:tcBorders>
                    <w:tl2br w:val="nil"/>
                    <w:tr2bl w:val="nil"/>
                  </w:tcBorders>
                  <w:shd w:val="clear" w:color="auto" w:fill="auto"/>
                  <w:noWrap/>
                  <w:tcMar>
                    <w:top w:w="57" w:type="dxa"/>
                    <w:left w:w="57" w:type="dxa"/>
                    <w:bottom w:w="57" w:type="dxa"/>
                    <w:right w:w="57" w:type="dxa"/>
                  </w:tcMar>
                  <w:vAlign w:val="center"/>
                </w:tcPr>
                <w:p w14:paraId="27A2D1A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0.197</w:t>
                  </w:r>
                </w:p>
              </w:tc>
            </w:tr>
            <w:tr w14:paraId="68E6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restart"/>
                  <w:tcBorders>
                    <w:tl2br w:val="nil"/>
                    <w:tr2bl w:val="nil"/>
                  </w:tcBorders>
                  <w:noWrap/>
                  <w:tcMar>
                    <w:top w:w="57" w:type="dxa"/>
                    <w:left w:w="57" w:type="dxa"/>
                    <w:bottom w:w="57" w:type="dxa"/>
                    <w:right w:w="57" w:type="dxa"/>
                  </w:tcMar>
                  <w:vAlign w:val="center"/>
                </w:tcPr>
                <w:p w14:paraId="3E1B36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W11</w:t>
                  </w:r>
                </w:p>
              </w:tc>
              <w:tc>
                <w:tcPr>
                  <w:tcW w:w="2209" w:type="dxa"/>
                  <w:tcBorders>
                    <w:tl2br w:val="nil"/>
                    <w:tr2bl w:val="nil"/>
                  </w:tcBorders>
                  <w:shd w:val="clear" w:color="auto" w:fill="auto"/>
                  <w:noWrap/>
                  <w:tcMar>
                    <w:top w:w="57" w:type="dxa"/>
                    <w:left w:w="57" w:type="dxa"/>
                    <w:bottom w:w="57" w:type="dxa"/>
                    <w:right w:w="57" w:type="dxa"/>
                  </w:tcMar>
                  <w:vAlign w:val="center"/>
                </w:tcPr>
                <w:p w14:paraId="6BCA3E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PH</w:t>
                  </w:r>
                </w:p>
              </w:tc>
              <w:tc>
                <w:tcPr>
                  <w:tcW w:w="1848" w:type="dxa"/>
                  <w:tcBorders>
                    <w:tl2br w:val="nil"/>
                    <w:tr2bl w:val="nil"/>
                  </w:tcBorders>
                  <w:noWrap/>
                  <w:tcMar>
                    <w:top w:w="57" w:type="dxa"/>
                    <w:left w:w="57" w:type="dxa"/>
                    <w:bottom w:w="57" w:type="dxa"/>
                    <w:right w:w="57" w:type="dxa"/>
                  </w:tcMar>
                  <w:vAlign w:val="center"/>
                </w:tcPr>
                <w:p w14:paraId="641B63C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8.2</w:t>
                  </w:r>
                </w:p>
              </w:tc>
              <w:tc>
                <w:tcPr>
                  <w:tcW w:w="1829" w:type="dxa"/>
                  <w:tcBorders>
                    <w:tl2br w:val="nil"/>
                    <w:tr2bl w:val="nil"/>
                  </w:tcBorders>
                  <w:shd w:val="clear" w:color="auto" w:fill="auto"/>
                  <w:noWrap/>
                  <w:tcMar>
                    <w:top w:w="57" w:type="dxa"/>
                    <w:left w:w="57" w:type="dxa"/>
                    <w:bottom w:w="57" w:type="dxa"/>
                    <w:right w:w="57" w:type="dxa"/>
                  </w:tcMar>
                  <w:vAlign w:val="center"/>
                </w:tcPr>
                <w:p w14:paraId="247CBBE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8.4</w:t>
                  </w:r>
                </w:p>
              </w:tc>
            </w:tr>
            <w:tr w14:paraId="21BB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continue"/>
                  <w:tcBorders>
                    <w:tl2br w:val="nil"/>
                    <w:tr2bl w:val="nil"/>
                  </w:tcBorders>
                  <w:noWrap/>
                  <w:tcMar>
                    <w:top w:w="57" w:type="dxa"/>
                    <w:left w:w="57" w:type="dxa"/>
                    <w:bottom w:w="57" w:type="dxa"/>
                    <w:right w:w="57" w:type="dxa"/>
                  </w:tcMar>
                  <w:vAlign w:val="center"/>
                </w:tcPr>
                <w:p w14:paraId="415530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2209" w:type="dxa"/>
                  <w:tcBorders>
                    <w:tl2br w:val="nil"/>
                    <w:tr2bl w:val="nil"/>
                  </w:tcBorders>
                  <w:shd w:val="clear" w:color="auto" w:fill="auto"/>
                  <w:noWrap/>
                  <w:tcMar>
                    <w:top w:w="57" w:type="dxa"/>
                    <w:left w:w="57" w:type="dxa"/>
                    <w:bottom w:w="57" w:type="dxa"/>
                    <w:right w:w="57" w:type="dxa"/>
                  </w:tcMar>
                  <w:vAlign w:val="center"/>
                </w:tcPr>
                <w:p w14:paraId="3C8BE8F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COD</w:t>
                  </w:r>
                </w:p>
              </w:tc>
              <w:tc>
                <w:tcPr>
                  <w:tcW w:w="1848" w:type="dxa"/>
                  <w:tcBorders>
                    <w:tl2br w:val="nil"/>
                    <w:tr2bl w:val="nil"/>
                  </w:tcBorders>
                  <w:noWrap/>
                  <w:tcMar>
                    <w:top w:w="57" w:type="dxa"/>
                    <w:left w:w="57" w:type="dxa"/>
                    <w:bottom w:w="57" w:type="dxa"/>
                    <w:right w:w="57" w:type="dxa"/>
                  </w:tcMar>
                  <w:vAlign w:val="center"/>
                </w:tcPr>
                <w:p w14:paraId="109D965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15</w:t>
                  </w:r>
                </w:p>
              </w:tc>
              <w:tc>
                <w:tcPr>
                  <w:tcW w:w="1829" w:type="dxa"/>
                  <w:tcBorders>
                    <w:tl2br w:val="nil"/>
                    <w:tr2bl w:val="nil"/>
                  </w:tcBorders>
                  <w:shd w:val="clear" w:color="auto" w:fill="auto"/>
                  <w:noWrap/>
                  <w:tcMar>
                    <w:top w:w="57" w:type="dxa"/>
                    <w:left w:w="57" w:type="dxa"/>
                    <w:bottom w:w="57" w:type="dxa"/>
                    <w:right w:w="57" w:type="dxa"/>
                  </w:tcMar>
                  <w:vAlign w:val="center"/>
                </w:tcPr>
                <w:p w14:paraId="4A418B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17</w:t>
                  </w:r>
                </w:p>
              </w:tc>
            </w:tr>
            <w:tr w14:paraId="602A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continue"/>
                  <w:tcBorders>
                    <w:tl2br w:val="nil"/>
                    <w:tr2bl w:val="nil"/>
                  </w:tcBorders>
                  <w:noWrap/>
                  <w:tcMar>
                    <w:top w:w="57" w:type="dxa"/>
                    <w:left w:w="57" w:type="dxa"/>
                    <w:bottom w:w="57" w:type="dxa"/>
                    <w:right w:w="57" w:type="dxa"/>
                  </w:tcMar>
                  <w:vAlign w:val="center"/>
                </w:tcPr>
                <w:p w14:paraId="6EA7FE9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2209" w:type="dxa"/>
                  <w:tcBorders>
                    <w:tl2br w:val="nil"/>
                    <w:tr2bl w:val="nil"/>
                  </w:tcBorders>
                  <w:shd w:val="clear" w:color="auto" w:fill="auto"/>
                  <w:noWrap/>
                  <w:tcMar>
                    <w:top w:w="57" w:type="dxa"/>
                    <w:left w:w="57" w:type="dxa"/>
                    <w:bottom w:w="57" w:type="dxa"/>
                    <w:right w:w="57" w:type="dxa"/>
                  </w:tcMar>
                  <w:vAlign w:val="center"/>
                </w:tcPr>
                <w:p w14:paraId="3F95A34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BOD</w:t>
                  </w:r>
                  <w:r>
                    <w:rPr>
                      <w:rFonts w:hint="eastAsia" w:ascii="Times New Roman" w:hAnsi="Times New Roman" w:eastAsia="宋体" w:cs="Times New Roman"/>
                      <w:color w:val="000000"/>
                      <w:kern w:val="2"/>
                      <w:sz w:val="22"/>
                      <w:szCs w:val="22"/>
                      <w:highlight w:val="none"/>
                      <w:vertAlign w:val="subscript"/>
                      <w:lang w:val="en-US" w:eastAsia="zh-CN"/>
                    </w:rPr>
                    <w:t>5</w:t>
                  </w:r>
                </w:p>
              </w:tc>
              <w:tc>
                <w:tcPr>
                  <w:tcW w:w="1848" w:type="dxa"/>
                  <w:tcBorders>
                    <w:tl2br w:val="nil"/>
                    <w:tr2bl w:val="nil"/>
                  </w:tcBorders>
                  <w:noWrap/>
                  <w:tcMar>
                    <w:top w:w="57" w:type="dxa"/>
                    <w:left w:w="57" w:type="dxa"/>
                    <w:bottom w:w="57" w:type="dxa"/>
                    <w:right w:w="57" w:type="dxa"/>
                  </w:tcMar>
                  <w:vAlign w:val="center"/>
                </w:tcPr>
                <w:p w14:paraId="3724D78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3.4</w:t>
                  </w:r>
                </w:p>
              </w:tc>
              <w:tc>
                <w:tcPr>
                  <w:tcW w:w="1829" w:type="dxa"/>
                  <w:tcBorders>
                    <w:tl2br w:val="nil"/>
                    <w:tr2bl w:val="nil"/>
                  </w:tcBorders>
                  <w:shd w:val="clear" w:color="auto" w:fill="auto"/>
                  <w:noWrap/>
                  <w:tcMar>
                    <w:top w:w="57" w:type="dxa"/>
                    <w:left w:w="57" w:type="dxa"/>
                    <w:bottom w:w="57" w:type="dxa"/>
                    <w:right w:w="57" w:type="dxa"/>
                  </w:tcMar>
                  <w:vAlign w:val="center"/>
                </w:tcPr>
                <w:p w14:paraId="330673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3.5</w:t>
                  </w:r>
                </w:p>
              </w:tc>
            </w:tr>
            <w:tr w14:paraId="2341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continue"/>
                  <w:vAlign w:val="center"/>
                </w:tcPr>
                <w:p w14:paraId="7EB5A44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2209" w:type="dxa"/>
                  <w:shd w:val="clear" w:color="auto" w:fill="auto"/>
                  <w:vAlign w:val="center"/>
                </w:tcPr>
                <w:p w14:paraId="555783C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氨氮</w:t>
                  </w:r>
                </w:p>
              </w:tc>
              <w:tc>
                <w:tcPr>
                  <w:tcW w:w="1848" w:type="dxa"/>
                  <w:vAlign w:val="center"/>
                </w:tcPr>
                <w:p w14:paraId="1992BB0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0.226</w:t>
                  </w:r>
                </w:p>
              </w:tc>
              <w:tc>
                <w:tcPr>
                  <w:tcW w:w="1829" w:type="dxa"/>
                  <w:vAlign w:val="center"/>
                </w:tcPr>
                <w:p w14:paraId="4BDEE3D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0.235</w:t>
                  </w:r>
                </w:p>
              </w:tc>
            </w:tr>
            <w:tr w14:paraId="2017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restart"/>
                  <w:vAlign w:val="center"/>
                </w:tcPr>
                <w:p w14:paraId="64683D4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W12</w:t>
                  </w:r>
                </w:p>
              </w:tc>
              <w:tc>
                <w:tcPr>
                  <w:tcW w:w="2209" w:type="dxa"/>
                  <w:shd w:val="clear" w:color="auto" w:fill="auto"/>
                  <w:vAlign w:val="center"/>
                </w:tcPr>
                <w:p w14:paraId="5C3BF1D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PH</w:t>
                  </w:r>
                </w:p>
              </w:tc>
              <w:tc>
                <w:tcPr>
                  <w:tcW w:w="1848" w:type="dxa"/>
                  <w:vAlign w:val="center"/>
                </w:tcPr>
                <w:p w14:paraId="3C67C86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8.2</w:t>
                  </w:r>
                </w:p>
              </w:tc>
              <w:tc>
                <w:tcPr>
                  <w:tcW w:w="1829" w:type="dxa"/>
                  <w:vAlign w:val="center"/>
                </w:tcPr>
                <w:p w14:paraId="5D80EB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8.4</w:t>
                  </w:r>
                </w:p>
              </w:tc>
            </w:tr>
            <w:tr w14:paraId="3D9F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continue"/>
                  <w:vAlign w:val="center"/>
                </w:tcPr>
                <w:p w14:paraId="0F4A0FB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2209" w:type="dxa"/>
                  <w:shd w:val="clear" w:color="auto" w:fill="auto"/>
                  <w:vAlign w:val="center"/>
                </w:tcPr>
                <w:p w14:paraId="2E71B69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COD</w:t>
                  </w:r>
                </w:p>
              </w:tc>
              <w:tc>
                <w:tcPr>
                  <w:tcW w:w="1848" w:type="dxa"/>
                  <w:vAlign w:val="center"/>
                </w:tcPr>
                <w:p w14:paraId="4F56D84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11</w:t>
                  </w:r>
                </w:p>
              </w:tc>
              <w:tc>
                <w:tcPr>
                  <w:tcW w:w="1829" w:type="dxa"/>
                  <w:vAlign w:val="center"/>
                </w:tcPr>
                <w:p w14:paraId="2120429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13</w:t>
                  </w:r>
                </w:p>
              </w:tc>
            </w:tr>
            <w:tr w14:paraId="16EB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continue"/>
                  <w:vAlign w:val="center"/>
                </w:tcPr>
                <w:p w14:paraId="7056124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2209" w:type="dxa"/>
                  <w:shd w:val="clear" w:color="auto" w:fill="auto"/>
                  <w:vAlign w:val="center"/>
                </w:tcPr>
                <w:p w14:paraId="43EE835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BOD</w:t>
                  </w:r>
                  <w:r>
                    <w:rPr>
                      <w:rFonts w:hint="eastAsia" w:ascii="Times New Roman" w:hAnsi="Times New Roman" w:eastAsia="宋体" w:cs="Times New Roman"/>
                      <w:color w:val="000000"/>
                      <w:kern w:val="2"/>
                      <w:sz w:val="22"/>
                      <w:szCs w:val="22"/>
                      <w:highlight w:val="none"/>
                      <w:vertAlign w:val="subscript"/>
                      <w:lang w:val="en-US" w:eastAsia="zh-CN"/>
                    </w:rPr>
                    <w:t>5</w:t>
                  </w:r>
                </w:p>
              </w:tc>
              <w:tc>
                <w:tcPr>
                  <w:tcW w:w="1848" w:type="dxa"/>
                  <w:vAlign w:val="center"/>
                </w:tcPr>
                <w:p w14:paraId="4C4D286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2.9</w:t>
                  </w:r>
                </w:p>
              </w:tc>
              <w:tc>
                <w:tcPr>
                  <w:tcW w:w="1829" w:type="dxa"/>
                  <w:vAlign w:val="center"/>
                </w:tcPr>
                <w:p w14:paraId="69CE6A5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3.0</w:t>
                  </w:r>
                </w:p>
              </w:tc>
            </w:tr>
            <w:tr w14:paraId="37AB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exact"/>
                <w:jc w:val="center"/>
              </w:trPr>
              <w:tc>
                <w:tcPr>
                  <w:tcW w:w="1582" w:type="dxa"/>
                  <w:vMerge w:val="continue"/>
                  <w:vAlign w:val="center"/>
                </w:tcPr>
                <w:p w14:paraId="5521CB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2209" w:type="dxa"/>
                  <w:shd w:val="clear" w:color="auto" w:fill="auto"/>
                  <w:vAlign w:val="center"/>
                </w:tcPr>
                <w:p w14:paraId="3525A73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氨氮</w:t>
                  </w:r>
                </w:p>
              </w:tc>
              <w:tc>
                <w:tcPr>
                  <w:tcW w:w="1848" w:type="dxa"/>
                  <w:vAlign w:val="center"/>
                </w:tcPr>
                <w:p w14:paraId="449AAD8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0.104</w:t>
                  </w:r>
                </w:p>
              </w:tc>
              <w:tc>
                <w:tcPr>
                  <w:tcW w:w="1829" w:type="dxa"/>
                  <w:vAlign w:val="center"/>
                </w:tcPr>
                <w:p w14:paraId="4DE2500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0.11</w:t>
                  </w:r>
                </w:p>
              </w:tc>
            </w:tr>
          </w:tbl>
          <w:p w14:paraId="7F002BD3">
            <w:pPr>
              <w:bidi w:val="0"/>
              <w:rPr>
                <w:rFonts w:hint="eastAsia"/>
                <w:lang w:val="en-US" w:eastAsia="zh-CN"/>
              </w:rPr>
            </w:pPr>
          </w:p>
          <w:p w14:paraId="532D527D">
            <w:pPr>
              <w:autoSpaceDE w:val="0"/>
              <w:autoSpaceDN w:val="0"/>
              <w:adjustRightInd w:val="0"/>
              <w:snapToGrid w:val="0"/>
              <w:spacing w:line="360" w:lineRule="auto"/>
              <w:ind w:firstLine="480" w:firstLineChars="200"/>
              <w:jc w:val="both"/>
              <w:rPr>
                <w:rFonts w:hint="eastAsia" w:ascii="宋体" w:hAnsi="宋体" w:eastAsia="宋体" w:cs="宋体"/>
                <w:kern w:val="0"/>
                <w:sz w:val="24"/>
                <w:szCs w:val="24"/>
                <w:lang w:val="en-US" w:eastAsia="zh-CN"/>
              </w:rPr>
            </w:pPr>
            <w:r>
              <w:rPr>
                <w:rFonts w:hint="eastAsia"/>
                <w:color w:val="000000"/>
                <w:kern w:val="0"/>
                <w:sz w:val="24"/>
                <w:lang w:val="en-US" w:eastAsia="zh-CN"/>
              </w:rPr>
              <w:t>由上表可知，闸河水质各监测断面的污染物因子均可满足《地表水环境质量标准》（GB3838-2002）中IV类标准要求。</w:t>
            </w:r>
          </w:p>
          <w:p w14:paraId="5E7EED03">
            <w:pPr>
              <w:autoSpaceDE w:val="0"/>
              <w:autoSpaceDN w:val="0"/>
              <w:adjustRightInd w:val="0"/>
              <w:snapToGrid w:val="0"/>
              <w:spacing w:line="360" w:lineRule="auto"/>
              <w:jc w:val="left"/>
              <w:rPr>
                <w:rFonts w:hint="eastAsia" w:ascii="宋体" w:hAnsi="宋体" w:eastAsia="宋体" w:cs="宋体"/>
                <w:kern w:val="0"/>
                <w:sz w:val="24"/>
                <w:szCs w:val="24"/>
                <w:lang w:val="en-US" w:eastAsia="zh-CN"/>
              </w:rPr>
            </w:pPr>
            <w:r>
              <w:rPr>
                <w:rFonts w:hint="eastAsia" w:ascii="宋体" w:hAnsi="宋体" w:cs="宋体"/>
                <w:b/>
                <w:bCs/>
                <w:kern w:val="0"/>
                <w:sz w:val="24"/>
                <w:szCs w:val="24"/>
                <w:lang w:val="en-US" w:eastAsia="zh-CN"/>
              </w:rPr>
              <w:t>3、声环境</w:t>
            </w:r>
          </w:p>
          <w:p w14:paraId="3E663B0C">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根据《建设项目环境影响报告表编制技术指南（污染影响类）》（试行）的文件要求，厂界外周边50米范围内存在声环境保护目标的建设项目，应监测保护目标声环境质量现状并评价达标情况。</w:t>
            </w:r>
          </w:p>
          <w:p w14:paraId="5E5C59A2">
            <w:pPr>
              <w:autoSpaceDE w:val="0"/>
              <w:autoSpaceDN w:val="0"/>
              <w:adjustRightInd w:val="0"/>
              <w:snapToGrid w:val="0"/>
              <w:spacing w:line="360" w:lineRule="auto"/>
              <w:ind w:firstLine="480" w:firstLineChars="200"/>
              <w:jc w:val="both"/>
              <w:rPr>
                <w:rFonts w:hint="eastAsia" w:ascii="宋体" w:hAnsi="宋体" w:cs="宋体"/>
                <w:kern w:val="0"/>
                <w:sz w:val="24"/>
                <w:szCs w:val="24"/>
                <w:lang w:val="en-US" w:eastAsia="zh-CN"/>
              </w:rPr>
            </w:pPr>
            <w:r>
              <w:rPr>
                <w:rFonts w:hint="eastAsia"/>
                <w:color w:val="000000"/>
                <w:kern w:val="0"/>
                <w:sz w:val="24"/>
                <w:lang w:val="en-US" w:eastAsia="zh-CN"/>
              </w:rPr>
              <w:t>本项目厂界外周边50米范围内不存在声环境保护目标，故本次不开展声环境现状监测。</w:t>
            </w:r>
          </w:p>
          <w:p w14:paraId="312CA2F7">
            <w:pPr>
              <w:autoSpaceDE w:val="0"/>
              <w:autoSpaceDN w:val="0"/>
              <w:adjustRightInd w:val="0"/>
              <w:snapToGrid w:val="0"/>
              <w:spacing w:line="360" w:lineRule="auto"/>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4、生态环境</w:t>
            </w:r>
          </w:p>
          <w:p w14:paraId="38F393B9">
            <w:pPr>
              <w:autoSpaceDE w:val="0"/>
              <w:autoSpaceDN w:val="0"/>
              <w:adjustRightInd w:val="0"/>
              <w:snapToGrid w:val="0"/>
              <w:spacing w:line="360" w:lineRule="auto"/>
              <w:ind w:firstLine="480" w:firstLineChars="200"/>
              <w:jc w:val="left"/>
              <w:rPr>
                <w:rFonts w:hint="default" w:ascii="宋体" w:hAnsi="宋体" w:cs="宋体"/>
                <w:kern w:val="0"/>
                <w:sz w:val="24"/>
                <w:szCs w:val="24"/>
                <w:lang w:val="en-US" w:eastAsia="zh-CN"/>
              </w:rPr>
            </w:pPr>
            <w:r>
              <w:rPr>
                <w:rFonts w:hint="eastAsia" w:ascii="宋体" w:hAnsi="宋体" w:cs="宋体"/>
                <w:kern w:val="0"/>
                <w:sz w:val="24"/>
                <w:szCs w:val="24"/>
                <w:lang w:val="en-US" w:eastAsia="zh-CN"/>
              </w:rPr>
              <w:t>本项目不涉及。</w:t>
            </w:r>
          </w:p>
          <w:p w14:paraId="049322B3">
            <w:pPr>
              <w:autoSpaceDE w:val="0"/>
              <w:autoSpaceDN w:val="0"/>
              <w:adjustRightInd w:val="0"/>
              <w:snapToGrid w:val="0"/>
              <w:spacing w:line="360" w:lineRule="auto"/>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5、电磁辐射</w:t>
            </w:r>
          </w:p>
          <w:p w14:paraId="2E8082E5">
            <w:pPr>
              <w:autoSpaceDE w:val="0"/>
              <w:autoSpaceDN w:val="0"/>
              <w:adjustRightInd w:val="0"/>
              <w:snapToGri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本项目不涉及。</w:t>
            </w:r>
          </w:p>
          <w:p w14:paraId="16A8AB4A">
            <w:pPr>
              <w:autoSpaceDE w:val="0"/>
              <w:autoSpaceDN w:val="0"/>
              <w:adjustRightInd w:val="0"/>
              <w:snapToGrid w:val="0"/>
              <w:spacing w:line="360" w:lineRule="auto"/>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6、地下水、土壤环境</w:t>
            </w:r>
          </w:p>
          <w:p w14:paraId="5B2FDC8B">
            <w:pPr>
              <w:autoSpaceDE w:val="0"/>
              <w:autoSpaceDN w:val="0"/>
              <w:adjustRightInd w:val="0"/>
              <w:snapToGrid w:val="0"/>
              <w:spacing w:line="360" w:lineRule="auto"/>
              <w:ind w:firstLine="480" w:firstLineChars="200"/>
              <w:jc w:val="left"/>
              <w:rPr>
                <w:rFonts w:hint="default"/>
                <w:sz w:val="24"/>
                <w:szCs w:val="32"/>
                <w:lang w:val="en-US" w:eastAsia="zh-CN"/>
              </w:rPr>
            </w:pPr>
            <w:r>
              <w:rPr>
                <w:rFonts w:hint="eastAsia" w:ascii="宋体" w:hAnsi="宋体" w:cs="宋体"/>
                <w:kern w:val="0"/>
                <w:sz w:val="24"/>
                <w:szCs w:val="24"/>
                <w:lang w:val="en-US" w:eastAsia="zh-CN"/>
              </w:rPr>
              <w:t>本项目采取有效的防渗防漏措施，对地下水、土壤环境影响较小，根据《建设项目环境影响报告表编制技术指南（污染影响类）（试行）》，可不开展地下水、土壤环境现状调查。</w:t>
            </w:r>
          </w:p>
        </w:tc>
      </w:tr>
      <w:tr w14:paraId="4CA40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498" w:type="dxa"/>
            <w:noWrap w:val="0"/>
            <w:vAlign w:val="center"/>
          </w:tcPr>
          <w:p w14:paraId="7D9A9BE5">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环境保护目标</w:t>
            </w:r>
          </w:p>
        </w:tc>
        <w:tc>
          <w:tcPr>
            <w:tcW w:w="8190" w:type="dxa"/>
            <w:noWrap w:val="0"/>
            <w:vAlign w:val="center"/>
          </w:tcPr>
          <w:p w14:paraId="573B30F1">
            <w:pPr>
              <w:autoSpaceDE w:val="0"/>
              <w:autoSpaceDN w:val="0"/>
              <w:adjustRightInd w:val="0"/>
              <w:snapToGrid w:val="0"/>
              <w:spacing w:line="360" w:lineRule="auto"/>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1、大气环境</w:t>
            </w:r>
          </w:p>
          <w:p w14:paraId="19A441A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厂界外500m范围内环境保护目标见下表及附图2。</w:t>
            </w:r>
          </w:p>
          <w:p w14:paraId="537B51EA">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表3-</w:t>
            </w:r>
            <w:r>
              <w:rPr>
                <w:rFonts w:hint="eastAsia" w:ascii="宋体" w:hAnsi="宋体" w:cs="宋体"/>
                <w:b/>
                <w:bCs/>
                <w:sz w:val="22"/>
                <w:szCs w:val="22"/>
                <w:lang w:val="en-US" w:eastAsia="zh-CN"/>
              </w:rPr>
              <w:t>3</w:t>
            </w:r>
            <w:r>
              <w:rPr>
                <w:rFonts w:hint="eastAsia" w:ascii="宋体" w:hAnsi="宋体" w:eastAsia="宋体" w:cs="宋体"/>
                <w:b/>
                <w:bCs/>
                <w:sz w:val="22"/>
                <w:szCs w:val="22"/>
                <w:lang w:val="en-US" w:eastAsia="zh-CN"/>
              </w:rPr>
              <w:t xml:space="preserve">  </w:t>
            </w:r>
            <w:r>
              <w:rPr>
                <w:rFonts w:hint="default" w:ascii="宋体" w:hAnsi="宋体" w:eastAsia="宋体" w:cs="宋体"/>
                <w:b/>
                <w:bCs/>
                <w:sz w:val="22"/>
                <w:szCs w:val="22"/>
                <w:lang w:val="en-US" w:eastAsia="zh-CN"/>
              </w:rPr>
              <w:t>主要环境保护目标</w:t>
            </w:r>
          </w:p>
          <w:tbl>
            <w:tblPr>
              <w:tblStyle w:val="15"/>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06"/>
              <w:gridCol w:w="578"/>
              <w:gridCol w:w="1035"/>
              <w:gridCol w:w="682"/>
              <w:gridCol w:w="1092"/>
              <w:gridCol w:w="924"/>
              <w:gridCol w:w="1332"/>
              <w:gridCol w:w="1627"/>
            </w:tblGrid>
            <w:tr w14:paraId="6520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42" w:type="pct"/>
                  <w:vMerge w:val="restart"/>
                  <w:tcBorders>
                    <w:top w:val="single" w:color="auto" w:sz="4" w:space="0"/>
                    <w:left w:val="single" w:color="auto" w:sz="4" w:space="0"/>
                    <w:bottom w:val="single" w:color="auto" w:sz="4" w:space="0"/>
                    <w:right w:val="single" w:color="auto" w:sz="4" w:space="0"/>
                  </w:tcBorders>
                  <w:noWrap w:val="0"/>
                  <w:vAlign w:val="center"/>
                </w:tcPr>
                <w:p w14:paraId="59BA559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rPr>
                  </w:pPr>
                  <w:r>
                    <w:rPr>
                      <w:rFonts w:hint="eastAsia" w:ascii="Times New Roman" w:hAnsi="Times New Roman" w:eastAsia="宋体" w:cs="Times New Roman"/>
                      <w:b/>
                      <w:bCs/>
                      <w:color w:val="000000"/>
                      <w:kern w:val="2"/>
                      <w:sz w:val="22"/>
                      <w:szCs w:val="22"/>
                      <w:highlight w:val="none"/>
                      <w:lang w:val="en-US" w:eastAsia="zh-CN"/>
                    </w:rPr>
                    <w:t>环境要素</w:t>
                  </w:r>
                </w:p>
              </w:tc>
              <w:tc>
                <w:tcPr>
                  <w:tcW w:w="362" w:type="pct"/>
                  <w:vMerge w:val="restart"/>
                  <w:tcBorders>
                    <w:top w:val="single" w:color="auto" w:sz="4" w:space="0"/>
                    <w:left w:val="single" w:color="auto" w:sz="4" w:space="0"/>
                    <w:right w:val="single" w:color="auto" w:sz="4" w:space="0"/>
                  </w:tcBorders>
                  <w:noWrap w:val="0"/>
                  <w:vAlign w:val="center"/>
                </w:tcPr>
                <w:p w14:paraId="07A3E2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rPr>
                  </w:pPr>
                  <w:r>
                    <w:rPr>
                      <w:rFonts w:hint="eastAsia" w:ascii="Times New Roman" w:hAnsi="Times New Roman" w:eastAsia="宋体" w:cs="Times New Roman"/>
                      <w:b/>
                      <w:bCs/>
                      <w:color w:val="000000"/>
                      <w:kern w:val="2"/>
                      <w:sz w:val="22"/>
                      <w:szCs w:val="22"/>
                      <w:highlight w:val="none"/>
                      <w:lang w:val="en-US" w:eastAsia="zh-CN"/>
                    </w:rPr>
                    <w:t>序号</w:t>
                  </w:r>
                </w:p>
              </w:tc>
              <w:tc>
                <w:tcPr>
                  <w:tcW w:w="648" w:type="pct"/>
                  <w:vMerge w:val="restart"/>
                  <w:tcBorders>
                    <w:top w:val="single" w:color="auto" w:sz="4" w:space="0"/>
                    <w:left w:val="single" w:color="auto" w:sz="4" w:space="0"/>
                    <w:bottom w:val="single" w:color="auto" w:sz="4" w:space="0"/>
                    <w:right w:val="single" w:color="auto" w:sz="4" w:space="0"/>
                  </w:tcBorders>
                  <w:noWrap w:val="0"/>
                  <w:vAlign w:val="center"/>
                </w:tcPr>
                <w:p w14:paraId="6C1DEB3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rPr>
                  </w:pPr>
                  <w:r>
                    <w:rPr>
                      <w:rFonts w:hint="eastAsia" w:ascii="Times New Roman" w:hAnsi="Times New Roman" w:eastAsia="宋体" w:cs="Times New Roman"/>
                      <w:b/>
                      <w:bCs/>
                      <w:color w:val="000000"/>
                      <w:kern w:val="2"/>
                      <w:sz w:val="22"/>
                      <w:szCs w:val="22"/>
                      <w:highlight w:val="none"/>
                      <w:lang w:val="en-US" w:eastAsia="zh-CN"/>
                    </w:rPr>
                    <w:t>名称</w:t>
                  </w:r>
                </w:p>
              </w:tc>
              <w:tc>
                <w:tcPr>
                  <w:tcW w:w="427" w:type="pct"/>
                  <w:vMerge w:val="restart"/>
                  <w:tcBorders>
                    <w:top w:val="single" w:color="auto" w:sz="4" w:space="0"/>
                    <w:left w:val="single" w:color="auto" w:sz="4" w:space="0"/>
                    <w:bottom w:val="single" w:color="auto" w:sz="4" w:space="0"/>
                    <w:right w:val="single" w:color="auto" w:sz="4" w:space="0"/>
                  </w:tcBorders>
                  <w:noWrap w:val="0"/>
                  <w:vAlign w:val="center"/>
                </w:tcPr>
                <w:p w14:paraId="7DD70F6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rPr>
                  </w:pPr>
                  <w:r>
                    <w:rPr>
                      <w:rFonts w:hint="eastAsia" w:ascii="Times New Roman" w:hAnsi="Times New Roman" w:eastAsia="宋体" w:cs="Times New Roman"/>
                      <w:b/>
                      <w:bCs/>
                      <w:color w:val="000000"/>
                      <w:kern w:val="2"/>
                      <w:sz w:val="22"/>
                      <w:szCs w:val="22"/>
                      <w:highlight w:val="none"/>
                      <w:lang w:val="en-US" w:eastAsia="zh-CN"/>
                    </w:rPr>
                    <w:t>保护内容</w:t>
                  </w:r>
                </w:p>
              </w:tc>
              <w:tc>
                <w:tcPr>
                  <w:tcW w:w="684" w:type="pct"/>
                  <w:vMerge w:val="restart"/>
                  <w:tcBorders>
                    <w:top w:val="single" w:color="auto" w:sz="4" w:space="0"/>
                    <w:left w:val="single" w:color="auto" w:sz="4" w:space="0"/>
                    <w:bottom w:val="single" w:color="auto" w:sz="4" w:space="0"/>
                    <w:right w:val="single" w:color="auto" w:sz="4" w:space="0"/>
                  </w:tcBorders>
                  <w:noWrap w:val="0"/>
                  <w:vAlign w:val="center"/>
                </w:tcPr>
                <w:p w14:paraId="62E22F1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rPr>
                  </w:pPr>
                  <w:r>
                    <w:rPr>
                      <w:rFonts w:hint="eastAsia" w:ascii="Times New Roman" w:hAnsi="Times New Roman" w:eastAsia="宋体" w:cs="Times New Roman"/>
                      <w:b/>
                      <w:bCs/>
                      <w:color w:val="000000"/>
                      <w:kern w:val="2"/>
                      <w:sz w:val="22"/>
                      <w:szCs w:val="22"/>
                      <w:highlight w:val="none"/>
                      <w:lang w:val="en-US" w:eastAsia="zh-CN"/>
                    </w:rPr>
                    <w:t>环境功能区</w:t>
                  </w:r>
                </w:p>
              </w:tc>
              <w:tc>
                <w:tcPr>
                  <w:tcW w:w="579" w:type="pct"/>
                  <w:vMerge w:val="restart"/>
                  <w:tcBorders>
                    <w:top w:val="single" w:color="auto" w:sz="4" w:space="0"/>
                    <w:left w:val="single" w:color="auto" w:sz="4" w:space="0"/>
                    <w:bottom w:val="single" w:color="auto" w:sz="4" w:space="0"/>
                    <w:right w:val="single" w:color="auto" w:sz="4" w:space="0"/>
                  </w:tcBorders>
                  <w:noWrap w:val="0"/>
                  <w:vAlign w:val="center"/>
                </w:tcPr>
                <w:p w14:paraId="1B3C55F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rPr>
                  </w:pPr>
                  <w:r>
                    <w:rPr>
                      <w:rFonts w:hint="eastAsia" w:ascii="Times New Roman" w:hAnsi="Times New Roman" w:eastAsia="宋体" w:cs="Times New Roman"/>
                      <w:b/>
                      <w:bCs/>
                      <w:color w:val="000000"/>
                      <w:kern w:val="2"/>
                      <w:sz w:val="22"/>
                      <w:szCs w:val="22"/>
                      <w:highlight w:val="none"/>
                      <w:lang w:val="en-US" w:eastAsia="zh-CN"/>
                    </w:rPr>
                    <w:t>相对厂址方位</w:t>
                  </w:r>
                </w:p>
              </w:tc>
              <w:tc>
                <w:tcPr>
                  <w:tcW w:w="835" w:type="pct"/>
                  <w:vMerge w:val="restart"/>
                  <w:tcBorders>
                    <w:top w:val="single" w:color="auto" w:sz="4" w:space="0"/>
                    <w:left w:val="single" w:color="auto" w:sz="4" w:space="0"/>
                    <w:bottom w:val="single" w:color="auto" w:sz="4" w:space="0"/>
                    <w:right w:val="single" w:color="auto" w:sz="4" w:space="0"/>
                  </w:tcBorders>
                  <w:noWrap w:val="0"/>
                  <w:vAlign w:val="center"/>
                </w:tcPr>
                <w:p w14:paraId="243BAAC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rPr>
                  </w:pPr>
                  <w:r>
                    <w:rPr>
                      <w:rFonts w:hint="eastAsia" w:ascii="Times New Roman" w:hAnsi="Times New Roman" w:eastAsia="宋体" w:cs="Times New Roman"/>
                      <w:b/>
                      <w:bCs/>
                      <w:color w:val="000000"/>
                      <w:kern w:val="2"/>
                      <w:sz w:val="22"/>
                      <w:szCs w:val="22"/>
                      <w:highlight w:val="none"/>
                      <w:lang w:val="en-US" w:eastAsia="zh-CN"/>
                    </w:rPr>
                    <w:t>距厂界距离m</w:t>
                  </w:r>
                </w:p>
              </w:tc>
              <w:tc>
                <w:tcPr>
                  <w:tcW w:w="1019" w:type="pct"/>
                  <w:vMerge w:val="restart"/>
                  <w:tcBorders>
                    <w:top w:val="single" w:color="auto" w:sz="4" w:space="0"/>
                    <w:left w:val="single" w:color="auto" w:sz="4" w:space="0"/>
                    <w:right w:val="single" w:color="auto" w:sz="4" w:space="0"/>
                  </w:tcBorders>
                  <w:noWrap w:val="0"/>
                  <w:vAlign w:val="center"/>
                </w:tcPr>
                <w:p w14:paraId="18D8F46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规模</w:t>
                  </w:r>
                </w:p>
              </w:tc>
            </w:tr>
            <w:tr w14:paraId="1E8E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42" w:type="pct"/>
                  <w:vMerge w:val="continue"/>
                  <w:tcBorders>
                    <w:top w:val="single" w:color="auto" w:sz="4" w:space="0"/>
                    <w:left w:val="single" w:color="auto" w:sz="4" w:space="0"/>
                    <w:bottom w:val="single" w:color="auto" w:sz="4" w:space="0"/>
                    <w:right w:val="single" w:color="auto" w:sz="4" w:space="0"/>
                  </w:tcBorders>
                  <w:noWrap w:val="0"/>
                  <w:vAlign w:val="center"/>
                </w:tcPr>
                <w:p w14:paraId="35790F63">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4"/>
                      <w:szCs w:val="24"/>
                    </w:rPr>
                  </w:pPr>
                </w:p>
              </w:tc>
              <w:tc>
                <w:tcPr>
                  <w:tcW w:w="362" w:type="pct"/>
                  <w:vMerge w:val="continue"/>
                  <w:tcBorders>
                    <w:left w:val="single" w:color="auto" w:sz="4" w:space="0"/>
                    <w:bottom w:val="single" w:color="auto" w:sz="4" w:space="0"/>
                    <w:right w:val="single" w:color="auto" w:sz="4" w:space="0"/>
                  </w:tcBorders>
                  <w:noWrap w:val="0"/>
                  <w:vAlign w:val="center"/>
                </w:tcPr>
                <w:p w14:paraId="2F835549">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4"/>
                      <w:szCs w:val="24"/>
                    </w:rPr>
                  </w:pPr>
                </w:p>
              </w:tc>
              <w:tc>
                <w:tcPr>
                  <w:tcW w:w="648" w:type="pct"/>
                  <w:vMerge w:val="continue"/>
                  <w:tcBorders>
                    <w:top w:val="single" w:color="auto" w:sz="4" w:space="0"/>
                    <w:left w:val="single" w:color="auto" w:sz="4" w:space="0"/>
                    <w:bottom w:val="single" w:color="auto" w:sz="4" w:space="0"/>
                    <w:right w:val="single" w:color="auto" w:sz="4" w:space="0"/>
                  </w:tcBorders>
                  <w:noWrap w:val="0"/>
                  <w:vAlign w:val="center"/>
                </w:tcPr>
                <w:p w14:paraId="008C930D">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4"/>
                      <w:szCs w:val="24"/>
                    </w:rPr>
                  </w:pPr>
                </w:p>
              </w:tc>
              <w:tc>
                <w:tcPr>
                  <w:tcW w:w="427" w:type="pct"/>
                  <w:vMerge w:val="continue"/>
                  <w:tcBorders>
                    <w:top w:val="single" w:color="auto" w:sz="4" w:space="0"/>
                    <w:left w:val="single" w:color="auto" w:sz="4" w:space="0"/>
                    <w:bottom w:val="single" w:color="auto" w:sz="4" w:space="0"/>
                    <w:right w:val="single" w:color="auto" w:sz="4" w:space="0"/>
                  </w:tcBorders>
                  <w:noWrap w:val="0"/>
                  <w:vAlign w:val="center"/>
                </w:tcPr>
                <w:p w14:paraId="5D8E91DF">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4"/>
                      <w:szCs w:val="24"/>
                    </w:rPr>
                  </w:pPr>
                </w:p>
              </w:tc>
              <w:tc>
                <w:tcPr>
                  <w:tcW w:w="684" w:type="pct"/>
                  <w:vMerge w:val="continue"/>
                  <w:tcBorders>
                    <w:top w:val="single" w:color="auto" w:sz="4" w:space="0"/>
                    <w:left w:val="single" w:color="auto" w:sz="4" w:space="0"/>
                    <w:bottom w:val="single" w:color="auto" w:sz="4" w:space="0"/>
                    <w:right w:val="single" w:color="auto" w:sz="4" w:space="0"/>
                  </w:tcBorders>
                  <w:noWrap w:val="0"/>
                  <w:vAlign w:val="center"/>
                </w:tcPr>
                <w:p w14:paraId="32B87CB6">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4"/>
                      <w:szCs w:val="24"/>
                    </w:rPr>
                  </w:pPr>
                </w:p>
              </w:tc>
              <w:tc>
                <w:tcPr>
                  <w:tcW w:w="579" w:type="pct"/>
                  <w:vMerge w:val="continue"/>
                  <w:tcBorders>
                    <w:top w:val="single" w:color="auto" w:sz="4" w:space="0"/>
                    <w:left w:val="single" w:color="auto" w:sz="4" w:space="0"/>
                    <w:bottom w:val="single" w:color="auto" w:sz="4" w:space="0"/>
                    <w:right w:val="single" w:color="auto" w:sz="4" w:space="0"/>
                  </w:tcBorders>
                  <w:noWrap w:val="0"/>
                  <w:vAlign w:val="center"/>
                </w:tcPr>
                <w:p w14:paraId="35574921">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4"/>
                      <w:szCs w:val="24"/>
                    </w:rPr>
                  </w:pPr>
                </w:p>
              </w:tc>
              <w:tc>
                <w:tcPr>
                  <w:tcW w:w="835" w:type="pct"/>
                  <w:vMerge w:val="continue"/>
                  <w:tcBorders>
                    <w:top w:val="single" w:color="auto" w:sz="4" w:space="0"/>
                    <w:left w:val="single" w:color="auto" w:sz="4" w:space="0"/>
                    <w:bottom w:val="single" w:color="auto" w:sz="4" w:space="0"/>
                    <w:right w:val="single" w:color="auto" w:sz="4" w:space="0"/>
                  </w:tcBorders>
                  <w:noWrap w:val="0"/>
                  <w:vAlign w:val="center"/>
                </w:tcPr>
                <w:p w14:paraId="7F2A863D">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4"/>
                      <w:szCs w:val="24"/>
                    </w:rPr>
                  </w:pPr>
                </w:p>
              </w:tc>
              <w:tc>
                <w:tcPr>
                  <w:tcW w:w="1019" w:type="pct"/>
                  <w:vMerge w:val="continue"/>
                  <w:tcBorders>
                    <w:left w:val="single" w:color="auto" w:sz="4" w:space="0"/>
                    <w:bottom w:val="single" w:color="auto" w:sz="4" w:space="0"/>
                    <w:right w:val="single" w:color="auto" w:sz="4" w:space="0"/>
                  </w:tcBorders>
                  <w:noWrap w:val="0"/>
                  <w:vAlign w:val="center"/>
                </w:tcPr>
                <w:p w14:paraId="7748E117">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4"/>
                      <w:szCs w:val="24"/>
                    </w:rPr>
                  </w:pPr>
                </w:p>
              </w:tc>
            </w:tr>
            <w:tr w14:paraId="48D4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42" w:type="pct"/>
                  <w:vMerge w:val="restart"/>
                  <w:tcBorders>
                    <w:top w:val="single" w:color="auto" w:sz="4" w:space="0"/>
                    <w:left w:val="single" w:color="auto" w:sz="4" w:space="0"/>
                    <w:right w:val="single" w:color="auto" w:sz="4" w:space="0"/>
                  </w:tcBorders>
                  <w:noWrap w:val="0"/>
                  <w:vAlign w:val="center"/>
                </w:tcPr>
                <w:p w14:paraId="5A1F153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大气环境</w:t>
                  </w:r>
                </w:p>
              </w:tc>
              <w:tc>
                <w:tcPr>
                  <w:tcW w:w="362" w:type="pct"/>
                  <w:tcBorders>
                    <w:top w:val="single" w:color="auto" w:sz="4" w:space="0"/>
                    <w:left w:val="single" w:color="auto" w:sz="4" w:space="0"/>
                    <w:bottom w:val="single" w:color="auto" w:sz="4" w:space="0"/>
                    <w:right w:val="single" w:color="auto" w:sz="4" w:space="0"/>
                  </w:tcBorders>
                  <w:noWrap w:val="0"/>
                  <w:vAlign w:val="center"/>
                </w:tcPr>
                <w:p w14:paraId="07B98AF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1</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16ED635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新安小区</w:t>
                  </w:r>
                </w:p>
              </w:tc>
              <w:tc>
                <w:tcPr>
                  <w:tcW w:w="427" w:type="pct"/>
                  <w:tcBorders>
                    <w:top w:val="single" w:color="auto" w:sz="4" w:space="0"/>
                    <w:left w:val="single" w:color="auto" w:sz="4" w:space="0"/>
                    <w:bottom w:val="single" w:color="auto" w:sz="4" w:space="0"/>
                    <w:right w:val="single" w:color="auto" w:sz="4" w:space="0"/>
                  </w:tcBorders>
                  <w:noWrap w:val="0"/>
                  <w:vAlign w:val="center"/>
                </w:tcPr>
                <w:p w14:paraId="60D89DF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住户</w:t>
                  </w:r>
                </w:p>
              </w:tc>
              <w:tc>
                <w:tcPr>
                  <w:tcW w:w="684" w:type="pct"/>
                  <w:tcBorders>
                    <w:top w:val="single" w:color="auto" w:sz="4" w:space="0"/>
                    <w:left w:val="single" w:color="auto" w:sz="4" w:space="0"/>
                    <w:bottom w:val="single" w:color="auto" w:sz="4" w:space="0"/>
                    <w:right w:val="single" w:color="auto" w:sz="4" w:space="0"/>
                  </w:tcBorders>
                  <w:noWrap w:val="0"/>
                  <w:vAlign w:val="center"/>
                </w:tcPr>
                <w:p w14:paraId="28EFBF1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二类区</w:t>
                  </w:r>
                </w:p>
              </w:tc>
              <w:tc>
                <w:tcPr>
                  <w:tcW w:w="579" w:type="pct"/>
                  <w:tcBorders>
                    <w:top w:val="single" w:color="auto" w:sz="4" w:space="0"/>
                    <w:left w:val="single" w:color="auto" w:sz="4" w:space="0"/>
                    <w:bottom w:val="single" w:color="auto" w:sz="4" w:space="0"/>
                    <w:right w:val="single" w:color="auto" w:sz="4" w:space="0"/>
                  </w:tcBorders>
                  <w:noWrap w:val="0"/>
                  <w:vAlign w:val="center"/>
                </w:tcPr>
                <w:p w14:paraId="76D9E5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WN</w:t>
                  </w:r>
                </w:p>
              </w:tc>
              <w:tc>
                <w:tcPr>
                  <w:tcW w:w="835" w:type="pct"/>
                  <w:tcBorders>
                    <w:top w:val="single" w:color="auto" w:sz="4" w:space="0"/>
                    <w:left w:val="single" w:color="auto" w:sz="4" w:space="0"/>
                    <w:bottom w:val="single" w:color="auto" w:sz="4" w:space="0"/>
                    <w:right w:val="single" w:color="auto" w:sz="4" w:space="0"/>
                  </w:tcBorders>
                  <w:noWrap w:val="0"/>
                  <w:vAlign w:val="center"/>
                </w:tcPr>
                <w:p w14:paraId="608C25B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370</w:t>
                  </w:r>
                </w:p>
              </w:tc>
              <w:tc>
                <w:tcPr>
                  <w:tcW w:w="1019" w:type="pct"/>
                  <w:tcBorders>
                    <w:top w:val="single" w:color="auto" w:sz="4" w:space="0"/>
                    <w:left w:val="single" w:color="auto" w:sz="4" w:space="0"/>
                    <w:bottom w:val="single" w:color="auto" w:sz="4" w:space="0"/>
                    <w:right w:val="single" w:color="auto" w:sz="4" w:space="0"/>
                  </w:tcBorders>
                  <w:noWrap w:val="0"/>
                  <w:vAlign w:val="center"/>
                </w:tcPr>
                <w:p w14:paraId="483F040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850</w:t>
                  </w:r>
                  <w:r>
                    <w:rPr>
                      <w:rFonts w:hint="eastAsia" w:ascii="Times New Roman" w:hAnsi="Times New Roman" w:eastAsia="宋体" w:cs="Times New Roman"/>
                      <w:color w:val="000000"/>
                      <w:kern w:val="2"/>
                      <w:sz w:val="21"/>
                      <w:szCs w:val="21"/>
                      <w:highlight w:val="none"/>
                      <w:lang w:val="en-US" w:eastAsia="zh-CN"/>
                    </w:rPr>
                    <w:t>人</w:t>
                  </w:r>
                  <w:r>
                    <w:rPr>
                      <w:rFonts w:hint="eastAsia" w:cs="Times New Roman"/>
                      <w:color w:val="000000"/>
                      <w:kern w:val="2"/>
                      <w:sz w:val="21"/>
                      <w:szCs w:val="21"/>
                      <w:highlight w:val="none"/>
                      <w:lang w:val="en-US" w:eastAsia="zh-CN"/>
                    </w:rPr>
                    <w:t>/340户</w:t>
                  </w:r>
                </w:p>
              </w:tc>
            </w:tr>
            <w:tr w14:paraId="7C27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42" w:type="pct"/>
                  <w:vMerge w:val="continue"/>
                  <w:tcBorders>
                    <w:left w:val="single" w:color="auto" w:sz="4" w:space="0"/>
                    <w:right w:val="single" w:color="auto" w:sz="4" w:space="0"/>
                  </w:tcBorders>
                  <w:noWrap w:val="0"/>
                  <w:vAlign w:val="center"/>
                </w:tcPr>
                <w:p w14:paraId="256F034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rPr>
                  </w:pPr>
                </w:p>
              </w:tc>
              <w:tc>
                <w:tcPr>
                  <w:tcW w:w="362" w:type="pct"/>
                  <w:tcBorders>
                    <w:top w:val="single" w:color="auto" w:sz="4" w:space="0"/>
                    <w:left w:val="single" w:color="auto" w:sz="4" w:space="0"/>
                    <w:bottom w:val="single" w:color="auto" w:sz="4" w:space="0"/>
                    <w:right w:val="single" w:color="auto" w:sz="4" w:space="0"/>
                  </w:tcBorders>
                  <w:noWrap w:val="0"/>
                  <w:vAlign w:val="center"/>
                </w:tcPr>
                <w:p w14:paraId="28B25C9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2112F56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四山口</w:t>
                  </w:r>
                </w:p>
              </w:tc>
              <w:tc>
                <w:tcPr>
                  <w:tcW w:w="427" w:type="pct"/>
                  <w:tcBorders>
                    <w:top w:val="single" w:color="auto" w:sz="4" w:space="0"/>
                    <w:left w:val="single" w:color="auto" w:sz="4" w:space="0"/>
                    <w:bottom w:val="single" w:color="auto" w:sz="4" w:space="0"/>
                    <w:right w:val="single" w:color="auto" w:sz="4" w:space="0"/>
                  </w:tcBorders>
                  <w:noWrap w:val="0"/>
                  <w:vAlign w:val="center"/>
                </w:tcPr>
                <w:p w14:paraId="3DB2264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住户</w:t>
                  </w:r>
                </w:p>
              </w:tc>
              <w:tc>
                <w:tcPr>
                  <w:tcW w:w="684" w:type="pct"/>
                  <w:tcBorders>
                    <w:top w:val="single" w:color="auto" w:sz="4" w:space="0"/>
                    <w:left w:val="single" w:color="auto" w:sz="4" w:space="0"/>
                    <w:bottom w:val="single" w:color="auto" w:sz="4" w:space="0"/>
                    <w:right w:val="single" w:color="auto" w:sz="4" w:space="0"/>
                  </w:tcBorders>
                  <w:noWrap w:val="0"/>
                  <w:vAlign w:val="center"/>
                </w:tcPr>
                <w:p w14:paraId="30A89E4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二类区</w:t>
                  </w:r>
                </w:p>
              </w:tc>
              <w:tc>
                <w:tcPr>
                  <w:tcW w:w="579" w:type="pct"/>
                  <w:tcBorders>
                    <w:top w:val="single" w:color="auto" w:sz="4" w:space="0"/>
                    <w:left w:val="single" w:color="auto" w:sz="4" w:space="0"/>
                    <w:bottom w:val="single" w:color="auto" w:sz="4" w:space="0"/>
                    <w:right w:val="single" w:color="auto" w:sz="4" w:space="0"/>
                  </w:tcBorders>
                  <w:noWrap w:val="0"/>
                  <w:vAlign w:val="center"/>
                </w:tcPr>
                <w:p w14:paraId="2CBD8D0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E</w:t>
                  </w:r>
                  <w:r>
                    <w:rPr>
                      <w:rFonts w:hint="eastAsia" w:ascii="Times New Roman" w:hAnsi="Times New Roman" w:eastAsia="宋体" w:cs="Times New Roman"/>
                      <w:color w:val="000000"/>
                      <w:kern w:val="2"/>
                      <w:sz w:val="21"/>
                      <w:szCs w:val="21"/>
                      <w:highlight w:val="none"/>
                      <w:lang w:val="en-US" w:eastAsia="zh-CN"/>
                    </w:rPr>
                    <w:t>S</w:t>
                  </w:r>
                </w:p>
              </w:tc>
              <w:tc>
                <w:tcPr>
                  <w:tcW w:w="835" w:type="pct"/>
                  <w:tcBorders>
                    <w:top w:val="single" w:color="auto" w:sz="4" w:space="0"/>
                    <w:left w:val="single" w:color="auto" w:sz="4" w:space="0"/>
                    <w:bottom w:val="single" w:color="auto" w:sz="4" w:space="0"/>
                    <w:right w:val="single" w:color="auto" w:sz="4" w:space="0"/>
                  </w:tcBorders>
                  <w:noWrap w:val="0"/>
                  <w:vAlign w:val="center"/>
                </w:tcPr>
                <w:p w14:paraId="7636D5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410</w:t>
                  </w:r>
                </w:p>
              </w:tc>
              <w:tc>
                <w:tcPr>
                  <w:tcW w:w="1019" w:type="pct"/>
                  <w:tcBorders>
                    <w:top w:val="single" w:color="auto" w:sz="4" w:space="0"/>
                    <w:left w:val="single" w:color="auto" w:sz="4" w:space="0"/>
                    <w:bottom w:val="single" w:color="auto" w:sz="4" w:space="0"/>
                    <w:right w:val="single" w:color="auto" w:sz="4" w:space="0"/>
                  </w:tcBorders>
                  <w:noWrap w:val="0"/>
                  <w:vAlign w:val="center"/>
                </w:tcPr>
                <w:p w14:paraId="541E8C1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2"/>
                      <w:sz w:val="21"/>
                      <w:szCs w:val="21"/>
                      <w:highlight w:val="none"/>
                      <w:lang w:val="en-US" w:eastAsia="zh-CN"/>
                    </w:rPr>
                  </w:pPr>
                  <w:r>
                    <w:rPr>
                      <w:rFonts w:hint="eastAsia" w:eastAsiaTheme="minorEastAsia"/>
                      <w:kern w:val="0"/>
                      <w:sz w:val="21"/>
                      <w:szCs w:val="21"/>
                      <w:lang w:val="en-US" w:eastAsia="zh-CN"/>
                    </w:rPr>
                    <w:t>65</w:t>
                  </w:r>
                  <w:r>
                    <w:rPr>
                      <w:rFonts w:eastAsiaTheme="minorEastAsia"/>
                      <w:kern w:val="0"/>
                      <w:sz w:val="21"/>
                      <w:szCs w:val="21"/>
                    </w:rPr>
                    <w:t>人</w:t>
                  </w:r>
                  <w:r>
                    <w:rPr>
                      <w:rFonts w:hint="eastAsia" w:eastAsiaTheme="minorEastAsia"/>
                      <w:kern w:val="0"/>
                      <w:sz w:val="21"/>
                      <w:szCs w:val="21"/>
                      <w:lang w:val="en-US" w:eastAsia="zh-CN"/>
                    </w:rPr>
                    <w:t>/26户</w:t>
                  </w:r>
                </w:p>
              </w:tc>
            </w:tr>
          </w:tbl>
          <w:p w14:paraId="75A4A5D3">
            <w:pPr>
              <w:bidi w:val="0"/>
              <w:rPr>
                <w:rFonts w:hint="eastAsia"/>
                <w:lang w:val="en-US" w:eastAsia="zh-CN"/>
              </w:rPr>
            </w:pPr>
          </w:p>
          <w:p w14:paraId="26B684D9">
            <w:pPr>
              <w:autoSpaceDE w:val="0"/>
              <w:autoSpaceDN w:val="0"/>
              <w:adjustRightInd w:val="0"/>
              <w:snapToGrid w:val="0"/>
              <w:spacing w:line="360" w:lineRule="auto"/>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2、声环境</w:t>
            </w:r>
          </w:p>
          <w:p w14:paraId="2DF0EF1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项目厂界外50米范围内无声环境保护目标。</w:t>
            </w:r>
          </w:p>
          <w:p w14:paraId="0729DA5A">
            <w:pPr>
              <w:autoSpaceDE w:val="0"/>
              <w:autoSpaceDN w:val="0"/>
              <w:adjustRightInd w:val="0"/>
              <w:snapToGrid w:val="0"/>
              <w:spacing w:line="360" w:lineRule="auto"/>
              <w:jc w:val="left"/>
              <w:rPr>
                <w:rFonts w:hint="default" w:ascii="宋体" w:hAnsi="宋体" w:cs="宋体"/>
                <w:b/>
                <w:bCs/>
                <w:kern w:val="0"/>
                <w:sz w:val="24"/>
                <w:szCs w:val="24"/>
                <w:lang w:val="en-US" w:eastAsia="zh-CN"/>
              </w:rPr>
            </w:pPr>
            <w:r>
              <w:rPr>
                <w:rFonts w:hint="eastAsia" w:ascii="宋体" w:hAnsi="宋体" w:cs="宋体"/>
                <w:b/>
                <w:bCs/>
                <w:kern w:val="0"/>
                <w:sz w:val="24"/>
                <w:szCs w:val="24"/>
                <w:lang w:val="en-US" w:eastAsia="zh-CN"/>
              </w:rPr>
              <w:t>3、地表水环境</w:t>
            </w:r>
          </w:p>
          <w:p w14:paraId="24BB656D">
            <w:pPr>
              <w:autoSpaceDE w:val="0"/>
              <w:autoSpaceDN w:val="0"/>
              <w:adjustRightInd w:val="0"/>
              <w:snapToGrid w:val="0"/>
              <w:spacing w:line="360" w:lineRule="auto"/>
              <w:ind w:firstLine="480" w:firstLineChars="200"/>
              <w:jc w:val="left"/>
              <w:rPr>
                <w:rFonts w:hint="eastAsia"/>
                <w:color w:val="000000"/>
                <w:kern w:val="0"/>
                <w:sz w:val="24"/>
                <w:lang w:val="en-US" w:eastAsia="zh-CN"/>
              </w:rPr>
            </w:pPr>
            <w:r>
              <w:rPr>
                <w:rFonts w:hint="eastAsia"/>
                <w:color w:val="000000"/>
                <w:kern w:val="0"/>
                <w:sz w:val="24"/>
                <w:lang w:val="en-US" w:eastAsia="zh-CN"/>
              </w:rPr>
              <w:t>项目周边地表水分布情况见下表。</w:t>
            </w:r>
          </w:p>
          <w:p w14:paraId="0FC70F88">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表3-</w:t>
            </w:r>
            <w:r>
              <w:rPr>
                <w:rFonts w:hint="eastAsia" w:ascii="宋体" w:hAnsi="宋体" w:cs="宋体"/>
                <w:b/>
                <w:bCs/>
                <w:sz w:val="22"/>
                <w:szCs w:val="22"/>
                <w:lang w:val="en-US" w:eastAsia="zh-CN"/>
              </w:rPr>
              <w:t>4</w:t>
            </w:r>
            <w:r>
              <w:rPr>
                <w:rFonts w:hint="eastAsia" w:ascii="宋体" w:hAnsi="宋体" w:eastAsia="宋体" w:cs="宋体"/>
                <w:b/>
                <w:bCs/>
                <w:sz w:val="22"/>
                <w:szCs w:val="22"/>
                <w:lang w:val="en-US" w:eastAsia="zh-CN"/>
              </w:rPr>
              <w:t xml:space="preserve">  </w:t>
            </w:r>
            <w:r>
              <w:rPr>
                <w:rFonts w:hint="default" w:ascii="宋体" w:hAnsi="宋体" w:eastAsia="宋体" w:cs="宋体"/>
                <w:b/>
                <w:bCs/>
                <w:sz w:val="22"/>
                <w:szCs w:val="22"/>
                <w:lang w:val="en-US" w:eastAsia="zh-CN"/>
              </w:rPr>
              <w:t>主要环境保护目标</w:t>
            </w:r>
          </w:p>
          <w:tbl>
            <w:tblPr>
              <w:tblStyle w:val="15"/>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424"/>
              <w:gridCol w:w="872"/>
              <w:gridCol w:w="1680"/>
              <w:gridCol w:w="2016"/>
              <w:gridCol w:w="1894"/>
            </w:tblGrid>
            <w:tr w14:paraId="5A40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exact"/>
                <w:jc w:val="center"/>
              </w:trPr>
              <w:tc>
                <w:tcPr>
                  <w:tcW w:w="90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5B119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snapToGrid w:val="0"/>
                      <w:color w:val="000000"/>
                      <w:kern w:val="2"/>
                      <w:sz w:val="22"/>
                      <w:szCs w:val="22"/>
                      <w:highlight w:val="none"/>
                      <w:lang w:val="en-US" w:eastAsia="zh-CN"/>
                    </w:rPr>
                  </w:pPr>
                  <w:r>
                    <w:rPr>
                      <w:rFonts w:hint="eastAsia" w:ascii="Times New Roman" w:hAnsi="Times New Roman" w:eastAsia="宋体" w:cs="Times New Roman"/>
                      <w:b/>
                      <w:bCs/>
                      <w:snapToGrid w:val="0"/>
                      <w:color w:val="000000"/>
                      <w:kern w:val="2"/>
                      <w:sz w:val="22"/>
                      <w:szCs w:val="22"/>
                      <w:highlight w:val="none"/>
                      <w:lang w:val="en-US" w:eastAsia="zh-CN"/>
                    </w:rPr>
                    <w:t>环境要素</w:t>
                  </w:r>
                </w:p>
              </w:tc>
              <w:tc>
                <w:tcPr>
                  <w:tcW w:w="55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3624362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snapToGrid w:val="0"/>
                      <w:color w:val="000000"/>
                      <w:kern w:val="2"/>
                      <w:sz w:val="22"/>
                      <w:szCs w:val="22"/>
                      <w:highlight w:val="none"/>
                      <w:lang w:val="en-US" w:eastAsia="zh-CN"/>
                    </w:rPr>
                  </w:pPr>
                  <w:r>
                    <w:rPr>
                      <w:rFonts w:hint="eastAsia" w:ascii="Times New Roman" w:hAnsi="Times New Roman" w:eastAsia="宋体" w:cs="Times New Roman"/>
                      <w:b/>
                      <w:bCs/>
                      <w:snapToGrid w:val="0"/>
                      <w:color w:val="000000"/>
                      <w:kern w:val="2"/>
                      <w:sz w:val="22"/>
                      <w:szCs w:val="22"/>
                      <w:highlight w:val="none"/>
                      <w:lang w:val="en-US" w:eastAsia="zh-CN"/>
                    </w:rPr>
                    <w:t>序号</w:t>
                  </w:r>
                </w:p>
              </w:tc>
              <w:tc>
                <w:tcPr>
                  <w:tcW w:w="1065"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39FFDA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snapToGrid w:val="0"/>
                      <w:color w:val="000000"/>
                      <w:kern w:val="2"/>
                      <w:sz w:val="22"/>
                      <w:szCs w:val="22"/>
                      <w:highlight w:val="none"/>
                      <w:lang w:val="en-US" w:eastAsia="zh-CN"/>
                    </w:rPr>
                  </w:pPr>
                  <w:r>
                    <w:rPr>
                      <w:rFonts w:hint="eastAsia" w:ascii="Times New Roman" w:hAnsi="Times New Roman" w:eastAsia="宋体" w:cs="Times New Roman"/>
                      <w:b/>
                      <w:bCs/>
                      <w:snapToGrid w:val="0"/>
                      <w:color w:val="000000"/>
                      <w:kern w:val="2"/>
                      <w:sz w:val="22"/>
                      <w:szCs w:val="22"/>
                      <w:highlight w:val="none"/>
                      <w:lang w:val="en-US" w:eastAsia="zh-CN"/>
                    </w:rPr>
                    <w:t>名称</w:t>
                  </w:r>
                </w:p>
              </w:tc>
              <w:tc>
                <w:tcPr>
                  <w:tcW w:w="1278"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7A0518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snapToGrid w:val="0"/>
                      <w:color w:val="000000"/>
                      <w:kern w:val="2"/>
                      <w:sz w:val="22"/>
                      <w:szCs w:val="22"/>
                      <w:highlight w:val="none"/>
                      <w:lang w:val="en-US" w:eastAsia="zh-CN"/>
                    </w:rPr>
                  </w:pPr>
                  <w:r>
                    <w:rPr>
                      <w:rFonts w:hint="eastAsia" w:ascii="Times New Roman" w:hAnsi="Times New Roman" w:eastAsia="宋体" w:cs="Times New Roman"/>
                      <w:b/>
                      <w:bCs/>
                      <w:snapToGrid w:val="0"/>
                      <w:color w:val="000000"/>
                      <w:kern w:val="2"/>
                      <w:sz w:val="22"/>
                      <w:szCs w:val="22"/>
                      <w:highlight w:val="none"/>
                      <w:lang w:val="en-US" w:eastAsia="zh-CN"/>
                    </w:rPr>
                    <w:t>相对厂址方位</w:t>
                  </w:r>
                </w:p>
              </w:tc>
              <w:tc>
                <w:tcPr>
                  <w:tcW w:w="1200"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D498C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snapToGrid w:val="0"/>
                      <w:color w:val="000000"/>
                      <w:kern w:val="2"/>
                      <w:sz w:val="22"/>
                      <w:szCs w:val="22"/>
                      <w:highlight w:val="none"/>
                      <w:lang w:val="en-US" w:eastAsia="zh-CN"/>
                    </w:rPr>
                  </w:pPr>
                  <w:r>
                    <w:rPr>
                      <w:rFonts w:hint="eastAsia" w:ascii="Times New Roman" w:hAnsi="Times New Roman" w:eastAsia="宋体" w:cs="Times New Roman"/>
                      <w:b/>
                      <w:bCs/>
                      <w:snapToGrid w:val="0"/>
                      <w:color w:val="000000"/>
                      <w:kern w:val="2"/>
                      <w:sz w:val="22"/>
                      <w:szCs w:val="22"/>
                      <w:highlight w:val="none"/>
                      <w:lang w:val="en-US" w:eastAsia="zh-CN"/>
                    </w:rPr>
                    <w:t>距厂界距离m</w:t>
                  </w:r>
                </w:p>
              </w:tc>
            </w:tr>
            <w:tr w14:paraId="5690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2" w:hRule="atLeast"/>
                <w:jc w:val="center"/>
              </w:trPr>
              <w:tc>
                <w:tcPr>
                  <w:tcW w:w="90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A33D99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sz w:val="24"/>
                      <w:szCs w:val="24"/>
                    </w:rPr>
                  </w:pPr>
                </w:p>
              </w:tc>
              <w:tc>
                <w:tcPr>
                  <w:tcW w:w="55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2FE064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sz w:val="24"/>
                      <w:szCs w:val="24"/>
                    </w:rPr>
                  </w:pPr>
                </w:p>
              </w:tc>
              <w:tc>
                <w:tcPr>
                  <w:tcW w:w="1065"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670304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sz w:val="24"/>
                      <w:szCs w:val="24"/>
                    </w:rPr>
                  </w:pPr>
                </w:p>
              </w:tc>
              <w:tc>
                <w:tcPr>
                  <w:tcW w:w="1278"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765A4E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sz w:val="24"/>
                      <w:szCs w:val="24"/>
                    </w:rPr>
                  </w:pPr>
                </w:p>
              </w:tc>
              <w:tc>
                <w:tcPr>
                  <w:tcW w:w="1200"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09706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sz w:val="24"/>
                      <w:szCs w:val="24"/>
                    </w:rPr>
                  </w:pPr>
                </w:p>
              </w:tc>
            </w:tr>
            <w:tr w14:paraId="6D96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0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7A1A66A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地表水</w:t>
                  </w:r>
                  <w:r>
                    <w:rPr>
                      <w:rFonts w:hint="eastAsia" w:ascii="宋体" w:hAnsi="宋体" w:eastAsia="宋体" w:cs="宋体"/>
                      <w:kern w:val="0"/>
                      <w:sz w:val="21"/>
                      <w:szCs w:val="21"/>
                      <w:lang w:val="en-US" w:eastAsia="zh-CN"/>
                    </w:rPr>
                    <w:t>环境</w:t>
                  </w:r>
                </w:p>
              </w:tc>
              <w:tc>
                <w:tcPr>
                  <w:tcW w:w="55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38370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1</w:t>
                  </w:r>
                </w:p>
              </w:tc>
              <w:tc>
                <w:tcPr>
                  <w:tcW w:w="10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066E0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rPr>
                  </w:pPr>
                  <w:r>
                    <w:rPr>
                      <w:rFonts w:hint="eastAsia"/>
                      <w:color w:val="000000"/>
                      <w:kern w:val="0"/>
                      <w:sz w:val="24"/>
                      <w:lang w:val="en-US" w:eastAsia="zh-CN"/>
                    </w:rPr>
                    <w:t>濉符大沟</w:t>
                  </w:r>
                </w:p>
              </w:tc>
              <w:tc>
                <w:tcPr>
                  <w:tcW w:w="1278"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43CA58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E</w:t>
                  </w:r>
                  <w:r>
                    <w:rPr>
                      <w:rFonts w:hint="eastAsia" w:ascii="Times New Roman" w:hAnsi="Times New Roman" w:eastAsia="宋体" w:cs="Times New Roman"/>
                      <w:color w:val="000000"/>
                      <w:kern w:val="2"/>
                      <w:sz w:val="21"/>
                      <w:szCs w:val="21"/>
                      <w:highlight w:val="none"/>
                      <w:lang w:val="en-US" w:eastAsia="zh-CN"/>
                    </w:rPr>
                    <w:t>S</w:t>
                  </w:r>
                </w:p>
              </w:tc>
              <w:tc>
                <w:tcPr>
                  <w:tcW w:w="1200"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7F659F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olor w:val="000000"/>
                      <w:kern w:val="0"/>
                      <w:sz w:val="24"/>
                      <w:lang w:val="en-US" w:eastAsia="zh-CN"/>
                    </w:rPr>
                    <w:t>160</w:t>
                  </w:r>
                </w:p>
              </w:tc>
            </w:tr>
            <w:tr w14:paraId="3A91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902" w:type="pct"/>
                  <w:vMerge w:val="continue"/>
                  <w:tcBorders>
                    <w:left w:val="single" w:color="auto" w:sz="4" w:space="0"/>
                    <w:right w:val="single" w:color="auto" w:sz="4" w:space="0"/>
                  </w:tcBorders>
                  <w:noWrap w:val="0"/>
                  <w:tcMar>
                    <w:top w:w="57" w:type="dxa"/>
                    <w:left w:w="57" w:type="dxa"/>
                    <w:bottom w:w="57" w:type="dxa"/>
                    <w:right w:w="57" w:type="dxa"/>
                  </w:tcMar>
                  <w:vAlign w:val="center"/>
                </w:tcPr>
                <w:p w14:paraId="0E9694B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rPr>
                  </w:pPr>
                </w:p>
              </w:tc>
              <w:tc>
                <w:tcPr>
                  <w:tcW w:w="55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82FFD6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w:t>
                  </w:r>
                </w:p>
              </w:tc>
              <w:tc>
                <w:tcPr>
                  <w:tcW w:w="10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BD71F9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kern w:val="0"/>
                      <w:sz w:val="21"/>
                      <w:szCs w:val="21"/>
                      <w:lang w:val="en-US" w:eastAsia="zh-CN"/>
                    </w:rPr>
                  </w:pPr>
                  <w:r>
                    <w:rPr>
                      <w:rFonts w:hint="eastAsia"/>
                      <w:color w:val="000000"/>
                      <w:kern w:val="0"/>
                      <w:sz w:val="24"/>
                      <w:lang w:val="en-US" w:eastAsia="zh-CN"/>
                    </w:rPr>
                    <w:t>闸河</w:t>
                  </w:r>
                </w:p>
              </w:tc>
              <w:tc>
                <w:tcPr>
                  <w:tcW w:w="1278"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6516A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EN</w:t>
                  </w:r>
                </w:p>
              </w:tc>
              <w:tc>
                <w:tcPr>
                  <w:tcW w:w="1200"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F668F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olor w:val="000000"/>
                      <w:kern w:val="0"/>
                      <w:sz w:val="24"/>
                      <w:lang w:val="en-US" w:eastAsia="zh-CN"/>
                    </w:rPr>
                    <w:t>620</w:t>
                  </w:r>
                </w:p>
              </w:tc>
            </w:tr>
            <w:tr w14:paraId="04C8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902" w:type="pct"/>
                  <w:vMerge w:val="continue"/>
                  <w:tcBorders>
                    <w:left w:val="single" w:color="auto" w:sz="4" w:space="0"/>
                    <w:right w:val="single" w:color="auto" w:sz="4" w:space="0"/>
                  </w:tcBorders>
                  <w:noWrap w:val="0"/>
                  <w:tcMar>
                    <w:top w:w="57" w:type="dxa"/>
                    <w:left w:w="57" w:type="dxa"/>
                    <w:bottom w:w="57" w:type="dxa"/>
                    <w:right w:w="57" w:type="dxa"/>
                  </w:tcMar>
                  <w:vAlign w:val="center"/>
                </w:tcPr>
                <w:p w14:paraId="07CCFED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rPr>
                  </w:pPr>
                </w:p>
              </w:tc>
              <w:tc>
                <w:tcPr>
                  <w:tcW w:w="55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F4587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3</w:t>
                  </w:r>
                </w:p>
              </w:tc>
              <w:tc>
                <w:tcPr>
                  <w:tcW w:w="10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2339C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rPr>
                  </w:pPr>
                  <w:r>
                    <w:rPr>
                      <w:rFonts w:hint="eastAsia"/>
                      <w:color w:val="000000"/>
                      <w:kern w:val="0"/>
                      <w:sz w:val="24"/>
                      <w:lang w:val="en-US" w:eastAsia="zh-CN"/>
                    </w:rPr>
                    <w:t>雷河</w:t>
                  </w:r>
                </w:p>
              </w:tc>
              <w:tc>
                <w:tcPr>
                  <w:tcW w:w="1278"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2D70BF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WN</w:t>
                  </w:r>
                </w:p>
              </w:tc>
              <w:tc>
                <w:tcPr>
                  <w:tcW w:w="1200"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ACBE18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olor w:val="000000"/>
                      <w:kern w:val="0"/>
                      <w:sz w:val="24"/>
                      <w:lang w:val="en-US" w:eastAsia="zh-CN"/>
                    </w:rPr>
                    <w:t>2720</w:t>
                  </w:r>
                </w:p>
              </w:tc>
            </w:tr>
          </w:tbl>
          <w:p w14:paraId="768A5267">
            <w:pPr>
              <w:autoSpaceDE w:val="0"/>
              <w:autoSpaceDN w:val="0"/>
              <w:adjustRightInd w:val="0"/>
              <w:snapToGrid w:val="0"/>
              <w:spacing w:line="360" w:lineRule="auto"/>
              <w:jc w:val="left"/>
              <w:rPr>
                <w:rFonts w:hint="eastAsia"/>
                <w:color w:val="000000"/>
                <w:kern w:val="0"/>
                <w:sz w:val="24"/>
                <w:lang w:val="en-US" w:eastAsia="zh-CN"/>
              </w:rPr>
            </w:pPr>
          </w:p>
          <w:p w14:paraId="1D5E3275">
            <w:pPr>
              <w:autoSpaceDE w:val="0"/>
              <w:autoSpaceDN w:val="0"/>
              <w:adjustRightInd w:val="0"/>
              <w:snapToGrid w:val="0"/>
              <w:spacing w:line="360" w:lineRule="auto"/>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4、地下水环境</w:t>
            </w:r>
          </w:p>
          <w:p w14:paraId="3F770B97">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项目厂界外500米范围内无地下水集中式饮用水水源和热水、矿泉水、温泉等特殊地下水资源。</w:t>
            </w:r>
          </w:p>
          <w:p w14:paraId="2421360A">
            <w:pPr>
              <w:autoSpaceDE w:val="0"/>
              <w:autoSpaceDN w:val="0"/>
              <w:adjustRightInd w:val="0"/>
              <w:snapToGrid w:val="0"/>
              <w:spacing w:line="360" w:lineRule="auto"/>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5、生态环境</w:t>
            </w:r>
          </w:p>
          <w:p w14:paraId="397F9C31">
            <w:pPr>
              <w:autoSpaceDE w:val="0"/>
              <w:autoSpaceDN w:val="0"/>
              <w:adjustRightInd w:val="0"/>
              <w:snapToGrid w:val="0"/>
              <w:spacing w:line="360" w:lineRule="auto"/>
              <w:ind w:firstLine="480" w:firstLineChars="200"/>
              <w:jc w:val="left"/>
              <w:rPr>
                <w:rFonts w:hint="default"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本项目不涉及。</w:t>
            </w:r>
          </w:p>
        </w:tc>
      </w:tr>
      <w:tr w14:paraId="29F08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168" w:hRule="atLeast"/>
          <w:jc w:val="center"/>
        </w:trPr>
        <w:tc>
          <w:tcPr>
            <w:tcW w:w="498" w:type="dxa"/>
            <w:noWrap w:val="0"/>
            <w:tcMar>
              <w:left w:w="28" w:type="dxa"/>
              <w:right w:w="28" w:type="dxa"/>
            </w:tcMar>
            <w:vAlign w:val="center"/>
          </w:tcPr>
          <w:p w14:paraId="7531AF82">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污染</w:t>
            </w:r>
          </w:p>
          <w:p w14:paraId="768B0933">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物排</w:t>
            </w:r>
          </w:p>
          <w:p w14:paraId="666F5A1F">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放控</w:t>
            </w:r>
          </w:p>
          <w:p w14:paraId="3A2AF4CF">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制标</w:t>
            </w:r>
          </w:p>
          <w:p w14:paraId="080BA863">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准</w:t>
            </w:r>
          </w:p>
        </w:tc>
        <w:tc>
          <w:tcPr>
            <w:tcW w:w="8190" w:type="dxa"/>
            <w:noWrap w:val="0"/>
            <w:vAlign w:val="center"/>
          </w:tcPr>
          <w:p w14:paraId="15AAE1DC">
            <w:pPr>
              <w:autoSpaceDE w:val="0"/>
              <w:autoSpaceDN w:val="0"/>
              <w:adjustRightInd w:val="0"/>
              <w:snapToGrid w:val="0"/>
              <w:spacing w:line="360" w:lineRule="auto"/>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1、废水</w:t>
            </w:r>
          </w:p>
          <w:p w14:paraId="1EF821B6">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本项目食堂废水和生活污水经厂区内处理设施预处理后达到《污水综合排放标准》（GB 8978-1996）表4三级标准限值及淮北经济开发区新区污水处理厂接管标准后，然后通过污水管网排入淮北经济开发区新区污水处理厂深度处理后达到《城镇污水处理厂污染物排放标准》（GB18918-2002）一级A类标准，处理后尾水部分由平山电厂中水回用，剩余排入新濉河。具体见下表。</w:t>
            </w:r>
          </w:p>
          <w:p w14:paraId="0BD0C2AD">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表3-</w:t>
            </w:r>
            <w:r>
              <w:rPr>
                <w:rFonts w:hint="eastAsia" w:ascii="宋体" w:hAnsi="宋体" w:cs="宋体"/>
                <w:b/>
                <w:bCs/>
                <w:sz w:val="22"/>
                <w:szCs w:val="22"/>
                <w:lang w:val="en-US" w:eastAsia="zh-CN"/>
              </w:rPr>
              <w:t>5</w:t>
            </w:r>
            <w:r>
              <w:rPr>
                <w:rFonts w:hint="eastAsia" w:ascii="宋体" w:hAnsi="宋体" w:eastAsia="宋体" w:cs="宋体"/>
                <w:b/>
                <w:bCs/>
                <w:sz w:val="22"/>
                <w:szCs w:val="22"/>
                <w:lang w:val="en-US" w:eastAsia="zh-CN"/>
              </w:rPr>
              <w:t xml:space="preserve">  </w:t>
            </w:r>
            <w:r>
              <w:rPr>
                <w:rFonts w:hint="default" w:ascii="宋体" w:hAnsi="宋体" w:eastAsia="宋体" w:cs="宋体"/>
                <w:b/>
                <w:bCs/>
                <w:sz w:val="22"/>
                <w:szCs w:val="22"/>
                <w:lang w:val="en-US" w:eastAsia="zh-CN"/>
              </w:rPr>
              <w:t>废水排放执行标准</w:t>
            </w:r>
            <w:r>
              <w:rPr>
                <w:rFonts w:hint="eastAsia" w:ascii="宋体" w:hAnsi="宋体" w:cs="宋体"/>
                <w:b/>
                <w:bCs/>
                <w:sz w:val="22"/>
                <w:szCs w:val="22"/>
                <w:lang w:val="en-US" w:eastAsia="zh-CN"/>
              </w:rPr>
              <w:t>一览表</w:t>
            </w:r>
            <w:r>
              <w:rPr>
                <w:rFonts w:hint="default" w:ascii="宋体" w:hAnsi="宋体" w:eastAsia="宋体" w:cs="宋体"/>
                <w:b/>
                <w:bCs/>
                <w:sz w:val="22"/>
                <w:szCs w:val="22"/>
                <w:lang w:val="en-US" w:eastAsia="zh-CN"/>
              </w:rPr>
              <w:t>（mg/L</w:t>
            </w:r>
            <w:r>
              <w:rPr>
                <w:rFonts w:hint="eastAsia" w:ascii="宋体" w:hAnsi="宋体" w:cs="宋体"/>
                <w:b/>
                <w:bCs/>
                <w:sz w:val="22"/>
                <w:szCs w:val="22"/>
                <w:lang w:val="en-US" w:eastAsia="zh-CN"/>
              </w:rPr>
              <w:t>，</w:t>
            </w:r>
            <w:r>
              <w:rPr>
                <w:rFonts w:hint="default" w:ascii="宋体" w:hAnsi="宋体" w:eastAsia="宋体" w:cs="宋体"/>
                <w:b/>
                <w:bCs/>
                <w:sz w:val="22"/>
                <w:szCs w:val="22"/>
                <w:lang w:val="en-US" w:eastAsia="zh-CN"/>
              </w:rPr>
              <w:t>pH无量纲）</w:t>
            </w:r>
          </w:p>
          <w:tbl>
            <w:tblPr>
              <w:tblStyle w:val="16"/>
              <w:tblW w:w="47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22"/>
              <w:gridCol w:w="2148"/>
              <w:gridCol w:w="2410"/>
              <w:gridCol w:w="1762"/>
            </w:tblGrid>
            <w:tr w14:paraId="0BA3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63EC472B">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bCs/>
                      <w:sz w:val="22"/>
                      <w:szCs w:val="22"/>
                      <w:lang w:val="en-US" w:eastAsia="zh-CN"/>
                    </w:rPr>
                  </w:pPr>
                  <w:r>
                    <w:rPr>
                      <w:rFonts w:hint="eastAsia" w:ascii="Times New Roman" w:hAnsi="Times New Roman" w:eastAsia="宋体" w:cs="Times New Roman"/>
                      <w:b/>
                      <w:bCs/>
                      <w:sz w:val="22"/>
                      <w:szCs w:val="22"/>
                      <w:lang w:val="en-US" w:eastAsia="zh-CN"/>
                    </w:rPr>
                    <w:t>污染物</w:t>
                  </w:r>
                </w:p>
              </w:tc>
              <w:tc>
                <w:tcPr>
                  <w:tcW w:w="1405" w:type="pct"/>
                  <w:tcBorders>
                    <w:top w:val="single" w:color="auto" w:sz="4" w:space="0"/>
                    <w:left w:val="single" w:color="auto" w:sz="4" w:space="0"/>
                    <w:bottom w:val="single" w:color="auto" w:sz="4" w:space="0"/>
                    <w:right w:val="single" w:color="auto" w:sz="4" w:space="0"/>
                  </w:tcBorders>
                  <w:noWrap w:val="0"/>
                  <w:vAlign w:val="center"/>
                </w:tcPr>
                <w:p w14:paraId="64BF2B7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污水处理厂接管标准</w:t>
                  </w:r>
                </w:p>
              </w:tc>
              <w:tc>
                <w:tcPr>
                  <w:tcW w:w="1576" w:type="pct"/>
                  <w:tcBorders>
                    <w:top w:val="single" w:color="auto" w:sz="4" w:space="0"/>
                    <w:left w:val="single" w:color="auto" w:sz="4" w:space="0"/>
                    <w:bottom w:val="single" w:color="auto" w:sz="4" w:space="0"/>
                    <w:right w:val="single" w:color="auto" w:sz="4" w:space="0"/>
                  </w:tcBorders>
                  <w:noWrap w:val="0"/>
                  <w:vAlign w:val="center"/>
                </w:tcPr>
                <w:p w14:paraId="03EADDF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GB 8978-1996</w:t>
                  </w:r>
                  <w:r>
                    <w:rPr>
                      <w:rFonts w:hint="eastAsia" w:ascii="宋体" w:hAnsi="宋体" w:cs="宋体"/>
                      <w:b/>
                      <w:bCs/>
                      <w:kern w:val="0"/>
                      <w:sz w:val="21"/>
                      <w:szCs w:val="21"/>
                      <w:lang w:val="en-US" w:eastAsia="zh-CN"/>
                    </w:rPr>
                    <w:t>标准限值</w:t>
                  </w:r>
                </w:p>
              </w:tc>
              <w:tc>
                <w:tcPr>
                  <w:tcW w:w="1152" w:type="pct"/>
                  <w:tcBorders>
                    <w:top w:val="single" w:color="auto" w:sz="4" w:space="0"/>
                    <w:left w:val="single" w:color="auto" w:sz="4" w:space="0"/>
                    <w:bottom w:val="single" w:color="auto" w:sz="4" w:space="0"/>
                    <w:right w:val="single" w:color="auto" w:sz="4" w:space="0"/>
                  </w:tcBorders>
                  <w:noWrap w:val="0"/>
                  <w:vAlign w:val="center"/>
                </w:tcPr>
                <w:p w14:paraId="12962A0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本项目执行</w:t>
                  </w:r>
                  <w:r>
                    <w:rPr>
                      <w:rFonts w:hint="eastAsia" w:ascii="宋体" w:hAnsi="宋体" w:cs="宋体"/>
                      <w:b/>
                      <w:bCs/>
                      <w:kern w:val="0"/>
                      <w:sz w:val="21"/>
                      <w:szCs w:val="21"/>
                      <w:lang w:val="en-US" w:eastAsia="zh-CN"/>
                    </w:rPr>
                    <w:t>限值</w:t>
                  </w:r>
                </w:p>
              </w:tc>
            </w:tr>
            <w:tr w14:paraId="5EB9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3A68DA">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rPr>
                    <w:t>p</w:t>
                  </w:r>
                  <w:r>
                    <w:rPr>
                      <w:rFonts w:ascii="Times New Roman" w:hAnsi="Times New Roman" w:eastAsia="宋体" w:cs="Times New Roman"/>
                      <w:b w:val="0"/>
                      <w:bCs w:val="0"/>
                      <w:sz w:val="22"/>
                      <w:szCs w:val="22"/>
                    </w:rPr>
                    <w:t>H</w:t>
                  </w:r>
                </w:p>
              </w:tc>
              <w:tc>
                <w:tcPr>
                  <w:tcW w:w="1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14DCE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6~9</w:t>
                  </w:r>
                </w:p>
              </w:tc>
              <w:tc>
                <w:tcPr>
                  <w:tcW w:w="15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8DF10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6~9</w:t>
                  </w:r>
                </w:p>
              </w:tc>
              <w:tc>
                <w:tcPr>
                  <w:tcW w:w="11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CBE2E2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6~9</w:t>
                  </w:r>
                </w:p>
              </w:tc>
            </w:tr>
            <w:tr w14:paraId="441E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C3F7C1">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rPr>
                    <w:t>S</w:t>
                  </w:r>
                  <w:r>
                    <w:rPr>
                      <w:rFonts w:ascii="Times New Roman" w:hAnsi="Times New Roman" w:eastAsia="宋体" w:cs="Times New Roman"/>
                      <w:b w:val="0"/>
                      <w:bCs w:val="0"/>
                      <w:sz w:val="22"/>
                      <w:szCs w:val="22"/>
                    </w:rPr>
                    <w:t>S</w:t>
                  </w:r>
                </w:p>
              </w:tc>
              <w:tc>
                <w:tcPr>
                  <w:tcW w:w="1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4410F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w:t>
                  </w:r>
                  <w:r>
                    <w:rPr>
                      <w:rFonts w:hint="eastAsia" w:cs="Times New Roman"/>
                      <w:color w:val="000000"/>
                      <w:kern w:val="2"/>
                      <w:sz w:val="21"/>
                      <w:szCs w:val="21"/>
                      <w:highlight w:val="none"/>
                      <w:lang w:val="en-US" w:eastAsia="zh-CN"/>
                    </w:rPr>
                    <w:t>31</w:t>
                  </w:r>
                  <w:r>
                    <w:rPr>
                      <w:rFonts w:hint="eastAsia" w:ascii="Times New Roman" w:hAnsi="Times New Roman" w:eastAsia="宋体" w:cs="Times New Roman"/>
                      <w:color w:val="000000"/>
                      <w:kern w:val="2"/>
                      <w:sz w:val="21"/>
                      <w:szCs w:val="21"/>
                      <w:highlight w:val="none"/>
                      <w:lang w:val="en-US" w:eastAsia="zh-CN"/>
                    </w:rPr>
                    <w:t>0</w:t>
                  </w:r>
                </w:p>
              </w:tc>
              <w:tc>
                <w:tcPr>
                  <w:tcW w:w="15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307D1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400</w:t>
                  </w:r>
                </w:p>
              </w:tc>
              <w:tc>
                <w:tcPr>
                  <w:tcW w:w="11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174C2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310</w:t>
                  </w:r>
                </w:p>
              </w:tc>
            </w:tr>
            <w:tr w14:paraId="7D4B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AF49C5">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rPr>
                    <w:t>C</w:t>
                  </w:r>
                  <w:r>
                    <w:rPr>
                      <w:rFonts w:ascii="Times New Roman" w:hAnsi="Times New Roman" w:eastAsia="宋体" w:cs="Times New Roman"/>
                      <w:b w:val="0"/>
                      <w:bCs w:val="0"/>
                      <w:sz w:val="22"/>
                      <w:szCs w:val="22"/>
                    </w:rPr>
                    <w:t>OD</w:t>
                  </w:r>
                </w:p>
              </w:tc>
              <w:tc>
                <w:tcPr>
                  <w:tcW w:w="1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57D40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w:t>
                  </w:r>
                  <w:r>
                    <w:rPr>
                      <w:rFonts w:hint="eastAsia" w:cs="Times New Roman"/>
                      <w:color w:val="000000"/>
                      <w:kern w:val="2"/>
                      <w:sz w:val="21"/>
                      <w:szCs w:val="21"/>
                      <w:highlight w:val="none"/>
                      <w:lang w:val="en-US" w:eastAsia="zh-CN"/>
                    </w:rPr>
                    <w:t>48</w:t>
                  </w:r>
                  <w:r>
                    <w:rPr>
                      <w:rFonts w:hint="eastAsia" w:ascii="Times New Roman" w:hAnsi="Times New Roman" w:eastAsia="宋体" w:cs="Times New Roman"/>
                      <w:color w:val="000000"/>
                      <w:kern w:val="2"/>
                      <w:sz w:val="21"/>
                      <w:szCs w:val="21"/>
                      <w:highlight w:val="none"/>
                      <w:lang w:val="en-US" w:eastAsia="zh-CN"/>
                    </w:rPr>
                    <w:t>0</w:t>
                  </w:r>
                </w:p>
              </w:tc>
              <w:tc>
                <w:tcPr>
                  <w:tcW w:w="15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8F596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500</w:t>
                  </w:r>
                </w:p>
              </w:tc>
              <w:tc>
                <w:tcPr>
                  <w:tcW w:w="11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5A6F1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480</w:t>
                  </w:r>
                </w:p>
              </w:tc>
            </w:tr>
            <w:tr w14:paraId="2B44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ACD789">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rPr>
                    <w:t>B</w:t>
                  </w:r>
                  <w:r>
                    <w:rPr>
                      <w:rFonts w:ascii="Times New Roman" w:hAnsi="Times New Roman" w:eastAsia="宋体" w:cs="Times New Roman"/>
                      <w:b w:val="0"/>
                      <w:bCs w:val="0"/>
                      <w:sz w:val="22"/>
                      <w:szCs w:val="22"/>
                    </w:rPr>
                    <w:t>OD</w:t>
                  </w:r>
                  <w:r>
                    <w:rPr>
                      <w:rFonts w:ascii="Times New Roman" w:hAnsi="Times New Roman" w:eastAsia="宋体" w:cs="Times New Roman"/>
                      <w:b w:val="0"/>
                      <w:bCs w:val="0"/>
                      <w:sz w:val="22"/>
                      <w:szCs w:val="22"/>
                      <w:vertAlign w:val="subscript"/>
                    </w:rPr>
                    <w:t>5</w:t>
                  </w:r>
                </w:p>
              </w:tc>
              <w:tc>
                <w:tcPr>
                  <w:tcW w:w="1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C18C9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w:t>
                  </w:r>
                  <w:r>
                    <w:rPr>
                      <w:rFonts w:hint="eastAsia" w:cs="Times New Roman"/>
                      <w:color w:val="000000"/>
                      <w:kern w:val="2"/>
                      <w:sz w:val="21"/>
                      <w:szCs w:val="21"/>
                      <w:highlight w:val="none"/>
                      <w:lang w:val="en-US" w:eastAsia="zh-CN"/>
                    </w:rPr>
                    <w:t>12</w:t>
                  </w:r>
                  <w:r>
                    <w:rPr>
                      <w:rFonts w:hint="eastAsia" w:ascii="Times New Roman" w:hAnsi="Times New Roman" w:eastAsia="宋体" w:cs="Times New Roman"/>
                      <w:color w:val="000000"/>
                      <w:kern w:val="2"/>
                      <w:sz w:val="21"/>
                      <w:szCs w:val="21"/>
                      <w:highlight w:val="none"/>
                      <w:lang w:val="en-US" w:eastAsia="zh-CN"/>
                    </w:rPr>
                    <w:t>0</w:t>
                  </w:r>
                </w:p>
              </w:tc>
              <w:tc>
                <w:tcPr>
                  <w:tcW w:w="15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9D57C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300</w:t>
                  </w:r>
                </w:p>
              </w:tc>
              <w:tc>
                <w:tcPr>
                  <w:tcW w:w="11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FD22A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120</w:t>
                  </w:r>
                </w:p>
              </w:tc>
            </w:tr>
            <w:tr w14:paraId="2599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ED1A13">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rPr>
                    <w:t>N</w:t>
                  </w:r>
                  <w:r>
                    <w:rPr>
                      <w:rFonts w:ascii="Times New Roman" w:hAnsi="Times New Roman" w:eastAsia="宋体" w:cs="Times New Roman"/>
                      <w:b w:val="0"/>
                      <w:bCs w:val="0"/>
                      <w:sz w:val="22"/>
                      <w:szCs w:val="22"/>
                    </w:rPr>
                    <w:t>H</w:t>
                  </w:r>
                  <w:r>
                    <w:rPr>
                      <w:rFonts w:ascii="Times New Roman" w:hAnsi="Times New Roman" w:eastAsia="宋体" w:cs="Times New Roman"/>
                      <w:b w:val="0"/>
                      <w:bCs w:val="0"/>
                      <w:sz w:val="22"/>
                      <w:szCs w:val="22"/>
                      <w:vertAlign w:val="subscript"/>
                    </w:rPr>
                    <w:t>3</w:t>
                  </w:r>
                  <w:r>
                    <w:rPr>
                      <w:rFonts w:ascii="Times New Roman" w:hAnsi="Times New Roman" w:eastAsia="宋体" w:cs="Times New Roman"/>
                      <w:b w:val="0"/>
                      <w:bCs w:val="0"/>
                      <w:sz w:val="22"/>
                      <w:szCs w:val="22"/>
                    </w:rPr>
                    <w:t>-N</w:t>
                  </w:r>
                </w:p>
              </w:tc>
              <w:tc>
                <w:tcPr>
                  <w:tcW w:w="1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8F3B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≤3</w:t>
                  </w:r>
                  <w:r>
                    <w:rPr>
                      <w:rFonts w:hint="eastAsia" w:cs="Times New Roman"/>
                      <w:color w:val="000000"/>
                      <w:kern w:val="2"/>
                      <w:sz w:val="21"/>
                      <w:szCs w:val="21"/>
                      <w:highlight w:val="none"/>
                      <w:lang w:val="en-US" w:eastAsia="zh-CN"/>
                    </w:rPr>
                    <w:t>5</w:t>
                  </w:r>
                </w:p>
              </w:tc>
              <w:tc>
                <w:tcPr>
                  <w:tcW w:w="15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9769E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t>
                  </w:r>
                </w:p>
              </w:tc>
              <w:tc>
                <w:tcPr>
                  <w:tcW w:w="11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335E3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35</w:t>
                  </w:r>
                </w:p>
              </w:tc>
            </w:tr>
            <w:tr w14:paraId="2E86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FF157A">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val="0"/>
                      <w:bCs w:val="0"/>
                      <w:sz w:val="22"/>
                      <w:szCs w:val="22"/>
                      <w:lang w:val="en-US" w:eastAsia="zh-CN"/>
                    </w:rPr>
                  </w:pPr>
                  <w:r>
                    <w:rPr>
                      <w:rFonts w:hint="eastAsia" w:cs="Times New Roman"/>
                      <w:b w:val="0"/>
                      <w:bCs w:val="0"/>
                      <w:sz w:val="22"/>
                      <w:szCs w:val="22"/>
                      <w:lang w:val="en-US" w:eastAsia="zh-CN"/>
                    </w:rPr>
                    <w:t>动植物油</w:t>
                  </w:r>
                </w:p>
              </w:tc>
              <w:tc>
                <w:tcPr>
                  <w:tcW w:w="1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A4A3E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t>
                  </w:r>
                </w:p>
              </w:tc>
              <w:tc>
                <w:tcPr>
                  <w:tcW w:w="15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4DBAF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100</w:t>
                  </w:r>
                </w:p>
              </w:tc>
              <w:tc>
                <w:tcPr>
                  <w:tcW w:w="11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6FDF2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100</w:t>
                  </w:r>
                </w:p>
              </w:tc>
            </w:tr>
          </w:tbl>
          <w:p w14:paraId="774E1BA2">
            <w:pPr>
              <w:bidi w:val="0"/>
              <w:rPr>
                <w:rFonts w:hint="eastAsia"/>
                <w:lang w:val="en-US" w:eastAsia="zh-CN"/>
              </w:rPr>
            </w:pPr>
          </w:p>
          <w:p w14:paraId="0E7F04AC">
            <w:pPr>
              <w:autoSpaceDE w:val="0"/>
              <w:autoSpaceDN w:val="0"/>
              <w:adjustRightInd w:val="0"/>
              <w:snapToGrid w:val="0"/>
              <w:spacing w:line="360" w:lineRule="auto"/>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2、废气</w:t>
            </w:r>
          </w:p>
          <w:p w14:paraId="414ABD39">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（1）施工期</w:t>
            </w:r>
          </w:p>
          <w:p w14:paraId="6A2AE44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本项目施工期间颗粒物排放执行安徽省地方标准《施工场地颗粒物排放标准》（DB34_4811-2024）标准限值要求。具体见下表。</w:t>
            </w:r>
          </w:p>
          <w:p w14:paraId="795D9B9F">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表3-</w:t>
            </w:r>
            <w:r>
              <w:rPr>
                <w:rFonts w:hint="eastAsia" w:ascii="宋体" w:hAnsi="宋体" w:cs="宋体"/>
                <w:b/>
                <w:bCs/>
                <w:sz w:val="22"/>
                <w:szCs w:val="22"/>
                <w:lang w:val="en-US" w:eastAsia="zh-CN"/>
              </w:rPr>
              <w:t>6</w:t>
            </w:r>
            <w:r>
              <w:rPr>
                <w:rFonts w:hint="eastAsia" w:ascii="宋体" w:hAnsi="宋体" w:eastAsia="宋体" w:cs="宋体"/>
                <w:b/>
                <w:bCs/>
                <w:sz w:val="22"/>
                <w:szCs w:val="22"/>
                <w:lang w:val="en-US" w:eastAsia="zh-CN"/>
              </w:rPr>
              <w:t xml:space="preserve">  </w:t>
            </w:r>
            <w:r>
              <w:rPr>
                <w:rFonts w:hint="default" w:ascii="宋体" w:hAnsi="宋体" w:eastAsia="宋体" w:cs="宋体"/>
                <w:b/>
                <w:bCs/>
                <w:sz w:val="22"/>
                <w:szCs w:val="22"/>
                <w:lang w:val="en-US" w:eastAsia="zh-CN"/>
              </w:rPr>
              <w:t>施工期颗粒物排放标准</w:t>
            </w:r>
          </w:p>
          <w:tbl>
            <w:tblPr>
              <w:tblStyle w:val="16"/>
              <w:tblW w:w="47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22"/>
              <w:gridCol w:w="2148"/>
              <w:gridCol w:w="2016"/>
              <w:gridCol w:w="2156"/>
            </w:tblGrid>
            <w:tr w14:paraId="50AD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01A38D44">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sz w:val="22"/>
                      <w:szCs w:val="22"/>
                      <w:lang w:val="en-US" w:eastAsia="zh-CN"/>
                    </w:rPr>
                  </w:pPr>
                  <w:r>
                    <w:rPr>
                      <w:rFonts w:hint="eastAsia" w:cs="Times New Roman"/>
                      <w:b/>
                      <w:bCs/>
                      <w:sz w:val="22"/>
                      <w:szCs w:val="22"/>
                      <w:lang w:val="en-US" w:eastAsia="zh-CN"/>
                    </w:rPr>
                    <w:t>控制项目</w:t>
                  </w:r>
                </w:p>
              </w:tc>
              <w:tc>
                <w:tcPr>
                  <w:tcW w:w="1405" w:type="pct"/>
                  <w:tcBorders>
                    <w:top w:val="single" w:color="auto" w:sz="4" w:space="0"/>
                    <w:left w:val="single" w:color="auto" w:sz="4" w:space="0"/>
                    <w:bottom w:val="single" w:color="auto" w:sz="4" w:space="0"/>
                    <w:right w:val="single" w:color="auto" w:sz="4" w:space="0"/>
                  </w:tcBorders>
                  <w:noWrap w:val="0"/>
                  <w:vAlign w:val="center"/>
                </w:tcPr>
                <w:p w14:paraId="7E6329A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kern w:val="0"/>
                      <w:sz w:val="21"/>
                      <w:szCs w:val="21"/>
                      <w:lang w:val="en-US" w:eastAsia="zh-CN"/>
                    </w:rPr>
                  </w:pPr>
                  <w:r>
                    <w:rPr>
                      <w:rFonts w:hint="eastAsia" w:ascii="宋体" w:hAnsi="宋体" w:cs="宋体"/>
                      <w:b/>
                      <w:bCs/>
                      <w:kern w:val="0"/>
                      <w:sz w:val="21"/>
                      <w:szCs w:val="21"/>
                      <w:lang w:val="en-US" w:eastAsia="zh-CN"/>
                    </w:rPr>
                    <w:t>单位</w:t>
                  </w:r>
                </w:p>
              </w:tc>
              <w:tc>
                <w:tcPr>
                  <w:tcW w:w="1319" w:type="pct"/>
                  <w:tcBorders>
                    <w:top w:val="single" w:color="auto" w:sz="4" w:space="0"/>
                    <w:left w:val="single" w:color="auto" w:sz="4" w:space="0"/>
                    <w:bottom w:val="single" w:color="auto" w:sz="4" w:space="0"/>
                    <w:right w:val="single" w:color="auto" w:sz="4" w:space="0"/>
                  </w:tcBorders>
                  <w:noWrap w:val="0"/>
                  <w:vAlign w:val="center"/>
                </w:tcPr>
                <w:p w14:paraId="730F886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监测点浓度限值</w:t>
                  </w:r>
                </w:p>
              </w:tc>
              <w:tc>
                <w:tcPr>
                  <w:tcW w:w="1410" w:type="pct"/>
                  <w:tcBorders>
                    <w:top w:val="single" w:color="auto" w:sz="4" w:space="0"/>
                    <w:left w:val="single" w:color="auto" w:sz="4" w:space="0"/>
                    <w:bottom w:val="single" w:color="auto" w:sz="4" w:space="0"/>
                    <w:right w:val="single" w:color="auto" w:sz="4" w:space="0"/>
                  </w:tcBorders>
                  <w:noWrap w:val="0"/>
                  <w:vAlign w:val="center"/>
                </w:tcPr>
                <w:p w14:paraId="7758519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达标判定依据</w:t>
                  </w:r>
                </w:p>
              </w:tc>
            </w:tr>
            <w:tr w14:paraId="15D8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64" w:type="pct"/>
                  <w:vMerge w:val="restart"/>
                  <w:tcBorders>
                    <w:top w:val="single" w:color="auto" w:sz="4" w:space="0"/>
                    <w:left w:val="single" w:color="auto" w:sz="4" w:space="0"/>
                    <w:right w:val="single" w:color="auto" w:sz="4" w:space="0"/>
                  </w:tcBorders>
                  <w:shd w:val="clear" w:color="auto" w:fill="auto"/>
                  <w:noWrap w:val="0"/>
                  <w:vAlign w:val="center"/>
                </w:tcPr>
                <w:p w14:paraId="7C9188EA">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sz w:val="22"/>
                      <w:szCs w:val="22"/>
                      <w:lang w:val="en-US" w:eastAsia="zh-CN"/>
                    </w:rPr>
                  </w:pPr>
                  <w:r>
                    <w:rPr>
                      <w:rFonts w:hint="eastAsia" w:cs="Times New Roman"/>
                      <w:b w:val="0"/>
                      <w:bCs w:val="0"/>
                      <w:sz w:val="22"/>
                      <w:szCs w:val="22"/>
                      <w:lang w:val="en-US" w:eastAsia="zh-CN"/>
                    </w:rPr>
                    <w:t>TSP</w:t>
                  </w:r>
                </w:p>
              </w:tc>
              <w:tc>
                <w:tcPr>
                  <w:tcW w:w="1405" w:type="pct"/>
                  <w:vMerge w:val="restart"/>
                  <w:tcBorders>
                    <w:top w:val="single" w:color="auto" w:sz="4" w:space="0"/>
                    <w:left w:val="single" w:color="auto" w:sz="4" w:space="0"/>
                    <w:right w:val="single" w:color="auto" w:sz="4" w:space="0"/>
                  </w:tcBorders>
                  <w:shd w:val="clear" w:color="auto" w:fill="auto"/>
                  <w:noWrap w:val="0"/>
                  <w:vAlign w:val="center"/>
                </w:tcPr>
                <w:p w14:paraId="67B147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μg/m</w:t>
                  </w:r>
                  <w:r>
                    <w:rPr>
                      <w:rFonts w:hint="eastAsia" w:cs="Times New Roman"/>
                      <w:color w:val="000000"/>
                      <w:kern w:val="2"/>
                      <w:sz w:val="21"/>
                      <w:szCs w:val="21"/>
                      <w:highlight w:val="none"/>
                      <w:vertAlign w:val="superscript"/>
                      <w:lang w:val="en-US" w:eastAsia="zh-CN"/>
                    </w:rPr>
                    <w:t>3</w:t>
                  </w:r>
                </w:p>
              </w:tc>
              <w:tc>
                <w:tcPr>
                  <w:tcW w:w="13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47234C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1000</w:t>
                  </w:r>
                </w:p>
              </w:tc>
              <w:tc>
                <w:tcPr>
                  <w:tcW w:w="141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6F36C7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超标次数≤1次/日</w:t>
                  </w:r>
                </w:p>
              </w:tc>
            </w:tr>
            <w:tr w14:paraId="1D67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64" w:type="pct"/>
                  <w:vMerge w:val="continue"/>
                  <w:tcBorders>
                    <w:left w:val="single" w:color="auto" w:sz="4" w:space="0"/>
                    <w:bottom w:val="single" w:color="auto" w:sz="4" w:space="0"/>
                    <w:right w:val="single" w:color="auto" w:sz="4" w:space="0"/>
                  </w:tcBorders>
                  <w:shd w:val="clear" w:color="auto" w:fill="auto"/>
                  <w:noWrap w:val="0"/>
                  <w:vAlign w:val="center"/>
                </w:tcPr>
                <w:p w14:paraId="52AD0A19">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val="0"/>
                      <w:bCs w:val="0"/>
                      <w:sz w:val="22"/>
                      <w:szCs w:val="22"/>
                      <w:lang w:val="en-US" w:eastAsia="zh-CN"/>
                    </w:rPr>
                  </w:pPr>
                </w:p>
              </w:tc>
              <w:tc>
                <w:tcPr>
                  <w:tcW w:w="1405" w:type="pct"/>
                  <w:vMerge w:val="continue"/>
                  <w:tcBorders>
                    <w:left w:val="single" w:color="auto" w:sz="4" w:space="0"/>
                    <w:bottom w:val="single" w:color="auto" w:sz="4" w:space="0"/>
                    <w:right w:val="single" w:color="auto" w:sz="4" w:space="0"/>
                  </w:tcBorders>
                  <w:shd w:val="clear" w:color="auto" w:fill="auto"/>
                  <w:noWrap w:val="0"/>
                  <w:vAlign w:val="center"/>
                </w:tcPr>
                <w:p w14:paraId="527763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p>
              </w:tc>
              <w:tc>
                <w:tcPr>
                  <w:tcW w:w="13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F1B32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500</w:t>
                  </w:r>
                </w:p>
              </w:tc>
              <w:tc>
                <w:tcPr>
                  <w:tcW w:w="141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ABC2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rPr>
                    <w:t>超标次数≤</w:t>
                  </w:r>
                  <w:r>
                    <w:rPr>
                      <w:rFonts w:hint="eastAsia" w:cs="Times New Roman"/>
                      <w:color w:val="000000"/>
                      <w:kern w:val="2"/>
                      <w:sz w:val="21"/>
                      <w:szCs w:val="21"/>
                      <w:highlight w:val="none"/>
                      <w:lang w:val="en-US" w:eastAsia="zh-CN"/>
                    </w:rPr>
                    <w:t>6</w:t>
                  </w:r>
                  <w:r>
                    <w:rPr>
                      <w:rFonts w:hint="eastAsia" w:ascii="Times New Roman" w:hAnsi="Times New Roman" w:eastAsia="宋体" w:cs="Times New Roman"/>
                      <w:color w:val="000000"/>
                      <w:kern w:val="2"/>
                      <w:sz w:val="21"/>
                      <w:szCs w:val="21"/>
                      <w:highlight w:val="none"/>
                      <w:lang w:val="en-US" w:eastAsia="zh-CN"/>
                    </w:rPr>
                    <w:t>次/日</w:t>
                  </w:r>
                </w:p>
              </w:tc>
            </w:tr>
            <w:tr w14:paraId="777E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5088CEA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任一监测点自整时起依次顺延15分钟的TSP浓度平均值不得超过的限值。超标次数指一个日历日96个TSP15分钟浓度平均值超过监测点浓度限值的次数。</w:t>
                  </w:r>
                </w:p>
                <w:p w14:paraId="02767FD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根据HJ633判定设区市AQI在200～300之间且首要污染物为PM</w:t>
                  </w:r>
                  <w:r>
                    <w:rPr>
                      <w:rFonts w:hint="default" w:ascii="Times New Roman" w:hAnsi="Times New Roman" w:eastAsia="宋体" w:cs="Times New Roman"/>
                      <w:color w:val="000000"/>
                      <w:kern w:val="2"/>
                      <w:sz w:val="21"/>
                      <w:szCs w:val="21"/>
                      <w:highlight w:val="none"/>
                      <w:vertAlign w:val="subscript"/>
                      <w:lang w:val="en-US" w:eastAsia="zh-CN" w:bidi="ar-SA"/>
                    </w:rPr>
                    <w:t>10</w:t>
                  </w:r>
                  <w:r>
                    <w:rPr>
                      <w:rFonts w:hint="default" w:ascii="Times New Roman" w:hAnsi="Times New Roman" w:eastAsia="宋体" w:cs="Times New Roman"/>
                      <w:color w:val="000000"/>
                      <w:kern w:val="2"/>
                      <w:sz w:val="21"/>
                      <w:szCs w:val="21"/>
                      <w:highlight w:val="none"/>
                      <w:lang w:val="en-US" w:eastAsia="zh-CN" w:bidi="ar-SA"/>
                    </w:rPr>
                    <w:t>或PM</w:t>
                  </w:r>
                  <w:r>
                    <w:rPr>
                      <w:rFonts w:hint="default" w:ascii="Times New Roman" w:hAnsi="Times New Roman" w:eastAsia="宋体" w:cs="Times New Roman"/>
                      <w:color w:val="000000"/>
                      <w:kern w:val="2"/>
                      <w:sz w:val="21"/>
                      <w:szCs w:val="21"/>
                      <w:highlight w:val="none"/>
                      <w:vertAlign w:val="subscript"/>
                      <w:lang w:val="en-US" w:eastAsia="zh-CN" w:bidi="ar-SA"/>
                    </w:rPr>
                    <w:t>2.5</w:t>
                  </w:r>
                  <w:r>
                    <w:rPr>
                      <w:rFonts w:hint="default" w:ascii="Times New Roman" w:hAnsi="Times New Roman" w:eastAsia="宋体" w:cs="Times New Roman"/>
                      <w:color w:val="000000"/>
                      <w:kern w:val="2"/>
                      <w:sz w:val="21"/>
                      <w:szCs w:val="21"/>
                      <w:highlight w:val="none"/>
                      <w:lang w:val="en-US" w:eastAsia="zh-CN" w:bidi="ar-SA"/>
                    </w:rPr>
                    <w:t>时，TSP实测值扣除200μg/m</w:t>
                  </w:r>
                  <w:r>
                    <w:rPr>
                      <w:rFonts w:hint="default" w:ascii="Times New Roman" w:hAnsi="Times New Roman" w:eastAsia="宋体" w:cs="Times New Roman"/>
                      <w:color w:val="000000"/>
                      <w:kern w:val="2"/>
                      <w:sz w:val="21"/>
                      <w:szCs w:val="21"/>
                      <w:highlight w:val="none"/>
                      <w:vertAlign w:val="superscript"/>
                      <w:lang w:val="en-US" w:eastAsia="zh-CN" w:bidi="ar-SA"/>
                    </w:rPr>
                    <w:t>3</w:t>
                  </w:r>
                  <w:r>
                    <w:rPr>
                      <w:rFonts w:hint="default" w:ascii="Times New Roman" w:hAnsi="Times New Roman" w:eastAsia="宋体" w:cs="Times New Roman"/>
                      <w:color w:val="000000"/>
                      <w:kern w:val="2"/>
                      <w:sz w:val="21"/>
                      <w:szCs w:val="21"/>
                      <w:highlight w:val="none"/>
                      <w:lang w:val="en-US" w:eastAsia="zh-CN" w:bidi="ar-SA"/>
                    </w:rPr>
                    <w:t>后再进行评价。</w:t>
                  </w:r>
                </w:p>
              </w:tc>
            </w:tr>
          </w:tbl>
          <w:p w14:paraId="2A3540F5">
            <w:pPr>
              <w:autoSpaceDE w:val="0"/>
              <w:autoSpaceDN w:val="0"/>
              <w:adjustRightInd w:val="0"/>
              <w:snapToGrid w:val="0"/>
              <w:spacing w:line="360" w:lineRule="auto"/>
              <w:ind w:firstLine="480" w:firstLineChars="200"/>
              <w:jc w:val="both"/>
              <w:rPr>
                <w:rFonts w:hint="eastAsia"/>
                <w:color w:val="000000"/>
                <w:kern w:val="0"/>
                <w:sz w:val="24"/>
                <w:lang w:val="en-US" w:eastAsia="zh-CN"/>
              </w:rPr>
            </w:pPr>
          </w:p>
          <w:p w14:paraId="2E5B4AA5">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（2）运营期</w:t>
            </w:r>
          </w:p>
          <w:p w14:paraId="3114909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本项目运营期颗粒物排放执行《大气污染物综合排放标准》（GB16297-1996）相关标准；调漆、喷漆及晾干产生的非甲烷总烃、二甲苯有组织排放执行《固定源挥发性有机物综合排放标准 第6部分：其他行业》（DB 34/4812.6-2024）中相关标准；食堂油烟废气排放执行《饮食业油烟排放标准（试行）》（GB18483-2001）中相关限值。</w:t>
            </w:r>
          </w:p>
          <w:p w14:paraId="4CA82A8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非甲烷总烃、二甲苯厂界无组织排放执行《大气污染物综合排放标准》（GB16297-1996）中标准。厂房外无组织排放的非甲烷总烃执行《挥发性有机物无组织排放控制标准》（GB37822-2019）中表A.1特别排放限值要求。具体见下表。</w:t>
            </w:r>
          </w:p>
          <w:p w14:paraId="620468F6">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表3-</w:t>
            </w:r>
            <w:r>
              <w:rPr>
                <w:rFonts w:hint="eastAsia" w:ascii="宋体" w:hAnsi="宋体" w:cs="宋体"/>
                <w:b/>
                <w:bCs/>
                <w:sz w:val="22"/>
                <w:szCs w:val="22"/>
                <w:lang w:val="en-US" w:eastAsia="zh-CN"/>
              </w:rPr>
              <w:t>7</w:t>
            </w:r>
            <w:r>
              <w:rPr>
                <w:rFonts w:hint="eastAsia" w:ascii="宋体" w:hAnsi="宋体" w:eastAsia="宋体" w:cs="宋体"/>
                <w:b/>
                <w:bCs/>
                <w:sz w:val="22"/>
                <w:szCs w:val="22"/>
                <w:lang w:val="en-US" w:eastAsia="zh-CN"/>
              </w:rPr>
              <w:t xml:space="preserve">  </w:t>
            </w:r>
            <w:r>
              <w:rPr>
                <w:rFonts w:hint="eastAsia" w:ascii="宋体" w:hAnsi="宋体" w:cs="宋体"/>
                <w:b/>
                <w:bCs/>
                <w:sz w:val="22"/>
                <w:szCs w:val="22"/>
                <w:lang w:val="en-US" w:eastAsia="zh-CN"/>
              </w:rPr>
              <w:t>本项目废气污染物排放执行标准一览表</w:t>
            </w:r>
          </w:p>
          <w:tbl>
            <w:tblPr>
              <w:tblStyle w:val="16"/>
              <w:tblW w:w="48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649"/>
              <w:gridCol w:w="1296"/>
              <w:gridCol w:w="1140"/>
              <w:gridCol w:w="1080"/>
              <w:gridCol w:w="1706"/>
            </w:tblGrid>
            <w:tr w14:paraId="33C1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682" w:type="pct"/>
                  <w:vMerge w:val="restart"/>
                  <w:tcBorders>
                    <w:left w:val="single" w:color="auto" w:sz="4" w:space="0"/>
                    <w:right w:val="single" w:color="auto" w:sz="4" w:space="0"/>
                  </w:tcBorders>
                  <w:shd w:val="clear" w:color="auto" w:fill="auto"/>
                  <w:noWrap w:val="0"/>
                  <w:vAlign w:val="center"/>
                </w:tcPr>
                <w:p w14:paraId="65BFE27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eastAsia" w:cs="Times New Roman"/>
                      <w:b/>
                      <w:bCs/>
                      <w:color w:val="000000"/>
                      <w:kern w:val="2"/>
                      <w:sz w:val="21"/>
                      <w:szCs w:val="21"/>
                      <w:highlight w:val="none"/>
                      <w:lang w:val="en-US" w:eastAsia="zh-CN" w:bidi="ar-SA"/>
                    </w:rPr>
                    <w:t>执行标准名称</w:t>
                  </w:r>
                </w:p>
              </w:tc>
              <w:tc>
                <w:tcPr>
                  <w:tcW w:w="823" w:type="pct"/>
                  <w:vMerge w:val="restart"/>
                  <w:tcBorders>
                    <w:left w:val="single" w:color="auto" w:sz="4" w:space="0"/>
                    <w:right w:val="single" w:color="auto" w:sz="4" w:space="0"/>
                  </w:tcBorders>
                  <w:shd w:val="clear" w:color="auto" w:fill="auto"/>
                  <w:noWrap w:val="0"/>
                  <w:vAlign w:val="center"/>
                </w:tcPr>
                <w:p w14:paraId="1667332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1"/>
                      <w:szCs w:val="21"/>
                      <w:highlight w:val="none"/>
                      <w:lang w:val="en-US" w:eastAsia="zh-CN" w:bidi="ar-SA"/>
                    </w:rPr>
                  </w:pPr>
                  <w:r>
                    <w:rPr>
                      <w:rFonts w:hint="eastAsia" w:cs="Times New Roman"/>
                      <w:b/>
                      <w:bCs/>
                      <w:color w:val="000000"/>
                      <w:kern w:val="2"/>
                      <w:sz w:val="21"/>
                      <w:szCs w:val="21"/>
                      <w:highlight w:val="none"/>
                      <w:lang w:val="en-US" w:eastAsia="zh-CN"/>
                    </w:rPr>
                    <w:t>污染物项目</w:t>
                  </w:r>
                </w:p>
              </w:tc>
              <w:tc>
                <w:tcPr>
                  <w:tcW w:w="1410"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31775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1"/>
                      <w:szCs w:val="21"/>
                      <w:highlight w:val="none"/>
                      <w:lang w:val="en-US" w:eastAsia="zh-CN" w:bidi="ar-SA"/>
                    </w:rPr>
                  </w:pPr>
                  <w:r>
                    <w:rPr>
                      <w:rFonts w:hint="eastAsia" w:cs="Times New Roman"/>
                      <w:b/>
                      <w:bCs/>
                      <w:color w:val="000000"/>
                      <w:kern w:val="2"/>
                      <w:sz w:val="21"/>
                      <w:szCs w:val="21"/>
                      <w:highlight w:val="none"/>
                      <w:lang w:val="en-US" w:eastAsia="zh-CN" w:bidi="ar-SA"/>
                    </w:rPr>
                    <w:t>有组织排放限值</w:t>
                  </w:r>
                </w:p>
              </w:tc>
              <w:tc>
                <w:tcPr>
                  <w:tcW w:w="10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71FF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1"/>
                      <w:szCs w:val="21"/>
                      <w:highlight w:val="none"/>
                      <w:lang w:val="en-US" w:eastAsia="zh-CN" w:bidi="ar-SA"/>
                    </w:rPr>
                  </w:pPr>
                  <w:r>
                    <w:rPr>
                      <w:rFonts w:hint="eastAsia" w:cs="Times New Roman"/>
                      <w:b/>
                      <w:bCs/>
                      <w:color w:val="000000"/>
                      <w:kern w:val="2"/>
                      <w:sz w:val="21"/>
                      <w:szCs w:val="21"/>
                      <w:highlight w:val="none"/>
                      <w:lang w:val="en-US" w:eastAsia="zh-CN" w:bidi="ar-SA"/>
                    </w:rPr>
                    <w:t>无组织排放限值</w:t>
                  </w:r>
                </w:p>
              </w:tc>
            </w:tr>
            <w:tr w14:paraId="29A4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682" w:type="pct"/>
                  <w:vMerge w:val="continue"/>
                  <w:tcBorders>
                    <w:left w:val="single" w:color="auto" w:sz="4" w:space="0"/>
                    <w:right w:val="single" w:color="auto" w:sz="4" w:space="0"/>
                  </w:tcBorders>
                  <w:shd w:val="clear" w:color="auto" w:fill="auto"/>
                  <w:noWrap w:val="0"/>
                  <w:vAlign w:val="center"/>
                </w:tcPr>
                <w:p w14:paraId="7D80B45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p>
              </w:tc>
              <w:tc>
                <w:tcPr>
                  <w:tcW w:w="823" w:type="pct"/>
                  <w:vMerge w:val="continue"/>
                  <w:tcBorders>
                    <w:left w:val="single" w:color="auto" w:sz="4" w:space="0"/>
                    <w:bottom w:val="single" w:color="auto" w:sz="4" w:space="0"/>
                    <w:right w:val="single" w:color="auto" w:sz="4" w:space="0"/>
                  </w:tcBorders>
                  <w:shd w:val="clear" w:color="auto" w:fill="auto"/>
                  <w:noWrap w:val="0"/>
                  <w:vAlign w:val="center"/>
                </w:tcPr>
                <w:p w14:paraId="1BA7126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bidi="ar-SA"/>
                    </w:rPr>
                  </w:pPr>
                </w:p>
              </w:tc>
              <w:tc>
                <w:tcPr>
                  <w:tcW w:w="7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3E54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排放浓度</w:t>
                  </w:r>
                  <w:r>
                    <w:rPr>
                      <w:rFonts w:hint="eastAsia" w:cs="Times New Roman"/>
                      <w:color w:val="000000"/>
                      <w:kern w:val="2"/>
                      <w:sz w:val="21"/>
                      <w:szCs w:val="21"/>
                      <w:highlight w:val="none"/>
                      <w:lang w:val="en-US" w:eastAsia="zh-CN"/>
                    </w:rPr>
                    <w:t>（mg/m</w:t>
                  </w:r>
                  <w:r>
                    <w:rPr>
                      <w:rFonts w:hint="eastAsia" w:cs="Times New Roman"/>
                      <w:color w:val="000000"/>
                      <w:kern w:val="2"/>
                      <w:sz w:val="21"/>
                      <w:szCs w:val="21"/>
                      <w:highlight w:val="none"/>
                      <w:vertAlign w:val="superscript"/>
                      <w:lang w:val="en-US" w:eastAsia="zh-CN"/>
                    </w:rPr>
                    <w:t>3</w:t>
                  </w:r>
                  <w:r>
                    <w:rPr>
                      <w:rFonts w:hint="eastAsia" w:cs="Times New Roman"/>
                      <w:color w:val="000000"/>
                      <w:kern w:val="2"/>
                      <w:sz w:val="21"/>
                      <w:szCs w:val="21"/>
                      <w:highlight w:val="none"/>
                      <w:lang w:val="en-US" w:eastAsia="zh-CN"/>
                    </w:rPr>
                    <w:t>）</w:t>
                  </w:r>
                </w:p>
              </w:tc>
              <w:tc>
                <w:tcPr>
                  <w:tcW w:w="6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9A13A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排放速率</w:t>
                  </w:r>
                </w:p>
                <w:p w14:paraId="32A6FA8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（kg/h）</w:t>
                  </w:r>
                </w:p>
              </w:tc>
              <w:tc>
                <w:tcPr>
                  <w:tcW w:w="10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562BA1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企业边界大气污染物浓度限值</w:t>
                  </w:r>
                  <w:r>
                    <w:rPr>
                      <w:rFonts w:hint="eastAsia" w:cs="Times New Roman"/>
                      <w:color w:val="000000"/>
                      <w:kern w:val="2"/>
                      <w:sz w:val="21"/>
                      <w:szCs w:val="21"/>
                      <w:highlight w:val="none"/>
                      <w:lang w:val="en-US" w:eastAsia="zh-CN"/>
                    </w:rPr>
                    <w:t>（mg/m</w:t>
                  </w:r>
                  <w:r>
                    <w:rPr>
                      <w:rFonts w:hint="eastAsia" w:cs="Times New Roman"/>
                      <w:color w:val="000000"/>
                      <w:kern w:val="2"/>
                      <w:sz w:val="21"/>
                      <w:szCs w:val="21"/>
                      <w:highlight w:val="none"/>
                      <w:vertAlign w:val="superscript"/>
                      <w:lang w:val="en-US" w:eastAsia="zh-CN"/>
                    </w:rPr>
                    <w:t>3</w:t>
                  </w:r>
                  <w:r>
                    <w:rPr>
                      <w:rFonts w:hint="eastAsia" w:cs="Times New Roman"/>
                      <w:color w:val="000000"/>
                      <w:kern w:val="2"/>
                      <w:sz w:val="21"/>
                      <w:szCs w:val="21"/>
                      <w:highlight w:val="none"/>
                      <w:lang w:val="en-US" w:eastAsia="zh-CN"/>
                    </w:rPr>
                    <w:t>）</w:t>
                  </w:r>
                </w:p>
              </w:tc>
            </w:tr>
            <w:tr w14:paraId="6772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682" w:type="pct"/>
                  <w:vMerge w:val="restart"/>
                  <w:tcBorders>
                    <w:top w:val="single" w:color="auto" w:sz="4" w:space="0"/>
                    <w:left w:val="single" w:color="auto" w:sz="4" w:space="0"/>
                    <w:right w:val="single" w:color="auto" w:sz="4" w:space="0"/>
                  </w:tcBorders>
                  <w:shd w:val="clear" w:color="auto" w:fill="auto"/>
                  <w:noWrap w:val="0"/>
                  <w:vAlign w:val="center"/>
                </w:tcPr>
                <w:p w14:paraId="47B7D11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cs="Times New Roman"/>
                      <w:color w:val="000000"/>
                      <w:kern w:val="2"/>
                      <w:sz w:val="21"/>
                      <w:szCs w:val="21"/>
                      <w:highlight w:val="none"/>
                      <w:lang w:val="en-US" w:eastAsia="zh-CN"/>
                    </w:rPr>
                    <w:t>《大气污染物综合排放标准》（GB16297-1996）</w:t>
                  </w:r>
                </w:p>
              </w:tc>
              <w:tc>
                <w:tcPr>
                  <w:tcW w:w="8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40189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颗粒物</w:t>
                  </w:r>
                </w:p>
              </w:tc>
              <w:tc>
                <w:tcPr>
                  <w:tcW w:w="7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B5215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120</w:t>
                  </w:r>
                </w:p>
              </w:tc>
              <w:tc>
                <w:tcPr>
                  <w:tcW w:w="6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A4C27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3.5</w:t>
                  </w:r>
                </w:p>
              </w:tc>
              <w:tc>
                <w:tcPr>
                  <w:tcW w:w="10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5455C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1.0</w:t>
                  </w:r>
                </w:p>
              </w:tc>
            </w:tr>
            <w:tr w14:paraId="6B86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682" w:type="pct"/>
                  <w:vMerge w:val="continue"/>
                  <w:tcBorders>
                    <w:left w:val="single" w:color="auto" w:sz="4" w:space="0"/>
                    <w:right w:val="single" w:color="auto" w:sz="4" w:space="0"/>
                  </w:tcBorders>
                  <w:shd w:val="clear" w:color="auto" w:fill="auto"/>
                  <w:noWrap w:val="0"/>
                  <w:vAlign w:val="center"/>
                </w:tcPr>
                <w:p w14:paraId="734C2F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8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9372D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NMHC</w:t>
                  </w:r>
                </w:p>
              </w:tc>
              <w:tc>
                <w:tcPr>
                  <w:tcW w:w="7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179C8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t>
                  </w:r>
                </w:p>
              </w:tc>
              <w:tc>
                <w:tcPr>
                  <w:tcW w:w="6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C17C8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t>
                  </w:r>
                </w:p>
              </w:tc>
              <w:tc>
                <w:tcPr>
                  <w:tcW w:w="10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BE8C5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4.0</w:t>
                  </w:r>
                </w:p>
              </w:tc>
            </w:tr>
            <w:tr w14:paraId="0EB9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682" w:type="pct"/>
                  <w:vMerge w:val="continue"/>
                  <w:tcBorders>
                    <w:left w:val="single" w:color="auto" w:sz="4" w:space="0"/>
                    <w:right w:val="single" w:color="auto" w:sz="4" w:space="0"/>
                  </w:tcBorders>
                  <w:shd w:val="clear" w:color="auto" w:fill="auto"/>
                  <w:noWrap w:val="0"/>
                  <w:vAlign w:val="center"/>
                </w:tcPr>
                <w:p w14:paraId="7E15A95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8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3C89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二甲苯</w:t>
                  </w:r>
                </w:p>
              </w:tc>
              <w:tc>
                <w:tcPr>
                  <w:tcW w:w="7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A2CEE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t>
                  </w:r>
                </w:p>
              </w:tc>
              <w:tc>
                <w:tcPr>
                  <w:tcW w:w="6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17704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t>
                  </w:r>
                </w:p>
              </w:tc>
              <w:tc>
                <w:tcPr>
                  <w:tcW w:w="10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F8954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1.2</w:t>
                  </w:r>
                </w:p>
              </w:tc>
            </w:tr>
            <w:tr w14:paraId="594B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682" w:type="pct"/>
                  <w:vMerge w:val="restart"/>
                  <w:tcBorders>
                    <w:top w:val="single" w:color="auto" w:sz="4" w:space="0"/>
                    <w:left w:val="single" w:color="auto" w:sz="4" w:space="0"/>
                    <w:right w:val="single" w:color="auto" w:sz="4" w:space="0"/>
                  </w:tcBorders>
                  <w:shd w:val="clear" w:color="auto" w:fill="auto"/>
                  <w:noWrap w:val="0"/>
                  <w:vAlign w:val="center"/>
                </w:tcPr>
                <w:p w14:paraId="1272FB5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cs="Times New Roman"/>
                      <w:color w:val="000000"/>
                      <w:kern w:val="2"/>
                      <w:sz w:val="21"/>
                      <w:szCs w:val="21"/>
                      <w:highlight w:val="none"/>
                      <w:lang w:val="en-US" w:eastAsia="zh-CN"/>
                    </w:rPr>
                    <w:t>《固定源挥发性有机物综合排放标准 第6部分：其他行业》（DB 34/4812.6-2024）</w:t>
                  </w:r>
                </w:p>
              </w:tc>
              <w:tc>
                <w:tcPr>
                  <w:tcW w:w="8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D4167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NMHC</w:t>
                  </w:r>
                </w:p>
              </w:tc>
              <w:tc>
                <w:tcPr>
                  <w:tcW w:w="7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2F575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70</w:t>
                  </w:r>
                </w:p>
              </w:tc>
              <w:tc>
                <w:tcPr>
                  <w:tcW w:w="6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69DF8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3.0</w:t>
                  </w:r>
                </w:p>
              </w:tc>
              <w:tc>
                <w:tcPr>
                  <w:tcW w:w="10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A4501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t>
                  </w:r>
                </w:p>
              </w:tc>
            </w:tr>
            <w:tr w14:paraId="0E44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682" w:type="pct"/>
                  <w:vMerge w:val="continue"/>
                  <w:tcBorders>
                    <w:left w:val="single" w:color="auto" w:sz="4" w:space="0"/>
                    <w:right w:val="single" w:color="auto" w:sz="4" w:space="0"/>
                  </w:tcBorders>
                  <w:shd w:val="clear" w:color="auto" w:fill="auto"/>
                  <w:noWrap w:val="0"/>
                  <w:vAlign w:val="center"/>
                </w:tcPr>
                <w:p w14:paraId="3BE08B4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p>
              </w:tc>
              <w:tc>
                <w:tcPr>
                  <w:tcW w:w="8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5BA52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二甲苯</w:t>
                  </w:r>
                </w:p>
              </w:tc>
              <w:tc>
                <w:tcPr>
                  <w:tcW w:w="7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6C607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20</w:t>
                  </w:r>
                </w:p>
              </w:tc>
              <w:tc>
                <w:tcPr>
                  <w:tcW w:w="6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27AF9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1.6</w:t>
                  </w:r>
                </w:p>
              </w:tc>
              <w:tc>
                <w:tcPr>
                  <w:tcW w:w="10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2D0F2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t>
                  </w:r>
                </w:p>
              </w:tc>
            </w:tr>
            <w:tr w14:paraId="0927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682" w:type="pct"/>
                  <w:tcBorders>
                    <w:left w:val="single" w:color="auto" w:sz="4" w:space="0"/>
                    <w:bottom w:val="single" w:color="auto" w:sz="4" w:space="0"/>
                    <w:right w:val="single" w:color="auto" w:sz="4" w:space="0"/>
                  </w:tcBorders>
                  <w:shd w:val="clear" w:color="auto" w:fill="auto"/>
                  <w:noWrap w:val="0"/>
                  <w:vAlign w:val="center"/>
                </w:tcPr>
                <w:p w14:paraId="20CA55E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default" w:cs="Times New Roman"/>
                      <w:color w:val="000000"/>
                      <w:kern w:val="2"/>
                      <w:sz w:val="21"/>
                      <w:szCs w:val="21"/>
                      <w:highlight w:val="none"/>
                      <w:lang w:val="en-US" w:eastAsia="zh-CN"/>
                    </w:rPr>
                    <w:t>《饮食业油烟排放标准（试行）》（GB18483-2001）</w:t>
                  </w:r>
                </w:p>
              </w:tc>
              <w:tc>
                <w:tcPr>
                  <w:tcW w:w="8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3A427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油烟</w:t>
                  </w:r>
                </w:p>
              </w:tc>
              <w:tc>
                <w:tcPr>
                  <w:tcW w:w="7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8E8A8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2.0</w:t>
                  </w:r>
                </w:p>
              </w:tc>
              <w:tc>
                <w:tcPr>
                  <w:tcW w:w="6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A8F40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t>
                  </w:r>
                </w:p>
              </w:tc>
              <w:tc>
                <w:tcPr>
                  <w:tcW w:w="10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A94A2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w:t>
                  </w:r>
                </w:p>
              </w:tc>
            </w:tr>
          </w:tbl>
          <w:p w14:paraId="4831B82C">
            <w:pPr>
              <w:bidi w:val="0"/>
              <w:rPr>
                <w:rFonts w:hint="eastAsia"/>
                <w:lang w:val="en-US" w:eastAsia="zh-CN"/>
              </w:rPr>
            </w:pPr>
          </w:p>
          <w:p w14:paraId="116A95C8">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表3-</w:t>
            </w:r>
            <w:r>
              <w:rPr>
                <w:rFonts w:hint="eastAsia" w:ascii="宋体" w:hAnsi="宋体" w:cs="宋体"/>
                <w:b/>
                <w:bCs/>
                <w:sz w:val="22"/>
                <w:szCs w:val="22"/>
                <w:lang w:val="en-US" w:eastAsia="zh-CN"/>
              </w:rPr>
              <w:t>8</w:t>
            </w:r>
            <w:r>
              <w:rPr>
                <w:rFonts w:hint="eastAsia" w:ascii="宋体" w:hAnsi="宋体" w:eastAsia="宋体" w:cs="宋体"/>
                <w:b/>
                <w:bCs/>
                <w:sz w:val="22"/>
                <w:szCs w:val="22"/>
                <w:lang w:val="en-US" w:eastAsia="zh-CN"/>
              </w:rPr>
              <w:t xml:space="preserve">  </w:t>
            </w:r>
            <w:r>
              <w:rPr>
                <w:rFonts w:hint="eastAsia" w:ascii="宋体" w:hAnsi="宋体" w:cs="宋体"/>
                <w:b/>
                <w:bCs/>
                <w:sz w:val="22"/>
                <w:szCs w:val="22"/>
                <w:lang w:val="en-US" w:eastAsia="zh-CN"/>
              </w:rPr>
              <w:t>挥发性有机物无组织排放控制标准一览表</w:t>
            </w:r>
          </w:p>
          <w:tbl>
            <w:tblPr>
              <w:tblStyle w:val="16"/>
              <w:tblW w:w="48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252"/>
              <w:gridCol w:w="1968"/>
              <w:gridCol w:w="1524"/>
              <w:gridCol w:w="1344"/>
              <w:gridCol w:w="1773"/>
            </w:tblGrid>
            <w:tr w14:paraId="597F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8" w:hRule="atLeast"/>
                <w:jc w:val="center"/>
              </w:trPr>
              <w:tc>
                <w:tcPr>
                  <w:tcW w:w="796" w:type="pct"/>
                  <w:tcBorders>
                    <w:top w:val="single" w:color="auto" w:sz="4" w:space="0"/>
                    <w:left w:val="single" w:color="auto" w:sz="4" w:space="0"/>
                    <w:right w:val="single" w:color="auto" w:sz="4" w:space="0"/>
                  </w:tcBorders>
                  <w:noWrap w:val="0"/>
                  <w:vAlign w:val="center"/>
                </w:tcPr>
                <w:p w14:paraId="0ACC36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cs="宋体"/>
                      <w:b/>
                      <w:bCs/>
                      <w:kern w:val="0"/>
                      <w:sz w:val="21"/>
                      <w:szCs w:val="21"/>
                      <w:lang w:val="en-US" w:eastAsia="zh-CN"/>
                    </w:rPr>
                  </w:pPr>
                  <w:r>
                    <w:rPr>
                      <w:rFonts w:hint="eastAsia" w:ascii="宋体" w:hAnsi="宋体" w:cs="宋体"/>
                      <w:b/>
                      <w:bCs/>
                      <w:kern w:val="0"/>
                      <w:sz w:val="21"/>
                      <w:szCs w:val="21"/>
                      <w:lang w:val="en-US" w:eastAsia="zh-CN"/>
                    </w:rPr>
                    <w:t>污染物项目</w:t>
                  </w:r>
                </w:p>
              </w:tc>
              <w:tc>
                <w:tcPr>
                  <w:tcW w:w="1251" w:type="pct"/>
                  <w:tcBorders>
                    <w:top w:val="single" w:color="auto" w:sz="4" w:space="0"/>
                    <w:left w:val="single" w:color="auto" w:sz="4" w:space="0"/>
                    <w:right w:val="single" w:color="auto" w:sz="4" w:space="0"/>
                  </w:tcBorders>
                  <w:noWrap w:val="0"/>
                  <w:vAlign w:val="center"/>
                </w:tcPr>
                <w:p w14:paraId="1422F29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cs="宋体"/>
                      <w:b/>
                      <w:bCs/>
                      <w:kern w:val="0"/>
                      <w:sz w:val="21"/>
                      <w:szCs w:val="21"/>
                      <w:lang w:val="en-US" w:eastAsia="zh-CN"/>
                    </w:rPr>
                  </w:pPr>
                  <w:r>
                    <w:rPr>
                      <w:rFonts w:hint="eastAsia" w:ascii="宋体" w:hAnsi="宋体" w:cs="宋体"/>
                      <w:b/>
                      <w:bCs/>
                      <w:kern w:val="0"/>
                      <w:sz w:val="21"/>
                      <w:szCs w:val="21"/>
                      <w:lang w:val="en-US" w:eastAsia="zh-CN"/>
                    </w:rPr>
                    <w:t>最高允许排放浓度</w:t>
                  </w:r>
                </w:p>
              </w:tc>
              <w:tc>
                <w:tcPr>
                  <w:tcW w:w="969" w:type="pct"/>
                  <w:tcBorders>
                    <w:top w:val="single" w:color="auto" w:sz="4" w:space="0"/>
                    <w:left w:val="single" w:color="auto" w:sz="4" w:space="0"/>
                    <w:bottom w:val="single" w:color="auto" w:sz="4" w:space="0"/>
                    <w:right w:val="single" w:color="auto" w:sz="4" w:space="0"/>
                  </w:tcBorders>
                  <w:noWrap w:val="0"/>
                  <w:vAlign w:val="center"/>
                </w:tcPr>
                <w:p w14:paraId="49B4472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kern w:val="0"/>
                      <w:sz w:val="21"/>
                      <w:szCs w:val="21"/>
                      <w:lang w:val="en-US" w:eastAsia="zh-CN"/>
                    </w:rPr>
                  </w:pPr>
                  <w:r>
                    <w:rPr>
                      <w:rFonts w:hint="default" w:ascii="宋体" w:hAnsi="宋体" w:eastAsia="宋体" w:cs="宋体"/>
                      <w:b/>
                      <w:bCs/>
                      <w:kern w:val="0"/>
                      <w:sz w:val="21"/>
                      <w:szCs w:val="21"/>
                      <w:lang w:val="en-US" w:eastAsia="zh-CN"/>
                    </w:rPr>
                    <w:t>排放限值含义</w:t>
                  </w:r>
                </w:p>
              </w:tc>
              <w:tc>
                <w:tcPr>
                  <w:tcW w:w="854" w:type="pct"/>
                  <w:tcBorders>
                    <w:top w:val="single" w:color="auto" w:sz="4" w:space="0"/>
                    <w:left w:val="single" w:color="auto" w:sz="4" w:space="0"/>
                    <w:bottom w:val="single" w:color="auto" w:sz="4" w:space="0"/>
                    <w:right w:val="single" w:color="auto" w:sz="4" w:space="0"/>
                  </w:tcBorders>
                  <w:noWrap w:val="0"/>
                  <w:vAlign w:val="center"/>
                </w:tcPr>
                <w:p w14:paraId="65E0DDF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kern w:val="0"/>
                      <w:sz w:val="21"/>
                      <w:szCs w:val="21"/>
                      <w:lang w:val="en-US" w:eastAsia="zh-CN"/>
                    </w:rPr>
                  </w:pPr>
                  <w:r>
                    <w:rPr>
                      <w:rFonts w:hint="default" w:ascii="宋体" w:hAnsi="宋体" w:eastAsia="宋体" w:cs="宋体"/>
                      <w:b/>
                      <w:bCs/>
                      <w:kern w:val="0"/>
                      <w:sz w:val="21"/>
                      <w:szCs w:val="21"/>
                      <w:lang w:val="en-US" w:eastAsia="zh-CN"/>
                    </w:rPr>
                    <w:t>无组织排放监控位置</w:t>
                  </w:r>
                </w:p>
              </w:tc>
              <w:tc>
                <w:tcPr>
                  <w:tcW w:w="1127" w:type="pct"/>
                  <w:tcBorders>
                    <w:top w:val="single" w:color="auto" w:sz="4" w:space="0"/>
                    <w:left w:val="single" w:color="auto" w:sz="4" w:space="0"/>
                    <w:bottom w:val="single" w:color="auto" w:sz="4" w:space="0"/>
                    <w:right w:val="single" w:color="auto" w:sz="4" w:space="0"/>
                  </w:tcBorders>
                  <w:noWrap w:val="0"/>
                  <w:vAlign w:val="center"/>
                </w:tcPr>
                <w:p w14:paraId="61B3753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kern w:val="0"/>
                      <w:sz w:val="21"/>
                      <w:szCs w:val="21"/>
                      <w:lang w:val="en-US" w:eastAsia="zh-CN"/>
                    </w:rPr>
                  </w:pPr>
                  <w:r>
                    <w:rPr>
                      <w:rFonts w:hint="eastAsia" w:cs="Times New Roman"/>
                      <w:b/>
                      <w:bCs/>
                      <w:color w:val="000000"/>
                      <w:kern w:val="2"/>
                      <w:sz w:val="21"/>
                      <w:szCs w:val="21"/>
                      <w:highlight w:val="none"/>
                      <w:lang w:val="en-US" w:eastAsia="zh-CN" w:bidi="ar-SA"/>
                    </w:rPr>
                    <w:t>执行标准</w:t>
                  </w:r>
                </w:p>
              </w:tc>
            </w:tr>
            <w:tr w14:paraId="2CDF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796" w:type="pct"/>
                  <w:vMerge w:val="restart"/>
                  <w:tcBorders>
                    <w:top w:val="single" w:color="auto" w:sz="4" w:space="0"/>
                    <w:left w:val="single" w:color="auto" w:sz="4" w:space="0"/>
                    <w:right w:val="single" w:color="auto" w:sz="4" w:space="0"/>
                  </w:tcBorders>
                  <w:shd w:val="clear" w:color="auto" w:fill="auto"/>
                  <w:noWrap w:val="0"/>
                  <w:vAlign w:val="center"/>
                </w:tcPr>
                <w:p w14:paraId="409E232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NMHC</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E637A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6（mg/m</w:t>
                  </w:r>
                  <w:r>
                    <w:rPr>
                      <w:rFonts w:hint="eastAsia" w:cs="Times New Roman"/>
                      <w:color w:val="000000"/>
                      <w:kern w:val="2"/>
                      <w:sz w:val="21"/>
                      <w:szCs w:val="21"/>
                      <w:highlight w:val="none"/>
                      <w:vertAlign w:val="superscript"/>
                      <w:lang w:val="en-US" w:eastAsia="zh-CN"/>
                    </w:rPr>
                    <w:t>3</w:t>
                  </w:r>
                  <w:r>
                    <w:rPr>
                      <w:rFonts w:hint="eastAsia" w:cs="Times New Roman"/>
                      <w:color w:val="000000"/>
                      <w:kern w:val="2"/>
                      <w:sz w:val="21"/>
                      <w:szCs w:val="21"/>
                      <w:highlight w:val="none"/>
                      <w:lang w:val="en-US" w:eastAsia="zh-CN"/>
                    </w:rPr>
                    <w:t>）</w:t>
                  </w:r>
                </w:p>
              </w:tc>
              <w:tc>
                <w:tcPr>
                  <w:tcW w:w="96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22EF0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监控点处1 h平均浓度值</w:t>
                  </w:r>
                </w:p>
              </w:tc>
              <w:tc>
                <w:tcPr>
                  <w:tcW w:w="854" w:type="pct"/>
                  <w:vMerge w:val="restart"/>
                  <w:tcBorders>
                    <w:top w:val="single" w:color="auto" w:sz="4" w:space="0"/>
                    <w:left w:val="single" w:color="auto" w:sz="4" w:space="0"/>
                    <w:right w:val="single" w:color="auto" w:sz="4" w:space="0"/>
                  </w:tcBorders>
                  <w:shd w:val="clear" w:color="auto" w:fill="auto"/>
                  <w:noWrap w:val="0"/>
                  <w:vAlign w:val="center"/>
                </w:tcPr>
                <w:p w14:paraId="04086ED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在厂房外设置监控点</w:t>
                  </w:r>
                </w:p>
              </w:tc>
              <w:tc>
                <w:tcPr>
                  <w:tcW w:w="1127" w:type="pct"/>
                  <w:vMerge w:val="restart"/>
                  <w:tcBorders>
                    <w:top w:val="single" w:color="auto" w:sz="4" w:space="0"/>
                    <w:left w:val="single" w:color="auto" w:sz="4" w:space="0"/>
                    <w:right w:val="single" w:color="auto" w:sz="4" w:space="0"/>
                  </w:tcBorders>
                  <w:shd w:val="clear" w:color="auto" w:fill="auto"/>
                  <w:noWrap w:val="0"/>
                  <w:vAlign w:val="center"/>
                </w:tcPr>
                <w:p w14:paraId="06FE134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挥发性有机物无组织排放控制标准》（GB37822-2019）</w:t>
                  </w:r>
                </w:p>
              </w:tc>
            </w:tr>
            <w:tr w14:paraId="1B917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796" w:type="pct"/>
                  <w:vMerge w:val="continue"/>
                  <w:tcBorders>
                    <w:left w:val="single" w:color="auto" w:sz="4" w:space="0"/>
                    <w:right w:val="single" w:color="auto" w:sz="4" w:space="0"/>
                  </w:tcBorders>
                  <w:shd w:val="clear" w:color="auto" w:fill="auto"/>
                  <w:noWrap w:val="0"/>
                  <w:vAlign w:val="center"/>
                </w:tcPr>
                <w:p w14:paraId="378CC4E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kern w:val="2"/>
                      <w:sz w:val="24"/>
                      <w:szCs w:val="24"/>
                      <w:lang w:val="en-US" w:eastAsia="zh-CN" w:bidi="ar-SA"/>
                    </w:rPr>
                  </w:pPr>
                </w:p>
              </w:tc>
              <w:tc>
                <w:tcPr>
                  <w:tcW w:w="12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8F3E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kern w:val="2"/>
                      <w:sz w:val="24"/>
                      <w:szCs w:val="24"/>
                      <w:lang w:val="en-US" w:eastAsia="zh-CN" w:bidi="ar-SA"/>
                    </w:rPr>
                  </w:pPr>
                  <w:r>
                    <w:rPr>
                      <w:rFonts w:hint="eastAsia" w:cs="Times New Roman"/>
                      <w:color w:val="000000"/>
                      <w:kern w:val="2"/>
                      <w:sz w:val="21"/>
                      <w:szCs w:val="21"/>
                      <w:highlight w:val="none"/>
                      <w:lang w:val="en-US" w:eastAsia="zh-CN"/>
                    </w:rPr>
                    <w:t>20（mg/m</w:t>
                  </w:r>
                  <w:r>
                    <w:rPr>
                      <w:rFonts w:hint="eastAsia" w:cs="Times New Roman"/>
                      <w:color w:val="000000"/>
                      <w:kern w:val="2"/>
                      <w:sz w:val="21"/>
                      <w:szCs w:val="21"/>
                      <w:highlight w:val="none"/>
                      <w:vertAlign w:val="superscript"/>
                      <w:lang w:val="en-US" w:eastAsia="zh-CN"/>
                    </w:rPr>
                    <w:t>3</w:t>
                  </w:r>
                  <w:r>
                    <w:rPr>
                      <w:rFonts w:hint="eastAsia" w:cs="Times New Roman"/>
                      <w:color w:val="000000"/>
                      <w:kern w:val="2"/>
                      <w:sz w:val="21"/>
                      <w:szCs w:val="21"/>
                      <w:highlight w:val="none"/>
                      <w:lang w:val="en-US" w:eastAsia="zh-CN"/>
                    </w:rPr>
                    <w:t>）</w:t>
                  </w:r>
                </w:p>
              </w:tc>
              <w:tc>
                <w:tcPr>
                  <w:tcW w:w="96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B3CEE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监控点处任意一次浓度值</w:t>
                  </w:r>
                </w:p>
              </w:tc>
              <w:tc>
                <w:tcPr>
                  <w:tcW w:w="854" w:type="pct"/>
                  <w:vMerge w:val="continue"/>
                  <w:tcBorders>
                    <w:left w:val="single" w:color="auto" w:sz="4" w:space="0"/>
                    <w:bottom w:val="single" w:color="auto" w:sz="4" w:space="0"/>
                    <w:right w:val="single" w:color="auto" w:sz="4" w:space="0"/>
                  </w:tcBorders>
                  <w:shd w:val="clear" w:color="auto" w:fill="auto"/>
                  <w:noWrap w:val="0"/>
                  <w:vAlign w:val="center"/>
                </w:tcPr>
                <w:p w14:paraId="48D7E4F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p>
              </w:tc>
              <w:tc>
                <w:tcPr>
                  <w:tcW w:w="1127" w:type="pct"/>
                  <w:vMerge w:val="continue"/>
                  <w:tcBorders>
                    <w:left w:val="single" w:color="auto" w:sz="4" w:space="0"/>
                    <w:bottom w:val="single" w:color="auto" w:sz="4" w:space="0"/>
                    <w:right w:val="single" w:color="auto" w:sz="4" w:space="0"/>
                  </w:tcBorders>
                  <w:shd w:val="clear" w:color="auto" w:fill="auto"/>
                  <w:noWrap w:val="0"/>
                  <w:vAlign w:val="center"/>
                </w:tcPr>
                <w:p w14:paraId="2652523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p>
              </w:tc>
            </w:tr>
          </w:tbl>
          <w:p w14:paraId="031E56A8">
            <w:pPr>
              <w:bidi w:val="0"/>
              <w:rPr>
                <w:rFonts w:hint="default"/>
                <w:lang w:val="en-US" w:eastAsia="zh-CN"/>
              </w:rPr>
            </w:pPr>
          </w:p>
          <w:p w14:paraId="0CCC2BA3">
            <w:pPr>
              <w:autoSpaceDE w:val="0"/>
              <w:autoSpaceDN w:val="0"/>
              <w:adjustRightInd w:val="0"/>
              <w:snapToGrid w:val="0"/>
              <w:spacing w:line="360" w:lineRule="auto"/>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3、噪声</w:t>
            </w:r>
          </w:p>
          <w:p w14:paraId="2343B5C4">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本项目施工期噪声执行《建筑施工场界环境噪声排放标准》（GB12523-2011）中标准限值要求，运营期厂界噪声排放执行《工业企业厂界环境噪声排放标准》（GB12348-2008）中3类标准，具体标准见下表。</w:t>
            </w:r>
          </w:p>
          <w:p w14:paraId="60E109DC">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表3-</w:t>
            </w:r>
            <w:r>
              <w:rPr>
                <w:rFonts w:hint="eastAsia" w:ascii="宋体" w:hAnsi="宋体" w:cs="宋体"/>
                <w:b/>
                <w:bCs/>
                <w:sz w:val="22"/>
                <w:szCs w:val="22"/>
                <w:lang w:val="en-US" w:eastAsia="zh-CN"/>
              </w:rPr>
              <w:t>9</w:t>
            </w:r>
            <w:r>
              <w:rPr>
                <w:rFonts w:hint="eastAsia" w:ascii="宋体" w:hAnsi="宋体" w:eastAsia="宋体" w:cs="宋体"/>
                <w:b/>
                <w:bCs/>
                <w:sz w:val="22"/>
                <w:szCs w:val="22"/>
                <w:lang w:val="en-US" w:eastAsia="zh-CN"/>
              </w:rPr>
              <w:t xml:space="preserve">  </w:t>
            </w:r>
            <w:r>
              <w:rPr>
                <w:rFonts w:hint="eastAsia" w:ascii="宋体" w:hAnsi="宋体" w:cs="宋体"/>
                <w:b/>
                <w:bCs/>
                <w:sz w:val="22"/>
                <w:szCs w:val="22"/>
                <w:lang w:val="en-US" w:eastAsia="zh-CN"/>
              </w:rPr>
              <w:t>本项目</w:t>
            </w:r>
            <w:r>
              <w:rPr>
                <w:rFonts w:hint="default" w:ascii="宋体" w:hAnsi="宋体" w:eastAsia="宋体" w:cs="宋体"/>
                <w:b/>
                <w:bCs/>
                <w:sz w:val="22"/>
                <w:szCs w:val="22"/>
                <w:lang w:val="en-US" w:eastAsia="zh-CN"/>
              </w:rPr>
              <w:t>噪声排放</w:t>
            </w:r>
            <w:r>
              <w:rPr>
                <w:rFonts w:hint="eastAsia" w:ascii="宋体" w:hAnsi="宋体" w:cs="宋体"/>
                <w:b/>
                <w:bCs/>
                <w:sz w:val="22"/>
                <w:szCs w:val="22"/>
                <w:lang w:val="en-US" w:eastAsia="zh-CN"/>
              </w:rPr>
              <w:t>限</w:t>
            </w:r>
            <w:r>
              <w:rPr>
                <w:rFonts w:hint="default" w:ascii="宋体" w:hAnsi="宋体" w:eastAsia="宋体" w:cs="宋体"/>
                <w:b/>
                <w:bCs/>
                <w:sz w:val="22"/>
                <w:szCs w:val="22"/>
                <w:lang w:val="en-US" w:eastAsia="zh-CN"/>
              </w:rPr>
              <w:t>值</w:t>
            </w:r>
            <w:r>
              <w:rPr>
                <w:rFonts w:hint="eastAsia" w:ascii="宋体" w:hAnsi="宋体" w:cs="宋体"/>
                <w:b/>
                <w:bCs/>
                <w:sz w:val="22"/>
                <w:szCs w:val="22"/>
                <w:lang w:val="en-US" w:eastAsia="zh-CN"/>
              </w:rPr>
              <w:t>（</w:t>
            </w:r>
            <w:r>
              <w:rPr>
                <w:rFonts w:hint="default" w:ascii="宋体" w:hAnsi="宋体" w:eastAsia="宋体" w:cs="宋体"/>
                <w:b/>
                <w:bCs/>
                <w:sz w:val="22"/>
                <w:szCs w:val="22"/>
                <w:lang w:val="en-US" w:eastAsia="zh-CN"/>
              </w:rPr>
              <w:t>dB（A）</w:t>
            </w:r>
            <w:r>
              <w:rPr>
                <w:rFonts w:hint="eastAsia" w:ascii="宋体" w:hAnsi="宋体" w:cs="宋体"/>
                <w:b/>
                <w:bCs/>
                <w:sz w:val="22"/>
                <w:szCs w:val="22"/>
                <w:lang w:val="en-US" w:eastAsia="zh-CN"/>
              </w:rPr>
              <w:t>）</w:t>
            </w:r>
          </w:p>
          <w:tbl>
            <w:tblPr>
              <w:tblStyle w:val="15"/>
              <w:tblW w:w="48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03"/>
              <w:gridCol w:w="1620"/>
              <w:gridCol w:w="1517"/>
              <w:gridCol w:w="3457"/>
            </w:tblGrid>
            <w:tr w14:paraId="42FE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82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06BA23">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bCs/>
                      <w:kern w:val="2"/>
                      <w:sz w:val="22"/>
                      <w:szCs w:val="22"/>
                      <w:lang w:val="en-US" w:eastAsia="zh-CN" w:bidi="ar-SA"/>
                    </w:rPr>
                  </w:pPr>
                  <w:r>
                    <w:rPr>
                      <w:rFonts w:hint="eastAsia"/>
                      <w:b/>
                      <w:bCs/>
                      <w:sz w:val="22"/>
                      <w:szCs w:val="22"/>
                      <w:lang w:val="en-US" w:eastAsia="zh-CN"/>
                    </w:rPr>
                    <w:t>时段</w:t>
                  </w:r>
                </w:p>
              </w:tc>
              <w:tc>
                <w:tcPr>
                  <w:tcW w:w="1025" w:type="pct"/>
                  <w:tcBorders>
                    <w:left w:val="single" w:color="auto" w:sz="4" w:space="0"/>
                    <w:bottom w:val="single" w:color="auto" w:sz="4" w:space="0"/>
                    <w:right w:val="single" w:color="auto" w:sz="4" w:space="0"/>
                  </w:tcBorders>
                  <w:shd w:val="clear" w:color="auto" w:fill="auto"/>
                  <w:noWrap w:val="0"/>
                  <w:vAlign w:val="center"/>
                </w:tcPr>
                <w:p w14:paraId="45474D3C">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bCs/>
                      <w:kern w:val="2"/>
                      <w:sz w:val="22"/>
                      <w:szCs w:val="22"/>
                      <w:lang w:val="en-US" w:eastAsia="zh-CN" w:bidi="ar-SA"/>
                    </w:rPr>
                  </w:pPr>
                  <w:r>
                    <w:rPr>
                      <w:rFonts w:hint="eastAsia"/>
                      <w:b/>
                      <w:bCs/>
                      <w:sz w:val="22"/>
                      <w:szCs w:val="22"/>
                      <w:lang w:val="en-US" w:eastAsia="zh-CN"/>
                    </w:rPr>
                    <w:t>昼间限值</w:t>
                  </w:r>
                </w:p>
              </w:tc>
              <w:tc>
                <w:tcPr>
                  <w:tcW w:w="96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C7EE31">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bCs/>
                      <w:kern w:val="2"/>
                      <w:sz w:val="22"/>
                      <w:szCs w:val="22"/>
                      <w:lang w:val="en-US" w:eastAsia="zh-CN" w:bidi="ar-SA"/>
                    </w:rPr>
                  </w:pPr>
                  <w:r>
                    <w:rPr>
                      <w:rFonts w:hint="eastAsia"/>
                      <w:b/>
                      <w:bCs/>
                      <w:sz w:val="22"/>
                      <w:szCs w:val="22"/>
                      <w:lang w:val="en-US" w:eastAsia="zh-CN"/>
                    </w:rPr>
                    <w:t>夜间限值</w:t>
                  </w:r>
                </w:p>
              </w:tc>
              <w:tc>
                <w:tcPr>
                  <w:tcW w:w="21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C304BD">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bCs/>
                      <w:kern w:val="2"/>
                      <w:sz w:val="22"/>
                      <w:szCs w:val="22"/>
                      <w:lang w:val="en-US" w:eastAsia="zh-CN" w:bidi="ar-SA"/>
                    </w:rPr>
                  </w:pPr>
                  <w:r>
                    <w:rPr>
                      <w:rFonts w:hint="eastAsia"/>
                      <w:b/>
                      <w:bCs/>
                      <w:sz w:val="22"/>
                      <w:szCs w:val="22"/>
                      <w:lang w:val="en-US" w:eastAsia="zh-CN"/>
                    </w:rPr>
                    <w:t>执行标准</w:t>
                  </w:r>
                </w:p>
              </w:tc>
            </w:tr>
            <w:tr w14:paraId="769A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824" w:type="pct"/>
                  <w:tcBorders>
                    <w:top w:val="single" w:color="auto" w:sz="4" w:space="0"/>
                    <w:left w:val="single" w:color="auto" w:sz="4" w:space="0"/>
                    <w:bottom w:val="single" w:color="auto" w:sz="4" w:space="0"/>
                    <w:right w:val="single" w:color="auto" w:sz="4" w:space="0"/>
                  </w:tcBorders>
                  <w:noWrap w:val="0"/>
                  <w:vAlign w:val="center"/>
                </w:tcPr>
                <w:p w14:paraId="6FF66DA8">
                  <w:pPr>
                    <w:bidi w:val="0"/>
                    <w:jc w:val="center"/>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施工期</w:t>
                  </w:r>
                </w:p>
              </w:tc>
              <w:tc>
                <w:tcPr>
                  <w:tcW w:w="102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DE1D8D">
                  <w:pPr>
                    <w:bidi w:val="0"/>
                    <w:jc w:val="center"/>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70</w:t>
                  </w:r>
                </w:p>
              </w:tc>
              <w:tc>
                <w:tcPr>
                  <w:tcW w:w="96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F66EEE">
                  <w:pPr>
                    <w:bidi w:val="0"/>
                    <w:jc w:val="center"/>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55</w:t>
                  </w:r>
                </w:p>
              </w:tc>
              <w:tc>
                <w:tcPr>
                  <w:tcW w:w="21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B706D7">
                  <w:pPr>
                    <w:bidi w:val="0"/>
                    <w:jc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《建筑施工场界环境噪声排放标准》（GB12523-2011）</w:t>
                  </w:r>
                </w:p>
              </w:tc>
            </w:tr>
            <w:tr w14:paraId="55FE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824" w:type="pct"/>
                  <w:tcBorders>
                    <w:top w:val="single" w:color="auto" w:sz="4" w:space="0"/>
                    <w:left w:val="single" w:color="auto" w:sz="4" w:space="0"/>
                    <w:right w:val="single" w:color="auto" w:sz="4" w:space="0"/>
                  </w:tcBorders>
                  <w:shd w:val="clear" w:color="auto" w:fill="auto"/>
                  <w:noWrap w:val="0"/>
                  <w:vAlign w:val="center"/>
                </w:tcPr>
                <w:p w14:paraId="2D6607FB">
                  <w:pPr>
                    <w:bidi w:val="0"/>
                    <w:jc w:val="center"/>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运营期</w:t>
                  </w:r>
                </w:p>
              </w:tc>
              <w:tc>
                <w:tcPr>
                  <w:tcW w:w="102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50C0BC">
                  <w:pPr>
                    <w:bidi w:val="0"/>
                    <w:jc w:val="center"/>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65</w:t>
                  </w:r>
                </w:p>
              </w:tc>
              <w:tc>
                <w:tcPr>
                  <w:tcW w:w="96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37FE64">
                  <w:pPr>
                    <w:bidi w:val="0"/>
                    <w:jc w:val="center"/>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55</w:t>
                  </w:r>
                </w:p>
              </w:tc>
              <w:tc>
                <w:tcPr>
                  <w:tcW w:w="21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388E56">
                  <w:pPr>
                    <w:bidi w:val="0"/>
                    <w:jc w:val="center"/>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《工业企业厂界环境噪声排放标准》（GB12348-2008）中的3类标准</w:t>
                  </w:r>
                </w:p>
              </w:tc>
            </w:tr>
          </w:tbl>
          <w:p w14:paraId="006CA2A5">
            <w:pPr>
              <w:bidi w:val="0"/>
              <w:rPr>
                <w:rFonts w:hint="eastAsia"/>
                <w:lang w:val="en-US" w:eastAsia="zh-CN"/>
              </w:rPr>
            </w:pPr>
          </w:p>
          <w:p w14:paraId="13807E05">
            <w:pPr>
              <w:autoSpaceDE w:val="0"/>
              <w:autoSpaceDN w:val="0"/>
              <w:adjustRightInd w:val="0"/>
              <w:snapToGrid w:val="0"/>
              <w:spacing w:line="360" w:lineRule="auto"/>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4、固体废物</w:t>
            </w:r>
          </w:p>
          <w:p w14:paraId="5B662694">
            <w:pPr>
              <w:autoSpaceDE w:val="0"/>
              <w:autoSpaceDN w:val="0"/>
              <w:adjustRightInd w:val="0"/>
              <w:snapToGrid w:val="0"/>
              <w:spacing w:line="360" w:lineRule="auto"/>
              <w:ind w:firstLine="480" w:firstLineChars="200"/>
              <w:jc w:val="both"/>
              <w:rPr>
                <w:rFonts w:hint="eastAsia" w:ascii="宋体" w:hAnsi="宋体" w:cs="宋体"/>
                <w:b w:val="0"/>
                <w:bCs w:val="0"/>
                <w:kern w:val="0"/>
                <w:sz w:val="24"/>
                <w:szCs w:val="24"/>
                <w:lang w:val="en-US" w:eastAsia="zh-CN"/>
              </w:rPr>
            </w:pPr>
            <w:r>
              <w:rPr>
                <w:rFonts w:hint="eastAsia"/>
                <w:color w:val="000000"/>
                <w:kern w:val="0"/>
                <w:sz w:val="24"/>
                <w:lang w:val="en-US" w:eastAsia="zh-CN"/>
              </w:rPr>
              <w:t>本项目一般工业固废暂存参照执行《一般工业固体废物贮存和填埋污染控制标准》（GB18599-2020）要求，危险废物贮存执行《危险废物贮存污染控制标准》（GB18597-2023）要求。</w:t>
            </w:r>
          </w:p>
        </w:tc>
      </w:tr>
      <w:tr w14:paraId="7F74F6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3330" w:hRule="atLeast"/>
          <w:jc w:val="center"/>
        </w:trPr>
        <w:tc>
          <w:tcPr>
            <w:tcW w:w="498" w:type="dxa"/>
            <w:noWrap w:val="0"/>
            <w:vAlign w:val="center"/>
          </w:tcPr>
          <w:p w14:paraId="716EC1C7">
            <w:pPr>
              <w:autoSpaceDE w:val="0"/>
              <w:autoSpaceDN w:val="0"/>
              <w:adjustRightInd w:val="0"/>
              <w:snapToGrid w:val="0"/>
              <w:spacing w:line="240" w:lineRule="auto"/>
              <w:jc w:val="center"/>
              <w:rPr>
                <w:rFonts w:hint="eastAsia" w:ascii="宋体" w:hAnsi="宋体" w:cs="宋体"/>
                <w:kern w:val="0"/>
                <w:sz w:val="24"/>
                <w:szCs w:val="24"/>
              </w:rPr>
            </w:pPr>
            <w:r>
              <w:rPr>
                <w:rFonts w:hint="eastAsia" w:ascii="宋体" w:hAnsi="宋体" w:cs="宋体"/>
                <w:kern w:val="0"/>
                <w:sz w:val="24"/>
                <w:szCs w:val="24"/>
              </w:rPr>
              <w:t>总量控制指标</w:t>
            </w:r>
          </w:p>
        </w:tc>
        <w:tc>
          <w:tcPr>
            <w:tcW w:w="8190" w:type="dxa"/>
            <w:noWrap w:val="0"/>
            <w:vAlign w:val="center"/>
          </w:tcPr>
          <w:p w14:paraId="3E0FCB39">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根据《环境保护部关于印发&lt;建设项目主要污染物排放总量指标审核及管理暂行办法&gt;的通知》（环发[2014]197号）及《安徽省环保厅关于进一步加强建设项目新增大气主要污染物总量指标管理工作的通知》（皖环发[2017]19号），项目总量控制指标主要为COD、氨氮和VOCs、颗粒物、SO</w:t>
            </w:r>
            <w:r>
              <w:rPr>
                <w:rFonts w:hint="eastAsia"/>
                <w:color w:val="000000"/>
                <w:kern w:val="0"/>
                <w:sz w:val="24"/>
                <w:vertAlign w:val="subscript"/>
                <w:lang w:val="en-US" w:eastAsia="zh-CN"/>
              </w:rPr>
              <w:t>2</w:t>
            </w:r>
            <w:r>
              <w:rPr>
                <w:rFonts w:hint="eastAsia"/>
                <w:color w:val="000000"/>
                <w:kern w:val="0"/>
                <w:sz w:val="24"/>
                <w:lang w:val="en-US" w:eastAsia="zh-CN"/>
              </w:rPr>
              <w:t>、NOx。上年度空气质量不达标的城市，相应污染物指标应执行“倍量替代”。其中，上年度PM</w:t>
            </w:r>
            <w:r>
              <w:rPr>
                <w:rFonts w:hint="eastAsia"/>
                <w:color w:val="000000"/>
                <w:kern w:val="0"/>
                <w:sz w:val="24"/>
                <w:vertAlign w:val="subscript"/>
                <w:lang w:val="en-US" w:eastAsia="zh-CN"/>
              </w:rPr>
              <w:t>2.5</w:t>
            </w:r>
            <w:r>
              <w:rPr>
                <w:rFonts w:hint="eastAsia"/>
                <w:color w:val="000000"/>
                <w:kern w:val="0"/>
                <w:sz w:val="24"/>
                <w:lang w:val="en-US" w:eastAsia="zh-CN"/>
              </w:rPr>
              <w:t>不达标的城市，新增SO</w:t>
            </w:r>
            <w:r>
              <w:rPr>
                <w:rFonts w:hint="eastAsia"/>
                <w:color w:val="000000"/>
                <w:kern w:val="0"/>
                <w:sz w:val="24"/>
                <w:vertAlign w:val="subscript"/>
                <w:lang w:val="en-US" w:eastAsia="zh-CN"/>
              </w:rPr>
              <w:t>2</w:t>
            </w:r>
            <w:r>
              <w:rPr>
                <w:rFonts w:hint="eastAsia"/>
                <w:color w:val="000000"/>
                <w:kern w:val="0"/>
                <w:sz w:val="24"/>
                <w:lang w:val="en-US" w:eastAsia="zh-CN"/>
              </w:rPr>
              <w:t>、NOx和VOCs指标均要执行“倍量替代”。上年度PM</w:t>
            </w:r>
            <w:r>
              <w:rPr>
                <w:rFonts w:hint="eastAsia"/>
                <w:color w:val="000000"/>
                <w:kern w:val="0"/>
                <w:sz w:val="24"/>
                <w:vertAlign w:val="subscript"/>
                <w:lang w:val="en-US" w:eastAsia="zh-CN"/>
              </w:rPr>
              <w:t>10</w:t>
            </w:r>
            <w:r>
              <w:rPr>
                <w:rFonts w:hint="eastAsia"/>
                <w:color w:val="000000"/>
                <w:kern w:val="0"/>
                <w:sz w:val="24"/>
                <w:lang w:val="en-US" w:eastAsia="zh-CN"/>
              </w:rPr>
              <w:t>不达标的城市，新增烟（粉）尘指标要执行“倍量替代”。</w:t>
            </w:r>
          </w:p>
          <w:p w14:paraId="2F412294">
            <w:pPr>
              <w:autoSpaceDE w:val="0"/>
              <w:autoSpaceDN w:val="0"/>
              <w:adjustRightInd w:val="0"/>
              <w:snapToGrid w:val="0"/>
              <w:spacing w:line="360" w:lineRule="auto"/>
              <w:jc w:val="left"/>
              <w:rPr>
                <w:rFonts w:hint="eastAsia"/>
                <w:color w:val="000000"/>
                <w:kern w:val="0"/>
                <w:sz w:val="24"/>
                <w:lang w:val="en-US" w:eastAsia="zh-CN"/>
              </w:rPr>
            </w:pPr>
            <w:r>
              <w:rPr>
                <w:rFonts w:hint="eastAsia" w:ascii="宋体" w:hAnsi="宋体" w:cs="宋体"/>
                <w:b/>
                <w:bCs/>
                <w:kern w:val="0"/>
                <w:sz w:val="24"/>
                <w:szCs w:val="24"/>
                <w:lang w:val="en-US" w:eastAsia="zh-CN"/>
              </w:rPr>
              <w:t>1、废水</w:t>
            </w:r>
          </w:p>
          <w:p w14:paraId="22CD36E8">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本次技改项目食堂废水和生活污水经污水处理设施预处理后进入淮北经济开发区新区污水处理厂深度处理，总量指标纳入淮北经济开发区新区污水处理厂排放总量控制指标管理，本项目无需另行申请总量指标。</w:t>
            </w:r>
          </w:p>
          <w:p w14:paraId="3A890920">
            <w:pPr>
              <w:autoSpaceDE w:val="0"/>
              <w:autoSpaceDN w:val="0"/>
              <w:adjustRightInd w:val="0"/>
              <w:snapToGrid w:val="0"/>
              <w:spacing w:line="360" w:lineRule="auto"/>
              <w:jc w:val="left"/>
              <w:rPr>
                <w:rFonts w:hint="default"/>
                <w:color w:val="000000"/>
                <w:kern w:val="0"/>
                <w:sz w:val="24"/>
                <w:lang w:val="en-US" w:eastAsia="zh-CN"/>
              </w:rPr>
            </w:pPr>
            <w:r>
              <w:rPr>
                <w:rFonts w:hint="eastAsia" w:ascii="宋体" w:hAnsi="宋体" w:cs="宋体"/>
                <w:b/>
                <w:bCs/>
                <w:kern w:val="0"/>
                <w:sz w:val="24"/>
                <w:szCs w:val="24"/>
                <w:lang w:val="en-US" w:eastAsia="zh-CN"/>
              </w:rPr>
              <w:t>2、废气</w:t>
            </w:r>
          </w:p>
          <w:p w14:paraId="52E8F541">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本项目所在区域为淮北市，2024年度PM</w:t>
            </w:r>
            <w:r>
              <w:rPr>
                <w:rFonts w:hint="eastAsia"/>
                <w:color w:val="000000"/>
                <w:kern w:val="0"/>
                <w:sz w:val="24"/>
                <w:vertAlign w:val="subscript"/>
                <w:lang w:val="en-US" w:eastAsia="zh-CN"/>
              </w:rPr>
              <w:t>2.5</w:t>
            </w:r>
            <w:r>
              <w:rPr>
                <w:rFonts w:hint="eastAsia"/>
                <w:color w:val="000000"/>
                <w:kern w:val="0"/>
                <w:sz w:val="24"/>
                <w:lang w:val="en-US" w:eastAsia="zh-CN"/>
              </w:rPr>
              <w:t>、PM</w:t>
            </w:r>
            <w:r>
              <w:rPr>
                <w:rFonts w:hint="eastAsia"/>
                <w:color w:val="000000"/>
                <w:kern w:val="0"/>
                <w:sz w:val="24"/>
                <w:vertAlign w:val="subscript"/>
                <w:lang w:val="en-US" w:eastAsia="zh-CN"/>
              </w:rPr>
              <w:t>10</w:t>
            </w:r>
            <w:r>
              <w:rPr>
                <w:rFonts w:hint="eastAsia"/>
                <w:color w:val="000000"/>
                <w:kern w:val="0"/>
                <w:sz w:val="24"/>
                <w:lang w:val="en-US" w:eastAsia="zh-CN"/>
              </w:rPr>
              <w:t>和O</w:t>
            </w:r>
            <w:r>
              <w:rPr>
                <w:rFonts w:hint="eastAsia"/>
                <w:color w:val="000000"/>
                <w:kern w:val="0"/>
                <w:sz w:val="24"/>
                <w:vertAlign w:val="subscript"/>
                <w:lang w:val="en-US" w:eastAsia="zh-CN"/>
              </w:rPr>
              <w:t>3</w:t>
            </w:r>
            <w:r>
              <w:rPr>
                <w:rFonts w:hint="eastAsia"/>
                <w:color w:val="000000"/>
                <w:kern w:val="0"/>
                <w:sz w:val="24"/>
                <w:lang w:val="en-US" w:eastAsia="zh-CN"/>
              </w:rPr>
              <w:t>均不达标，本次新增污染物颗粒物和VOCs指标均需执行“倍量替代”。建设单位一直存在刷漆工序，原环评报告针对刷漆工序污染及治理进行了简要分析，故刷漆废气产生的VOCs不属于新增指标。</w:t>
            </w:r>
          </w:p>
          <w:p w14:paraId="1B46107B">
            <w:pPr>
              <w:autoSpaceDE w:val="0"/>
              <w:autoSpaceDN w:val="0"/>
              <w:adjustRightInd w:val="0"/>
              <w:snapToGrid w:val="0"/>
              <w:spacing w:line="360" w:lineRule="auto"/>
              <w:ind w:firstLine="480" w:firstLineChars="200"/>
              <w:jc w:val="both"/>
              <w:rPr>
                <w:rFonts w:hint="eastAsia" w:ascii="宋体" w:hAnsi="宋体" w:cs="宋体"/>
                <w:kern w:val="0"/>
                <w:sz w:val="24"/>
                <w:szCs w:val="24"/>
              </w:rPr>
            </w:pPr>
            <w:r>
              <w:rPr>
                <w:rFonts w:hint="eastAsia"/>
                <w:color w:val="000000"/>
                <w:kern w:val="0"/>
                <w:sz w:val="24"/>
                <w:lang w:val="en-US" w:eastAsia="zh-CN"/>
              </w:rPr>
              <w:t>本次技改项目投入运营后全厂颗粒物有组织排放量为0.66t/a，VOCs有组织排放量0.14t/a。故</w:t>
            </w:r>
            <w:r>
              <w:rPr>
                <w:rFonts w:hint="eastAsia" w:cs="Times New Roman"/>
                <w:color w:val="auto"/>
                <w:kern w:val="0"/>
                <w:sz w:val="24"/>
                <w:highlight w:val="none"/>
                <w:lang w:val="en-US" w:eastAsia="zh-CN"/>
              </w:rPr>
              <w:t>建设单位</w:t>
            </w:r>
            <w:r>
              <w:rPr>
                <w:rFonts w:hint="default" w:ascii="Times New Roman" w:hAnsi="Times New Roman" w:cs="Times New Roman"/>
                <w:color w:val="auto"/>
                <w:kern w:val="0"/>
                <w:sz w:val="24"/>
                <w:highlight w:val="none"/>
              </w:rPr>
              <w:t>总量申请指标</w:t>
            </w:r>
            <w:r>
              <w:rPr>
                <w:rFonts w:hint="eastAsia" w:ascii="Times New Roman" w:hAnsi="Times New Roman" w:cs="Times New Roman"/>
                <w:color w:val="auto"/>
                <w:kern w:val="0"/>
                <w:sz w:val="24"/>
                <w:highlight w:val="none"/>
                <w:lang w:eastAsia="zh-CN"/>
              </w:rPr>
              <w:t>：</w:t>
            </w:r>
            <w:r>
              <w:rPr>
                <w:rFonts w:hint="eastAsia"/>
                <w:color w:val="000000"/>
                <w:kern w:val="0"/>
                <w:sz w:val="24"/>
                <w:lang w:val="en-US" w:eastAsia="zh-CN"/>
              </w:rPr>
              <w:t>颗粒物为0.66t/a，VOCs为0.14t/a。</w:t>
            </w:r>
          </w:p>
        </w:tc>
      </w:tr>
    </w:tbl>
    <w:p w14:paraId="1A71918E">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both"/>
        <w:textAlignment w:val="auto"/>
        <w:rPr>
          <w:rFonts w:hint="eastAsia"/>
          <w:b w:val="0"/>
          <w:bCs w:val="0"/>
          <w:snapToGrid w:val="0"/>
          <w:sz w:val="30"/>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6C70BBDC">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2"/>
          <w:szCs w:val="32"/>
          <w:lang w:val="en-US" w:eastAsia="zh-CN"/>
        </w:rPr>
      </w:pPr>
      <w:r>
        <w:rPr>
          <w:rFonts w:hint="eastAsia"/>
          <w:b w:val="0"/>
          <w:bCs w:val="0"/>
          <w:snapToGrid w:val="0"/>
          <w:sz w:val="32"/>
          <w:szCs w:val="32"/>
          <w:lang w:val="en-US" w:eastAsia="zh-CN"/>
        </w:rPr>
        <w:t>四、主要环境影响和保护措施</w:t>
      </w:r>
    </w:p>
    <w:tbl>
      <w:tblPr>
        <w:tblStyle w:val="1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4"/>
        <w:gridCol w:w="8444"/>
      </w:tblGrid>
      <w:tr w14:paraId="2050FE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5" w:hRule="atLeast"/>
          <w:jc w:val="center"/>
        </w:trPr>
        <w:tc>
          <w:tcPr>
            <w:tcW w:w="464" w:type="dxa"/>
            <w:noWrap w:val="0"/>
            <w:tcMar>
              <w:left w:w="28" w:type="dxa"/>
              <w:right w:w="28" w:type="dxa"/>
            </w:tcMar>
            <w:vAlign w:val="center"/>
          </w:tcPr>
          <w:p w14:paraId="7B34D6C1">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施工</w:t>
            </w:r>
          </w:p>
          <w:p w14:paraId="0BEE67CE">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期环</w:t>
            </w:r>
          </w:p>
          <w:p w14:paraId="50D1D069">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境保</w:t>
            </w:r>
          </w:p>
          <w:p w14:paraId="4CB9C841">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护措</w:t>
            </w:r>
          </w:p>
          <w:p w14:paraId="448C05A4">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施</w:t>
            </w:r>
          </w:p>
        </w:tc>
        <w:tc>
          <w:tcPr>
            <w:tcW w:w="8444" w:type="dxa"/>
            <w:noWrap w:val="0"/>
            <w:vAlign w:val="center"/>
          </w:tcPr>
          <w:p w14:paraId="2D0925BA">
            <w:pPr>
              <w:spacing w:line="360" w:lineRule="auto"/>
              <w:jc w:val="left"/>
              <w:rPr>
                <w:rFonts w:hint="eastAsia"/>
                <w:b/>
                <w:bCs/>
                <w:sz w:val="24"/>
                <w:lang w:val="en-US" w:eastAsia="zh-CN"/>
              </w:rPr>
            </w:pPr>
            <w:r>
              <w:rPr>
                <w:rFonts w:hint="eastAsia"/>
                <w:b/>
                <w:bCs/>
                <w:sz w:val="24"/>
                <w:lang w:val="en-US" w:eastAsia="zh-CN"/>
              </w:rPr>
              <w:t>1、大气环境影响分析及防治措施</w:t>
            </w:r>
          </w:p>
          <w:p w14:paraId="0B22684F">
            <w:pPr>
              <w:autoSpaceDE w:val="0"/>
              <w:autoSpaceDN w:val="0"/>
              <w:adjustRightInd w:val="0"/>
              <w:snapToGrid w:val="0"/>
              <w:spacing w:line="360" w:lineRule="auto"/>
              <w:ind w:firstLine="480" w:firstLineChars="200"/>
              <w:jc w:val="left"/>
              <w:rPr>
                <w:rFonts w:hint="default" w:ascii="宋体" w:hAnsi="宋体" w:cs="宋体"/>
                <w:kern w:val="0"/>
                <w:sz w:val="24"/>
                <w:szCs w:val="24"/>
                <w:lang w:val="en-US" w:eastAsia="zh-CN"/>
              </w:rPr>
            </w:pPr>
            <w:r>
              <w:rPr>
                <w:rFonts w:hint="eastAsia" w:ascii="宋体" w:hAnsi="宋体" w:cs="宋体"/>
                <w:kern w:val="0"/>
                <w:sz w:val="24"/>
                <w:szCs w:val="24"/>
                <w:lang w:val="en-US" w:eastAsia="zh-CN"/>
              </w:rPr>
              <w:t>根据备案文件及建设单位提供的信息，</w:t>
            </w:r>
            <w:r>
              <w:rPr>
                <w:rFonts w:hint="eastAsia" w:ascii="宋体" w:hAnsi="宋体" w:cs="宋体"/>
                <w:kern w:val="0"/>
                <w:sz w:val="24"/>
                <w:szCs w:val="24"/>
                <w:lang w:eastAsia="zh-CN"/>
              </w:rPr>
              <w:t>本</w:t>
            </w:r>
            <w:r>
              <w:rPr>
                <w:rFonts w:hint="eastAsia" w:ascii="宋体" w:hAnsi="宋体" w:cs="宋体"/>
                <w:kern w:val="0"/>
                <w:sz w:val="24"/>
                <w:szCs w:val="24"/>
                <w:lang w:val="en-US" w:eastAsia="zh-CN"/>
              </w:rPr>
              <w:t>次技</w:t>
            </w:r>
            <w:r>
              <w:rPr>
                <w:rFonts w:hint="eastAsia"/>
                <w:color w:val="000000"/>
                <w:kern w:val="0"/>
                <w:sz w:val="24"/>
                <w:lang w:val="en-US" w:eastAsia="zh-CN"/>
              </w:rPr>
              <w:t>改包括建设600m</w:t>
            </w:r>
            <w:r>
              <w:rPr>
                <w:rFonts w:hint="eastAsia"/>
                <w:color w:val="000000"/>
                <w:kern w:val="0"/>
                <w:sz w:val="24"/>
                <w:vertAlign w:val="superscript"/>
                <w:lang w:val="en-US" w:eastAsia="zh-CN"/>
              </w:rPr>
              <w:t>2</w:t>
            </w:r>
            <w:r>
              <w:rPr>
                <w:rFonts w:hint="eastAsia" w:ascii="宋体" w:hAnsi="宋体" w:cs="宋体"/>
                <w:kern w:val="0"/>
                <w:sz w:val="24"/>
                <w:szCs w:val="24"/>
                <w:lang w:val="en-US" w:eastAsia="zh-CN"/>
              </w:rPr>
              <w:t>厂房用于暂存生产过程中的半成品。厂房建设包括</w:t>
            </w:r>
            <w:r>
              <w:rPr>
                <w:rFonts w:hint="eastAsia" w:ascii="宋体" w:hAnsi="宋体" w:cs="宋体"/>
                <w:kern w:val="0"/>
                <w:sz w:val="24"/>
                <w:szCs w:val="24"/>
              </w:rPr>
              <w:t>场地清理、</w:t>
            </w:r>
            <w:r>
              <w:rPr>
                <w:rFonts w:hint="eastAsia" w:ascii="宋体" w:hAnsi="宋体" w:cs="宋体"/>
                <w:kern w:val="0"/>
                <w:sz w:val="24"/>
                <w:szCs w:val="24"/>
                <w:lang w:val="en-US" w:eastAsia="zh-CN"/>
              </w:rPr>
              <w:t>基础</w:t>
            </w:r>
            <w:r>
              <w:rPr>
                <w:rFonts w:hint="eastAsia" w:ascii="宋体" w:hAnsi="宋体" w:cs="宋体"/>
                <w:kern w:val="0"/>
                <w:sz w:val="24"/>
                <w:szCs w:val="24"/>
              </w:rPr>
              <w:t>建设、</w:t>
            </w:r>
            <w:r>
              <w:rPr>
                <w:rFonts w:hint="eastAsia" w:ascii="宋体" w:hAnsi="宋体" w:cs="宋体"/>
                <w:kern w:val="0"/>
                <w:sz w:val="24"/>
                <w:szCs w:val="24"/>
                <w:lang w:val="en-US" w:eastAsia="zh-CN"/>
              </w:rPr>
              <w:t>厂房</w:t>
            </w:r>
            <w:r>
              <w:rPr>
                <w:rFonts w:hint="eastAsia" w:ascii="宋体" w:hAnsi="宋体" w:cs="宋体"/>
                <w:kern w:val="0"/>
                <w:sz w:val="24"/>
                <w:szCs w:val="24"/>
              </w:rPr>
              <w:t>安装</w:t>
            </w:r>
            <w:r>
              <w:rPr>
                <w:rFonts w:hint="eastAsia" w:ascii="宋体" w:hAnsi="宋体" w:cs="宋体"/>
                <w:kern w:val="0"/>
                <w:sz w:val="24"/>
                <w:szCs w:val="24"/>
                <w:lang w:val="en-US" w:eastAsia="zh-CN"/>
              </w:rPr>
              <w:t>装修</w:t>
            </w:r>
            <w:r>
              <w:rPr>
                <w:rFonts w:hint="eastAsia" w:ascii="宋体" w:hAnsi="宋体" w:cs="宋体"/>
                <w:kern w:val="0"/>
                <w:sz w:val="24"/>
                <w:szCs w:val="24"/>
              </w:rPr>
              <w:t>等</w:t>
            </w:r>
            <w:r>
              <w:rPr>
                <w:rFonts w:hint="eastAsia" w:ascii="宋体" w:hAnsi="宋体" w:cs="宋体"/>
                <w:kern w:val="0"/>
                <w:sz w:val="24"/>
                <w:szCs w:val="24"/>
                <w:lang w:val="en-US" w:eastAsia="zh-CN"/>
              </w:rPr>
              <w:t>，建设过程中的</w:t>
            </w:r>
            <w:r>
              <w:rPr>
                <w:rFonts w:hint="eastAsia"/>
                <w:color w:val="000000"/>
                <w:kern w:val="0"/>
                <w:sz w:val="24"/>
                <w:lang w:val="en-US" w:eastAsia="zh-CN"/>
              </w:rPr>
              <w:t>大气污染物主要为建筑材料运输、基础施工产生的扬尘以及运输车辆产生的汽车尾气等，施工期产生的环境影响相对营运期而言属于短期和暂时影响，施工期结</w:t>
            </w:r>
            <w:r>
              <w:rPr>
                <w:rFonts w:hint="eastAsia" w:ascii="宋体" w:hAnsi="宋体" w:cs="宋体"/>
                <w:kern w:val="0"/>
                <w:sz w:val="24"/>
                <w:szCs w:val="24"/>
                <w:lang w:eastAsia="zh-CN"/>
              </w:rPr>
              <w:t>束影响即告停止，但仍需采取相应的环保措施降低对周边环境影响。</w:t>
            </w:r>
          </w:p>
          <w:p w14:paraId="4F5960D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（1）施工工地周边100%围挡</w:t>
            </w:r>
          </w:p>
          <w:p w14:paraId="4338BED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施工现场应设置稳固、整齐、美观并符合安全标准要求的连续封闭式围挡；围挡底部应设置30厘米防溢座，防止泥浆外漏；房屋建筑工程施工期在30天以上的，必须设置不低于2.5米的围墙，工期在30天以内的可设置彩钢围挡。</w:t>
            </w:r>
          </w:p>
          <w:p w14:paraId="1C3F64D9">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（2）物料堆放100%覆盖</w:t>
            </w:r>
          </w:p>
          <w:p w14:paraId="15D4D38D">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施工现场建筑材料、构配件、施工设备等应按施工现场平面布置图确定的位置放置，对渣土、水泥等易产生扬尘的建筑材料，应严密遮盖或存放库房内；专门设置集中堆放建筑垃圾、渣土的场地；不能按时完成清运的，应及时覆盖。</w:t>
            </w:r>
          </w:p>
          <w:p w14:paraId="7F8D9CCD">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（3）出入车辆100%冲洗</w:t>
            </w:r>
          </w:p>
          <w:p w14:paraId="3F5959E4">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施工现场的出入口均应设置车辆冲洗台，四周设置排水沟，上盖钢篦，设置两级沉淀池，排水沟与沉淀池相连，沉淀池大小应满足冲洗要求；配备高压冲洗设备或设置自动冲洗台；应配备保洁员负责车辆、进出道路的冲洗、清扫和保洁工作。</w:t>
            </w:r>
          </w:p>
          <w:p w14:paraId="08367FA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（4）施工现场地面100%硬化</w:t>
            </w:r>
          </w:p>
          <w:p w14:paraId="7EED4991">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施工现场出入口、操作场地、材料堆场、生活区、场内道路等应采取铺设钢板、水泥混凝土、沥青混凝土或焦渣、细石或其它功能相当的材料进行硬化，并辅以洒水、喷洒抑尘剂等其他有效的防尘措施，保证不扬尘、不泥泞；场地硬化的强度、厚度、宽度应满足安全通行卫生保洁的需要。</w:t>
            </w:r>
          </w:p>
          <w:p w14:paraId="5793EBA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（5）渣土车辆100%密闭运输</w:t>
            </w:r>
          </w:p>
          <w:p w14:paraId="563A5879">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进出工地车辆应采取密闭车斗，并保证物料不遗撒外漏。若无密闭车斗，物料、垃圾、渣土的装载与车厢持平，不得超高；车斗应用苫布盖严、捆实，车厢左右侧各三竖道，车后十字交叉并收紧，保证物料、垃圾、渣土等不露出、不遗撒。</w:t>
            </w:r>
          </w:p>
          <w:p w14:paraId="63AB971D">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在同样路面清洁情况下，车速越快，扬尘量越大；而在同样车速情况下，路面清洁度越差，则扬尘量越大。根据类比调查，一般情况下，施工场地、施工道路在自然风作用下产生的扬尘所影响的范围在100m以内。抑制扬尘的一个简洁有效的措施是洒水。根据施工场地洒水抑尘的试验结果，如果在施工期内对车辆行驶的路面实施洒水抑尘，每天洒水4~5次，可使扬尘减少70%左右，可有效地控制施工扬尘，并可将TSP污染距离缩小到20~50m范围。项目实施过程中对该区域的大气环境会产生一定影响，但项目周边区域100m内均无居民点，建设单位在采取洒水降尘等防治措施后，能够有效降低施工扬尘对周边环境的影响程度。</w:t>
            </w:r>
          </w:p>
          <w:p w14:paraId="4FCA4C3C">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另外，针对施工机械燃油废气，施工单位应做好机械的维护、保养工作，避免油料在柴油机内不完全燃烧而产生大量的黑烟；对运输车辆禁止超载、不得使用劣质燃料；对车辆的尾气排放进行监督管理，严格执行汽车排污监管办法、汽车排放监测制度。</w:t>
            </w:r>
          </w:p>
          <w:p w14:paraId="25933030">
            <w:pPr>
              <w:autoSpaceDE w:val="0"/>
              <w:autoSpaceDN w:val="0"/>
              <w:adjustRightInd w:val="0"/>
              <w:snapToGrid w:val="0"/>
              <w:spacing w:line="360" w:lineRule="auto"/>
              <w:ind w:firstLine="480" w:firstLineChars="200"/>
              <w:jc w:val="both"/>
              <w:rPr>
                <w:rFonts w:hint="eastAsia" w:ascii="宋体" w:hAnsi="宋体" w:cs="宋体"/>
                <w:kern w:val="0"/>
                <w:sz w:val="24"/>
                <w:szCs w:val="24"/>
                <w:lang w:eastAsia="zh-CN"/>
              </w:rPr>
            </w:pPr>
            <w:r>
              <w:rPr>
                <w:rFonts w:hint="eastAsia"/>
                <w:color w:val="000000"/>
                <w:kern w:val="0"/>
                <w:sz w:val="24"/>
                <w:lang w:val="en-US" w:eastAsia="zh-CN"/>
              </w:rPr>
              <w:t>综上，经采用上述施工废气污染防治措施后，项目施工期废气对区域的大气环境影响较小。另外，项目施工期是短暂的，其不利影响会随着施工期的结束而消失。</w:t>
            </w:r>
          </w:p>
          <w:p w14:paraId="5EE2CBD1">
            <w:pPr>
              <w:autoSpaceDE w:val="0"/>
              <w:autoSpaceDN w:val="0"/>
              <w:adjustRightInd w:val="0"/>
              <w:snapToGrid w:val="0"/>
              <w:spacing w:line="360" w:lineRule="auto"/>
              <w:jc w:val="left"/>
              <w:rPr>
                <w:rFonts w:hint="eastAsia" w:ascii="宋体" w:hAnsi="宋体" w:cs="宋体"/>
                <w:kern w:val="0"/>
                <w:sz w:val="24"/>
                <w:szCs w:val="24"/>
                <w:lang w:eastAsia="zh-CN"/>
              </w:rPr>
            </w:pPr>
            <w:r>
              <w:rPr>
                <w:rFonts w:hint="eastAsia"/>
                <w:b/>
                <w:bCs/>
                <w:sz w:val="24"/>
                <w:lang w:val="en-US" w:eastAsia="zh-CN"/>
              </w:rPr>
              <w:t>2、水环境影响分析及防治措施</w:t>
            </w:r>
          </w:p>
          <w:p w14:paraId="1B585662">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施工期废水主要为施工人员生活污水、车辆冲洗废水及施工废水。</w:t>
            </w:r>
          </w:p>
          <w:p w14:paraId="0F4F0B36">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（1）施工期生活污水处理</w:t>
            </w:r>
          </w:p>
          <w:p w14:paraId="4A6A815F">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本项目施工人员较少，产生的生活污水量较少，可依托现有卫生间等</w:t>
            </w:r>
            <w:r>
              <w:rPr>
                <w:rFonts w:hint="eastAsia" w:ascii="宋体" w:hAnsi="宋体" w:cs="宋体"/>
                <w:kern w:val="0"/>
                <w:sz w:val="24"/>
                <w:szCs w:val="24"/>
                <w:lang w:val="en-US" w:eastAsia="zh-CN"/>
              </w:rPr>
              <w:t>生活</w:t>
            </w:r>
            <w:r>
              <w:rPr>
                <w:rFonts w:hint="eastAsia" w:ascii="宋体" w:hAnsi="宋体" w:cs="宋体"/>
                <w:kern w:val="0"/>
                <w:sz w:val="24"/>
                <w:szCs w:val="24"/>
                <w:lang w:eastAsia="zh-CN"/>
              </w:rPr>
              <w:t>设施，生活污水排入现有生活污水处理</w:t>
            </w:r>
            <w:r>
              <w:rPr>
                <w:rFonts w:hint="eastAsia" w:ascii="宋体" w:hAnsi="宋体" w:cs="宋体"/>
                <w:kern w:val="0"/>
                <w:sz w:val="24"/>
                <w:szCs w:val="24"/>
                <w:lang w:val="en-US" w:eastAsia="zh-CN"/>
              </w:rPr>
              <w:t>设施</w:t>
            </w:r>
            <w:r>
              <w:rPr>
                <w:rFonts w:hint="eastAsia" w:ascii="宋体" w:hAnsi="宋体" w:cs="宋体"/>
                <w:kern w:val="0"/>
                <w:sz w:val="24"/>
                <w:szCs w:val="24"/>
                <w:lang w:eastAsia="zh-CN"/>
              </w:rPr>
              <w:t>进行处理。</w:t>
            </w:r>
          </w:p>
          <w:p w14:paraId="21BBBD6E">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（2）车辆冲洗废水及施工废水处理</w:t>
            </w:r>
          </w:p>
          <w:p w14:paraId="0F4CE812">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施工进出口设置冲洗水池，车辆冲洗废水经沉淀后回用于施工厂区，不外排。施工作业点施工期混凝土废水、混凝土保养时排放的废水等可能带有少量油污，施工场地应设置临时简易隔油沉淀池，收集并隔油沉淀施工过程产生的各种含泥废水，经隔油沉淀处理后上清液可作为施工场地防尘洒水，沉渣可作为绿化覆土。</w:t>
            </w:r>
          </w:p>
          <w:p w14:paraId="59F8C449">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废水</w:t>
            </w:r>
            <w:r>
              <w:rPr>
                <w:rFonts w:hint="eastAsia" w:ascii="宋体" w:hAnsi="宋体" w:cs="宋体"/>
                <w:kern w:val="0"/>
                <w:sz w:val="24"/>
                <w:szCs w:val="24"/>
                <w:lang w:val="en-US" w:eastAsia="zh-CN"/>
              </w:rPr>
              <w:t>经处理后回用或</w:t>
            </w:r>
            <w:r>
              <w:rPr>
                <w:rFonts w:hint="eastAsia" w:ascii="宋体" w:hAnsi="宋体" w:cs="宋体"/>
                <w:kern w:val="0"/>
                <w:sz w:val="24"/>
                <w:szCs w:val="24"/>
                <w:lang w:eastAsia="zh-CN"/>
              </w:rPr>
              <w:t>外排，对周围水体基本无影响。</w:t>
            </w:r>
          </w:p>
          <w:p w14:paraId="35214D4D">
            <w:pPr>
              <w:autoSpaceDE w:val="0"/>
              <w:autoSpaceDN w:val="0"/>
              <w:adjustRightInd w:val="0"/>
              <w:snapToGrid w:val="0"/>
              <w:spacing w:line="360" w:lineRule="auto"/>
              <w:jc w:val="left"/>
              <w:rPr>
                <w:rFonts w:hint="eastAsia" w:ascii="宋体" w:hAnsi="宋体" w:cs="宋体"/>
                <w:kern w:val="0"/>
                <w:sz w:val="24"/>
                <w:szCs w:val="24"/>
                <w:lang w:eastAsia="zh-CN"/>
              </w:rPr>
            </w:pPr>
            <w:r>
              <w:rPr>
                <w:rFonts w:hint="eastAsia"/>
                <w:b/>
                <w:bCs/>
                <w:sz w:val="24"/>
                <w:lang w:val="en-US" w:eastAsia="zh-CN"/>
              </w:rPr>
              <w:t>3、噪声环境影响分析及防治措施</w:t>
            </w:r>
          </w:p>
          <w:p w14:paraId="6B96DD1B">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噪声污染是建设期间最主要的污染因子，也是项目建设最敏感的污染因子，建设期间的噪声有各种施工机械噪声和运输车辆噪声。噪声的污染程度与所使用的施工设备的种类及施工队伍的管理等因素有关。项目建设期噪声主要来自不同施工阶段所使用的各种施工机械设备运行过程、施工作业过程及运输车辆等产生的非连续性噪声，该阶段噪声具有阶段性、临时性和不固定性的特点。</w:t>
            </w:r>
          </w:p>
          <w:p w14:paraId="319764C1">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（1）机械设备噪声</w:t>
            </w:r>
          </w:p>
          <w:p w14:paraId="1892E645">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各类施工机械多为高噪声设备，不同的施工阶段采用不同的施工设备。</w:t>
            </w:r>
          </w:p>
          <w:p w14:paraId="531F4E26">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①土方阶段的主要声源是由翻斗车、挖掘机、装载机及运输车辆等构成，声源无明显的指向性。</w:t>
            </w:r>
          </w:p>
          <w:p w14:paraId="54C7D91F">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②基础阶段，主要声源为静压桩机、起重机、吊车，其中静压桩机噪声为周期性脉冲声，具有一定的指向特性。其余设备无明显指向性。</w:t>
            </w:r>
          </w:p>
          <w:p w14:paraId="57B3EBF3">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③结构阶段的主要声源是振捣棒和混凝土搅拌机，这两种声源工作时间较长，影响面较广，应为主要声源加以控制；同时，混凝土搅拌车及泵车也是重要的声源。</w:t>
            </w:r>
          </w:p>
          <w:p w14:paraId="49F2ECEB">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④在装修阶段，大多数声源的声功率级不高，即使有些声源声功率级高的，其使用时间很短，且基本在室内使用，基本不会使工地场界噪声超标。</w:t>
            </w:r>
          </w:p>
          <w:p w14:paraId="182707E9">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（2）施工噪声</w:t>
            </w:r>
          </w:p>
          <w:p w14:paraId="630294EE">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施工作业噪声主要指施工时的敲打声、装卸车辆的撞击声、拆装模板的撞击声和吆喝声，多为瞬间噪声，瞬时声压级可高达100dB以上。</w:t>
            </w:r>
          </w:p>
          <w:p w14:paraId="2E982CEF">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（3）施工交通噪声</w:t>
            </w:r>
          </w:p>
          <w:p w14:paraId="29D089F0">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建设期多采用大型车辆，其噪声级较高，正常行驶时噪声可达80dB，鸣笛时可达85dB。</w:t>
            </w:r>
          </w:p>
          <w:p w14:paraId="77A0424D">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要求加强施工厂区管理，减轻人为噪声影响。同时避免在夜间及中午午休时间使用高噪声设备。加强设备定期检查、维护和管理，避免非正常运行噪声产生。</w:t>
            </w:r>
          </w:p>
          <w:p w14:paraId="79F40E51">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施工期噪声随施工期结束，随之消除，无持续影响，对周围环境影响不大。</w:t>
            </w:r>
          </w:p>
          <w:p w14:paraId="61D1F31A">
            <w:pPr>
              <w:autoSpaceDE w:val="0"/>
              <w:autoSpaceDN w:val="0"/>
              <w:adjustRightInd w:val="0"/>
              <w:snapToGrid w:val="0"/>
              <w:spacing w:line="360" w:lineRule="auto"/>
              <w:jc w:val="left"/>
              <w:rPr>
                <w:rFonts w:hint="eastAsia" w:ascii="宋体" w:hAnsi="宋体" w:cs="宋体"/>
                <w:kern w:val="0"/>
                <w:sz w:val="24"/>
                <w:szCs w:val="24"/>
                <w:lang w:eastAsia="zh-CN"/>
              </w:rPr>
            </w:pPr>
            <w:r>
              <w:rPr>
                <w:rFonts w:hint="eastAsia"/>
                <w:b/>
                <w:bCs/>
                <w:sz w:val="24"/>
                <w:lang w:val="en-US" w:eastAsia="zh-CN"/>
              </w:rPr>
              <w:t>4、固体废物环境影响分析及防治措施</w:t>
            </w:r>
          </w:p>
          <w:p w14:paraId="1F7FFADB">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施工期固废主要为生活垃圾及建筑垃圾。建设单位及工程承包单位应与当地环卫部门联系，及时清理施工现场的生活废弃物，并且工程承包单位应对施工人员加强教育，不随意乱丢废弃物，保证工人工作、生活环境的卫生质量。</w:t>
            </w:r>
          </w:p>
          <w:p w14:paraId="56D81D34">
            <w:pPr>
              <w:autoSpaceDE w:val="0"/>
              <w:autoSpaceDN w:val="0"/>
              <w:adjustRightInd w:val="0"/>
              <w:snapToGrid w:val="0"/>
              <w:spacing w:line="360" w:lineRule="auto"/>
              <w:ind w:firstLine="480" w:firstLineChars="200"/>
              <w:jc w:val="left"/>
              <w:rPr>
                <w:rFonts w:hint="eastAsia" w:ascii="宋体" w:hAnsi="宋体" w:cs="宋体"/>
                <w:kern w:val="0"/>
                <w:sz w:val="24"/>
                <w:szCs w:val="24"/>
                <w:lang w:eastAsia="zh-CN"/>
              </w:rPr>
            </w:pPr>
            <w:r>
              <w:rPr>
                <w:rFonts w:hint="eastAsia" w:ascii="宋体" w:hAnsi="宋体" w:cs="宋体"/>
                <w:kern w:val="0"/>
                <w:sz w:val="24"/>
                <w:szCs w:val="24"/>
                <w:lang w:eastAsia="zh-CN"/>
              </w:rPr>
              <w:t>工程建设单位</w:t>
            </w:r>
            <w:r>
              <w:rPr>
                <w:rFonts w:hint="eastAsia" w:ascii="宋体" w:hAnsi="宋体" w:cs="宋体"/>
                <w:kern w:val="0"/>
                <w:sz w:val="24"/>
                <w:szCs w:val="24"/>
                <w:lang w:val="en-US" w:eastAsia="zh-CN"/>
              </w:rPr>
              <w:t>需</w:t>
            </w:r>
            <w:r>
              <w:rPr>
                <w:rFonts w:hint="eastAsia" w:ascii="宋体" w:hAnsi="宋体" w:cs="宋体"/>
                <w:kern w:val="0"/>
                <w:sz w:val="24"/>
                <w:szCs w:val="24"/>
                <w:lang w:eastAsia="zh-CN"/>
              </w:rPr>
              <w:t>会同有关部门，为本工程的建筑垃圾制定处置计划，与公路有关部门联系，避免在行车高峰时运输建筑垃圾。建设单位应与运输部门共同做好驾驶员的职业道德教育，按规定路线运输，按规定地点处置建筑垃圾，并不定期地检查执行情况。</w:t>
            </w:r>
          </w:p>
          <w:p w14:paraId="0185FFD4">
            <w:pPr>
              <w:autoSpaceDE w:val="0"/>
              <w:autoSpaceDN w:val="0"/>
              <w:adjustRightInd w:val="0"/>
              <w:snapToGrid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lang w:eastAsia="zh-CN"/>
              </w:rPr>
              <w:t>在采取上述措施后，施工期固废均可无害化处理，对周围环境基本无影响。</w:t>
            </w:r>
          </w:p>
        </w:tc>
      </w:tr>
      <w:tr w14:paraId="73490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64" w:type="dxa"/>
            <w:noWrap w:val="0"/>
            <w:tcMar>
              <w:left w:w="28" w:type="dxa"/>
              <w:right w:w="28" w:type="dxa"/>
            </w:tcMar>
            <w:vAlign w:val="center"/>
          </w:tcPr>
          <w:p w14:paraId="4FB79CA0">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运营</w:t>
            </w:r>
          </w:p>
          <w:p w14:paraId="3A06273F">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期环</w:t>
            </w:r>
          </w:p>
          <w:p w14:paraId="49880781">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境影</w:t>
            </w:r>
          </w:p>
          <w:p w14:paraId="6DB5064B">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响和</w:t>
            </w:r>
          </w:p>
          <w:p w14:paraId="0BAFAAD9">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保护</w:t>
            </w:r>
          </w:p>
          <w:p w14:paraId="07A0F4B3">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措施</w:t>
            </w:r>
          </w:p>
        </w:tc>
        <w:tc>
          <w:tcPr>
            <w:tcW w:w="8444" w:type="dxa"/>
            <w:noWrap w:val="0"/>
            <w:vAlign w:val="center"/>
          </w:tcPr>
          <w:p w14:paraId="57EFD2DC">
            <w:pPr>
              <w:spacing w:line="360" w:lineRule="auto"/>
              <w:jc w:val="left"/>
              <w:rPr>
                <w:rFonts w:hint="eastAsia"/>
                <w:b/>
                <w:bCs/>
                <w:sz w:val="24"/>
                <w:lang w:val="en-US" w:eastAsia="zh-CN"/>
              </w:rPr>
            </w:pPr>
            <w:r>
              <w:rPr>
                <w:rFonts w:hint="eastAsia"/>
                <w:b/>
                <w:bCs/>
                <w:sz w:val="24"/>
                <w:lang w:val="en-US" w:eastAsia="zh-CN"/>
              </w:rPr>
              <w:t>1、废气</w:t>
            </w:r>
          </w:p>
          <w:p w14:paraId="5EC370C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次技改主要增加等离子切割机、抛丸机等，鉴于建设单位原环评编制日期较久，生产运营至今相关法律、法规、规范、标准等文件已经历较大改动，原环评报告内容无生产工艺、源强核算等内容，故本次评价依据现行有效的政策文件，根据建设单位技改扩建后全厂原辅材料使用情况、生产工序、产品产能等数据进行废气源强核算、治理措施及可行性分析，以确保本项目正常运营后各污染物可以达标排放。</w:t>
            </w:r>
          </w:p>
          <w:p w14:paraId="2B75F194">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（1）废气源强核算</w:t>
            </w:r>
          </w:p>
          <w:p w14:paraId="35CFE232">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①下料切割烟尘</w:t>
            </w:r>
          </w:p>
          <w:p w14:paraId="48A89146">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技改后项目使用等离子切割机对钢材原料进行下料切割处理，下料切割过程会产生切割废气。参照《排放源统计调查产排污核算方法和系数手册》（生态环境部2021年6月11日印发）中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表—04下料中的等离子切割工艺，颗粒物产污系数为1.1kg/t-原料。根据企业提供的资料，技改后钢材用量为4330t/a，则切割工序废气颗粒物的产生量为4.76t/a。切割烟尘通过集气罩收集后经袋式除尘设施处理。</w:t>
            </w:r>
          </w:p>
          <w:p w14:paraId="5FCDAEE1">
            <w:pPr>
              <w:autoSpaceDE w:val="0"/>
              <w:autoSpaceDN w:val="0"/>
              <w:adjustRightInd w:val="0"/>
              <w:snapToGrid w:val="0"/>
              <w:spacing w:line="360" w:lineRule="auto"/>
              <w:ind w:firstLine="480" w:firstLineChars="200"/>
              <w:jc w:val="left"/>
              <w:rPr>
                <w:rFonts w:hint="eastAsia"/>
                <w:color w:val="000000"/>
                <w:kern w:val="0"/>
                <w:sz w:val="24"/>
                <w:szCs w:val="24"/>
                <w:lang w:val="en-US" w:eastAsia="zh-CN"/>
              </w:rPr>
            </w:pPr>
            <w:r>
              <w:rPr>
                <w:rFonts w:hint="eastAsia"/>
                <w:color w:val="000000"/>
                <w:kern w:val="0"/>
                <w:sz w:val="24"/>
                <w:szCs w:val="24"/>
                <w:lang w:val="en-US" w:eastAsia="zh-CN"/>
              </w:rPr>
              <w:t>根据《通风工程（第2版）》（王汉青主编）排风罩排风量计算方法</w:t>
            </w:r>
          </w:p>
          <w:p w14:paraId="0C2E944E">
            <w:pPr>
              <w:autoSpaceDE w:val="0"/>
              <w:autoSpaceDN w:val="0"/>
              <w:adjustRightInd w:val="0"/>
              <w:snapToGrid w:val="0"/>
              <w:spacing w:line="360" w:lineRule="auto"/>
              <w:jc w:val="center"/>
              <w:rPr>
                <w:rFonts w:hint="default"/>
                <w:color w:val="000000"/>
                <w:kern w:val="0"/>
                <w:sz w:val="24"/>
                <w:szCs w:val="24"/>
                <w:lang w:val="en-US" w:eastAsia="zh-CN"/>
              </w:rPr>
            </w:pPr>
            <m:oMathPara>
              <m:oMath>
                <m:sSub>
                  <m:sSubPr>
                    <m:ctrlPr>
                      <w:rPr>
                        <w:rFonts w:hint="eastAsia" w:ascii="Cambria Math" w:hAnsi="Cambria Math" w:cs="Times New Roman"/>
                        <w:i w:val="0"/>
                        <w:color w:val="000000"/>
                        <w:kern w:val="0"/>
                        <w:sz w:val="24"/>
                        <w:szCs w:val="24"/>
                        <w:lang w:val="en-US" w:eastAsia="zh-CN" w:bidi="ar-SA"/>
                      </w:rPr>
                    </m:ctrlPr>
                  </m:sSubPr>
                  <m:e>
                    <m:r>
                      <m:rPr>
                        <m:sty m:val="p"/>
                      </m:rPr>
                      <w:rPr>
                        <w:rFonts w:hint="eastAsia" w:ascii="Cambria Math" w:hAnsi="Cambria Math" w:cs="Times New Roman"/>
                        <w:color w:val="000000"/>
                        <w:kern w:val="0"/>
                        <w:sz w:val="24"/>
                        <w:szCs w:val="24"/>
                        <w:lang w:val="en-US" w:eastAsia="zh-CN" w:bidi="ar-SA"/>
                      </w:rPr>
                      <m:t>q</m:t>
                    </m:r>
                    <m:ctrlPr>
                      <w:rPr>
                        <w:rFonts w:hint="eastAsia" w:ascii="Cambria Math" w:hAnsi="Cambria Math" w:cs="Times New Roman"/>
                        <w:i w:val="0"/>
                        <w:color w:val="000000"/>
                        <w:kern w:val="0"/>
                        <w:sz w:val="24"/>
                        <w:szCs w:val="24"/>
                        <w:lang w:val="en-US" w:eastAsia="zh-CN" w:bidi="ar-SA"/>
                      </w:rPr>
                    </m:ctrlPr>
                  </m:e>
                  <m:sub>
                    <m:r>
                      <m:rPr>
                        <m:sty m:val="p"/>
                      </m:rPr>
                      <w:rPr>
                        <w:rFonts w:hint="eastAsia" w:ascii="Cambria Math" w:hAnsi="Cambria Math" w:cs="Times New Roman"/>
                        <w:color w:val="000000"/>
                        <w:kern w:val="0"/>
                        <w:sz w:val="24"/>
                        <w:szCs w:val="24"/>
                        <w:lang w:val="en-US" w:eastAsia="zh-CN" w:bidi="ar-SA"/>
                      </w:rPr>
                      <m:t>v</m:t>
                    </m:r>
                    <m:ctrlPr>
                      <w:rPr>
                        <w:rFonts w:hint="eastAsia" w:ascii="Cambria Math" w:hAnsi="Cambria Math" w:cs="Times New Roman"/>
                        <w:i w:val="0"/>
                        <w:color w:val="000000"/>
                        <w:kern w:val="0"/>
                        <w:sz w:val="24"/>
                        <w:szCs w:val="24"/>
                        <w:lang w:val="en-US" w:eastAsia="zh-CN" w:bidi="ar-SA"/>
                      </w:rPr>
                    </m:ctrlPr>
                  </m:sub>
                </m:sSub>
                <m:r>
                  <m:rPr>
                    <m:sty m:val="p"/>
                  </m:rPr>
                  <w:rPr>
                    <w:rFonts w:hint="default" w:ascii="Cambria Math" w:hAnsi="Cambria Math" w:cs="Times New Roman"/>
                    <w:color w:val="000000"/>
                    <w:kern w:val="0"/>
                    <w:sz w:val="24"/>
                    <w:szCs w:val="24"/>
                    <w:lang w:val="en-US" w:eastAsia="zh-CN" w:bidi="ar-SA"/>
                  </w:rPr>
                  <m:t>=</m:t>
                </m:r>
                <m:sSub>
                  <m:sSubPr>
                    <m:ctrlPr>
                      <w:rPr>
                        <w:rFonts w:hint="default" w:ascii="Cambria Math" w:hAnsi="Cambria Math" w:cs="Times New Roman"/>
                        <w:color w:val="000000"/>
                        <w:kern w:val="0"/>
                        <w:sz w:val="24"/>
                        <w:szCs w:val="24"/>
                        <w:lang w:val="en-US" w:eastAsia="zh-CN" w:bidi="ar-SA"/>
                      </w:rPr>
                    </m:ctrlPr>
                  </m:sSubPr>
                  <m:e>
                    <m:r>
                      <m:rPr>
                        <m:sty m:val="p"/>
                      </m:rPr>
                      <w:rPr>
                        <w:rFonts w:hint="eastAsia" w:ascii="Cambria Math" w:hAnsi="Cambria Math" w:cs="Times New Roman"/>
                        <w:color w:val="000000"/>
                        <w:kern w:val="0"/>
                        <w:sz w:val="24"/>
                        <w:szCs w:val="24"/>
                        <w:lang w:val="en-US" w:eastAsia="zh-CN" w:bidi="ar-SA"/>
                      </w:rPr>
                      <m:t>v</m:t>
                    </m:r>
                    <m:ctrlPr>
                      <w:rPr>
                        <w:rFonts w:hint="default" w:ascii="Cambria Math" w:hAnsi="Cambria Math" w:cs="Times New Roman"/>
                        <w:color w:val="000000"/>
                        <w:kern w:val="0"/>
                        <w:sz w:val="24"/>
                        <w:szCs w:val="24"/>
                        <w:lang w:val="en-US" w:eastAsia="zh-CN" w:bidi="ar-SA"/>
                      </w:rPr>
                    </m:ctrlPr>
                  </m:e>
                  <m:sub>
                    <m:r>
                      <m:rPr>
                        <m:sty m:val="p"/>
                      </m:rPr>
                      <w:rPr>
                        <w:rFonts w:hint="default" w:ascii="Cambria Math" w:hAnsi="Cambria Math" w:cs="Times New Roman"/>
                        <w:color w:val="000000"/>
                        <w:kern w:val="0"/>
                        <w:sz w:val="24"/>
                        <w:szCs w:val="24"/>
                        <w:lang w:val="en-US" w:eastAsia="zh-CN" w:bidi="ar-SA"/>
                      </w:rPr>
                      <m:t>0</m:t>
                    </m:r>
                    <m:ctrlPr>
                      <w:rPr>
                        <w:rFonts w:hint="default" w:ascii="Cambria Math" w:hAnsi="Cambria Math" w:cs="Times New Roman"/>
                        <w:color w:val="000000"/>
                        <w:kern w:val="0"/>
                        <w:sz w:val="24"/>
                        <w:szCs w:val="24"/>
                        <w:lang w:val="en-US" w:eastAsia="zh-CN" w:bidi="ar-SA"/>
                      </w:rPr>
                    </m:ctrlPr>
                  </m:sub>
                </m:sSub>
                <m:r>
                  <m:rPr>
                    <m:sty m:val="p"/>
                  </m:rPr>
                  <w:rPr>
                    <w:rFonts w:hint="default" w:ascii="Cambria Math" w:hAnsi="Cambria Math" w:cs="Times New Roman"/>
                    <w:color w:val="000000"/>
                    <w:kern w:val="0"/>
                    <w:sz w:val="24"/>
                    <w:szCs w:val="24"/>
                    <w:lang w:val="en-US" w:eastAsia="zh-CN" w:bidi="ar-SA"/>
                  </w:rPr>
                  <m:t>F</m:t>
                </m:r>
              </m:oMath>
            </m:oMathPara>
          </w:p>
          <w:p w14:paraId="7C1EA4B0">
            <w:pPr>
              <w:autoSpaceDE w:val="0"/>
              <w:autoSpaceDN w:val="0"/>
              <w:adjustRightInd w:val="0"/>
              <w:snapToGrid w:val="0"/>
              <w:spacing w:line="360" w:lineRule="auto"/>
              <w:ind w:firstLine="480" w:firstLineChars="200"/>
              <w:jc w:val="left"/>
              <w:rPr>
                <w:rFonts w:hint="default"/>
                <w:color w:val="000000"/>
                <w:kern w:val="0"/>
                <w:sz w:val="24"/>
                <w:szCs w:val="24"/>
                <w:vertAlign w:val="subscript"/>
                <w:lang w:val="en-US" w:eastAsia="zh-CN"/>
              </w:rPr>
            </w:pPr>
            <w:r>
              <w:rPr>
                <w:rFonts w:hint="eastAsia"/>
                <w:color w:val="000000"/>
                <w:kern w:val="0"/>
                <w:sz w:val="24"/>
                <w:szCs w:val="24"/>
                <w:lang w:val="en-US" w:eastAsia="zh-CN"/>
              </w:rPr>
              <w:t>式中：q</w:t>
            </w:r>
            <w:r>
              <w:rPr>
                <w:rFonts w:hint="eastAsia"/>
                <w:color w:val="000000"/>
                <w:kern w:val="0"/>
                <w:sz w:val="24"/>
                <w:szCs w:val="24"/>
                <w:vertAlign w:val="subscript"/>
                <w:lang w:val="en-US" w:eastAsia="zh-CN"/>
              </w:rPr>
              <w:t>v</w:t>
            </w:r>
            <w:r>
              <w:rPr>
                <w:rFonts w:hint="eastAsia"/>
                <w:color w:val="000000"/>
                <w:kern w:val="0"/>
                <w:sz w:val="24"/>
                <w:szCs w:val="24"/>
                <w:lang w:val="en-US" w:eastAsia="zh-CN"/>
              </w:rPr>
              <w:t>：吸气口的排风量（m</w:t>
            </w:r>
            <w:r>
              <w:rPr>
                <w:rFonts w:hint="eastAsia"/>
                <w:color w:val="000000"/>
                <w:kern w:val="0"/>
                <w:sz w:val="24"/>
                <w:szCs w:val="24"/>
                <w:vertAlign w:val="superscript"/>
                <w:lang w:val="en-US" w:eastAsia="zh-CN"/>
              </w:rPr>
              <w:t>3</w:t>
            </w:r>
            <w:r>
              <w:rPr>
                <w:rFonts w:hint="eastAsia"/>
                <w:color w:val="000000"/>
                <w:kern w:val="0"/>
                <w:sz w:val="24"/>
                <w:szCs w:val="24"/>
                <w:lang w:val="en-US" w:eastAsia="zh-CN"/>
              </w:rPr>
              <w:t>/s）；</w:t>
            </w:r>
          </w:p>
          <w:p w14:paraId="4A90A6A8">
            <w:pPr>
              <w:autoSpaceDE w:val="0"/>
              <w:autoSpaceDN w:val="0"/>
              <w:adjustRightInd w:val="0"/>
              <w:snapToGrid w:val="0"/>
              <w:spacing w:line="360" w:lineRule="auto"/>
              <w:ind w:firstLine="1200" w:firstLineChars="500"/>
              <w:jc w:val="left"/>
              <w:rPr>
                <w:rFonts w:hint="default"/>
                <w:color w:val="000000"/>
                <w:kern w:val="0"/>
                <w:sz w:val="24"/>
                <w:szCs w:val="24"/>
                <w:lang w:val="en-US" w:eastAsia="zh-CN"/>
              </w:rPr>
            </w:pPr>
            <w:r>
              <w:rPr>
                <w:rFonts w:hint="eastAsia"/>
                <w:color w:val="000000"/>
                <w:kern w:val="0"/>
                <w:sz w:val="24"/>
                <w:szCs w:val="24"/>
                <w:lang w:val="en-US" w:eastAsia="zh-CN"/>
              </w:rPr>
              <w:t>v</w:t>
            </w:r>
            <w:r>
              <w:rPr>
                <w:rFonts w:hint="eastAsia"/>
                <w:color w:val="000000"/>
                <w:kern w:val="0"/>
                <w:sz w:val="24"/>
                <w:szCs w:val="24"/>
                <w:vertAlign w:val="subscript"/>
                <w:lang w:val="en-US" w:eastAsia="zh-CN"/>
              </w:rPr>
              <w:t>0</w:t>
            </w:r>
            <w:r>
              <w:rPr>
                <w:rFonts w:hint="eastAsia"/>
                <w:color w:val="000000"/>
                <w:kern w:val="0"/>
                <w:sz w:val="24"/>
                <w:szCs w:val="24"/>
                <w:lang w:val="en-US" w:eastAsia="zh-CN"/>
              </w:rPr>
              <w:t>：控制风速（m/s）；</w:t>
            </w:r>
          </w:p>
          <w:p w14:paraId="79A98C36">
            <w:pPr>
              <w:autoSpaceDE w:val="0"/>
              <w:autoSpaceDN w:val="0"/>
              <w:adjustRightInd w:val="0"/>
              <w:snapToGrid w:val="0"/>
              <w:spacing w:line="360" w:lineRule="auto"/>
              <w:ind w:firstLine="1200" w:firstLineChars="500"/>
              <w:jc w:val="both"/>
              <w:rPr>
                <w:rFonts w:hint="eastAsia"/>
                <w:color w:val="000000"/>
                <w:kern w:val="0"/>
                <w:sz w:val="24"/>
                <w:lang w:val="en-US" w:eastAsia="zh-CN"/>
              </w:rPr>
            </w:pPr>
            <w:r>
              <w:rPr>
                <w:rFonts w:hint="eastAsia"/>
                <w:color w:val="000000"/>
                <w:kern w:val="0"/>
                <w:sz w:val="24"/>
                <w:szCs w:val="24"/>
                <w:lang w:val="en-US" w:eastAsia="zh-CN"/>
              </w:rPr>
              <w:t>F：吸气口的面积（m</w:t>
            </w:r>
            <w:r>
              <w:rPr>
                <w:rFonts w:hint="eastAsia"/>
                <w:color w:val="000000"/>
                <w:kern w:val="0"/>
                <w:sz w:val="24"/>
                <w:szCs w:val="24"/>
                <w:vertAlign w:val="superscript"/>
                <w:lang w:val="en-US" w:eastAsia="zh-CN"/>
              </w:rPr>
              <w:t>2</w:t>
            </w:r>
            <w:r>
              <w:rPr>
                <w:rFonts w:hint="eastAsia"/>
                <w:color w:val="000000"/>
                <w:kern w:val="0"/>
                <w:sz w:val="24"/>
                <w:szCs w:val="24"/>
                <w:lang w:val="en-US" w:eastAsia="zh-CN"/>
              </w:rPr>
              <w:t>）。</w:t>
            </w:r>
          </w:p>
          <w:p w14:paraId="30DF7DD8">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集气罩面积约1m</w:t>
            </w:r>
            <w:r>
              <w:rPr>
                <w:rFonts w:hint="eastAsia"/>
                <w:color w:val="000000"/>
                <w:kern w:val="0"/>
                <w:sz w:val="24"/>
                <w:vertAlign w:val="superscript"/>
                <w:lang w:val="en-US" w:eastAsia="zh-CN"/>
              </w:rPr>
              <w:t>2</w:t>
            </w:r>
            <w:r>
              <w:rPr>
                <w:rFonts w:hint="eastAsia"/>
                <w:color w:val="000000"/>
                <w:kern w:val="0"/>
                <w:sz w:val="24"/>
                <w:lang w:val="en-US" w:eastAsia="zh-CN"/>
              </w:rPr>
              <w:t>，控制风速取0.6m/s，则切割烟尘产生浓度为918.79mg/m</w:t>
            </w:r>
            <w:r>
              <w:rPr>
                <w:rFonts w:hint="eastAsia"/>
                <w:color w:val="000000"/>
                <w:kern w:val="0"/>
                <w:sz w:val="24"/>
                <w:vertAlign w:val="superscript"/>
                <w:lang w:val="en-US" w:eastAsia="zh-CN"/>
              </w:rPr>
              <w:t>3</w:t>
            </w:r>
            <w:r>
              <w:rPr>
                <w:rFonts w:hint="eastAsia"/>
                <w:color w:val="000000"/>
                <w:kern w:val="0"/>
                <w:sz w:val="24"/>
                <w:lang w:val="en-US" w:eastAsia="zh-CN"/>
              </w:rPr>
              <w:t>，产生速率为1.98kg/h。切割废气通过管道负压收集+袋式除尘设施处理后通过15m高排气筒（DA003）排放，废气收集效率取90%，袋式除尘设施除尘效率取95%，由上计算可知切割废气颗粒物无组织排放量为0.48t/a，排放速率为0.2kg/h，有组织排放量为0.21t/a，排放浓度为41.35mg/m</w:t>
            </w:r>
            <w:r>
              <w:rPr>
                <w:rFonts w:hint="eastAsia"/>
                <w:color w:val="000000"/>
                <w:kern w:val="0"/>
                <w:sz w:val="24"/>
                <w:vertAlign w:val="superscript"/>
                <w:lang w:val="en-US" w:eastAsia="zh-CN"/>
              </w:rPr>
              <w:t>3</w:t>
            </w:r>
            <w:r>
              <w:rPr>
                <w:rFonts w:hint="eastAsia"/>
                <w:color w:val="000000"/>
                <w:kern w:val="0"/>
                <w:sz w:val="24"/>
                <w:lang w:val="en-US" w:eastAsia="zh-CN"/>
              </w:rPr>
              <w:t>，排放速率为0.09kg/h。</w:t>
            </w:r>
          </w:p>
          <w:p w14:paraId="28908AD2">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②焊接烟尘</w:t>
            </w:r>
          </w:p>
          <w:p w14:paraId="0EFC28F1">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切割后的钢材及其它原料钢材之间的连接采用焊接处理，焊接工艺为手工电弧焊、二氧化碳保护焊和氩弧焊等，焊接过程会产生焊接烟尘。参照《排放源统计调查产排污核算方法和系数手册》（生态环境部2021年6月11日印发）中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表—09焊接中的焊条手工电弧焊、实心焊丝二氧化碳保护焊，颗粒物产污系数分别为20.2kg/t-原料和9.19kg/t-原料。本次技改项目完成后全厂焊条用量为1t/a，焊丝用量为15t/a，由此可知焊接工序颗粒物产生总量为0.16t/a。焊接烟尘采用移动烟尘净化器（收集效率90%，处理效率90%）处理后无组织排放，则焊接烟尘无组织排放量为0.03t/a，排放速率为0.01kg/h。</w:t>
            </w:r>
          </w:p>
          <w:p w14:paraId="75999CFA">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③抛丸粉尘</w:t>
            </w:r>
          </w:p>
          <w:p w14:paraId="796A3CE5">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本次技改后对拼装焊接后的各部件表面进行抛丸打磨处理，抛丸打磨过程中会产生抛丸废气。参照《排放源统计调查产排污核算方法和系数手册》（生态环境部2021年6月11日印发）中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表—06预处理中的抛丸、喷砂、打磨、滚筒工艺，颗粒物产污系数为2.19kg/t-原料。本次技改项目完成后全厂钢材用量为4330t/a，由此计算可知抛丸工序颗粒物产生量为9.48t/a。抛丸工序在抛丸机内进行，根据抛丸机使用说明书可知抛丸机风量为18000m</w:t>
            </w:r>
            <w:r>
              <w:rPr>
                <w:rFonts w:hint="eastAsia"/>
                <w:color w:val="000000"/>
                <w:kern w:val="0"/>
                <w:sz w:val="24"/>
                <w:vertAlign w:val="superscript"/>
                <w:lang w:val="en-US" w:eastAsia="zh-CN"/>
              </w:rPr>
              <w:t>3</w:t>
            </w:r>
            <w:r>
              <w:rPr>
                <w:rFonts w:hint="eastAsia"/>
                <w:color w:val="000000"/>
                <w:kern w:val="0"/>
                <w:sz w:val="24"/>
                <w:lang w:val="en-US" w:eastAsia="zh-CN"/>
              </w:rPr>
              <w:t>/h，计算可知抛丸粉尘产生浓度为219.51mg/m</w:t>
            </w:r>
            <w:r>
              <w:rPr>
                <w:rFonts w:hint="eastAsia"/>
                <w:color w:val="000000"/>
                <w:kern w:val="0"/>
                <w:sz w:val="24"/>
                <w:vertAlign w:val="superscript"/>
                <w:lang w:val="en-US" w:eastAsia="zh-CN"/>
              </w:rPr>
              <w:t>3</w:t>
            </w:r>
            <w:r>
              <w:rPr>
                <w:rFonts w:hint="eastAsia"/>
                <w:color w:val="000000"/>
                <w:kern w:val="0"/>
                <w:sz w:val="24"/>
                <w:lang w:val="en-US" w:eastAsia="zh-CN"/>
              </w:rPr>
              <w:t>，产生速率为3.95kg/h。抛丸废气通过管道负压收集+旋风滤筒组合式除尘器处理后通过15m高排气筒（DA002）排放，废气收集效率取95%，组合式除尘器除尘效率取95%，由上计算可知抛丸废气颗粒物无组织排放量为0.47t/a，排放速率为0.2kg/h，有组织排放量为0.45t/a，排放浓度为10.43mg/m</w:t>
            </w:r>
            <w:r>
              <w:rPr>
                <w:rFonts w:hint="eastAsia"/>
                <w:color w:val="000000"/>
                <w:kern w:val="0"/>
                <w:sz w:val="24"/>
                <w:vertAlign w:val="superscript"/>
                <w:lang w:val="en-US" w:eastAsia="zh-CN"/>
              </w:rPr>
              <w:t>3</w:t>
            </w:r>
            <w:r>
              <w:rPr>
                <w:rFonts w:hint="eastAsia"/>
                <w:color w:val="000000"/>
                <w:kern w:val="0"/>
                <w:sz w:val="24"/>
                <w:lang w:val="en-US" w:eastAsia="zh-CN"/>
              </w:rPr>
              <w:t>，排放速率为0.19kg/h。</w:t>
            </w:r>
          </w:p>
          <w:p w14:paraId="1EE12A3B">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④刷漆晾干废气</w:t>
            </w:r>
          </w:p>
          <w:p w14:paraId="7FCB49BF">
            <w:pPr>
              <w:autoSpaceDE w:val="0"/>
              <w:autoSpaceDN w:val="0"/>
              <w:adjustRightInd w:val="0"/>
              <w:snapToGrid w:val="0"/>
              <w:spacing w:line="360" w:lineRule="auto"/>
              <w:ind w:firstLine="480" w:firstLineChars="200"/>
              <w:jc w:val="left"/>
              <w:rPr>
                <w:rFonts w:hint="eastAsia"/>
                <w:color w:val="000000"/>
                <w:kern w:val="0"/>
                <w:sz w:val="24"/>
                <w:szCs w:val="24"/>
                <w:lang w:val="en-US" w:eastAsia="zh-CN"/>
              </w:rPr>
            </w:pPr>
            <w:r>
              <w:rPr>
                <w:rFonts w:hint="eastAsia"/>
                <w:color w:val="000000"/>
                <w:kern w:val="0"/>
                <w:sz w:val="24"/>
                <w:lang w:val="en-US" w:eastAsia="zh-CN"/>
              </w:rPr>
              <w:t>本次技改后对抛丸后</w:t>
            </w:r>
            <w:r>
              <w:rPr>
                <w:rFonts w:hint="eastAsia"/>
                <w:color w:val="000000"/>
                <w:kern w:val="0"/>
                <w:sz w:val="24"/>
                <w:szCs w:val="24"/>
                <w:lang w:val="en-US" w:eastAsia="zh-CN"/>
              </w:rPr>
              <w:t>的零部件需要进行部分刷漆，根据建设单位提供的资料，双组份环氧富锌底漆（A组分）用量为4t/a，双组份环氧富锌底漆（B组分）用量为0.4t/a，MC-3黑色快干醇酸面漆用量为2.5t/a，面漆稀释剂用量为0.5t/a。</w:t>
            </w:r>
            <w:r>
              <w:rPr>
                <w:rFonts w:hint="eastAsia"/>
                <w:color w:val="000000"/>
                <w:kern w:val="0"/>
                <w:sz w:val="24"/>
                <w:lang w:val="en-US" w:eastAsia="zh-CN"/>
              </w:rPr>
              <w:t>本次评价按照最不利原则，底漆和面漆中挥发份和二甲苯含量全部按照最高取值</w:t>
            </w:r>
            <w:r>
              <w:rPr>
                <w:rFonts w:hint="eastAsia"/>
                <w:color w:val="000000"/>
                <w:kern w:val="0"/>
                <w:sz w:val="24"/>
                <w:szCs w:val="24"/>
                <w:lang w:val="en-US" w:eastAsia="zh-CN"/>
              </w:rPr>
              <w:t>，</w:t>
            </w:r>
            <w:r>
              <w:rPr>
                <w:rFonts w:hint="eastAsia"/>
                <w:color w:val="000000"/>
                <w:kern w:val="0"/>
                <w:sz w:val="24"/>
                <w:lang w:val="en-US" w:eastAsia="zh-CN"/>
              </w:rPr>
              <w:t>挥发份和二甲苯在</w:t>
            </w:r>
            <w:r>
              <w:rPr>
                <w:rFonts w:hint="eastAsia"/>
                <w:color w:val="000000"/>
                <w:kern w:val="0"/>
                <w:sz w:val="24"/>
                <w:szCs w:val="24"/>
                <w:lang w:val="en-US" w:eastAsia="zh-CN"/>
              </w:rPr>
              <w:t>刷漆晾干工序完全挥发，则刷漆晾干工序VOCs的产生量为1.42t/a（其中二甲苯的产生量为0.68t/a）。刷漆晾干工序在密闭空间内进行，根据2024年的检测报告可知风量约为30000m</w:t>
            </w:r>
            <w:r>
              <w:rPr>
                <w:rFonts w:hint="eastAsia"/>
                <w:color w:val="000000"/>
                <w:kern w:val="0"/>
                <w:sz w:val="24"/>
                <w:szCs w:val="24"/>
                <w:vertAlign w:val="superscript"/>
                <w:lang w:val="en-US" w:eastAsia="zh-CN"/>
              </w:rPr>
              <w:t>3</w:t>
            </w:r>
            <w:r>
              <w:rPr>
                <w:rFonts w:hint="eastAsia"/>
                <w:color w:val="000000"/>
                <w:kern w:val="0"/>
                <w:sz w:val="24"/>
                <w:szCs w:val="24"/>
                <w:lang w:val="en-US" w:eastAsia="zh-CN"/>
              </w:rPr>
              <w:t>/h，则刷漆晾干工序挥发性有机物的产生浓度为19.72mg/m</w:t>
            </w:r>
            <w:r>
              <w:rPr>
                <w:rFonts w:hint="eastAsia"/>
                <w:color w:val="000000"/>
                <w:kern w:val="0"/>
                <w:sz w:val="24"/>
                <w:szCs w:val="24"/>
                <w:vertAlign w:val="superscript"/>
                <w:lang w:val="en-US" w:eastAsia="zh-CN"/>
              </w:rPr>
              <w:t>3</w:t>
            </w:r>
            <w:r>
              <w:rPr>
                <w:rFonts w:hint="eastAsia"/>
                <w:color w:val="000000"/>
                <w:kern w:val="0"/>
                <w:sz w:val="24"/>
                <w:szCs w:val="24"/>
                <w:lang w:val="en-US" w:eastAsia="zh-CN"/>
              </w:rPr>
              <w:t>（其中二甲苯浓度9.44mg/m</w:t>
            </w:r>
            <w:r>
              <w:rPr>
                <w:rFonts w:hint="eastAsia"/>
                <w:color w:val="000000"/>
                <w:kern w:val="0"/>
                <w:sz w:val="24"/>
                <w:szCs w:val="24"/>
                <w:vertAlign w:val="superscript"/>
                <w:lang w:val="en-US" w:eastAsia="zh-CN"/>
              </w:rPr>
              <w:t>3</w:t>
            </w:r>
            <w:r>
              <w:rPr>
                <w:rFonts w:hint="eastAsia"/>
                <w:color w:val="000000"/>
                <w:kern w:val="0"/>
                <w:sz w:val="24"/>
                <w:szCs w:val="24"/>
                <w:lang w:val="en-US" w:eastAsia="zh-CN"/>
              </w:rPr>
              <w:t>），产生速率为0.59kg/h（其中二甲苯速率0.28kg/h）。刷漆晾干废气通过空间密闭负压收集+过滤棉+二级活性炭处理后通过15m高排气筒（DA001）排放</w:t>
            </w:r>
            <w:r>
              <w:rPr>
                <w:rFonts w:hint="eastAsia"/>
                <w:color w:val="000000"/>
                <w:kern w:val="0"/>
                <w:sz w:val="24"/>
                <w:lang w:val="en-US" w:eastAsia="zh-CN"/>
              </w:rPr>
              <w:t>，废气收集效率取98%，</w:t>
            </w:r>
            <w:r>
              <w:rPr>
                <w:rFonts w:hint="eastAsia"/>
                <w:color w:val="000000"/>
                <w:kern w:val="0"/>
                <w:sz w:val="24"/>
                <w:szCs w:val="24"/>
                <w:lang w:val="en-US" w:eastAsia="zh-CN"/>
              </w:rPr>
              <w:t>针对有机废气的</w:t>
            </w:r>
            <w:r>
              <w:rPr>
                <w:rFonts w:hint="eastAsia"/>
                <w:color w:val="000000"/>
                <w:kern w:val="0"/>
                <w:sz w:val="24"/>
                <w:lang w:val="en-US" w:eastAsia="zh-CN"/>
              </w:rPr>
              <w:t>处理效率取90%，由上计算可知刷漆晾干工序挥发性有机物无组织排放量为0.03t/a</w:t>
            </w:r>
            <w:r>
              <w:rPr>
                <w:rFonts w:hint="eastAsia"/>
                <w:color w:val="000000"/>
                <w:kern w:val="0"/>
                <w:sz w:val="24"/>
                <w:szCs w:val="24"/>
                <w:lang w:val="en-US" w:eastAsia="zh-CN"/>
              </w:rPr>
              <w:t>（其中二甲苯0.01t/a），排放速率为0.01</w:t>
            </w:r>
            <w:r>
              <w:rPr>
                <w:rFonts w:hint="eastAsia"/>
                <w:color w:val="000000"/>
                <w:kern w:val="0"/>
                <w:sz w:val="24"/>
                <w:lang w:val="en-US" w:eastAsia="zh-CN"/>
              </w:rPr>
              <w:t>kg/h</w:t>
            </w:r>
            <w:r>
              <w:rPr>
                <w:rFonts w:hint="eastAsia"/>
                <w:color w:val="000000"/>
                <w:kern w:val="0"/>
                <w:sz w:val="24"/>
                <w:szCs w:val="24"/>
                <w:lang w:val="en-US" w:eastAsia="zh-CN"/>
              </w:rPr>
              <w:t>（其中二甲苯速率0.006kg/h）</w:t>
            </w:r>
            <w:r>
              <w:rPr>
                <w:rFonts w:hint="eastAsia"/>
                <w:color w:val="000000"/>
                <w:kern w:val="0"/>
                <w:sz w:val="24"/>
                <w:lang w:val="en-US" w:eastAsia="zh-CN"/>
              </w:rPr>
              <w:t>，有组织排放量为0.14t/a</w:t>
            </w:r>
            <w:r>
              <w:rPr>
                <w:rFonts w:hint="eastAsia"/>
                <w:color w:val="000000"/>
                <w:kern w:val="0"/>
                <w:sz w:val="24"/>
                <w:szCs w:val="24"/>
                <w:lang w:val="en-US" w:eastAsia="zh-CN"/>
              </w:rPr>
              <w:t>（其中二甲苯0.07t/a）</w:t>
            </w:r>
            <w:r>
              <w:rPr>
                <w:rFonts w:hint="eastAsia"/>
                <w:color w:val="000000"/>
                <w:kern w:val="0"/>
                <w:sz w:val="24"/>
                <w:lang w:val="en-US" w:eastAsia="zh-CN"/>
              </w:rPr>
              <w:t>，排放浓度为1.93mg/m</w:t>
            </w:r>
            <w:r>
              <w:rPr>
                <w:rFonts w:hint="eastAsia"/>
                <w:color w:val="000000"/>
                <w:kern w:val="0"/>
                <w:sz w:val="24"/>
                <w:vertAlign w:val="superscript"/>
                <w:lang w:val="en-US" w:eastAsia="zh-CN"/>
              </w:rPr>
              <w:t>3</w:t>
            </w:r>
            <w:r>
              <w:rPr>
                <w:rFonts w:hint="eastAsia"/>
                <w:color w:val="000000"/>
                <w:kern w:val="0"/>
                <w:sz w:val="24"/>
                <w:szCs w:val="24"/>
                <w:lang w:val="en-US" w:eastAsia="zh-CN"/>
              </w:rPr>
              <w:t>（其中二甲苯浓度0.93mg/m</w:t>
            </w:r>
            <w:r>
              <w:rPr>
                <w:rFonts w:hint="eastAsia"/>
                <w:color w:val="000000"/>
                <w:kern w:val="0"/>
                <w:sz w:val="24"/>
                <w:szCs w:val="24"/>
                <w:vertAlign w:val="superscript"/>
                <w:lang w:val="en-US" w:eastAsia="zh-CN"/>
              </w:rPr>
              <w:t>3</w:t>
            </w:r>
            <w:r>
              <w:rPr>
                <w:rFonts w:hint="eastAsia"/>
                <w:color w:val="000000"/>
                <w:kern w:val="0"/>
                <w:sz w:val="24"/>
                <w:szCs w:val="24"/>
                <w:lang w:val="en-US" w:eastAsia="zh-CN"/>
              </w:rPr>
              <w:t>）</w:t>
            </w:r>
            <w:r>
              <w:rPr>
                <w:rFonts w:hint="eastAsia"/>
                <w:color w:val="000000"/>
                <w:kern w:val="0"/>
                <w:sz w:val="24"/>
                <w:lang w:val="en-US" w:eastAsia="zh-CN"/>
              </w:rPr>
              <w:t>，排放速率为0.06kg/h</w:t>
            </w:r>
            <w:r>
              <w:rPr>
                <w:rFonts w:hint="eastAsia"/>
                <w:color w:val="000000"/>
                <w:kern w:val="0"/>
                <w:sz w:val="24"/>
                <w:szCs w:val="24"/>
                <w:lang w:val="en-US" w:eastAsia="zh-CN"/>
              </w:rPr>
              <w:t>（其中二甲苯速率0.03kg/h）。</w:t>
            </w:r>
          </w:p>
          <w:p w14:paraId="2BBB94E3">
            <w:pPr>
              <w:autoSpaceDE w:val="0"/>
              <w:autoSpaceDN w:val="0"/>
              <w:adjustRightInd w:val="0"/>
              <w:snapToGrid w:val="0"/>
              <w:spacing w:line="360" w:lineRule="auto"/>
              <w:ind w:firstLine="480" w:firstLineChars="200"/>
              <w:jc w:val="left"/>
              <w:rPr>
                <w:rFonts w:hint="eastAsia"/>
                <w:color w:val="000000"/>
                <w:kern w:val="0"/>
                <w:sz w:val="24"/>
                <w:lang w:val="en-US" w:eastAsia="zh-CN"/>
              </w:rPr>
            </w:pPr>
            <w:r>
              <w:rPr>
                <w:rFonts w:hint="eastAsia"/>
                <w:color w:val="000000"/>
                <w:kern w:val="0"/>
                <w:sz w:val="24"/>
                <w:lang w:val="en-US" w:eastAsia="zh-CN"/>
              </w:rPr>
              <w:t>⑤食堂油烟废气</w:t>
            </w:r>
          </w:p>
          <w:p w14:paraId="2D509241">
            <w:pPr>
              <w:autoSpaceDE w:val="0"/>
              <w:autoSpaceDN w:val="0"/>
              <w:adjustRightInd w:val="0"/>
              <w:snapToGrid w:val="0"/>
              <w:spacing w:line="360" w:lineRule="auto"/>
              <w:ind w:firstLine="480" w:firstLineChars="200"/>
              <w:jc w:val="left"/>
              <w:rPr>
                <w:rFonts w:hint="default"/>
                <w:color w:val="000000"/>
                <w:kern w:val="0"/>
                <w:sz w:val="24"/>
                <w:lang w:val="en-US" w:eastAsia="zh-CN"/>
              </w:rPr>
            </w:pPr>
            <w:r>
              <w:rPr>
                <w:rFonts w:hint="eastAsia"/>
                <w:color w:val="000000"/>
                <w:kern w:val="0"/>
                <w:sz w:val="24"/>
                <w:lang w:val="en-US" w:eastAsia="zh-CN"/>
              </w:rPr>
              <w:t>建设单位布设一间食堂用于部分员工的午餐制作，食堂内有一个灶头，食用油用量约150kg/a，制作午餐过程中会产生油烟废气，一般油烟挥发量占总耗油量的2%-4%，本次评价取3%，根据《饮食业油烟排放标准（试行）》（GB18483-2001），1个灶头对应的排气罩灶面总投影面积为≥1.1m</w:t>
            </w:r>
            <w:r>
              <w:rPr>
                <w:rFonts w:hint="eastAsia"/>
                <w:color w:val="000000"/>
                <w:kern w:val="0"/>
                <w:sz w:val="24"/>
                <w:vertAlign w:val="superscript"/>
                <w:lang w:val="en-US" w:eastAsia="zh-CN"/>
              </w:rPr>
              <w:t>2</w:t>
            </w:r>
            <w:r>
              <w:rPr>
                <w:rFonts w:hint="eastAsia"/>
                <w:color w:val="000000"/>
                <w:kern w:val="0"/>
                <w:sz w:val="24"/>
                <w:lang w:val="en-US" w:eastAsia="zh-CN"/>
              </w:rPr>
              <w:t>，本次集气罩面积取1.1m</w:t>
            </w:r>
            <w:r>
              <w:rPr>
                <w:rFonts w:hint="eastAsia"/>
                <w:color w:val="000000"/>
                <w:kern w:val="0"/>
                <w:sz w:val="24"/>
                <w:vertAlign w:val="superscript"/>
                <w:lang w:val="en-US" w:eastAsia="zh-CN"/>
              </w:rPr>
              <w:t>2</w:t>
            </w:r>
            <w:r>
              <w:rPr>
                <w:rFonts w:hint="eastAsia"/>
                <w:color w:val="000000"/>
                <w:kern w:val="0"/>
                <w:sz w:val="24"/>
                <w:lang w:val="en-US" w:eastAsia="zh-CN"/>
              </w:rPr>
              <w:t>，控制风速取0.6m/s，灶台使用时间取1h/次，则油烟产生量为4.5kg/a，产生浓度为6.31</w:t>
            </w:r>
            <w:r>
              <w:rPr>
                <w:rFonts w:hint="eastAsia"/>
                <w:color w:val="000000"/>
                <w:kern w:val="0"/>
                <w:sz w:val="24"/>
                <w:szCs w:val="24"/>
                <w:lang w:val="en-US" w:eastAsia="zh-CN"/>
              </w:rPr>
              <w:t>mg/m</w:t>
            </w:r>
            <w:r>
              <w:rPr>
                <w:rFonts w:hint="eastAsia"/>
                <w:color w:val="000000"/>
                <w:kern w:val="0"/>
                <w:sz w:val="24"/>
                <w:szCs w:val="24"/>
                <w:vertAlign w:val="superscript"/>
                <w:lang w:val="en-US" w:eastAsia="zh-CN"/>
              </w:rPr>
              <w:t>3</w:t>
            </w:r>
            <w:r>
              <w:rPr>
                <w:rFonts w:hint="eastAsia"/>
                <w:color w:val="000000"/>
                <w:kern w:val="0"/>
                <w:sz w:val="24"/>
                <w:lang w:val="en-US" w:eastAsia="zh-CN"/>
              </w:rPr>
              <w:t>，产生速率为0.02kg/h。油烟经油烟机处理后通过排气筒外排，油烟废气收集效率取90%，油烟机的去除效率取80%，则油烟废气无组织排放量为0.45kg/a，排放速率为0.002kg/h，有组织排放量为0.81kg/a，排放浓度为1.14</w:t>
            </w:r>
            <w:r>
              <w:rPr>
                <w:rFonts w:hint="eastAsia"/>
                <w:color w:val="000000"/>
                <w:kern w:val="0"/>
                <w:sz w:val="24"/>
                <w:szCs w:val="24"/>
                <w:lang w:val="en-US" w:eastAsia="zh-CN"/>
              </w:rPr>
              <w:t>mg/m</w:t>
            </w:r>
            <w:r>
              <w:rPr>
                <w:rFonts w:hint="eastAsia"/>
                <w:color w:val="000000"/>
                <w:kern w:val="0"/>
                <w:sz w:val="24"/>
                <w:szCs w:val="24"/>
                <w:vertAlign w:val="superscript"/>
                <w:lang w:val="en-US" w:eastAsia="zh-CN"/>
              </w:rPr>
              <w:t>3</w:t>
            </w:r>
            <w:r>
              <w:rPr>
                <w:rFonts w:hint="eastAsia"/>
                <w:color w:val="000000"/>
                <w:kern w:val="0"/>
                <w:sz w:val="24"/>
                <w:lang w:val="en-US" w:eastAsia="zh-CN"/>
              </w:rPr>
              <w:t>，排放速率为0.003kg/h。</w:t>
            </w:r>
          </w:p>
          <w:p w14:paraId="171F9929">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（2）废气治理及可行性分析</w:t>
            </w:r>
          </w:p>
          <w:p w14:paraId="45228BEF">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①本项目废气治理措施</w:t>
            </w:r>
          </w:p>
          <w:p w14:paraId="5B74887B">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下料切割废气通过集气罩收集+袋式除尘设施处理，然后通过15m高排气筒（DA003）排放至外环境。焊接烟尘采用移动烟尘净化器处理后无组织排放。抛丸废气通过内部密闭管道负压收集+旋风滤筒组合式除尘器处理，然后通过15m高排气筒（DA002）排放至外环境。刷漆晾干产生的废气采取空间密闭管道负压收集+过滤棉+二级活性炭处理，然后通过15m高排气筒（DA001）排放至外环境。食堂油烟废气通过集气负压收集+油烟机处理，然后通过排气筒（DA004）排放至外环境。</w:t>
            </w:r>
          </w:p>
          <w:p w14:paraId="257B897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②废气治理措施可行性分析</w:t>
            </w:r>
          </w:p>
          <w:p w14:paraId="22AF58E8">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采矿、冶金、建筑专用设备制造行业目前没有专门的污染防治可行技术指南和排污许可技术规范相关文件。焊接烟尘参照已获批的《安徽科韵年产300台智能机械项目环境影响报告表》中“切割烟尘、焊接烟尘经移动式焊接烟尘净化器过滤后无组织排放”，下料切割和抛丸废气治理参照《排污许可证申请与核发技术规范 铁路、船舶、航空航天和其他运输设备制造业》中“抛丸室、喷砂室、清理室推荐可行技术为袋式除尘、湿式除尘”，刷漆晾干废气治理参照《排污许可证申请与核发技术规范 铁路、船舶、航空航天和其他运输设备制造业》（HJ 1124-2020）中“调漆、涂胶间的挥发性有机物推荐可行技术为活性炭吸附”，食堂油烟废气治理参照《排污许可证申请与核发技术规范食品制造工业—方便食品、食品及饲料添加剂制造工业》（HJ 1030.3-2019）中附录B方便食品制造工业废气污染防治可行技术参考表中“湿法油烟处理器（油烟滤清机、水浴式油烟处理器、旋流板塔油烟处理器、文式管油烟处理器）”。</w:t>
            </w:r>
          </w:p>
          <w:p w14:paraId="3F36CA40">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故本项目采用袋式除尘处理下料切割废气，移动烟尘净化器处理焊接烟尘，旋风滤筒组合式除尘器处理抛丸废气，过滤棉+二级活性炭吸附处理刷漆晾干废气以及油烟机处理油烟废气可行。</w:t>
            </w:r>
          </w:p>
          <w:p w14:paraId="61834F3F">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（3）废气排放及达标情况分析</w:t>
            </w:r>
          </w:p>
          <w:p w14:paraId="13824F0C">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本项目废气产排及达标情况、排放口基本情况具体见下表。</w:t>
            </w:r>
          </w:p>
          <w:p w14:paraId="5728E1E6">
            <w:pPr>
              <w:autoSpaceDE w:val="0"/>
              <w:autoSpaceDN w:val="0"/>
              <w:adjustRightInd w:val="0"/>
              <w:snapToGrid w:val="0"/>
              <w:jc w:val="left"/>
              <w:rPr>
                <w:rFonts w:hint="eastAsia" w:ascii="宋体" w:hAnsi="宋体" w:cs="宋体"/>
                <w:kern w:val="0"/>
                <w:sz w:val="24"/>
                <w:szCs w:val="24"/>
              </w:rPr>
            </w:pPr>
          </w:p>
        </w:tc>
      </w:tr>
    </w:tbl>
    <w:p w14:paraId="491A63F4">
      <w:pPr>
        <w:bidi w:val="0"/>
        <w:rPr>
          <w:rFonts w:hint="eastAsia"/>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5"/>
        <w:tblW w:w="140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3582"/>
      </w:tblGrid>
      <w:tr w14:paraId="3C433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48" w:hRule="atLeast"/>
          <w:jc w:val="center"/>
        </w:trPr>
        <w:tc>
          <w:tcPr>
            <w:tcW w:w="464" w:type="dxa"/>
            <w:noWrap w:val="0"/>
            <w:tcMar>
              <w:left w:w="28" w:type="dxa"/>
              <w:right w:w="28" w:type="dxa"/>
            </w:tcMar>
            <w:vAlign w:val="center"/>
          </w:tcPr>
          <w:p w14:paraId="1334A2BE">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运营</w:t>
            </w:r>
          </w:p>
          <w:p w14:paraId="6471AC10">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期环</w:t>
            </w:r>
          </w:p>
          <w:p w14:paraId="73732AE2">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境影</w:t>
            </w:r>
          </w:p>
          <w:p w14:paraId="7F88146C">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响和</w:t>
            </w:r>
          </w:p>
          <w:p w14:paraId="44B996CD">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保护</w:t>
            </w:r>
          </w:p>
          <w:p w14:paraId="7D1A919A">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措施</w:t>
            </w:r>
          </w:p>
        </w:tc>
        <w:tc>
          <w:tcPr>
            <w:tcW w:w="13582" w:type="dxa"/>
            <w:noWrap w:val="0"/>
            <w:vAlign w:val="top"/>
          </w:tcPr>
          <w:p w14:paraId="7F119951">
            <w:pPr>
              <w:keepNext w:val="0"/>
              <w:keepLines w:val="0"/>
              <w:pageBreakBefore w:val="0"/>
              <w:widowControl/>
              <w:kinsoku/>
              <w:wordWrap/>
              <w:overflowPunct/>
              <w:topLinePunct w:val="0"/>
              <w:autoSpaceDE/>
              <w:autoSpaceDN/>
              <w:bidi w:val="0"/>
              <w:adjustRightInd/>
              <w:snapToGrid/>
              <w:spacing w:before="157" w:beforeLines="50"/>
              <w:jc w:val="center"/>
              <w:textAlignment w:val="auto"/>
              <w:rPr>
                <w:b/>
                <w:kern w:val="0"/>
                <w:sz w:val="22"/>
                <w:szCs w:val="22"/>
              </w:rPr>
            </w:pPr>
            <w:r>
              <w:rPr>
                <w:b/>
                <w:kern w:val="0"/>
                <w:sz w:val="22"/>
                <w:szCs w:val="22"/>
              </w:rPr>
              <w:t>表</w:t>
            </w:r>
            <w:r>
              <w:rPr>
                <w:rFonts w:hint="eastAsia"/>
                <w:b/>
                <w:kern w:val="0"/>
                <w:sz w:val="22"/>
                <w:szCs w:val="22"/>
                <w:lang w:val="en-US" w:eastAsia="zh-CN"/>
              </w:rPr>
              <w:t>4</w:t>
            </w:r>
            <w:r>
              <w:rPr>
                <w:b/>
                <w:kern w:val="0"/>
                <w:sz w:val="22"/>
                <w:szCs w:val="22"/>
              </w:rPr>
              <w:t>-</w:t>
            </w:r>
            <w:r>
              <w:rPr>
                <w:rFonts w:hint="eastAsia"/>
                <w:b/>
                <w:kern w:val="0"/>
                <w:sz w:val="22"/>
                <w:szCs w:val="22"/>
                <w:lang w:val="en-US" w:eastAsia="zh-CN"/>
              </w:rPr>
              <w:t>1</w:t>
            </w:r>
            <w:r>
              <w:rPr>
                <w:b/>
                <w:kern w:val="0"/>
                <w:sz w:val="22"/>
                <w:szCs w:val="22"/>
              </w:rPr>
              <w:t xml:space="preserve"> </w:t>
            </w:r>
            <w:r>
              <w:rPr>
                <w:rFonts w:hint="eastAsia"/>
                <w:b/>
                <w:kern w:val="0"/>
                <w:sz w:val="22"/>
                <w:szCs w:val="22"/>
                <w:lang w:val="en-US" w:eastAsia="zh-CN"/>
              </w:rPr>
              <w:t>技改后废气治理及产排情况一览</w:t>
            </w:r>
            <w:r>
              <w:rPr>
                <w:rFonts w:hint="eastAsia"/>
                <w:b/>
                <w:kern w:val="0"/>
                <w:sz w:val="22"/>
                <w:szCs w:val="22"/>
              </w:rPr>
              <w:t>表</w:t>
            </w:r>
          </w:p>
          <w:tbl>
            <w:tblPr>
              <w:tblStyle w:val="39"/>
              <w:tblW w:w="133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1020"/>
              <w:gridCol w:w="942"/>
              <w:gridCol w:w="936"/>
              <w:gridCol w:w="851"/>
              <w:gridCol w:w="864"/>
              <w:gridCol w:w="1560"/>
              <w:gridCol w:w="732"/>
              <w:gridCol w:w="756"/>
              <w:gridCol w:w="1021"/>
              <w:gridCol w:w="984"/>
              <w:gridCol w:w="912"/>
              <w:gridCol w:w="948"/>
              <w:gridCol w:w="888"/>
              <w:gridCol w:w="912"/>
            </w:tblGrid>
            <w:tr w14:paraId="4FECE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4613" w:type="dxa"/>
                  <w:gridSpan w:val="5"/>
                  <w:vMerge w:val="restart"/>
                  <w:vAlign w:val="center"/>
                </w:tcPr>
                <w:p w14:paraId="5990430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技改后废气产生情况</w:t>
                  </w:r>
                </w:p>
              </w:tc>
              <w:tc>
                <w:tcPr>
                  <w:tcW w:w="4069" w:type="dxa"/>
                  <w:gridSpan w:val="4"/>
                  <w:vMerge w:val="restart"/>
                  <w:vAlign w:val="center"/>
                </w:tcPr>
                <w:p w14:paraId="0AF3B63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废气治理情况</w:t>
                  </w:r>
                </w:p>
              </w:tc>
              <w:tc>
                <w:tcPr>
                  <w:tcW w:w="4644" w:type="dxa"/>
                  <w:gridSpan w:val="5"/>
                  <w:vAlign w:val="center"/>
                </w:tcPr>
                <w:p w14:paraId="405A63D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废气排放情况</w:t>
                  </w:r>
                </w:p>
              </w:tc>
            </w:tr>
            <w:tr w14:paraId="665CF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4613" w:type="dxa"/>
                  <w:gridSpan w:val="5"/>
                  <w:vMerge w:val="continue"/>
                  <w:vAlign w:val="center"/>
                </w:tcPr>
                <w:p w14:paraId="6029BF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b/>
                      <w:bCs/>
                      <w:color w:val="000000"/>
                      <w:kern w:val="0"/>
                      <w:sz w:val="22"/>
                      <w:szCs w:val="22"/>
                      <w:lang w:val="en-US" w:eastAsia="zh-CN"/>
                    </w:rPr>
                  </w:pPr>
                </w:p>
              </w:tc>
              <w:tc>
                <w:tcPr>
                  <w:tcW w:w="4069" w:type="dxa"/>
                  <w:gridSpan w:val="4"/>
                  <w:vMerge w:val="continue"/>
                  <w:vAlign w:val="center"/>
                </w:tcPr>
                <w:p w14:paraId="004A0BB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p>
              </w:tc>
              <w:tc>
                <w:tcPr>
                  <w:tcW w:w="1896" w:type="dxa"/>
                  <w:gridSpan w:val="2"/>
                  <w:vAlign w:val="center"/>
                </w:tcPr>
                <w:p w14:paraId="63B3250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无组织</w:t>
                  </w:r>
                </w:p>
              </w:tc>
              <w:tc>
                <w:tcPr>
                  <w:tcW w:w="2748" w:type="dxa"/>
                  <w:gridSpan w:val="3"/>
                  <w:vAlign w:val="center"/>
                </w:tcPr>
                <w:p w14:paraId="4CE767D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有组织</w:t>
                  </w:r>
                </w:p>
              </w:tc>
            </w:tr>
            <w:tr w14:paraId="28F9E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020" w:type="dxa"/>
                  <w:vAlign w:val="center"/>
                </w:tcPr>
                <w:p w14:paraId="4E2F8D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产污环节</w:t>
                  </w:r>
                </w:p>
              </w:tc>
              <w:tc>
                <w:tcPr>
                  <w:tcW w:w="942" w:type="dxa"/>
                  <w:vAlign w:val="center"/>
                </w:tcPr>
                <w:p w14:paraId="44DE24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污染物种类</w:t>
                  </w:r>
                </w:p>
              </w:tc>
              <w:tc>
                <w:tcPr>
                  <w:tcW w:w="936" w:type="dxa"/>
                  <w:shd w:val="clear" w:color="auto" w:fill="auto"/>
                  <w:vAlign w:val="center"/>
                </w:tcPr>
                <w:p w14:paraId="20190AC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产生量</w:t>
                  </w:r>
                </w:p>
                <w:p w14:paraId="1A06C2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2"/>
                      <w:szCs w:val="22"/>
                      <w:highlight w:val="none"/>
                      <w:lang w:val="en-US" w:eastAsia="zh-CN" w:bidi="ar-SA"/>
                    </w:rPr>
                  </w:pPr>
                  <w:r>
                    <w:rPr>
                      <w:rFonts w:hint="eastAsia" w:cs="Times New Roman"/>
                      <w:b/>
                      <w:bCs/>
                      <w:color w:val="000000"/>
                      <w:kern w:val="2"/>
                      <w:sz w:val="22"/>
                      <w:szCs w:val="22"/>
                      <w:highlight w:val="none"/>
                      <w:lang w:val="en-US" w:eastAsia="zh-CN"/>
                    </w:rPr>
                    <w:t>t/a</w:t>
                  </w:r>
                </w:p>
              </w:tc>
              <w:tc>
                <w:tcPr>
                  <w:tcW w:w="851" w:type="dxa"/>
                  <w:shd w:val="clear" w:color="auto" w:fill="auto"/>
                  <w:vAlign w:val="center"/>
                </w:tcPr>
                <w:p w14:paraId="2812D96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产生浓度</w:t>
                  </w:r>
                </w:p>
                <w:p w14:paraId="2B142BA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bidi="ar-SA"/>
                    </w:rPr>
                  </w:pPr>
                  <w:r>
                    <w:rPr>
                      <w:rFonts w:hint="eastAsia"/>
                      <w:b/>
                      <w:bCs/>
                      <w:color w:val="000000"/>
                      <w:kern w:val="0"/>
                      <w:sz w:val="22"/>
                      <w:szCs w:val="22"/>
                      <w:lang w:val="en-US" w:eastAsia="zh-CN"/>
                    </w:rPr>
                    <w:t>mg/m</w:t>
                  </w:r>
                  <w:r>
                    <w:rPr>
                      <w:rFonts w:hint="eastAsia"/>
                      <w:b/>
                      <w:bCs/>
                      <w:color w:val="000000"/>
                      <w:kern w:val="0"/>
                      <w:sz w:val="22"/>
                      <w:szCs w:val="22"/>
                      <w:vertAlign w:val="superscript"/>
                      <w:lang w:val="en-US" w:eastAsia="zh-CN"/>
                    </w:rPr>
                    <w:t>3</w:t>
                  </w:r>
                </w:p>
              </w:tc>
              <w:tc>
                <w:tcPr>
                  <w:tcW w:w="864" w:type="dxa"/>
                  <w:vAlign w:val="center"/>
                </w:tcPr>
                <w:p w14:paraId="1974DDB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产生速率</w:t>
                  </w:r>
                </w:p>
                <w:p w14:paraId="4CF99A9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 xml:space="preserve"> kg/h</w:t>
                  </w:r>
                </w:p>
              </w:tc>
              <w:tc>
                <w:tcPr>
                  <w:tcW w:w="1560" w:type="dxa"/>
                  <w:vAlign w:val="center"/>
                </w:tcPr>
                <w:p w14:paraId="26E7F17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治理措施</w:t>
                  </w:r>
                </w:p>
              </w:tc>
              <w:tc>
                <w:tcPr>
                  <w:tcW w:w="732" w:type="dxa"/>
                  <w:shd w:val="clear" w:color="auto" w:fill="auto"/>
                  <w:vAlign w:val="center"/>
                </w:tcPr>
                <w:p w14:paraId="6A3BE3B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bidi="ar-SA"/>
                    </w:rPr>
                  </w:pPr>
                  <w:r>
                    <w:rPr>
                      <w:rFonts w:hint="eastAsia" w:cs="Times New Roman"/>
                      <w:b/>
                      <w:bCs/>
                      <w:color w:val="000000"/>
                      <w:kern w:val="2"/>
                      <w:sz w:val="22"/>
                      <w:szCs w:val="22"/>
                      <w:highlight w:val="none"/>
                      <w:lang w:val="en-US" w:eastAsia="zh-CN"/>
                    </w:rPr>
                    <w:t>收集效率%</w:t>
                  </w:r>
                </w:p>
              </w:tc>
              <w:tc>
                <w:tcPr>
                  <w:tcW w:w="756" w:type="dxa"/>
                  <w:vAlign w:val="center"/>
                </w:tcPr>
                <w:p w14:paraId="378AFA7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处理效率%</w:t>
                  </w:r>
                </w:p>
              </w:tc>
              <w:tc>
                <w:tcPr>
                  <w:tcW w:w="1021" w:type="dxa"/>
                  <w:shd w:val="clear" w:color="auto" w:fill="auto"/>
                  <w:vAlign w:val="center"/>
                </w:tcPr>
                <w:p w14:paraId="1AE9C75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2"/>
                      <w:szCs w:val="22"/>
                      <w:highlight w:val="none"/>
                      <w:lang w:val="en-US" w:eastAsia="zh-CN" w:bidi="ar-SA"/>
                    </w:rPr>
                  </w:pPr>
                  <w:r>
                    <w:rPr>
                      <w:rFonts w:hint="eastAsia" w:cs="Times New Roman"/>
                      <w:b/>
                      <w:bCs/>
                      <w:color w:val="000000"/>
                      <w:kern w:val="2"/>
                      <w:sz w:val="22"/>
                      <w:szCs w:val="22"/>
                      <w:highlight w:val="none"/>
                      <w:lang w:val="en-US" w:eastAsia="zh-CN"/>
                    </w:rPr>
                    <w:t>处理量t/a</w:t>
                  </w:r>
                </w:p>
              </w:tc>
              <w:tc>
                <w:tcPr>
                  <w:tcW w:w="984" w:type="dxa"/>
                  <w:vAlign w:val="center"/>
                </w:tcPr>
                <w:p w14:paraId="239A84F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排放量t/a</w:t>
                  </w:r>
                </w:p>
              </w:tc>
              <w:tc>
                <w:tcPr>
                  <w:tcW w:w="912" w:type="dxa"/>
                  <w:shd w:val="clear" w:color="auto" w:fill="auto"/>
                  <w:vAlign w:val="center"/>
                </w:tcPr>
                <w:p w14:paraId="655AD5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排放速率</w:t>
                  </w:r>
                </w:p>
                <w:p w14:paraId="51593E7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bidi="ar-SA"/>
                    </w:rPr>
                  </w:pPr>
                  <w:r>
                    <w:rPr>
                      <w:rFonts w:hint="eastAsia" w:cs="Times New Roman"/>
                      <w:b/>
                      <w:bCs/>
                      <w:color w:val="000000"/>
                      <w:kern w:val="2"/>
                      <w:sz w:val="22"/>
                      <w:szCs w:val="22"/>
                      <w:highlight w:val="none"/>
                      <w:lang w:val="en-US" w:eastAsia="zh-CN"/>
                    </w:rPr>
                    <w:t xml:space="preserve"> kg/h</w:t>
                  </w:r>
                </w:p>
              </w:tc>
              <w:tc>
                <w:tcPr>
                  <w:tcW w:w="948" w:type="dxa"/>
                  <w:shd w:val="clear" w:color="auto" w:fill="auto"/>
                  <w:vAlign w:val="center"/>
                </w:tcPr>
                <w:p w14:paraId="6C5206F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2"/>
                      <w:szCs w:val="22"/>
                      <w:highlight w:val="none"/>
                      <w:lang w:val="en-US" w:eastAsia="zh-CN" w:bidi="ar-SA"/>
                    </w:rPr>
                  </w:pPr>
                  <w:r>
                    <w:rPr>
                      <w:rFonts w:hint="eastAsia" w:cs="Times New Roman"/>
                      <w:b/>
                      <w:bCs/>
                      <w:color w:val="000000"/>
                      <w:kern w:val="2"/>
                      <w:sz w:val="22"/>
                      <w:szCs w:val="22"/>
                      <w:highlight w:val="none"/>
                      <w:lang w:val="en-US" w:eastAsia="zh-CN"/>
                    </w:rPr>
                    <w:t>排放量t/a</w:t>
                  </w:r>
                </w:p>
              </w:tc>
              <w:tc>
                <w:tcPr>
                  <w:tcW w:w="888" w:type="dxa"/>
                  <w:vAlign w:val="center"/>
                </w:tcPr>
                <w:p w14:paraId="122141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排放浓度mg/</w:t>
                  </w:r>
                  <w:r>
                    <w:rPr>
                      <w:rFonts w:hint="eastAsia"/>
                      <w:b/>
                      <w:bCs/>
                      <w:color w:val="000000"/>
                      <w:kern w:val="0"/>
                      <w:sz w:val="22"/>
                      <w:szCs w:val="22"/>
                      <w:lang w:val="en-US" w:eastAsia="zh-CN"/>
                    </w:rPr>
                    <w:t>m</w:t>
                  </w:r>
                  <w:r>
                    <w:rPr>
                      <w:rFonts w:hint="eastAsia"/>
                      <w:b/>
                      <w:bCs/>
                      <w:color w:val="000000"/>
                      <w:kern w:val="0"/>
                      <w:sz w:val="22"/>
                      <w:szCs w:val="22"/>
                      <w:vertAlign w:val="superscript"/>
                      <w:lang w:val="en-US" w:eastAsia="zh-CN"/>
                    </w:rPr>
                    <w:t>3</w:t>
                  </w:r>
                </w:p>
              </w:tc>
              <w:tc>
                <w:tcPr>
                  <w:tcW w:w="912" w:type="dxa"/>
                  <w:shd w:val="clear" w:color="auto" w:fill="auto"/>
                  <w:vAlign w:val="center"/>
                </w:tcPr>
                <w:p w14:paraId="2517D7F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排放速率</w:t>
                  </w:r>
                </w:p>
                <w:p w14:paraId="20384B1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bidi="ar-SA"/>
                    </w:rPr>
                  </w:pPr>
                  <w:r>
                    <w:rPr>
                      <w:rFonts w:hint="eastAsia" w:cs="Times New Roman"/>
                      <w:b/>
                      <w:bCs/>
                      <w:color w:val="000000"/>
                      <w:kern w:val="2"/>
                      <w:sz w:val="22"/>
                      <w:szCs w:val="22"/>
                      <w:highlight w:val="none"/>
                      <w:lang w:val="en-US" w:eastAsia="zh-CN"/>
                    </w:rPr>
                    <w:t xml:space="preserve"> kg/h</w:t>
                  </w:r>
                </w:p>
              </w:tc>
            </w:tr>
            <w:tr w14:paraId="1DF5C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1020" w:type="dxa"/>
                  <w:vAlign w:val="center"/>
                </w:tcPr>
                <w:p w14:paraId="341666D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等离子切割</w:t>
                  </w:r>
                </w:p>
              </w:tc>
              <w:tc>
                <w:tcPr>
                  <w:tcW w:w="942" w:type="dxa"/>
                  <w:vAlign w:val="center"/>
                </w:tcPr>
                <w:p w14:paraId="16F916F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颗粒物</w:t>
                  </w:r>
                </w:p>
              </w:tc>
              <w:tc>
                <w:tcPr>
                  <w:tcW w:w="936" w:type="dxa"/>
                  <w:shd w:val="clear" w:color="auto" w:fill="auto"/>
                  <w:vAlign w:val="center"/>
                </w:tcPr>
                <w:p w14:paraId="7A5A29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4.76</w:t>
                  </w:r>
                </w:p>
              </w:tc>
              <w:tc>
                <w:tcPr>
                  <w:tcW w:w="851" w:type="dxa"/>
                  <w:shd w:val="clear" w:color="auto" w:fill="auto"/>
                  <w:vAlign w:val="center"/>
                </w:tcPr>
                <w:p w14:paraId="0806027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918.79</w:t>
                  </w:r>
                </w:p>
              </w:tc>
              <w:tc>
                <w:tcPr>
                  <w:tcW w:w="864" w:type="dxa"/>
                  <w:vAlign w:val="center"/>
                </w:tcPr>
                <w:p w14:paraId="6603224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1.98</w:t>
                  </w:r>
                </w:p>
              </w:tc>
              <w:tc>
                <w:tcPr>
                  <w:tcW w:w="1560" w:type="dxa"/>
                  <w:vAlign w:val="center"/>
                </w:tcPr>
                <w:p w14:paraId="3800A6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负压收集+带式除尘</w:t>
                  </w:r>
                </w:p>
              </w:tc>
              <w:tc>
                <w:tcPr>
                  <w:tcW w:w="732" w:type="dxa"/>
                  <w:shd w:val="clear" w:color="auto" w:fill="auto"/>
                  <w:vAlign w:val="center"/>
                </w:tcPr>
                <w:p w14:paraId="33C08D7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90</w:t>
                  </w:r>
                </w:p>
              </w:tc>
              <w:tc>
                <w:tcPr>
                  <w:tcW w:w="756" w:type="dxa"/>
                  <w:vAlign w:val="center"/>
                </w:tcPr>
                <w:p w14:paraId="4D59CE0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95</w:t>
                  </w:r>
                </w:p>
              </w:tc>
              <w:tc>
                <w:tcPr>
                  <w:tcW w:w="1021" w:type="dxa"/>
                  <w:shd w:val="clear" w:color="auto" w:fill="auto"/>
                  <w:vAlign w:val="center"/>
                </w:tcPr>
                <w:p w14:paraId="259A79D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4.07</w:t>
                  </w:r>
                </w:p>
              </w:tc>
              <w:tc>
                <w:tcPr>
                  <w:tcW w:w="984" w:type="dxa"/>
                  <w:vAlign w:val="center"/>
                </w:tcPr>
                <w:p w14:paraId="2861468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0.48</w:t>
                  </w:r>
                </w:p>
              </w:tc>
              <w:tc>
                <w:tcPr>
                  <w:tcW w:w="912" w:type="dxa"/>
                  <w:shd w:val="clear" w:color="auto" w:fill="auto"/>
                  <w:vAlign w:val="center"/>
                </w:tcPr>
                <w:p w14:paraId="757967B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0.2</w:t>
                  </w:r>
                </w:p>
              </w:tc>
              <w:tc>
                <w:tcPr>
                  <w:tcW w:w="948" w:type="dxa"/>
                  <w:shd w:val="clear" w:color="auto" w:fill="auto"/>
                  <w:vAlign w:val="center"/>
                </w:tcPr>
                <w:p w14:paraId="5C045AA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0.21</w:t>
                  </w:r>
                </w:p>
              </w:tc>
              <w:tc>
                <w:tcPr>
                  <w:tcW w:w="888" w:type="dxa"/>
                  <w:vAlign w:val="center"/>
                </w:tcPr>
                <w:p w14:paraId="0685ED1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41.35</w:t>
                  </w:r>
                </w:p>
              </w:tc>
              <w:tc>
                <w:tcPr>
                  <w:tcW w:w="912" w:type="dxa"/>
                  <w:shd w:val="clear" w:color="auto" w:fill="auto"/>
                  <w:vAlign w:val="center"/>
                </w:tcPr>
                <w:p w14:paraId="2E63C49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0.09</w:t>
                  </w:r>
                </w:p>
              </w:tc>
            </w:tr>
            <w:tr w14:paraId="16D2D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1020" w:type="dxa"/>
                  <w:vAlign w:val="center"/>
                </w:tcPr>
                <w:p w14:paraId="00C54EF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焊接</w:t>
                  </w:r>
                </w:p>
              </w:tc>
              <w:tc>
                <w:tcPr>
                  <w:tcW w:w="942" w:type="dxa"/>
                  <w:vAlign w:val="center"/>
                </w:tcPr>
                <w:p w14:paraId="66B0EEE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颗粒物</w:t>
                  </w:r>
                </w:p>
              </w:tc>
              <w:tc>
                <w:tcPr>
                  <w:tcW w:w="936" w:type="dxa"/>
                  <w:shd w:val="clear" w:color="auto" w:fill="auto"/>
                  <w:vAlign w:val="center"/>
                </w:tcPr>
                <w:p w14:paraId="591B739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0.16</w:t>
                  </w:r>
                </w:p>
              </w:tc>
              <w:tc>
                <w:tcPr>
                  <w:tcW w:w="851" w:type="dxa"/>
                  <w:shd w:val="clear" w:color="auto" w:fill="auto"/>
                  <w:vAlign w:val="center"/>
                </w:tcPr>
                <w:p w14:paraId="14BBAFF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w:t>
                  </w:r>
                </w:p>
              </w:tc>
              <w:tc>
                <w:tcPr>
                  <w:tcW w:w="864" w:type="dxa"/>
                  <w:vAlign w:val="center"/>
                </w:tcPr>
                <w:p w14:paraId="1D1BFD2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0.17</w:t>
                  </w:r>
                </w:p>
              </w:tc>
              <w:tc>
                <w:tcPr>
                  <w:tcW w:w="1560" w:type="dxa"/>
                  <w:vAlign w:val="center"/>
                </w:tcPr>
                <w:p w14:paraId="7148FEC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default" w:cs="Times New Roman"/>
                      <w:color w:val="000000"/>
                      <w:kern w:val="2"/>
                      <w:sz w:val="21"/>
                      <w:szCs w:val="21"/>
                      <w:highlight w:val="none"/>
                      <w:lang w:val="en-US" w:eastAsia="zh-CN" w:bidi="ar-SA"/>
                    </w:rPr>
                    <w:t>移动式焊接烟尘净化器</w:t>
                  </w:r>
                </w:p>
              </w:tc>
              <w:tc>
                <w:tcPr>
                  <w:tcW w:w="732" w:type="dxa"/>
                  <w:shd w:val="clear" w:color="auto" w:fill="auto"/>
                  <w:vAlign w:val="center"/>
                </w:tcPr>
                <w:p w14:paraId="403596C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90</w:t>
                  </w:r>
                </w:p>
              </w:tc>
              <w:tc>
                <w:tcPr>
                  <w:tcW w:w="756" w:type="dxa"/>
                  <w:vAlign w:val="center"/>
                </w:tcPr>
                <w:p w14:paraId="3E36D03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90</w:t>
                  </w:r>
                </w:p>
              </w:tc>
              <w:tc>
                <w:tcPr>
                  <w:tcW w:w="1021" w:type="dxa"/>
                  <w:shd w:val="clear" w:color="auto" w:fill="auto"/>
                  <w:vAlign w:val="center"/>
                </w:tcPr>
                <w:p w14:paraId="0552A2B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0.13</w:t>
                  </w:r>
                </w:p>
              </w:tc>
              <w:tc>
                <w:tcPr>
                  <w:tcW w:w="984" w:type="dxa"/>
                  <w:vAlign w:val="center"/>
                </w:tcPr>
                <w:p w14:paraId="47E46CF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0.03</w:t>
                  </w:r>
                </w:p>
              </w:tc>
              <w:tc>
                <w:tcPr>
                  <w:tcW w:w="912" w:type="dxa"/>
                  <w:shd w:val="clear" w:color="auto" w:fill="auto"/>
                  <w:vAlign w:val="center"/>
                </w:tcPr>
                <w:p w14:paraId="3B015BA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0.01</w:t>
                  </w:r>
                </w:p>
              </w:tc>
              <w:tc>
                <w:tcPr>
                  <w:tcW w:w="948" w:type="dxa"/>
                  <w:shd w:val="clear" w:color="auto" w:fill="auto"/>
                  <w:vAlign w:val="center"/>
                </w:tcPr>
                <w:p w14:paraId="776914E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w:t>
                  </w:r>
                </w:p>
              </w:tc>
              <w:tc>
                <w:tcPr>
                  <w:tcW w:w="888" w:type="dxa"/>
                  <w:vAlign w:val="center"/>
                </w:tcPr>
                <w:p w14:paraId="25C8238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w:t>
                  </w:r>
                </w:p>
              </w:tc>
              <w:tc>
                <w:tcPr>
                  <w:tcW w:w="912" w:type="dxa"/>
                  <w:shd w:val="clear" w:color="auto" w:fill="auto"/>
                  <w:vAlign w:val="center"/>
                </w:tcPr>
                <w:p w14:paraId="7E65EF2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w:t>
                  </w:r>
                </w:p>
              </w:tc>
            </w:tr>
            <w:tr w14:paraId="2DFE5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1020" w:type="dxa"/>
                  <w:vAlign w:val="center"/>
                </w:tcPr>
                <w:p w14:paraId="5D27415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抛丸</w:t>
                  </w:r>
                </w:p>
              </w:tc>
              <w:tc>
                <w:tcPr>
                  <w:tcW w:w="942" w:type="dxa"/>
                  <w:shd w:val="clear" w:color="auto" w:fill="auto"/>
                  <w:vAlign w:val="center"/>
                </w:tcPr>
                <w:p w14:paraId="53D88F5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颗粒物</w:t>
                  </w:r>
                </w:p>
              </w:tc>
              <w:tc>
                <w:tcPr>
                  <w:tcW w:w="936" w:type="dxa"/>
                  <w:shd w:val="clear" w:color="auto" w:fill="auto"/>
                  <w:vAlign w:val="center"/>
                </w:tcPr>
                <w:p w14:paraId="534E835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9.48</w:t>
                  </w:r>
                </w:p>
              </w:tc>
              <w:tc>
                <w:tcPr>
                  <w:tcW w:w="851" w:type="dxa"/>
                  <w:shd w:val="clear" w:color="auto" w:fill="auto"/>
                  <w:vAlign w:val="center"/>
                </w:tcPr>
                <w:p w14:paraId="5799599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219.51</w:t>
                  </w:r>
                </w:p>
              </w:tc>
              <w:tc>
                <w:tcPr>
                  <w:tcW w:w="864" w:type="dxa"/>
                  <w:vAlign w:val="center"/>
                </w:tcPr>
                <w:p w14:paraId="39D59B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3.95</w:t>
                  </w:r>
                </w:p>
              </w:tc>
              <w:tc>
                <w:tcPr>
                  <w:tcW w:w="1560" w:type="dxa"/>
                  <w:vAlign w:val="center"/>
                </w:tcPr>
                <w:p w14:paraId="267BA0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负压收集+旋风滤筒组合式除尘器</w:t>
                  </w:r>
                </w:p>
              </w:tc>
              <w:tc>
                <w:tcPr>
                  <w:tcW w:w="732" w:type="dxa"/>
                  <w:shd w:val="clear" w:color="auto" w:fill="auto"/>
                  <w:vAlign w:val="center"/>
                </w:tcPr>
                <w:p w14:paraId="15A0917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95</w:t>
                  </w:r>
                </w:p>
              </w:tc>
              <w:tc>
                <w:tcPr>
                  <w:tcW w:w="756" w:type="dxa"/>
                  <w:vAlign w:val="center"/>
                </w:tcPr>
                <w:p w14:paraId="137BDDF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95</w:t>
                  </w:r>
                </w:p>
              </w:tc>
              <w:tc>
                <w:tcPr>
                  <w:tcW w:w="1021" w:type="dxa"/>
                  <w:shd w:val="clear" w:color="auto" w:fill="auto"/>
                  <w:vAlign w:val="center"/>
                </w:tcPr>
                <w:p w14:paraId="0C5A985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8.56</w:t>
                  </w:r>
                </w:p>
              </w:tc>
              <w:tc>
                <w:tcPr>
                  <w:tcW w:w="984" w:type="dxa"/>
                  <w:vAlign w:val="center"/>
                </w:tcPr>
                <w:p w14:paraId="63D8B6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0.47</w:t>
                  </w:r>
                </w:p>
              </w:tc>
              <w:tc>
                <w:tcPr>
                  <w:tcW w:w="912" w:type="dxa"/>
                  <w:shd w:val="clear" w:color="auto" w:fill="auto"/>
                  <w:vAlign w:val="center"/>
                </w:tcPr>
                <w:p w14:paraId="4DA6F90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0.2</w:t>
                  </w:r>
                </w:p>
              </w:tc>
              <w:tc>
                <w:tcPr>
                  <w:tcW w:w="948" w:type="dxa"/>
                  <w:shd w:val="clear" w:color="auto" w:fill="auto"/>
                  <w:vAlign w:val="center"/>
                </w:tcPr>
                <w:p w14:paraId="1BE10BA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0.45</w:t>
                  </w:r>
                </w:p>
              </w:tc>
              <w:tc>
                <w:tcPr>
                  <w:tcW w:w="888" w:type="dxa"/>
                  <w:vAlign w:val="center"/>
                </w:tcPr>
                <w:p w14:paraId="4CEFA40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10.43</w:t>
                  </w:r>
                </w:p>
              </w:tc>
              <w:tc>
                <w:tcPr>
                  <w:tcW w:w="912" w:type="dxa"/>
                  <w:shd w:val="clear" w:color="auto" w:fill="auto"/>
                  <w:vAlign w:val="center"/>
                </w:tcPr>
                <w:p w14:paraId="08B0D45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0.19</w:t>
                  </w:r>
                </w:p>
              </w:tc>
            </w:tr>
            <w:tr w14:paraId="0C2AF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1020" w:type="dxa"/>
                  <w:vMerge w:val="restart"/>
                  <w:shd w:val="clear" w:color="auto" w:fill="auto"/>
                  <w:vAlign w:val="center"/>
                </w:tcPr>
                <w:p w14:paraId="6BEED6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刷漆晾干</w:t>
                  </w:r>
                </w:p>
              </w:tc>
              <w:tc>
                <w:tcPr>
                  <w:tcW w:w="942" w:type="dxa"/>
                  <w:vAlign w:val="center"/>
                </w:tcPr>
                <w:p w14:paraId="274B09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VOCs</w:t>
                  </w:r>
                </w:p>
              </w:tc>
              <w:tc>
                <w:tcPr>
                  <w:tcW w:w="936" w:type="dxa"/>
                  <w:shd w:val="clear" w:color="auto" w:fill="auto"/>
                  <w:vAlign w:val="center"/>
                </w:tcPr>
                <w:p w14:paraId="25EFD5F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1.42</w:t>
                  </w:r>
                </w:p>
              </w:tc>
              <w:tc>
                <w:tcPr>
                  <w:tcW w:w="851" w:type="dxa"/>
                  <w:shd w:val="clear" w:color="auto" w:fill="auto"/>
                  <w:vAlign w:val="center"/>
                </w:tcPr>
                <w:p w14:paraId="3E0107E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19.72</w:t>
                  </w:r>
                </w:p>
              </w:tc>
              <w:tc>
                <w:tcPr>
                  <w:tcW w:w="864" w:type="dxa"/>
                  <w:vAlign w:val="center"/>
                </w:tcPr>
                <w:p w14:paraId="28A494E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0.59</w:t>
                  </w:r>
                </w:p>
              </w:tc>
              <w:tc>
                <w:tcPr>
                  <w:tcW w:w="1560" w:type="dxa"/>
                  <w:vMerge w:val="restart"/>
                  <w:vAlign w:val="center"/>
                </w:tcPr>
                <w:p w14:paraId="0941C90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房间密闭+过滤棉+二级活性炭</w:t>
                  </w:r>
                </w:p>
              </w:tc>
              <w:tc>
                <w:tcPr>
                  <w:tcW w:w="732" w:type="dxa"/>
                  <w:shd w:val="clear" w:color="auto" w:fill="auto"/>
                  <w:vAlign w:val="center"/>
                </w:tcPr>
                <w:p w14:paraId="3DE291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98</w:t>
                  </w:r>
                </w:p>
              </w:tc>
              <w:tc>
                <w:tcPr>
                  <w:tcW w:w="756" w:type="dxa"/>
                  <w:vAlign w:val="center"/>
                </w:tcPr>
                <w:p w14:paraId="0D9C037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90</w:t>
                  </w:r>
                </w:p>
              </w:tc>
              <w:tc>
                <w:tcPr>
                  <w:tcW w:w="1021" w:type="dxa"/>
                  <w:shd w:val="clear" w:color="auto" w:fill="auto"/>
                  <w:vAlign w:val="center"/>
                </w:tcPr>
                <w:p w14:paraId="2A23B8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1.25</w:t>
                  </w:r>
                </w:p>
              </w:tc>
              <w:tc>
                <w:tcPr>
                  <w:tcW w:w="984" w:type="dxa"/>
                  <w:vAlign w:val="center"/>
                </w:tcPr>
                <w:p w14:paraId="6CE2AF8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0.03</w:t>
                  </w:r>
                </w:p>
              </w:tc>
              <w:tc>
                <w:tcPr>
                  <w:tcW w:w="912" w:type="dxa"/>
                  <w:shd w:val="clear" w:color="auto" w:fill="auto"/>
                  <w:vAlign w:val="center"/>
                </w:tcPr>
                <w:p w14:paraId="16E9C85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0.01</w:t>
                  </w:r>
                </w:p>
              </w:tc>
              <w:tc>
                <w:tcPr>
                  <w:tcW w:w="948" w:type="dxa"/>
                  <w:shd w:val="clear" w:color="auto" w:fill="auto"/>
                  <w:vAlign w:val="center"/>
                </w:tcPr>
                <w:p w14:paraId="53AEF46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0.14</w:t>
                  </w:r>
                </w:p>
              </w:tc>
              <w:tc>
                <w:tcPr>
                  <w:tcW w:w="888" w:type="dxa"/>
                  <w:vAlign w:val="center"/>
                </w:tcPr>
                <w:p w14:paraId="4974766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1.93</w:t>
                  </w:r>
                </w:p>
              </w:tc>
              <w:tc>
                <w:tcPr>
                  <w:tcW w:w="912" w:type="dxa"/>
                  <w:shd w:val="clear" w:color="auto" w:fill="auto"/>
                  <w:vAlign w:val="center"/>
                </w:tcPr>
                <w:p w14:paraId="2A0DE82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0.06</w:t>
                  </w:r>
                </w:p>
              </w:tc>
            </w:tr>
            <w:tr w14:paraId="181C3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1020" w:type="dxa"/>
                  <w:vMerge w:val="continue"/>
                  <w:shd w:val="clear" w:color="auto" w:fill="auto"/>
                  <w:vAlign w:val="center"/>
                </w:tcPr>
                <w:p w14:paraId="1BC4AD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bidi="ar-SA"/>
                    </w:rPr>
                  </w:pPr>
                </w:p>
              </w:tc>
              <w:tc>
                <w:tcPr>
                  <w:tcW w:w="942" w:type="dxa"/>
                  <w:vAlign w:val="center"/>
                </w:tcPr>
                <w:p w14:paraId="5052799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二甲苯</w:t>
                  </w:r>
                </w:p>
              </w:tc>
              <w:tc>
                <w:tcPr>
                  <w:tcW w:w="936" w:type="dxa"/>
                  <w:shd w:val="clear" w:color="auto" w:fill="auto"/>
                  <w:vAlign w:val="center"/>
                </w:tcPr>
                <w:p w14:paraId="6188E8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0.68</w:t>
                  </w:r>
                </w:p>
              </w:tc>
              <w:tc>
                <w:tcPr>
                  <w:tcW w:w="851" w:type="dxa"/>
                  <w:shd w:val="clear" w:color="auto" w:fill="auto"/>
                  <w:vAlign w:val="center"/>
                </w:tcPr>
                <w:p w14:paraId="5E49D70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9.44</w:t>
                  </w:r>
                </w:p>
              </w:tc>
              <w:tc>
                <w:tcPr>
                  <w:tcW w:w="864" w:type="dxa"/>
                  <w:vAlign w:val="center"/>
                </w:tcPr>
                <w:p w14:paraId="22878F9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0.28</w:t>
                  </w:r>
                </w:p>
              </w:tc>
              <w:tc>
                <w:tcPr>
                  <w:tcW w:w="1560" w:type="dxa"/>
                  <w:vMerge w:val="continue"/>
                  <w:vAlign w:val="center"/>
                </w:tcPr>
                <w:p w14:paraId="1DB1C35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p>
              </w:tc>
              <w:tc>
                <w:tcPr>
                  <w:tcW w:w="732" w:type="dxa"/>
                  <w:shd w:val="clear" w:color="auto" w:fill="auto"/>
                  <w:vAlign w:val="center"/>
                </w:tcPr>
                <w:p w14:paraId="2373F06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98</w:t>
                  </w:r>
                </w:p>
              </w:tc>
              <w:tc>
                <w:tcPr>
                  <w:tcW w:w="756" w:type="dxa"/>
                  <w:vAlign w:val="center"/>
                </w:tcPr>
                <w:p w14:paraId="431B28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90</w:t>
                  </w:r>
                </w:p>
              </w:tc>
              <w:tc>
                <w:tcPr>
                  <w:tcW w:w="1021" w:type="dxa"/>
                  <w:shd w:val="clear" w:color="auto" w:fill="auto"/>
                  <w:vAlign w:val="center"/>
                </w:tcPr>
                <w:p w14:paraId="207A78B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0.6</w:t>
                  </w:r>
                </w:p>
              </w:tc>
              <w:tc>
                <w:tcPr>
                  <w:tcW w:w="984" w:type="dxa"/>
                  <w:vAlign w:val="center"/>
                </w:tcPr>
                <w:p w14:paraId="7BEEFE1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0.01</w:t>
                  </w:r>
                </w:p>
              </w:tc>
              <w:tc>
                <w:tcPr>
                  <w:tcW w:w="912" w:type="dxa"/>
                  <w:shd w:val="clear" w:color="auto" w:fill="auto"/>
                  <w:vAlign w:val="center"/>
                </w:tcPr>
                <w:p w14:paraId="788115F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0.01</w:t>
                  </w:r>
                </w:p>
              </w:tc>
              <w:tc>
                <w:tcPr>
                  <w:tcW w:w="948" w:type="dxa"/>
                  <w:shd w:val="clear" w:color="auto" w:fill="auto"/>
                  <w:vAlign w:val="center"/>
                </w:tcPr>
                <w:p w14:paraId="74F1C4C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0.07</w:t>
                  </w:r>
                </w:p>
              </w:tc>
              <w:tc>
                <w:tcPr>
                  <w:tcW w:w="888" w:type="dxa"/>
                  <w:vAlign w:val="center"/>
                </w:tcPr>
                <w:p w14:paraId="054DB26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0.93</w:t>
                  </w:r>
                </w:p>
              </w:tc>
              <w:tc>
                <w:tcPr>
                  <w:tcW w:w="912" w:type="dxa"/>
                  <w:shd w:val="clear" w:color="auto" w:fill="auto"/>
                  <w:vAlign w:val="center"/>
                </w:tcPr>
                <w:p w14:paraId="50AB53A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0.03</w:t>
                  </w:r>
                </w:p>
              </w:tc>
            </w:tr>
            <w:tr w14:paraId="43CD4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1020" w:type="dxa"/>
                  <w:shd w:val="clear" w:color="auto" w:fill="auto"/>
                  <w:vAlign w:val="center"/>
                </w:tcPr>
                <w:p w14:paraId="68D6785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食堂</w:t>
                  </w:r>
                </w:p>
              </w:tc>
              <w:tc>
                <w:tcPr>
                  <w:tcW w:w="942" w:type="dxa"/>
                  <w:vAlign w:val="center"/>
                </w:tcPr>
                <w:p w14:paraId="3A9FF87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油烟</w:t>
                  </w:r>
                </w:p>
              </w:tc>
              <w:tc>
                <w:tcPr>
                  <w:tcW w:w="936" w:type="dxa"/>
                  <w:shd w:val="clear" w:color="auto" w:fill="auto"/>
                  <w:vAlign w:val="center"/>
                </w:tcPr>
                <w:p w14:paraId="7CF0463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4.5×10</w:t>
                  </w:r>
                  <w:r>
                    <w:rPr>
                      <w:rFonts w:hint="eastAsia" w:cs="Times New Roman"/>
                      <w:color w:val="000000"/>
                      <w:kern w:val="2"/>
                      <w:sz w:val="21"/>
                      <w:szCs w:val="21"/>
                      <w:highlight w:val="none"/>
                      <w:vertAlign w:val="superscript"/>
                      <w:lang w:val="en-US" w:eastAsia="zh-CN" w:bidi="ar-SA"/>
                    </w:rPr>
                    <w:t>-3</w:t>
                  </w:r>
                </w:p>
              </w:tc>
              <w:tc>
                <w:tcPr>
                  <w:tcW w:w="851" w:type="dxa"/>
                  <w:shd w:val="clear" w:color="auto" w:fill="auto"/>
                  <w:vAlign w:val="center"/>
                </w:tcPr>
                <w:p w14:paraId="2B8CDCD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6.31</w:t>
                  </w:r>
                </w:p>
              </w:tc>
              <w:tc>
                <w:tcPr>
                  <w:tcW w:w="864" w:type="dxa"/>
                  <w:vAlign w:val="center"/>
                </w:tcPr>
                <w:p w14:paraId="1E791D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0.02</w:t>
                  </w:r>
                </w:p>
              </w:tc>
              <w:tc>
                <w:tcPr>
                  <w:tcW w:w="1560" w:type="dxa"/>
                  <w:vAlign w:val="center"/>
                </w:tcPr>
                <w:p w14:paraId="1E41328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负压收集+</w:t>
                  </w:r>
                  <w:r>
                    <w:rPr>
                      <w:rFonts w:hint="eastAsia"/>
                      <w:color w:val="000000"/>
                      <w:kern w:val="0"/>
                      <w:sz w:val="24"/>
                      <w:lang w:val="en-US" w:eastAsia="zh-CN"/>
                    </w:rPr>
                    <w:t>油烟机</w:t>
                  </w:r>
                </w:p>
              </w:tc>
              <w:tc>
                <w:tcPr>
                  <w:tcW w:w="732" w:type="dxa"/>
                  <w:shd w:val="clear" w:color="auto" w:fill="auto"/>
                  <w:vAlign w:val="center"/>
                </w:tcPr>
                <w:p w14:paraId="0AB39B2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90</w:t>
                  </w:r>
                </w:p>
              </w:tc>
              <w:tc>
                <w:tcPr>
                  <w:tcW w:w="756" w:type="dxa"/>
                  <w:vAlign w:val="center"/>
                </w:tcPr>
                <w:p w14:paraId="2DBC060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80</w:t>
                  </w:r>
                </w:p>
              </w:tc>
              <w:tc>
                <w:tcPr>
                  <w:tcW w:w="1021" w:type="dxa"/>
                  <w:shd w:val="clear" w:color="auto" w:fill="auto"/>
                  <w:vAlign w:val="center"/>
                </w:tcPr>
                <w:p w14:paraId="35E270F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3.24×10</w:t>
                  </w:r>
                  <w:r>
                    <w:rPr>
                      <w:rFonts w:hint="eastAsia" w:cs="Times New Roman"/>
                      <w:color w:val="000000"/>
                      <w:kern w:val="2"/>
                      <w:sz w:val="21"/>
                      <w:szCs w:val="21"/>
                      <w:highlight w:val="none"/>
                      <w:vertAlign w:val="superscript"/>
                      <w:lang w:val="en-US" w:eastAsia="zh-CN" w:bidi="ar-SA"/>
                    </w:rPr>
                    <w:t>-3</w:t>
                  </w:r>
                </w:p>
              </w:tc>
              <w:tc>
                <w:tcPr>
                  <w:tcW w:w="984" w:type="dxa"/>
                  <w:vAlign w:val="center"/>
                </w:tcPr>
                <w:p w14:paraId="3119FD8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4.5×10</w:t>
                  </w:r>
                  <w:r>
                    <w:rPr>
                      <w:rFonts w:hint="eastAsia" w:cs="Times New Roman"/>
                      <w:color w:val="000000"/>
                      <w:kern w:val="2"/>
                      <w:sz w:val="21"/>
                      <w:szCs w:val="21"/>
                      <w:highlight w:val="none"/>
                      <w:vertAlign w:val="superscript"/>
                      <w:lang w:val="en-US" w:eastAsia="zh-CN" w:bidi="ar-SA"/>
                    </w:rPr>
                    <w:t>-4</w:t>
                  </w:r>
                </w:p>
              </w:tc>
              <w:tc>
                <w:tcPr>
                  <w:tcW w:w="912" w:type="dxa"/>
                  <w:shd w:val="clear" w:color="auto" w:fill="auto"/>
                  <w:vAlign w:val="center"/>
                </w:tcPr>
                <w:p w14:paraId="48EAA79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1.5×10</w:t>
                  </w:r>
                  <w:r>
                    <w:rPr>
                      <w:rFonts w:hint="eastAsia" w:cs="Times New Roman"/>
                      <w:color w:val="000000"/>
                      <w:kern w:val="2"/>
                      <w:sz w:val="21"/>
                      <w:szCs w:val="21"/>
                      <w:highlight w:val="none"/>
                      <w:vertAlign w:val="superscript"/>
                      <w:lang w:val="en-US" w:eastAsia="zh-CN" w:bidi="ar-SA"/>
                    </w:rPr>
                    <w:t>-3</w:t>
                  </w:r>
                </w:p>
              </w:tc>
              <w:tc>
                <w:tcPr>
                  <w:tcW w:w="948" w:type="dxa"/>
                  <w:shd w:val="clear" w:color="auto" w:fill="auto"/>
                  <w:vAlign w:val="center"/>
                </w:tcPr>
                <w:p w14:paraId="6517E5D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8.1×10</w:t>
                  </w:r>
                  <w:r>
                    <w:rPr>
                      <w:rFonts w:hint="eastAsia" w:cs="Times New Roman"/>
                      <w:color w:val="000000"/>
                      <w:kern w:val="2"/>
                      <w:sz w:val="21"/>
                      <w:szCs w:val="21"/>
                      <w:highlight w:val="none"/>
                      <w:vertAlign w:val="superscript"/>
                      <w:lang w:val="en-US" w:eastAsia="zh-CN" w:bidi="ar-SA"/>
                    </w:rPr>
                    <w:t>-4</w:t>
                  </w:r>
                </w:p>
              </w:tc>
              <w:tc>
                <w:tcPr>
                  <w:tcW w:w="888" w:type="dxa"/>
                  <w:vAlign w:val="center"/>
                </w:tcPr>
                <w:p w14:paraId="23C3BB0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1.14</w:t>
                  </w:r>
                </w:p>
              </w:tc>
              <w:tc>
                <w:tcPr>
                  <w:tcW w:w="912" w:type="dxa"/>
                  <w:shd w:val="clear" w:color="auto" w:fill="auto"/>
                  <w:vAlign w:val="center"/>
                </w:tcPr>
                <w:p w14:paraId="21A1463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2.7×10</w:t>
                  </w:r>
                  <w:r>
                    <w:rPr>
                      <w:rFonts w:hint="eastAsia" w:cs="Times New Roman"/>
                      <w:color w:val="000000"/>
                      <w:kern w:val="2"/>
                      <w:sz w:val="21"/>
                      <w:szCs w:val="21"/>
                      <w:highlight w:val="none"/>
                      <w:vertAlign w:val="superscript"/>
                      <w:lang w:val="en-US" w:eastAsia="zh-CN" w:bidi="ar-SA"/>
                    </w:rPr>
                    <w:t>-3</w:t>
                  </w:r>
                </w:p>
              </w:tc>
            </w:tr>
          </w:tbl>
          <w:p w14:paraId="538F8E31">
            <w:pPr>
              <w:autoSpaceDE w:val="0"/>
              <w:autoSpaceDN w:val="0"/>
              <w:adjustRightInd w:val="0"/>
              <w:snapToGrid w:val="0"/>
              <w:ind w:firstLine="480" w:firstLineChars="200"/>
              <w:jc w:val="center"/>
              <w:rPr>
                <w:rFonts w:hint="eastAsia" w:ascii="宋体" w:hAnsi="宋体" w:cs="宋体"/>
                <w:kern w:val="0"/>
                <w:sz w:val="24"/>
                <w:szCs w:val="24"/>
              </w:rPr>
            </w:pPr>
          </w:p>
          <w:p w14:paraId="4C88494F">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由上表可知，技改后项目切割、抛丸产生的颗粒物有组织排放可以满足《大气污染物综合排放标准》（GB16297-1996）表2的120mg/m</w:t>
            </w:r>
            <w:r>
              <w:rPr>
                <w:rFonts w:hint="eastAsia"/>
                <w:color w:val="000000"/>
                <w:kern w:val="0"/>
                <w:sz w:val="24"/>
                <w:vertAlign w:val="superscript"/>
                <w:lang w:val="en-US" w:eastAsia="zh-CN"/>
              </w:rPr>
              <w:t>3</w:t>
            </w:r>
            <w:r>
              <w:rPr>
                <w:rFonts w:hint="eastAsia"/>
                <w:color w:val="000000"/>
                <w:kern w:val="0"/>
                <w:sz w:val="24"/>
                <w:vertAlign w:val="baseline"/>
                <w:lang w:val="en-US" w:eastAsia="zh-CN"/>
              </w:rPr>
              <w:t>和3.5kg/h</w:t>
            </w:r>
            <w:r>
              <w:rPr>
                <w:rFonts w:hint="eastAsia"/>
                <w:color w:val="000000"/>
                <w:kern w:val="0"/>
                <w:sz w:val="24"/>
                <w:lang w:val="en-US" w:eastAsia="zh-CN"/>
              </w:rPr>
              <w:t>限值要求。刷漆晾干产生的VOCs有组织排放可以满足《固定源挥发性有机物综合排放标准 第6部分：其他行业》（DB 34/4812.6-2024）表1的70mg/m</w:t>
            </w:r>
            <w:r>
              <w:rPr>
                <w:rFonts w:hint="eastAsia"/>
                <w:color w:val="000000"/>
                <w:kern w:val="0"/>
                <w:sz w:val="24"/>
                <w:vertAlign w:val="superscript"/>
                <w:lang w:val="en-US" w:eastAsia="zh-CN"/>
              </w:rPr>
              <w:t>3</w:t>
            </w:r>
            <w:r>
              <w:rPr>
                <w:rFonts w:hint="eastAsia"/>
                <w:color w:val="000000"/>
                <w:kern w:val="0"/>
                <w:sz w:val="24"/>
                <w:vertAlign w:val="baseline"/>
                <w:lang w:val="en-US" w:eastAsia="zh-CN"/>
              </w:rPr>
              <w:t>和3.0kg/h</w:t>
            </w:r>
            <w:r>
              <w:rPr>
                <w:rFonts w:hint="eastAsia"/>
                <w:color w:val="000000"/>
                <w:kern w:val="0"/>
                <w:sz w:val="24"/>
                <w:lang w:val="en-US" w:eastAsia="zh-CN"/>
              </w:rPr>
              <w:t>限值要求；二甲苯可以满足《固定源挥发性有机物综合排放标准 第6部分：其他行业》（DB 34/4812.6-2024）表1的20mg/m</w:t>
            </w:r>
            <w:r>
              <w:rPr>
                <w:rFonts w:hint="eastAsia"/>
                <w:color w:val="000000"/>
                <w:kern w:val="0"/>
                <w:sz w:val="24"/>
                <w:vertAlign w:val="superscript"/>
                <w:lang w:val="en-US" w:eastAsia="zh-CN"/>
              </w:rPr>
              <w:t>3</w:t>
            </w:r>
            <w:r>
              <w:rPr>
                <w:rFonts w:hint="eastAsia"/>
                <w:color w:val="000000"/>
                <w:kern w:val="0"/>
                <w:sz w:val="24"/>
                <w:vertAlign w:val="baseline"/>
                <w:lang w:val="en-US" w:eastAsia="zh-CN"/>
              </w:rPr>
              <w:t>和1.6kg/h</w:t>
            </w:r>
            <w:r>
              <w:rPr>
                <w:rFonts w:hint="eastAsia"/>
                <w:color w:val="000000"/>
                <w:kern w:val="0"/>
                <w:sz w:val="24"/>
                <w:lang w:val="en-US" w:eastAsia="zh-CN"/>
              </w:rPr>
              <w:t>限值要求。食堂产生的油烟废气有组织排放可以满足《饮食业油烟排放标准（试行）》（GB18483-2001）表2的2.0mg/m</w:t>
            </w:r>
            <w:r>
              <w:rPr>
                <w:rFonts w:hint="eastAsia"/>
                <w:color w:val="000000"/>
                <w:kern w:val="0"/>
                <w:sz w:val="24"/>
                <w:vertAlign w:val="superscript"/>
                <w:lang w:val="en-US" w:eastAsia="zh-CN"/>
              </w:rPr>
              <w:t>3</w:t>
            </w:r>
            <w:r>
              <w:rPr>
                <w:rFonts w:hint="eastAsia"/>
                <w:color w:val="000000"/>
                <w:kern w:val="0"/>
                <w:sz w:val="24"/>
                <w:lang w:val="en-US" w:eastAsia="zh-CN"/>
              </w:rPr>
              <w:t>限值要求。</w:t>
            </w:r>
          </w:p>
          <w:p w14:paraId="05B970A9">
            <w:pPr>
              <w:autoSpaceDE w:val="0"/>
              <w:autoSpaceDN w:val="0"/>
              <w:adjustRightInd w:val="0"/>
              <w:snapToGrid w:val="0"/>
              <w:ind w:firstLine="480" w:firstLineChars="200"/>
              <w:jc w:val="left"/>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技改后建设单位排放口基本情况见下表。</w:t>
            </w:r>
          </w:p>
          <w:p w14:paraId="7A8FD684">
            <w:pPr>
              <w:keepNext w:val="0"/>
              <w:keepLines w:val="0"/>
              <w:pageBreakBefore w:val="0"/>
              <w:widowControl/>
              <w:kinsoku/>
              <w:wordWrap/>
              <w:overflowPunct/>
              <w:topLinePunct w:val="0"/>
              <w:autoSpaceDE/>
              <w:autoSpaceDN/>
              <w:bidi w:val="0"/>
              <w:adjustRightInd/>
              <w:snapToGrid/>
              <w:spacing w:before="157" w:beforeLines="50"/>
              <w:jc w:val="center"/>
              <w:textAlignment w:val="auto"/>
              <w:rPr>
                <w:b/>
                <w:kern w:val="0"/>
                <w:sz w:val="22"/>
                <w:szCs w:val="22"/>
              </w:rPr>
            </w:pPr>
            <w:r>
              <w:rPr>
                <w:b/>
                <w:kern w:val="0"/>
                <w:sz w:val="22"/>
                <w:szCs w:val="22"/>
              </w:rPr>
              <w:t>表</w:t>
            </w:r>
            <w:r>
              <w:rPr>
                <w:rFonts w:hint="eastAsia"/>
                <w:b/>
                <w:kern w:val="0"/>
                <w:sz w:val="22"/>
                <w:szCs w:val="22"/>
                <w:lang w:val="en-US" w:eastAsia="zh-CN"/>
              </w:rPr>
              <w:t>4</w:t>
            </w:r>
            <w:r>
              <w:rPr>
                <w:b/>
                <w:kern w:val="0"/>
                <w:sz w:val="22"/>
                <w:szCs w:val="22"/>
              </w:rPr>
              <w:t>-</w:t>
            </w:r>
            <w:r>
              <w:rPr>
                <w:rFonts w:hint="eastAsia"/>
                <w:b/>
                <w:kern w:val="0"/>
                <w:sz w:val="22"/>
                <w:szCs w:val="22"/>
                <w:lang w:val="en-US" w:eastAsia="zh-CN"/>
              </w:rPr>
              <w:t>2</w:t>
            </w:r>
            <w:r>
              <w:rPr>
                <w:b/>
                <w:kern w:val="0"/>
                <w:sz w:val="22"/>
                <w:szCs w:val="22"/>
              </w:rPr>
              <w:t xml:space="preserve"> </w:t>
            </w:r>
            <w:r>
              <w:rPr>
                <w:rFonts w:hint="eastAsia"/>
                <w:b/>
                <w:kern w:val="0"/>
                <w:sz w:val="22"/>
                <w:szCs w:val="22"/>
                <w:lang w:val="en-US" w:eastAsia="zh-CN"/>
              </w:rPr>
              <w:t>技改后排放口基本情况一览</w:t>
            </w:r>
            <w:r>
              <w:rPr>
                <w:rFonts w:hint="eastAsia"/>
                <w:b/>
                <w:kern w:val="0"/>
                <w:sz w:val="22"/>
                <w:szCs w:val="22"/>
              </w:rPr>
              <w:t>表</w:t>
            </w:r>
          </w:p>
          <w:tbl>
            <w:tblPr>
              <w:tblStyle w:val="39"/>
              <w:tblW w:w="126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1727"/>
              <w:gridCol w:w="2748"/>
              <w:gridCol w:w="1827"/>
              <w:gridCol w:w="1201"/>
              <w:gridCol w:w="1205"/>
              <w:gridCol w:w="1098"/>
              <w:gridCol w:w="2865"/>
            </w:tblGrid>
            <w:tr w14:paraId="12298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727" w:type="dxa"/>
                  <w:vAlign w:val="center"/>
                </w:tcPr>
                <w:p w14:paraId="00E6985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排放口编号</w:t>
                  </w:r>
                </w:p>
              </w:tc>
              <w:tc>
                <w:tcPr>
                  <w:tcW w:w="2748" w:type="dxa"/>
                  <w:vAlign w:val="center"/>
                </w:tcPr>
                <w:p w14:paraId="75ECB1F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名称</w:t>
                  </w:r>
                </w:p>
              </w:tc>
              <w:tc>
                <w:tcPr>
                  <w:tcW w:w="1827" w:type="dxa"/>
                  <w:shd w:val="clear" w:color="auto" w:fill="auto"/>
                  <w:vAlign w:val="center"/>
                </w:tcPr>
                <w:p w14:paraId="01E55A9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bidi="ar-SA"/>
                    </w:rPr>
                  </w:pPr>
                  <w:r>
                    <w:rPr>
                      <w:rFonts w:hint="eastAsia" w:cs="Times New Roman"/>
                      <w:b/>
                      <w:bCs/>
                      <w:color w:val="000000"/>
                      <w:kern w:val="2"/>
                      <w:sz w:val="22"/>
                      <w:szCs w:val="22"/>
                      <w:highlight w:val="none"/>
                      <w:lang w:val="en-US" w:eastAsia="zh-CN"/>
                    </w:rPr>
                    <w:t>类型</w:t>
                  </w:r>
                </w:p>
              </w:tc>
              <w:tc>
                <w:tcPr>
                  <w:tcW w:w="1201" w:type="dxa"/>
                  <w:vAlign w:val="center"/>
                </w:tcPr>
                <w:p w14:paraId="4CB69EB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高度m</w:t>
                  </w:r>
                </w:p>
              </w:tc>
              <w:tc>
                <w:tcPr>
                  <w:tcW w:w="1205" w:type="dxa"/>
                  <w:vAlign w:val="center"/>
                </w:tcPr>
                <w:p w14:paraId="3211C9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内径m</w:t>
                  </w:r>
                </w:p>
              </w:tc>
              <w:tc>
                <w:tcPr>
                  <w:tcW w:w="1098" w:type="dxa"/>
                  <w:shd w:val="clear" w:color="auto" w:fill="auto"/>
                  <w:vAlign w:val="center"/>
                </w:tcPr>
                <w:p w14:paraId="1DC614F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bidi="ar-SA"/>
                    </w:rPr>
                  </w:pPr>
                  <w:r>
                    <w:rPr>
                      <w:rFonts w:hint="eastAsia" w:cs="Times New Roman"/>
                      <w:b/>
                      <w:bCs/>
                      <w:color w:val="000000"/>
                      <w:kern w:val="2"/>
                      <w:sz w:val="22"/>
                      <w:szCs w:val="22"/>
                      <w:highlight w:val="none"/>
                      <w:lang w:val="en-US" w:eastAsia="zh-CN"/>
                    </w:rPr>
                    <w:t>温度</w:t>
                  </w:r>
                  <w:r>
                    <w:rPr>
                      <w:rFonts w:hint="eastAsia"/>
                      <w:b/>
                      <w:bCs/>
                      <w:color w:val="000000"/>
                      <w:kern w:val="0"/>
                      <w:sz w:val="22"/>
                      <w:szCs w:val="22"/>
                      <w:lang w:val="en-US" w:eastAsia="zh-CN"/>
                    </w:rPr>
                    <w:t>℃</w:t>
                  </w:r>
                </w:p>
              </w:tc>
              <w:tc>
                <w:tcPr>
                  <w:tcW w:w="2865" w:type="dxa"/>
                  <w:shd w:val="clear" w:color="auto" w:fill="auto"/>
                  <w:vAlign w:val="center"/>
                </w:tcPr>
                <w:p w14:paraId="129F32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2"/>
                      <w:szCs w:val="22"/>
                      <w:highlight w:val="none"/>
                      <w:lang w:val="en-US" w:eastAsia="zh-CN" w:bidi="ar-SA"/>
                    </w:rPr>
                  </w:pPr>
                  <w:r>
                    <w:rPr>
                      <w:rFonts w:hint="eastAsia" w:cs="Times New Roman"/>
                      <w:b/>
                      <w:bCs/>
                      <w:color w:val="000000"/>
                      <w:kern w:val="2"/>
                      <w:sz w:val="22"/>
                      <w:szCs w:val="22"/>
                      <w:highlight w:val="none"/>
                      <w:lang w:val="en-US" w:eastAsia="zh-CN"/>
                    </w:rPr>
                    <w:t>地理坐标</w:t>
                  </w:r>
                </w:p>
              </w:tc>
            </w:tr>
            <w:tr w14:paraId="2042B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1727" w:type="dxa"/>
                  <w:shd w:val="clear" w:color="auto" w:fill="auto"/>
                  <w:vAlign w:val="center"/>
                </w:tcPr>
                <w:p w14:paraId="33070F0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DA001</w:t>
                  </w:r>
                </w:p>
              </w:tc>
              <w:tc>
                <w:tcPr>
                  <w:tcW w:w="2748" w:type="dxa"/>
                  <w:shd w:val="clear" w:color="auto" w:fill="auto"/>
                  <w:vAlign w:val="center"/>
                </w:tcPr>
                <w:p w14:paraId="78D8BA4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刷漆晾干间排气筒</w:t>
                  </w:r>
                </w:p>
              </w:tc>
              <w:tc>
                <w:tcPr>
                  <w:tcW w:w="1827" w:type="dxa"/>
                  <w:shd w:val="clear" w:color="auto" w:fill="auto"/>
                  <w:vAlign w:val="center"/>
                </w:tcPr>
                <w:p w14:paraId="28CA79E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一般排放口</w:t>
                  </w:r>
                </w:p>
              </w:tc>
              <w:tc>
                <w:tcPr>
                  <w:tcW w:w="1201" w:type="dxa"/>
                  <w:shd w:val="clear" w:color="auto" w:fill="auto"/>
                  <w:vAlign w:val="center"/>
                </w:tcPr>
                <w:p w14:paraId="5D025C1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15</w:t>
                  </w:r>
                </w:p>
              </w:tc>
              <w:tc>
                <w:tcPr>
                  <w:tcW w:w="1205" w:type="dxa"/>
                  <w:shd w:val="clear" w:color="auto" w:fill="auto"/>
                  <w:vAlign w:val="center"/>
                </w:tcPr>
                <w:p w14:paraId="4CD6B2C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0.8</w:t>
                  </w:r>
                </w:p>
              </w:tc>
              <w:tc>
                <w:tcPr>
                  <w:tcW w:w="1098" w:type="dxa"/>
                  <w:shd w:val="clear" w:color="auto" w:fill="auto"/>
                  <w:vAlign w:val="center"/>
                </w:tcPr>
                <w:p w14:paraId="4E526E7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25</w:t>
                  </w:r>
                </w:p>
              </w:tc>
              <w:tc>
                <w:tcPr>
                  <w:tcW w:w="2865" w:type="dxa"/>
                  <w:shd w:val="clear" w:color="auto" w:fill="auto"/>
                  <w:vAlign w:val="center"/>
                </w:tcPr>
                <w:p w14:paraId="0F449F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东经116°51′9.08″</w:t>
                  </w:r>
                </w:p>
                <w:p w14:paraId="710AAA8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北纬33°53′12.02″</w:t>
                  </w:r>
                </w:p>
              </w:tc>
            </w:tr>
            <w:tr w14:paraId="1D382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1727" w:type="dxa"/>
                  <w:shd w:val="clear" w:color="auto" w:fill="auto"/>
                  <w:vAlign w:val="center"/>
                </w:tcPr>
                <w:p w14:paraId="25FDD1F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DA002</w:t>
                  </w:r>
                </w:p>
              </w:tc>
              <w:tc>
                <w:tcPr>
                  <w:tcW w:w="2748" w:type="dxa"/>
                  <w:shd w:val="clear" w:color="auto" w:fill="auto"/>
                  <w:vAlign w:val="center"/>
                </w:tcPr>
                <w:p w14:paraId="06F718A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抛丸废气排气筒</w:t>
                  </w:r>
                </w:p>
              </w:tc>
              <w:tc>
                <w:tcPr>
                  <w:tcW w:w="1827" w:type="dxa"/>
                  <w:shd w:val="clear" w:color="auto" w:fill="auto"/>
                  <w:vAlign w:val="center"/>
                </w:tcPr>
                <w:p w14:paraId="4CC2904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一般排放口</w:t>
                  </w:r>
                </w:p>
              </w:tc>
              <w:tc>
                <w:tcPr>
                  <w:tcW w:w="1201" w:type="dxa"/>
                  <w:shd w:val="clear" w:color="auto" w:fill="auto"/>
                  <w:vAlign w:val="center"/>
                </w:tcPr>
                <w:p w14:paraId="409054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15</w:t>
                  </w:r>
                </w:p>
              </w:tc>
              <w:tc>
                <w:tcPr>
                  <w:tcW w:w="1205" w:type="dxa"/>
                  <w:shd w:val="clear" w:color="auto" w:fill="auto"/>
                  <w:vAlign w:val="center"/>
                </w:tcPr>
                <w:p w14:paraId="2DF22CD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0.6</w:t>
                  </w:r>
                </w:p>
              </w:tc>
              <w:tc>
                <w:tcPr>
                  <w:tcW w:w="1098" w:type="dxa"/>
                  <w:shd w:val="clear" w:color="auto" w:fill="auto"/>
                  <w:vAlign w:val="center"/>
                </w:tcPr>
                <w:p w14:paraId="2E32FA9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25</w:t>
                  </w:r>
                </w:p>
              </w:tc>
              <w:tc>
                <w:tcPr>
                  <w:tcW w:w="2865" w:type="dxa"/>
                  <w:shd w:val="clear" w:color="auto" w:fill="auto"/>
                  <w:vAlign w:val="center"/>
                </w:tcPr>
                <w:p w14:paraId="0F148CF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东经116°51′8.42″</w:t>
                  </w:r>
                </w:p>
                <w:p w14:paraId="11A81C9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北纬33°53′12.33″</w:t>
                  </w:r>
                </w:p>
              </w:tc>
            </w:tr>
            <w:tr w14:paraId="08D95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1727" w:type="dxa"/>
                  <w:shd w:val="clear" w:color="auto" w:fill="auto"/>
                  <w:vAlign w:val="center"/>
                </w:tcPr>
                <w:p w14:paraId="05CBE36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DA003</w:t>
                  </w:r>
                </w:p>
              </w:tc>
              <w:tc>
                <w:tcPr>
                  <w:tcW w:w="2748" w:type="dxa"/>
                  <w:shd w:val="clear" w:color="auto" w:fill="auto"/>
                  <w:vAlign w:val="center"/>
                </w:tcPr>
                <w:p w14:paraId="17C3D4B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切割废气排气筒</w:t>
                  </w:r>
                </w:p>
              </w:tc>
              <w:tc>
                <w:tcPr>
                  <w:tcW w:w="1827" w:type="dxa"/>
                  <w:shd w:val="clear" w:color="auto" w:fill="auto"/>
                  <w:vAlign w:val="center"/>
                </w:tcPr>
                <w:p w14:paraId="69FAA1F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一般排放口</w:t>
                  </w:r>
                </w:p>
              </w:tc>
              <w:tc>
                <w:tcPr>
                  <w:tcW w:w="1201" w:type="dxa"/>
                  <w:shd w:val="clear" w:color="auto" w:fill="auto"/>
                  <w:vAlign w:val="center"/>
                </w:tcPr>
                <w:p w14:paraId="1C47603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15</w:t>
                  </w:r>
                </w:p>
              </w:tc>
              <w:tc>
                <w:tcPr>
                  <w:tcW w:w="1205" w:type="dxa"/>
                  <w:shd w:val="clear" w:color="auto" w:fill="auto"/>
                  <w:vAlign w:val="center"/>
                </w:tcPr>
                <w:p w14:paraId="209E22F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0.2</w:t>
                  </w:r>
                </w:p>
              </w:tc>
              <w:tc>
                <w:tcPr>
                  <w:tcW w:w="1098" w:type="dxa"/>
                  <w:shd w:val="clear" w:color="auto" w:fill="auto"/>
                  <w:vAlign w:val="center"/>
                </w:tcPr>
                <w:p w14:paraId="7E685D8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25</w:t>
                  </w:r>
                </w:p>
              </w:tc>
              <w:tc>
                <w:tcPr>
                  <w:tcW w:w="2865" w:type="dxa"/>
                  <w:shd w:val="clear" w:color="auto" w:fill="auto"/>
                  <w:vAlign w:val="center"/>
                </w:tcPr>
                <w:p w14:paraId="28E4800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东经116°51′7.88″</w:t>
                  </w:r>
                </w:p>
                <w:p w14:paraId="2DB687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北纬33°53′15.46″</w:t>
                  </w:r>
                </w:p>
              </w:tc>
            </w:tr>
            <w:tr w14:paraId="3390B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1727" w:type="dxa"/>
                  <w:shd w:val="clear" w:color="auto" w:fill="auto"/>
                  <w:vAlign w:val="center"/>
                </w:tcPr>
                <w:p w14:paraId="288BD5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DA004</w:t>
                  </w:r>
                </w:p>
              </w:tc>
              <w:tc>
                <w:tcPr>
                  <w:tcW w:w="2748" w:type="dxa"/>
                  <w:shd w:val="clear" w:color="auto" w:fill="auto"/>
                  <w:vAlign w:val="center"/>
                </w:tcPr>
                <w:p w14:paraId="6312988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食堂油烟排放口</w:t>
                  </w:r>
                </w:p>
              </w:tc>
              <w:tc>
                <w:tcPr>
                  <w:tcW w:w="1827" w:type="dxa"/>
                  <w:shd w:val="clear" w:color="auto" w:fill="auto"/>
                  <w:vAlign w:val="center"/>
                </w:tcPr>
                <w:p w14:paraId="50966B7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一般排放口</w:t>
                  </w:r>
                </w:p>
              </w:tc>
              <w:tc>
                <w:tcPr>
                  <w:tcW w:w="1201" w:type="dxa"/>
                  <w:shd w:val="clear" w:color="auto" w:fill="auto"/>
                  <w:vAlign w:val="center"/>
                </w:tcPr>
                <w:p w14:paraId="7D03AA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w:t>
                  </w:r>
                </w:p>
              </w:tc>
              <w:tc>
                <w:tcPr>
                  <w:tcW w:w="1205" w:type="dxa"/>
                  <w:shd w:val="clear" w:color="auto" w:fill="auto"/>
                  <w:vAlign w:val="center"/>
                </w:tcPr>
                <w:p w14:paraId="4C68747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0.2</w:t>
                  </w:r>
                </w:p>
              </w:tc>
              <w:tc>
                <w:tcPr>
                  <w:tcW w:w="1098" w:type="dxa"/>
                  <w:shd w:val="clear" w:color="auto" w:fill="auto"/>
                  <w:vAlign w:val="center"/>
                </w:tcPr>
                <w:p w14:paraId="32A0361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40</w:t>
                  </w:r>
                </w:p>
              </w:tc>
              <w:tc>
                <w:tcPr>
                  <w:tcW w:w="2865" w:type="dxa"/>
                  <w:shd w:val="clear" w:color="auto" w:fill="auto"/>
                  <w:vAlign w:val="center"/>
                </w:tcPr>
                <w:p w14:paraId="47E6FE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东经116°51′11.25″</w:t>
                  </w:r>
                </w:p>
                <w:p w14:paraId="57ACF4D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北纬33°53′15.92″</w:t>
                  </w:r>
                </w:p>
              </w:tc>
            </w:tr>
          </w:tbl>
          <w:p w14:paraId="3ACDBF3A">
            <w:pPr>
              <w:autoSpaceDE w:val="0"/>
              <w:autoSpaceDN w:val="0"/>
              <w:adjustRightInd w:val="0"/>
              <w:snapToGrid w:val="0"/>
              <w:ind w:firstLine="480" w:firstLineChars="200"/>
              <w:jc w:val="center"/>
              <w:rPr>
                <w:rFonts w:hint="eastAsia" w:ascii="宋体" w:hAnsi="宋体" w:cs="宋体"/>
                <w:kern w:val="0"/>
                <w:sz w:val="24"/>
                <w:szCs w:val="24"/>
              </w:rPr>
            </w:pPr>
          </w:p>
        </w:tc>
      </w:tr>
    </w:tbl>
    <w:p w14:paraId="3171559F">
      <w:pPr>
        <w:bidi w:val="0"/>
        <w:rPr>
          <w:rFonts w:hint="eastAsia"/>
          <w:lang w:val="en-US" w:eastAsia="zh-CN"/>
        </w:rPr>
        <w:sectPr>
          <w:pgSz w:w="16838" w:h="11906" w:orient="landscape"/>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4"/>
        <w:gridCol w:w="8444"/>
      </w:tblGrid>
      <w:tr w14:paraId="3A53E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5" w:hRule="atLeast"/>
          <w:jc w:val="center"/>
        </w:trPr>
        <w:tc>
          <w:tcPr>
            <w:tcW w:w="464" w:type="dxa"/>
            <w:noWrap w:val="0"/>
            <w:tcMar>
              <w:left w:w="28" w:type="dxa"/>
              <w:right w:w="28" w:type="dxa"/>
            </w:tcMar>
            <w:vAlign w:val="center"/>
          </w:tcPr>
          <w:p w14:paraId="48F2BB0D">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lang w:val="en-US" w:eastAsia="zh-CN"/>
              </w:rPr>
              <w:t>运营</w:t>
            </w:r>
            <w:r>
              <w:rPr>
                <w:rFonts w:hint="eastAsia" w:ascii="宋体" w:hAnsi="宋体" w:cs="宋体"/>
                <w:kern w:val="0"/>
                <w:sz w:val="24"/>
                <w:szCs w:val="24"/>
              </w:rPr>
              <w:t>期环</w:t>
            </w:r>
          </w:p>
          <w:p w14:paraId="5D9A020F">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境保</w:t>
            </w:r>
          </w:p>
          <w:p w14:paraId="549D28D7">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护措</w:t>
            </w:r>
          </w:p>
          <w:p w14:paraId="36E770D6">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施</w:t>
            </w:r>
          </w:p>
        </w:tc>
        <w:tc>
          <w:tcPr>
            <w:tcW w:w="8444" w:type="dxa"/>
            <w:noWrap w:val="0"/>
            <w:vAlign w:val="center"/>
          </w:tcPr>
          <w:p w14:paraId="1C4B8D61">
            <w:pPr>
              <w:autoSpaceDE w:val="0"/>
              <w:autoSpaceDN w:val="0"/>
              <w:adjustRightInd w:val="0"/>
              <w:snapToGrid w:val="0"/>
              <w:spacing w:line="360" w:lineRule="auto"/>
              <w:ind w:firstLine="480" w:firstLineChars="200"/>
              <w:jc w:val="left"/>
              <w:rPr>
                <w:rFonts w:hint="default"/>
                <w:b w:val="0"/>
                <w:bCs w:val="0"/>
                <w:sz w:val="24"/>
                <w:lang w:val="en-US" w:eastAsia="zh-CN"/>
              </w:rPr>
            </w:pPr>
            <w:r>
              <w:rPr>
                <w:rFonts w:hint="eastAsia"/>
                <w:b w:val="0"/>
                <w:bCs w:val="0"/>
                <w:sz w:val="24"/>
                <w:lang w:val="en-US" w:eastAsia="zh-CN"/>
              </w:rPr>
              <w:t>（4）监测要求</w:t>
            </w:r>
          </w:p>
          <w:p w14:paraId="3B02F8C6">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根据《排污许可证申请与核发技术规范 总则》（HJ 942-2018）、《排污单位自行监测技术指南 总则》（HJ 819-2017）文件，本次评价对建设单位提出废气污染物监测计划，具体见下表。</w:t>
            </w:r>
          </w:p>
          <w:p w14:paraId="2127109A">
            <w:pPr>
              <w:keepNext w:val="0"/>
              <w:keepLines w:val="0"/>
              <w:pageBreakBefore w:val="0"/>
              <w:widowControl/>
              <w:kinsoku/>
              <w:wordWrap/>
              <w:overflowPunct/>
              <w:topLinePunct w:val="0"/>
              <w:autoSpaceDE/>
              <w:autoSpaceDN/>
              <w:bidi w:val="0"/>
              <w:adjustRightInd/>
              <w:snapToGrid/>
              <w:spacing w:before="157" w:beforeLines="50"/>
              <w:jc w:val="center"/>
              <w:textAlignment w:val="auto"/>
              <w:rPr>
                <w:rFonts w:hint="eastAsia"/>
                <w:b/>
                <w:kern w:val="0"/>
                <w:sz w:val="22"/>
                <w:szCs w:val="22"/>
                <w:lang w:val="en-US" w:eastAsia="zh-CN"/>
              </w:rPr>
            </w:pPr>
            <w:r>
              <w:rPr>
                <w:b/>
                <w:kern w:val="0"/>
                <w:sz w:val="22"/>
                <w:szCs w:val="22"/>
              </w:rPr>
              <w:t>表</w:t>
            </w:r>
            <w:r>
              <w:rPr>
                <w:rFonts w:hint="eastAsia"/>
                <w:b/>
                <w:kern w:val="0"/>
                <w:sz w:val="22"/>
                <w:szCs w:val="22"/>
                <w:lang w:val="en-US" w:eastAsia="zh-CN"/>
              </w:rPr>
              <w:t>4</w:t>
            </w:r>
            <w:r>
              <w:rPr>
                <w:b/>
                <w:kern w:val="0"/>
                <w:sz w:val="22"/>
                <w:szCs w:val="22"/>
              </w:rPr>
              <w:t>-</w:t>
            </w:r>
            <w:r>
              <w:rPr>
                <w:rFonts w:hint="eastAsia"/>
                <w:b/>
                <w:kern w:val="0"/>
                <w:sz w:val="22"/>
                <w:szCs w:val="22"/>
                <w:lang w:val="en-US" w:eastAsia="zh-CN"/>
              </w:rPr>
              <w:t>3 废气污染物监测计划</w:t>
            </w:r>
            <w:r>
              <w:rPr>
                <w:rFonts w:hint="eastAsia"/>
                <w:b/>
                <w:kern w:val="0"/>
                <w:sz w:val="22"/>
                <w:szCs w:val="22"/>
              </w:rPr>
              <w:t>一览表</w:t>
            </w:r>
          </w:p>
          <w:tbl>
            <w:tblPr>
              <w:tblStyle w:val="15"/>
              <w:tblW w:w="78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04"/>
              <w:gridCol w:w="2268"/>
              <w:gridCol w:w="2556"/>
              <w:gridCol w:w="1524"/>
            </w:tblGrid>
            <w:tr w14:paraId="6F14E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EDFB">
                  <w:pPr>
                    <w:keepNext w:val="0"/>
                    <w:keepLines w:val="0"/>
                    <w:widowControl/>
                    <w:suppressLineNumbers w:val="0"/>
                    <w:jc w:val="center"/>
                    <w:textAlignment w:val="center"/>
                    <w:rPr>
                      <w:rFonts w:hint="default" w:ascii="宋体" w:hAnsi="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监测项目</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6A34">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监测点位</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9E40">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检测因子</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2A92">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监测频次</w:t>
                  </w:r>
                </w:p>
              </w:tc>
            </w:tr>
            <w:tr w14:paraId="1E903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04" w:type="dxa"/>
                  <w:vMerge w:val="restart"/>
                  <w:tcBorders>
                    <w:top w:val="single" w:color="000000" w:sz="4" w:space="0"/>
                    <w:left w:val="single" w:color="000000" w:sz="4" w:space="0"/>
                    <w:right w:val="single" w:color="000000" w:sz="4" w:space="0"/>
                  </w:tcBorders>
                  <w:shd w:val="clear" w:color="auto" w:fill="auto"/>
                  <w:vAlign w:val="center"/>
                </w:tcPr>
                <w:p w14:paraId="3D6698B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有组织废气</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98D4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DA001排气筒</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4B0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NMHC、二甲苯</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875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1次/年</w:t>
                  </w:r>
                </w:p>
              </w:tc>
            </w:tr>
            <w:tr w14:paraId="6A446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04" w:type="dxa"/>
                  <w:vMerge w:val="continue"/>
                  <w:tcBorders>
                    <w:left w:val="single" w:color="000000" w:sz="4" w:space="0"/>
                    <w:right w:val="single" w:color="000000" w:sz="4" w:space="0"/>
                  </w:tcBorders>
                  <w:shd w:val="clear" w:color="auto" w:fill="auto"/>
                  <w:vAlign w:val="center"/>
                </w:tcPr>
                <w:p w14:paraId="5F8517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2268" w:type="dxa"/>
                  <w:tcBorders>
                    <w:top w:val="single" w:color="000000" w:sz="4" w:space="0"/>
                    <w:left w:val="single" w:color="000000" w:sz="4" w:space="0"/>
                    <w:right w:val="single" w:color="000000" w:sz="4" w:space="0"/>
                  </w:tcBorders>
                  <w:shd w:val="clear" w:color="auto" w:fill="auto"/>
                  <w:vAlign w:val="center"/>
                </w:tcPr>
                <w:p w14:paraId="758395D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DA002排气筒</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858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i w:val="0"/>
                      <w:iCs w:val="0"/>
                      <w:color w:val="000000"/>
                      <w:kern w:val="0"/>
                      <w:sz w:val="22"/>
                      <w:szCs w:val="22"/>
                      <w:u w:val="none"/>
                      <w:lang w:val="en-US" w:eastAsia="zh-CN" w:bidi="ar"/>
                    </w:rPr>
                    <w:t>颗粒物</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B2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1次/年</w:t>
                  </w:r>
                </w:p>
              </w:tc>
            </w:tr>
            <w:tr w14:paraId="2452F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04" w:type="dxa"/>
                  <w:vMerge w:val="continue"/>
                  <w:tcBorders>
                    <w:left w:val="single" w:color="000000" w:sz="4" w:space="0"/>
                    <w:right w:val="single" w:color="000000" w:sz="4" w:space="0"/>
                  </w:tcBorders>
                  <w:shd w:val="clear" w:color="auto" w:fill="auto"/>
                  <w:vAlign w:val="center"/>
                </w:tcPr>
                <w:p w14:paraId="74A36CC4">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FF2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DA003排气筒</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25E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i w:val="0"/>
                      <w:iCs w:val="0"/>
                      <w:color w:val="000000"/>
                      <w:kern w:val="0"/>
                      <w:sz w:val="22"/>
                      <w:szCs w:val="22"/>
                      <w:u w:val="none"/>
                      <w:lang w:val="en-US" w:eastAsia="zh-CN" w:bidi="ar"/>
                    </w:rPr>
                    <w:t>颗粒物</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FF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1次/年</w:t>
                  </w:r>
                </w:p>
              </w:tc>
            </w:tr>
            <w:tr w14:paraId="6CC20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04" w:type="dxa"/>
                  <w:vMerge w:val="continue"/>
                  <w:tcBorders>
                    <w:left w:val="single" w:color="000000" w:sz="4" w:space="0"/>
                    <w:right w:val="single" w:color="000000" w:sz="4" w:space="0"/>
                  </w:tcBorders>
                  <w:shd w:val="clear" w:color="auto" w:fill="auto"/>
                  <w:vAlign w:val="center"/>
                </w:tcPr>
                <w:p w14:paraId="4A1B1E76">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E1C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DA004排气筒</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3F0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油烟</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71C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1次/年</w:t>
                  </w:r>
                </w:p>
              </w:tc>
            </w:tr>
            <w:tr w14:paraId="001F3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04" w:type="dxa"/>
                  <w:vMerge w:val="restart"/>
                  <w:tcBorders>
                    <w:top w:val="single" w:color="000000" w:sz="4" w:space="0"/>
                    <w:left w:val="single" w:color="000000" w:sz="4" w:space="0"/>
                    <w:right w:val="single" w:color="000000" w:sz="4" w:space="0"/>
                  </w:tcBorders>
                  <w:shd w:val="clear" w:color="auto" w:fill="auto"/>
                  <w:vAlign w:val="center"/>
                </w:tcPr>
                <w:p w14:paraId="0FC3BD3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无组织废气</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35B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厂区内厂房外</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AA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NMHC</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A6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1次/年</w:t>
                  </w:r>
                </w:p>
              </w:tc>
            </w:tr>
            <w:tr w14:paraId="53963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04" w:type="dxa"/>
                  <w:vMerge w:val="continue"/>
                  <w:tcBorders>
                    <w:left w:val="single" w:color="000000" w:sz="4" w:space="0"/>
                    <w:bottom w:val="single" w:color="000000" w:sz="4" w:space="0"/>
                    <w:right w:val="single" w:color="000000" w:sz="4" w:space="0"/>
                  </w:tcBorders>
                  <w:shd w:val="clear" w:color="auto" w:fill="auto"/>
                  <w:vAlign w:val="center"/>
                </w:tcPr>
                <w:p w14:paraId="265F6E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62D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厂界处</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D67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NMHC、二甲苯、颗粒物</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A2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1次/年</w:t>
                  </w:r>
                </w:p>
              </w:tc>
            </w:tr>
          </w:tbl>
          <w:p w14:paraId="076FC13A">
            <w:pPr>
              <w:bidi w:val="0"/>
              <w:rPr>
                <w:rFonts w:hint="eastAsia"/>
                <w:lang w:val="en-US" w:eastAsia="zh-CN"/>
              </w:rPr>
            </w:pPr>
          </w:p>
          <w:p w14:paraId="321C0E9D">
            <w:pPr>
              <w:autoSpaceDE w:val="0"/>
              <w:autoSpaceDN w:val="0"/>
              <w:adjustRightInd w:val="0"/>
              <w:snapToGrid w:val="0"/>
              <w:spacing w:line="360" w:lineRule="auto"/>
              <w:jc w:val="left"/>
              <w:rPr>
                <w:rFonts w:hint="eastAsia" w:ascii="宋体" w:hAnsi="宋体" w:cs="宋体"/>
                <w:kern w:val="0"/>
                <w:sz w:val="24"/>
                <w:szCs w:val="24"/>
                <w:lang w:eastAsia="zh-CN"/>
              </w:rPr>
            </w:pPr>
            <w:r>
              <w:rPr>
                <w:rFonts w:hint="eastAsia"/>
                <w:b/>
                <w:bCs/>
                <w:sz w:val="24"/>
                <w:lang w:val="en-US" w:eastAsia="zh-CN"/>
              </w:rPr>
              <w:t>2、废水</w:t>
            </w:r>
          </w:p>
          <w:p w14:paraId="5E3B9427">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（1）废水产排及治理情况</w:t>
            </w:r>
          </w:p>
          <w:p w14:paraId="5CA19911">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本项目为技改项目，技改后劳动定员减少，不增加生活污水和食堂废水，生活污水和食堂废水水质比较简单，主要污染物为pH、COD、BOD</w:t>
            </w:r>
            <w:r>
              <w:rPr>
                <w:rFonts w:hint="eastAsia"/>
                <w:color w:val="000000"/>
                <w:kern w:val="0"/>
                <w:sz w:val="24"/>
                <w:vertAlign w:val="subscript"/>
                <w:lang w:val="en-US" w:eastAsia="zh-CN"/>
              </w:rPr>
              <w:t>5</w:t>
            </w:r>
            <w:r>
              <w:rPr>
                <w:rFonts w:hint="eastAsia"/>
                <w:color w:val="000000"/>
                <w:kern w:val="0"/>
                <w:sz w:val="24"/>
                <w:lang w:val="en-US" w:eastAsia="zh-CN"/>
              </w:rPr>
              <w:t>、SS、氨氮、动植物油等。根据工程分析，技改后全厂废水产生量为910m</w:t>
            </w:r>
            <w:r>
              <w:rPr>
                <w:rFonts w:hint="eastAsia"/>
                <w:color w:val="000000"/>
                <w:kern w:val="0"/>
                <w:sz w:val="24"/>
                <w:vertAlign w:val="superscript"/>
                <w:lang w:val="en-US" w:eastAsia="zh-CN"/>
              </w:rPr>
              <w:t>3</w:t>
            </w:r>
            <w:r>
              <w:rPr>
                <w:rFonts w:hint="eastAsia"/>
                <w:color w:val="000000"/>
                <w:kern w:val="0"/>
                <w:sz w:val="24"/>
                <w:lang w:val="en-US" w:eastAsia="zh-CN"/>
              </w:rPr>
              <w:t>/a。</w:t>
            </w:r>
          </w:p>
          <w:p w14:paraId="4970ABE6">
            <w:pPr>
              <w:autoSpaceDE w:val="0"/>
              <w:autoSpaceDN w:val="0"/>
              <w:adjustRightInd w:val="0"/>
              <w:snapToGrid w:val="0"/>
              <w:spacing w:line="360" w:lineRule="auto"/>
              <w:ind w:firstLine="480" w:firstLineChars="200"/>
              <w:jc w:val="both"/>
              <w:rPr>
                <w:rFonts w:hint="eastAsia" w:ascii="宋体" w:hAnsi="宋体" w:cs="宋体"/>
                <w:kern w:val="0"/>
                <w:sz w:val="24"/>
                <w:szCs w:val="24"/>
              </w:rPr>
            </w:pPr>
            <w:r>
              <w:rPr>
                <w:rFonts w:hint="eastAsia"/>
                <w:color w:val="000000"/>
                <w:kern w:val="0"/>
                <w:sz w:val="24"/>
                <w:lang w:val="en-US" w:eastAsia="zh-CN"/>
              </w:rPr>
              <w:t>废水产排情况、污染物及治理设施信息，以及废水间接排放口基本情况如下表所示。</w:t>
            </w:r>
          </w:p>
        </w:tc>
      </w:tr>
    </w:tbl>
    <w:p w14:paraId="584DFB58">
      <w:pPr>
        <w:bidi w:val="0"/>
        <w:rPr>
          <w:rFonts w:hint="eastAsia"/>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5"/>
        <w:tblW w:w="898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4"/>
        <w:gridCol w:w="8518"/>
      </w:tblGrid>
      <w:tr w14:paraId="6BA60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9" w:hRule="atLeast"/>
          <w:jc w:val="center"/>
        </w:trPr>
        <w:tc>
          <w:tcPr>
            <w:tcW w:w="464" w:type="dxa"/>
            <w:noWrap w:val="0"/>
            <w:tcMar>
              <w:left w:w="28" w:type="dxa"/>
              <w:right w:w="28" w:type="dxa"/>
            </w:tcMar>
            <w:vAlign w:val="center"/>
          </w:tcPr>
          <w:p w14:paraId="0D9188DB">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运营</w:t>
            </w:r>
          </w:p>
          <w:p w14:paraId="15E6389D">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期环</w:t>
            </w:r>
          </w:p>
          <w:p w14:paraId="3DAF40EF">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境影</w:t>
            </w:r>
          </w:p>
          <w:p w14:paraId="437DEBF6">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响和</w:t>
            </w:r>
          </w:p>
          <w:p w14:paraId="616AD814">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保护</w:t>
            </w:r>
          </w:p>
          <w:p w14:paraId="41F5D646">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措施</w:t>
            </w:r>
          </w:p>
        </w:tc>
        <w:tc>
          <w:tcPr>
            <w:tcW w:w="8518" w:type="dxa"/>
            <w:noWrap w:val="0"/>
            <w:vAlign w:val="top"/>
          </w:tcPr>
          <w:p w14:paraId="28D3B728">
            <w:pPr>
              <w:keepNext w:val="0"/>
              <w:keepLines w:val="0"/>
              <w:pageBreakBefore w:val="0"/>
              <w:widowControl/>
              <w:kinsoku/>
              <w:wordWrap/>
              <w:overflowPunct/>
              <w:topLinePunct w:val="0"/>
              <w:autoSpaceDE/>
              <w:autoSpaceDN/>
              <w:bidi w:val="0"/>
              <w:adjustRightInd/>
              <w:snapToGrid/>
              <w:spacing w:before="157" w:beforeLines="50"/>
              <w:jc w:val="center"/>
              <w:textAlignment w:val="auto"/>
              <w:rPr>
                <w:b/>
                <w:kern w:val="0"/>
                <w:sz w:val="22"/>
                <w:szCs w:val="22"/>
              </w:rPr>
            </w:pPr>
            <w:r>
              <w:rPr>
                <w:b/>
                <w:kern w:val="0"/>
                <w:sz w:val="22"/>
                <w:szCs w:val="22"/>
              </w:rPr>
              <w:t>表</w:t>
            </w:r>
            <w:r>
              <w:rPr>
                <w:rFonts w:hint="eastAsia"/>
                <w:b/>
                <w:kern w:val="0"/>
                <w:sz w:val="22"/>
                <w:szCs w:val="22"/>
                <w:lang w:val="en-US" w:eastAsia="zh-CN"/>
              </w:rPr>
              <w:t>4</w:t>
            </w:r>
            <w:r>
              <w:rPr>
                <w:b/>
                <w:kern w:val="0"/>
                <w:sz w:val="22"/>
                <w:szCs w:val="22"/>
              </w:rPr>
              <w:t>-</w:t>
            </w:r>
            <w:r>
              <w:rPr>
                <w:rFonts w:hint="eastAsia"/>
                <w:b/>
                <w:kern w:val="0"/>
                <w:sz w:val="22"/>
                <w:szCs w:val="22"/>
                <w:lang w:val="en-US" w:eastAsia="zh-CN"/>
              </w:rPr>
              <w:t>4</w:t>
            </w:r>
            <w:r>
              <w:rPr>
                <w:b/>
                <w:kern w:val="0"/>
                <w:sz w:val="22"/>
                <w:szCs w:val="22"/>
              </w:rPr>
              <w:t xml:space="preserve"> </w:t>
            </w:r>
            <w:r>
              <w:rPr>
                <w:rFonts w:hint="eastAsia"/>
                <w:b/>
                <w:kern w:val="0"/>
                <w:sz w:val="22"/>
                <w:szCs w:val="22"/>
                <w:lang w:val="en-US" w:eastAsia="zh-CN"/>
              </w:rPr>
              <w:t>技改后</w:t>
            </w:r>
            <w:r>
              <w:rPr>
                <w:rFonts w:hint="eastAsia"/>
                <w:b/>
                <w:kern w:val="0"/>
                <w:sz w:val="22"/>
                <w:szCs w:val="22"/>
              </w:rPr>
              <w:t>项目</w:t>
            </w:r>
            <w:r>
              <w:rPr>
                <w:rFonts w:hint="eastAsia"/>
                <w:b/>
                <w:kern w:val="0"/>
                <w:sz w:val="22"/>
                <w:szCs w:val="22"/>
                <w:lang w:val="en-US" w:eastAsia="zh-CN"/>
              </w:rPr>
              <w:t>废水产生情况一览</w:t>
            </w:r>
            <w:r>
              <w:rPr>
                <w:rFonts w:hint="eastAsia"/>
                <w:b/>
                <w:kern w:val="0"/>
                <w:sz w:val="22"/>
                <w:szCs w:val="22"/>
              </w:rPr>
              <w:t>表</w:t>
            </w:r>
          </w:p>
          <w:tbl>
            <w:tblPr>
              <w:tblStyle w:val="39"/>
              <w:tblW w:w="82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743"/>
              <w:gridCol w:w="1297"/>
              <w:gridCol w:w="1332"/>
              <w:gridCol w:w="1332"/>
              <w:gridCol w:w="1272"/>
              <w:gridCol w:w="1224"/>
              <w:gridCol w:w="1022"/>
            </w:tblGrid>
            <w:tr w14:paraId="72523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5976" w:type="dxa"/>
                  <w:gridSpan w:val="5"/>
                  <w:vAlign w:val="center"/>
                </w:tcPr>
                <w:p w14:paraId="012568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废水产生情况</w:t>
                  </w:r>
                </w:p>
              </w:tc>
              <w:tc>
                <w:tcPr>
                  <w:tcW w:w="2246" w:type="dxa"/>
                  <w:gridSpan w:val="2"/>
                  <w:vAlign w:val="center"/>
                </w:tcPr>
                <w:p w14:paraId="3E35877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治理设施情况</w:t>
                  </w:r>
                </w:p>
              </w:tc>
            </w:tr>
            <w:tr w14:paraId="33B83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743" w:type="dxa"/>
                  <w:vAlign w:val="center"/>
                </w:tcPr>
                <w:p w14:paraId="4276147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产污环节</w:t>
                  </w:r>
                </w:p>
              </w:tc>
              <w:tc>
                <w:tcPr>
                  <w:tcW w:w="1297" w:type="dxa"/>
                  <w:vAlign w:val="center"/>
                </w:tcPr>
                <w:p w14:paraId="2BABD96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废水产生量</w:t>
                  </w:r>
                </w:p>
                <w:p w14:paraId="122A0CD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t/a</w:t>
                  </w:r>
                </w:p>
              </w:tc>
              <w:tc>
                <w:tcPr>
                  <w:tcW w:w="1332" w:type="dxa"/>
                  <w:shd w:val="clear" w:color="auto" w:fill="auto"/>
                  <w:vAlign w:val="center"/>
                </w:tcPr>
                <w:p w14:paraId="143837E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2"/>
                      <w:szCs w:val="22"/>
                      <w:highlight w:val="none"/>
                      <w:lang w:val="en-US" w:eastAsia="zh-CN" w:bidi="ar-SA"/>
                    </w:rPr>
                  </w:pPr>
                  <w:r>
                    <w:rPr>
                      <w:rFonts w:hint="eastAsia" w:cs="Times New Roman"/>
                      <w:b/>
                      <w:bCs/>
                      <w:color w:val="000000"/>
                      <w:kern w:val="2"/>
                      <w:sz w:val="22"/>
                      <w:szCs w:val="22"/>
                      <w:highlight w:val="none"/>
                      <w:lang w:val="en-US" w:eastAsia="zh-CN"/>
                    </w:rPr>
                    <w:t>污染物种类</w:t>
                  </w:r>
                </w:p>
              </w:tc>
              <w:tc>
                <w:tcPr>
                  <w:tcW w:w="1332" w:type="dxa"/>
                  <w:vAlign w:val="center"/>
                </w:tcPr>
                <w:p w14:paraId="77CC0B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产生浓度</w:t>
                  </w:r>
                </w:p>
                <w:p w14:paraId="4EFD1F1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mg/L</w:t>
                  </w:r>
                </w:p>
              </w:tc>
              <w:tc>
                <w:tcPr>
                  <w:tcW w:w="1272" w:type="dxa"/>
                  <w:vAlign w:val="center"/>
                </w:tcPr>
                <w:p w14:paraId="1D021F4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污染物产生量t/a</w:t>
                  </w:r>
                </w:p>
              </w:tc>
              <w:tc>
                <w:tcPr>
                  <w:tcW w:w="1224" w:type="dxa"/>
                  <w:vAlign w:val="center"/>
                </w:tcPr>
                <w:p w14:paraId="5B92EF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治理工艺</w:t>
                  </w:r>
                </w:p>
              </w:tc>
              <w:tc>
                <w:tcPr>
                  <w:tcW w:w="1022" w:type="dxa"/>
                  <w:shd w:val="clear" w:color="auto" w:fill="auto"/>
                  <w:vAlign w:val="center"/>
                </w:tcPr>
                <w:p w14:paraId="11C418D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2"/>
                      <w:szCs w:val="22"/>
                      <w:highlight w:val="none"/>
                      <w:lang w:val="en-US" w:eastAsia="zh-CN" w:bidi="ar-SA"/>
                    </w:rPr>
                  </w:pPr>
                  <w:r>
                    <w:rPr>
                      <w:rFonts w:hint="eastAsia" w:cs="Times New Roman"/>
                      <w:b/>
                      <w:bCs/>
                      <w:color w:val="000000"/>
                      <w:kern w:val="2"/>
                      <w:sz w:val="22"/>
                      <w:szCs w:val="22"/>
                      <w:highlight w:val="none"/>
                      <w:lang w:val="en-US" w:eastAsia="zh-CN"/>
                    </w:rPr>
                    <w:t>是否可行</w:t>
                  </w:r>
                </w:p>
              </w:tc>
            </w:tr>
            <w:tr w14:paraId="59D27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743" w:type="dxa"/>
                  <w:vMerge w:val="restart"/>
                  <w:vAlign w:val="center"/>
                </w:tcPr>
                <w:p w14:paraId="229BD6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生活用水</w:t>
                  </w:r>
                </w:p>
              </w:tc>
              <w:tc>
                <w:tcPr>
                  <w:tcW w:w="1297" w:type="dxa"/>
                  <w:vMerge w:val="restart"/>
                  <w:vAlign w:val="center"/>
                </w:tcPr>
                <w:p w14:paraId="04C77F7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640</w:t>
                  </w:r>
                </w:p>
              </w:tc>
              <w:tc>
                <w:tcPr>
                  <w:tcW w:w="1332" w:type="dxa"/>
                  <w:shd w:val="clear" w:color="auto" w:fill="auto"/>
                  <w:vAlign w:val="center"/>
                </w:tcPr>
                <w:p w14:paraId="301EC72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COD</w:t>
                  </w:r>
                </w:p>
              </w:tc>
              <w:tc>
                <w:tcPr>
                  <w:tcW w:w="1332" w:type="dxa"/>
                  <w:vAlign w:val="center"/>
                </w:tcPr>
                <w:p w14:paraId="0D63A08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350</w:t>
                  </w:r>
                </w:p>
              </w:tc>
              <w:tc>
                <w:tcPr>
                  <w:tcW w:w="1272" w:type="dxa"/>
                  <w:vAlign w:val="center"/>
                </w:tcPr>
                <w:p w14:paraId="0DFA611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0.22</w:t>
                  </w:r>
                </w:p>
              </w:tc>
              <w:tc>
                <w:tcPr>
                  <w:tcW w:w="1224" w:type="dxa"/>
                  <w:vMerge w:val="restart"/>
                  <w:vAlign w:val="center"/>
                </w:tcPr>
                <w:p w14:paraId="5A15922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化粪池</w:t>
                  </w:r>
                </w:p>
              </w:tc>
              <w:tc>
                <w:tcPr>
                  <w:tcW w:w="1022" w:type="dxa"/>
                  <w:vMerge w:val="restart"/>
                  <w:shd w:val="clear" w:color="auto" w:fill="auto"/>
                  <w:vAlign w:val="center"/>
                </w:tcPr>
                <w:p w14:paraId="5B8919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是</w:t>
                  </w:r>
                </w:p>
              </w:tc>
            </w:tr>
            <w:tr w14:paraId="65F91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743" w:type="dxa"/>
                  <w:vMerge w:val="continue"/>
                  <w:vAlign w:val="center"/>
                </w:tcPr>
                <w:p w14:paraId="1F885B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1297" w:type="dxa"/>
                  <w:vMerge w:val="continue"/>
                  <w:vAlign w:val="center"/>
                </w:tcPr>
                <w:p w14:paraId="66EBF45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1332" w:type="dxa"/>
                  <w:shd w:val="clear" w:color="auto" w:fill="auto"/>
                  <w:vAlign w:val="center"/>
                </w:tcPr>
                <w:p w14:paraId="70D92BE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BOD</w:t>
                  </w:r>
                  <w:r>
                    <w:rPr>
                      <w:rFonts w:hint="eastAsia" w:cs="Times New Roman"/>
                      <w:color w:val="000000"/>
                      <w:kern w:val="2"/>
                      <w:sz w:val="22"/>
                      <w:szCs w:val="22"/>
                      <w:highlight w:val="none"/>
                      <w:vertAlign w:val="subscript"/>
                      <w:lang w:val="en-US" w:eastAsia="zh-CN"/>
                    </w:rPr>
                    <w:t>5</w:t>
                  </w:r>
                </w:p>
              </w:tc>
              <w:tc>
                <w:tcPr>
                  <w:tcW w:w="1332" w:type="dxa"/>
                  <w:vAlign w:val="center"/>
                </w:tcPr>
                <w:p w14:paraId="46EE042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180</w:t>
                  </w:r>
                </w:p>
              </w:tc>
              <w:tc>
                <w:tcPr>
                  <w:tcW w:w="1272" w:type="dxa"/>
                  <w:vAlign w:val="center"/>
                </w:tcPr>
                <w:p w14:paraId="62AA56F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0.12</w:t>
                  </w:r>
                </w:p>
              </w:tc>
              <w:tc>
                <w:tcPr>
                  <w:tcW w:w="1224" w:type="dxa"/>
                  <w:vMerge w:val="continue"/>
                  <w:vAlign w:val="center"/>
                </w:tcPr>
                <w:p w14:paraId="614B7E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1022" w:type="dxa"/>
                  <w:vMerge w:val="continue"/>
                  <w:vAlign w:val="center"/>
                </w:tcPr>
                <w:p w14:paraId="18321C7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r>
            <w:tr w14:paraId="7FA12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743" w:type="dxa"/>
                  <w:vMerge w:val="continue"/>
                  <w:vAlign w:val="center"/>
                </w:tcPr>
                <w:p w14:paraId="50C81F9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1297" w:type="dxa"/>
                  <w:vMerge w:val="continue"/>
                  <w:vAlign w:val="center"/>
                </w:tcPr>
                <w:p w14:paraId="55C8BF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1332" w:type="dxa"/>
                  <w:shd w:val="clear" w:color="auto" w:fill="auto"/>
                  <w:vAlign w:val="center"/>
                </w:tcPr>
                <w:p w14:paraId="7104E41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SS</w:t>
                  </w:r>
                </w:p>
              </w:tc>
              <w:tc>
                <w:tcPr>
                  <w:tcW w:w="1332" w:type="dxa"/>
                  <w:vAlign w:val="center"/>
                </w:tcPr>
                <w:p w14:paraId="0714D9E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200</w:t>
                  </w:r>
                </w:p>
              </w:tc>
              <w:tc>
                <w:tcPr>
                  <w:tcW w:w="1272" w:type="dxa"/>
                  <w:vAlign w:val="center"/>
                </w:tcPr>
                <w:p w14:paraId="6C7E1D4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0.13</w:t>
                  </w:r>
                </w:p>
              </w:tc>
              <w:tc>
                <w:tcPr>
                  <w:tcW w:w="1224" w:type="dxa"/>
                  <w:vMerge w:val="continue"/>
                  <w:vAlign w:val="center"/>
                </w:tcPr>
                <w:p w14:paraId="0E363B0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1022" w:type="dxa"/>
                  <w:vMerge w:val="continue"/>
                  <w:vAlign w:val="center"/>
                </w:tcPr>
                <w:p w14:paraId="12D5A0F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r>
            <w:tr w14:paraId="64959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743" w:type="dxa"/>
                  <w:vMerge w:val="continue"/>
                  <w:vAlign w:val="center"/>
                </w:tcPr>
                <w:p w14:paraId="1238E05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1297" w:type="dxa"/>
                  <w:vMerge w:val="continue"/>
                  <w:vAlign w:val="center"/>
                </w:tcPr>
                <w:p w14:paraId="507C218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1332" w:type="dxa"/>
                  <w:shd w:val="clear" w:color="auto" w:fill="auto"/>
                  <w:vAlign w:val="center"/>
                </w:tcPr>
                <w:p w14:paraId="479B4C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氨氮</w:t>
                  </w:r>
                </w:p>
              </w:tc>
              <w:tc>
                <w:tcPr>
                  <w:tcW w:w="1332" w:type="dxa"/>
                  <w:vAlign w:val="center"/>
                </w:tcPr>
                <w:p w14:paraId="31CF5A3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35</w:t>
                  </w:r>
                </w:p>
              </w:tc>
              <w:tc>
                <w:tcPr>
                  <w:tcW w:w="1272" w:type="dxa"/>
                  <w:vAlign w:val="center"/>
                </w:tcPr>
                <w:p w14:paraId="7BAE445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0.02</w:t>
                  </w:r>
                </w:p>
              </w:tc>
              <w:tc>
                <w:tcPr>
                  <w:tcW w:w="1224" w:type="dxa"/>
                  <w:vMerge w:val="continue"/>
                  <w:vAlign w:val="center"/>
                </w:tcPr>
                <w:p w14:paraId="1D42FF1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1022" w:type="dxa"/>
                  <w:vMerge w:val="continue"/>
                  <w:vAlign w:val="center"/>
                </w:tcPr>
                <w:p w14:paraId="24B9755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r>
            <w:tr w14:paraId="3F912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743" w:type="dxa"/>
                  <w:vMerge w:val="restart"/>
                  <w:vAlign w:val="center"/>
                </w:tcPr>
                <w:p w14:paraId="34C9562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食堂用水</w:t>
                  </w:r>
                </w:p>
              </w:tc>
              <w:tc>
                <w:tcPr>
                  <w:tcW w:w="1297" w:type="dxa"/>
                  <w:vMerge w:val="restart"/>
                  <w:vAlign w:val="center"/>
                </w:tcPr>
                <w:p w14:paraId="3676B9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270</w:t>
                  </w:r>
                </w:p>
              </w:tc>
              <w:tc>
                <w:tcPr>
                  <w:tcW w:w="1332" w:type="dxa"/>
                  <w:shd w:val="clear" w:color="auto" w:fill="auto"/>
                  <w:vAlign w:val="center"/>
                </w:tcPr>
                <w:p w14:paraId="004B649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COD</w:t>
                  </w:r>
                </w:p>
              </w:tc>
              <w:tc>
                <w:tcPr>
                  <w:tcW w:w="1332" w:type="dxa"/>
                  <w:vAlign w:val="center"/>
                </w:tcPr>
                <w:p w14:paraId="6FC8466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350</w:t>
                  </w:r>
                </w:p>
              </w:tc>
              <w:tc>
                <w:tcPr>
                  <w:tcW w:w="1272" w:type="dxa"/>
                  <w:vAlign w:val="center"/>
                </w:tcPr>
                <w:p w14:paraId="3FC20DE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0.09</w:t>
                  </w:r>
                </w:p>
              </w:tc>
              <w:tc>
                <w:tcPr>
                  <w:tcW w:w="1224" w:type="dxa"/>
                  <w:vMerge w:val="restart"/>
                  <w:vAlign w:val="center"/>
                </w:tcPr>
                <w:p w14:paraId="6B73EF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隔油池+化粪池</w:t>
                  </w:r>
                </w:p>
              </w:tc>
              <w:tc>
                <w:tcPr>
                  <w:tcW w:w="1022" w:type="dxa"/>
                  <w:vMerge w:val="restart"/>
                  <w:vAlign w:val="center"/>
                </w:tcPr>
                <w:p w14:paraId="5A22794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是</w:t>
                  </w:r>
                </w:p>
              </w:tc>
            </w:tr>
            <w:tr w14:paraId="51CAC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743" w:type="dxa"/>
                  <w:vMerge w:val="continue"/>
                  <w:vAlign w:val="center"/>
                </w:tcPr>
                <w:p w14:paraId="64401F1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297" w:type="dxa"/>
                  <w:vMerge w:val="continue"/>
                  <w:vAlign w:val="center"/>
                </w:tcPr>
                <w:p w14:paraId="724FD4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1332" w:type="dxa"/>
                  <w:shd w:val="clear" w:color="auto" w:fill="auto"/>
                  <w:vAlign w:val="center"/>
                </w:tcPr>
                <w:p w14:paraId="42D2413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bidi="ar-SA"/>
                    </w:rPr>
                  </w:pPr>
                  <w:r>
                    <w:rPr>
                      <w:rFonts w:hint="eastAsia" w:cs="Times New Roman"/>
                      <w:color w:val="000000"/>
                      <w:kern w:val="2"/>
                      <w:sz w:val="22"/>
                      <w:szCs w:val="22"/>
                      <w:highlight w:val="none"/>
                      <w:lang w:val="en-US" w:eastAsia="zh-CN"/>
                    </w:rPr>
                    <w:t>BOD</w:t>
                  </w:r>
                  <w:r>
                    <w:rPr>
                      <w:rFonts w:hint="eastAsia" w:cs="Times New Roman"/>
                      <w:color w:val="000000"/>
                      <w:kern w:val="2"/>
                      <w:sz w:val="22"/>
                      <w:szCs w:val="22"/>
                      <w:highlight w:val="none"/>
                      <w:vertAlign w:val="subscript"/>
                      <w:lang w:val="en-US" w:eastAsia="zh-CN"/>
                    </w:rPr>
                    <w:t>5</w:t>
                  </w:r>
                </w:p>
              </w:tc>
              <w:tc>
                <w:tcPr>
                  <w:tcW w:w="1332" w:type="dxa"/>
                  <w:shd w:val="clear" w:color="auto" w:fill="auto"/>
                  <w:vAlign w:val="center"/>
                </w:tcPr>
                <w:p w14:paraId="5C93A4A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bidi="ar-SA"/>
                    </w:rPr>
                  </w:pPr>
                  <w:r>
                    <w:rPr>
                      <w:rFonts w:hint="eastAsia" w:cs="Times New Roman"/>
                      <w:color w:val="000000"/>
                      <w:kern w:val="2"/>
                      <w:sz w:val="22"/>
                      <w:szCs w:val="22"/>
                      <w:highlight w:val="none"/>
                      <w:lang w:val="en-US" w:eastAsia="zh-CN"/>
                    </w:rPr>
                    <w:t>500</w:t>
                  </w:r>
                </w:p>
              </w:tc>
              <w:tc>
                <w:tcPr>
                  <w:tcW w:w="1272" w:type="dxa"/>
                  <w:shd w:val="clear" w:color="auto" w:fill="auto"/>
                  <w:vAlign w:val="center"/>
                </w:tcPr>
                <w:p w14:paraId="40F5A10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bidi="ar-SA"/>
                    </w:rPr>
                  </w:pPr>
                  <w:r>
                    <w:rPr>
                      <w:rFonts w:hint="eastAsia" w:cs="Times New Roman"/>
                      <w:color w:val="000000"/>
                      <w:kern w:val="2"/>
                      <w:sz w:val="22"/>
                      <w:szCs w:val="22"/>
                      <w:highlight w:val="none"/>
                      <w:lang w:val="en-US" w:eastAsia="zh-CN"/>
                    </w:rPr>
                    <w:t>0.14</w:t>
                  </w:r>
                </w:p>
              </w:tc>
              <w:tc>
                <w:tcPr>
                  <w:tcW w:w="1224" w:type="dxa"/>
                  <w:vMerge w:val="continue"/>
                  <w:vAlign w:val="center"/>
                </w:tcPr>
                <w:p w14:paraId="45A80ED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022" w:type="dxa"/>
                  <w:vMerge w:val="continue"/>
                  <w:vAlign w:val="center"/>
                </w:tcPr>
                <w:p w14:paraId="170F884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r>
            <w:tr w14:paraId="049EA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743" w:type="dxa"/>
                  <w:vMerge w:val="continue"/>
                  <w:vAlign w:val="center"/>
                </w:tcPr>
                <w:p w14:paraId="14E592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297" w:type="dxa"/>
                  <w:vMerge w:val="continue"/>
                  <w:vAlign w:val="center"/>
                </w:tcPr>
                <w:p w14:paraId="23E75D7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1332" w:type="dxa"/>
                  <w:shd w:val="clear" w:color="auto" w:fill="auto"/>
                  <w:vAlign w:val="center"/>
                </w:tcPr>
                <w:p w14:paraId="50FDDE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SS</w:t>
                  </w:r>
                </w:p>
              </w:tc>
              <w:tc>
                <w:tcPr>
                  <w:tcW w:w="1332" w:type="dxa"/>
                  <w:vAlign w:val="center"/>
                </w:tcPr>
                <w:p w14:paraId="4615E2B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250</w:t>
                  </w:r>
                </w:p>
              </w:tc>
              <w:tc>
                <w:tcPr>
                  <w:tcW w:w="1272" w:type="dxa"/>
                  <w:vAlign w:val="center"/>
                </w:tcPr>
                <w:p w14:paraId="628497F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0.07</w:t>
                  </w:r>
                </w:p>
              </w:tc>
              <w:tc>
                <w:tcPr>
                  <w:tcW w:w="1224" w:type="dxa"/>
                  <w:vMerge w:val="continue"/>
                  <w:vAlign w:val="center"/>
                </w:tcPr>
                <w:p w14:paraId="3D4DE24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022" w:type="dxa"/>
                  <w:vMerge w:val="continue"/>
                  <w:vAlign w:val="center"/>
                </w:tcPr>
                <w:p w14:paraId="7F1EF11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r>
            <w:tr w14:paraId="594F6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743" w:type="dxa"/>
                  <w:vMerge w:val="continue"/>
                  <w:vAlign w:val="center"/>
                </w:tcPr>
                <w:p w14:paraId="5E20B2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297" w:type="dxa"/>
                  <w:vMerge w:val="continue"/>
                  <w:vAlign w:val="center"/>
                </w:tcPr>
                <w:p w14:paraId="3859B0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1332" w:type="dxa"/>
                  <w:shd w:val="clear" w:color="auto" w:fill="auto"/>
                  <w:vAlign w:val="center"/>
                </w:tcPr>
                <w:p w14:paraId="30B3DBC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氨氮</w:t>
                  </w:r>
                </w:p>
              </w:tc>
              <w:tc>
                <w:tcPr>
                  <w:tcW w:w="1332" w:type="dxa"/>
                  <w:vAlign w:val="center"/>
                </w:tcPr>
                <w:p w14:paraId="329FA60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45</w:t>
                  </w:r>
                </w:p>
              </w:tc>
              <w:tc>
                <w:tcPr>
                  <w:tcW w:w="1272" w:type="dxa"/>
                  <w:vAlign w:val="center"/>
                </w:tcPr>
                <w:p w14:paraId="43E454E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0.01</w:t>
                  </w:r>
                </w:p>
              </w:tc>
              <w:tc>
                <w:tcPr>
                  <w:tcW w:w="1224" w:type="dxa"/>
                  <w:vMerge w:val="continue"/>
                  <w:vAlign w:val="center"/>
                </w:tcPr>
                <w:p w14:paraId="4E8D237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022" w:type="dxa"/>
                  <w:vMerge w:val="continue"/>
                  <w:vAlign w:val="center"/>
                </w:tcPr>
                <w:p w14:paraId="3CAE70F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r>
            <w:tr w14:paraId="58B74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97" w:hRule="atLeast"/>
                <w:jc w:val="center"/>
              </w:trPr>
              <w:tc>
                <w:tcPr>
                  <w:tcW w:w="743" w:type="dxa"/>
                  <w:vMerge w:val="continue"/>
                  <w:vAlign w:val="center"/>
                </w:tcPr>
                <w:p w14:paraId="55C43D2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297" w:type="dxa"/>
                  <w:vMerge w:val="continue"/>
                  <w:vAlign w:val="center"/>
                </w:tcPr>
                <w:p w14:paraId="7AF42C4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1332" w:type="dxa"/>
                  <w:shd w:val="clear" w:color="auto" w:fill="auto"/>
                  <w:vAlign w:val="center"/>
                </w:tcPr>
                <w:p w14:paraId="4CBE211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动植物油</w:t>
                  </w:r>
                </w:p>
              </w:tc>
              <w:tc>
                <w:tcPr>
                  <w:tcW w:w="1332" w:type="dxa"/>
                  <w:vAlign w:val="center"/>
                </w:tcPr>
                <w:p w14:paraId="62A02D3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300</w:t>
                  </w:r>
                </w:p>
              </w:tc>
              <w:tc>
                <w:tcPr>
                  <w:tcW w:w="1272" w:type="dxa"/>
                  <w:vAlign w:val="center"/>
                </w:tcPr>
                <w:p w14:paraId="76788F3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0.08</w:t>
                  </w:r>
                </w:p>
              </w:tc>
              <w:tc>
                <w:tcPr>
                  <w:tcW w:w="1224" w:type="dxa"/>
                  <w:vMerge w:val="continue"/>
                  <w:vAlign w:val="center"/>
                </w:tcPr>
                <w:p w14:paraId="05E8DC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022" w:type="dxa"/>
                  <w:vMerge w:val="continue"/>
                  <w:vAlign w:val="center"/>
                </w:tcPr>
                <w:p w14:paraId="23E4E6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r>
          </w:tbl>
          <w:p w14:paraId="3C476193">
            <w:pPr>
              <w:autoSpaceDE w:val="0"/>
              <w:autoSpaceDN w:val="0"/>
              <w:adjustRightInd w:val="0"/>
              <w:snapToGrid w:val="0"/>
              <w:ind w:firstLine="480" w:firstLineChars="200"/>
              <w:jc w:val="center"/>
              <w:rPr>
                <w:rFonts w:hint="eastAsia" w:ascii="宋体" w:hAnsi="宋体" w:cs="宋体"/>
                <w:kern w:val="0"/>
                <w:sz w:val="24"/>
                <w:szCs w:val="24"/>
              </w:rPr>
            </w:pPr>
          </w:p>
          <w:p w14:paraId="47C3780E">
            <w:pPr>
              <w:keepNext w:val="0"/>
              <w:keepLines w:val="0"/>
              <w:pageBreakBefore w:val="0"/>
              <w:widowControl/>
              <w:kinsoku/>
              <w:wordWrap/>
              <w:overflowPunct/>
              <w:topLinePunct w:val="0"/>
              <w:autoSpaceDE/>
              <w:autoSpaceDN/>
              <w:bidi w:val="0"/>
              <w:adjustRightInd/>
              <w:snapToGrid/>
              <w:spacing w:before="157" w:beforeLines="50"/>
              <w:jc w:val="center"/>
              <w:textAlignment w:val="auto"/>
              <w:rPr>
                <w:b/>
                <w:kern w:val="0"/>
                <w:sz w:val="22"/>
                <w:szCs w:val="22"/>
              </w:rPr>
            </w:pPr>
            <w:r>
              <w:rPr>
                <w:b/>
                <w:kern w:val="0"/>
                <w:sz w:val="22"/>
                <w:szCs w:val="22"/>
              </w:rPr>
              <w:t>表</w:t>
            </w:r>
            <w:r>
              <w:rPr>
                <w:rFonts w:hint="eastAsia"/>
                <w:b/>
                <w:kern w:val="0"/>
                <w:sz w:val="22"/>
                <w:szCs w:val="22"/>
                <w:lang w:val="en-US" w:eastAsia="zh-CN"/>
              </w:rPr>
              <w:t>4</w:t>
            </w:r>
            <w:r>
              <w:rPr>
                <w:b/>
                <w:kern w:val="0"/>
                <w:sz w:val="22"/>
                <w:szCs w:val="22"/>
              </w:rPr>
              <w:t>-</w:t>
            </w:r>
            <w:r>
              <w:rPr>
                <w:rFonts w:hint="eastAsia"/>
                <w:b/>
                <w:kern w:val="0"/>
                <w:sz w:val="22"/>
                <w:szCs w:val="22"/>
                <w:lang w:val="en-US" w:eastAsia="zh-CN"/>
              </w:rPr>
              <w:t>5</w:t>
            </w:r>
            <w:r>
              <w:rPr>
                <w:b/>
                <w:kern w:val="0"/>
                <w:sz w:val="22"/>
                <w:szCs w:val="22"/>
              </w:rPr>
              <w:t xml:space="preserve"> </w:t>
            </w:r>
            <w:r>
              <w:rPr>
                <w:rFonts w:hint="eastAsia"/>
                <w:b/>
                <w:kern w:val="0"/>
                <w:sz w:val="22"/>
                <w:szCs w:val="22"/>
                <w:lang w:val="en-US" w:eastAsia="zh-CN"/>
              </w:rPr>
              <w:t>技改后项目废水排放情况一览</w:t>
            </w:r>
            <w:r>
              <w:rPr>
                <w:rFonts w:hint="eastAsia"/>
                <w:b/>
                <w:kern w:val="0"/>
                <w:sz w:val="22"/>
                <w:szCs w:val="22"/>
              </w:rPr>
              <w:t>表</w:t>
            </w:r>
          </w:p>
          <w:tbl>
            <w:tblPr>
              <w:tblStyle w:val="39"/>
              <w:tblW w:w="836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811"/>
              <w:gridCol w:w="855"/>
              <w:gridCol w:w="780"/>
              <w:gridCol w:w="828"/>
              <w:gridCol w:w="873"/>
              <w:gridCol w:w="620"/>
              <w:gridCol w:w="844"/>
              <w:gridCol w:w="624"/>
              <w:gridCol w:w="696"/>
              <w:gridCol w:w="588"/>
              <w:gridCol w:w="843"/>
            </w:tblGrid>
            <w:tr w14:paraId="382D3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666" w:type="dxa"/>
                  <w:gridSpan w:val="2"/>
                  <w:vAlign w:val="center"/>
                </w:tcPr>
                <w:p w14:paraId="1031405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废水产生情况</w:t>
                  </w:r>
                </w:p>
              </w:tc>
              <w:tc>
                <w:tcPr>
                  <w:tcW w:w="4569" w:type="dxa"/>
                  <w:gridSpan w:val="6"/>
                  <w:vAlign w:val="center"/>
                </w:tcPr>
                <w:p w14:paraId="6E86259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废水排放情况</w:t>
                  </w:r>
                </w:p>
              </w:tc>
              <w:tc>
                <w:tcPr>
                  <w:tcW w:w="2127" w:type="dxa"/>
                  <w:gridSpan w:val="3"/>
                  <w:vAlign w:val="center"/>
                </w:tcPr>
                <w:p w14:paraId="129B1BA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排放口基本情况</w:t>
                  </w:r>
                </w:p>
              </w:tc>
            </w:tr>
            <w:tr w14:paraId="24FD5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811" w:type="dxa"/>
                  <w:vAlign w:val="center"/>
                </w:tcPr>
                <w:p w14:paraId="7EAE5A9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产生环节</w:t>
                  </w:r>
                </w:p>
              </w:tc>
              <w:tc>
                <w:tcPr>
                  <w:tcW w:w="855" w:type="dxa"/>
                  <w:vAlign w:val="center"/>
                </w:tcPr>
                <w:p w14:paraId="26C2292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污染物项目</w:t>
                  </w:r>
                </w:p>
              </w:tc>
              <w:tc>
                <w:tcPr>
                  <w:tcW w:w="780" w:type="dxa"/>
                  <w:vAlign w:val="center"/>
                </w:tcPr>
                <w:p w14:paraId="724A98D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废水排放量t/a</w:t>
                  </w:r>
                </w:p>
              </w:tc>
              <w:tc>
                <w:tcPr>
                  <w:tcW w:w="828" w:type="dxa"/>
                  <w:vAlign w:val="center"/>
                </w:tcPr>
                <w:p w14:paraId="6B6BA6B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排放浓度mg/L</w:t>
                  </w:r>
                </w:p>
              </w:tc>
              <w:tc>
                <w:tcPr>
                  <w:tcW w:w="873" w:type="dxa"/>
                  <w:vAlign w:val="center"/>
                </w:tcPr>
                <w:p w14:paraId="6422C4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污染物排放量t/a</w:t>
                  </w:r>
                </w:p>
              </w:tc>
              <w:tc>
                <w:tcPr>
                  <w:tcW w:w="620" w:type="dxa"/>
                  <w:vAlign w:val="center"/>
                </w:tcPr>
                <w:p w14:paraId="531CFCE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排放方式</w:t>
                  </w:r>
                </w:p>
              </w:tc>
              <w:tc>
                <w:tcPr>
                  <w:tcW w:w="844" w:type="dxa"/>
                  <w:vAlign w:val="center"/>
                </w:tcPr>
                <w:p w14:paraId="2A7E881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排放去向</w:t>
                  </w:r>
                </w:p>
              </w:tc>
              <w:tc>
                <w:tcPr>
                  <w:tcW w:w="624" w:type="dxa"/>
                  <w:vAlign w:val="center"/>
                </w:tcPr>
                <w:p w14:paraId="45FC1A9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排放规律</w:t>
                  </w:r>
                </w:p>
              </w:tc>
              <w:tc>
                <w:tcPr>
                  <w:tcW w:w="696" w:type="dxa"/>
                  <w:vAlign w:val="center"/>
                </w:tcPr>
                <w:p w14:paraId="7C06938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编号及名称</w:t>
                  </w:r>
                </w:p>
              </w:tc>
              <w:tc>
                <w:tcPr>
                  <w:tcW w:w="588" w:type="dxa"/>
                  <w:vAlign w:val="center"/>
                </w:tcPr>
                <w:p w14:paraId="36444D8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类型</w:t>
                  </w:r>
                </w:p>
              </w:tc>
              <w:tc>
                <w:tcPr>
                  <w:tcW w:w="843" w:type="dxa"/>
                  <w:vAlign w:val="center"/>
                </w:tcPr>
                <w:p w14:paraId="7B6696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坐标</w:t>
                  </w:r>
                </w:p>
              </w:tc>
            </w:tr>
            <w:tr w14:paraId="305D4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94" w:hRule="atLeast"/>
                <w:jc w:val="center"/>
              </w:trPr>
              <w:tc>
                <w:tcPr>
                  <w:tcW w:w="811" w:type="dxa"/>
                  <w:vMerge w:val="restart"/>
                  <w:vAlign w:val="center"/>
                </w:tcPr>
                <w:p w14:paraId="3371D3D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生活污水、食堂废水</w:t>
                  </w:r>
                </w:p>
              </w:tc>
              <w:tc>
                <w:tcPr>
                  <w:tcW w:w="855" w:type="dxa"/>
                  <w:shd w:val="clear" w:color="auto" w:fill="auto"/>
                  <w:vAlign w:val="center"/>
                </w:tcPr>
                <w:p w14:paraId="6AE1307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bidi="ar-SA"/>
                    </w:rPr>
                  </w:pPr>
                  <w:r>
                    <w:rPr>
                      <w:rFonts w:hint="eastAsia" w:cs="Times New Roman"/>
                      <w:color w:val="000000"/>
                      <w:kern w:val="2"/>
                      <w:sz w:val="22"/>
                      <w:szCs w:val="22"/>
                      <w:highlight w:val="none"/>
                      <w:lang w:val="en-US" w:eastAsia="zh-CN" w:bidi="ar-SA"/>
                    </w:rPr>
                    <w:t>COD</w:t>
                  </w:r>
                </w:p>
              </w:tc>
              <w:tc>
                <w:tcPr>
                  <w:tcW w:w="780" w:type="dxa"/>
                  <w:vMerge w:val="restart"/>
                  <w:vAlign w:val="center"/>
                </w:tcPr>
                <w:p w14:paraId="65CD094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910</w:t>
                  </w:r>
                </w:p>
              </w:tc>
              <w:tc>
                <w:tcPr>
                  <w:tcW w:w="828" w:type="dxa"/>
                  <w:vAlign w:val="center"/>
                </w:tcPr>
                <w:p w14:paraId="4D42BE9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33</w:t>
                  </w:r>
                </w:p>
              </w:tc>
              <w:tc>
                <w:tcPr>
                  <w:tcW w:w="873" w:type="dxa"/>
                  <w:vAlign w:val="center"/>
                </w:tcPr>
                <w:p w14:paraId="7746A37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0.03</w:t>
                  </w:r>
                </w:p>
              </w:tc>
              <w:tc>
                <w:tcPr>
                  <w:tcW w:w="620" w:type="dxa"/>
                  <w:vMerge w:val="restart"/>
                  <w:vAlign w:val="center"/>
                </w:tcPr>
                <w:p w14:paraId="39BB315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间接排放</w:t>
                  </w:r>
                </w:p>
              </w:tc>
              <w:tc>
                <w:tcPr>
                  <w:tcW w:w="844" w:type="dxa"/>
                  <w:vMerge w:val="restart"/>
                  <w:vAlign w:val="center"/>
                </w:tcPr>
                <w:p w14:paraId="553C987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排入淮北经济开发区新区污水处理厂</w:t>
                  </w:r>
                  <w:r>
                    <w:rPr>
                      <w:rFonts w:hint="default" w:cs="Times New Roman"/>
                      <w:color w:val="000000"/>
                      <w:kern w:val="2"/>
                      <w:sz w:val="22"/>
                      <w:szCs w:val="22"/>
                      <w:highlight w:val="none"/>
                      <w:lang w:val="en-US" w:eastAsia="zh-CN"/>
                    </w:rPr>
                    <w:t>处理后</w:t>
                  </w:r>
                  <w:r>
                    <w:rPr>
                      <w:rFonts w:hint="eastAsia" w:cs="Times New Roman"/>
                      <w:color w:val="000000"/>
                      <w:kern w:val="2"/>
                      <w:sz w:val="22"/>
                      <w:szCs w:val="22"/>
                      <w:highlight w:val="none"/>
                      <w:lang w:val="en-US" w:eastAsia="zh-CN"/>
                    </w:rPr>
                    <w:t>，</w:t>
                  </w:r>
                  <w:r>
                    <w:rPr>
                      <w:rFonts w:hint="default" w:cs="Times New Roman"/>
                      <w:color w:val="000000"/>
                      <w:kern w:val="2"/>
                      <w:sz w:val="22"/>
                      <w:szCs w:val="22"/>
                      <w:highlight w:val="none"/>
                      <w:lang w:val="en-US" w:eastAsia="zh-CN"/>
                    </w:rPr>
                    <w:t>尾水部分由平山电厂中水回用，剩余排入新濉河</w:t>
                  </w:r>
                  <w:r>
                    <w:rPr>
                      <w:rFonts w:hint="eastAsia" w:cs="Times New Roman"/>
                      <w:color w:val="000000"/>
                      <w:kern w:val="2"/>
                      <w:sz w:val="22"/>
                      <w:szCs w:val="22"/>
                      <w:highlight w:val="none"/>
                      <w:lang w:val="en-US" w:eastAsia="zh-CN"/>
                    </w:rPr>
                    <w:t>。</w:t>
                  </w:r>
                </w:p>
              </w:tc>
              <w:tc>
                <w:tcPr>
                  <w:tcW w:w="624" w:type="dxa"/>
                  <w:vMerge w:val="restart"/>
                  <w:vAlign w:val="center"/>
                </w:tcPr>
                <w:p w14:paraId="6B51B7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间断排放，流量不稳定，但不属于冲击波型</w:t>
                  </w:r>
                </w:p>
              </w:tc>
              <w:tc>
                <w:tcPr>
                  <w:tcW w:w="696" w:type="dxa"/>
                  <w:vMerge w:val="restart"/>
                  <w:vAlign w:val="center"/>
                </w:tcPr>
                <w:p w14:paraId="29C1371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DW</w:t>
                  </w:r>
                </w:p>
                <w:p w14:paraId="47CF03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001</w:t>
                  </w:r>
                </w:p>
              </w:tc>
              <w:tc>
                <w:tcPr>
                  <w:tcW w:w="588" w:type="dxa"/>
                  <w:vMerge w:val="restart"/>
                  <w:vAlign w:val="center"/>
                </w:tcPr>
                <w:p w14:paraId="14B0AD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一般排放口</w:t>
                  </w:r>
                </w:p>
              </w:tc>
              <w:tc>
                <w:tcPr>
                  <w:tcW w:w="843" w:type="dxa"/>
                  <w:vMerge w:val="restart"/>
                  <w:vAlign w:val="center"/>
                </w:tcPr>
                <w:p w14:paraId="5D2D53B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经度116°</w:t>
                  </w:r>
                  <w:r>
                    <w:rPr>
                      <w:rFonts w:hint="eastAsia" w:cs="Times New Roman"/>
                      <w:sz w:val="22"/>
                      <w:szCs w:val="22"/>
                      <w:lang w:val="en-US" w:eastAsia="zh-CN"/>
                    </w:rPr>
                    <w:t>51</w:t>
                  </w:r>
                  <w:r>
                    <w:rPr>
                      <w:rFonts w:hint="default" w:ascii="Times New Roman" w:hAnsi="Times New Roman" w:eastAsia="宋体" w:cs="Times New Roman"/>
                      <w:sz w:val="22"/>
                      <w:szCs w:val="22"/>
                      <w:lang w:val="en-US" w:eastAsia="zh-CN"/>
                    </w:rPr>
                    <w:t>′</w:t>
                  </w:r>
                  <w:r>
                    <w:rPr>
                      <w:rFonts w:hint="eastAsia" w:cs="Times New Roman"/>
                      <w:sz w:val="22"/>
                      <w:szCs w:val="22"/>
                      <w:lang w:val="en-US" w:eastAsia="zh-CN"/>
                    </w:rPr>
                    <w:t>11.33</w:t>
                  </w:r>
                  <w:r>
                    <w:rPr>
                      <w:rFonts w:hint="default" w:ascii="Times New Roman" w:hAnsi="Times New Roman" w:eastAsia="宋体" w:cs="Times New Roman"/>
                      <w:sz w:val="22"/>
                      <w:szCs w:val="22"/>
                      <w:lang w:val="en-US" w:eastAsia="zh-CN"/>
                    </w:rPr>
                    <w:t>″</w:t>
                  </w:r>
                </w:p>
                <w:p w14:paraId="7ADB373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default" w:ascii="Times New Roman" w:hAnsi="Times New Roman" w:eastAsia="宋体" w:cs="Times New Roman"/>
                      <w:sz w:val="22"/>
                      <w:szCs w:val="22"/>
                      <w:lang w:val="en-US" w:eastAsia="zh-CN"/>
                    </w:rPr>
                    <w:t>纬度3</w:t>
                  </w:r>
                  <w:r>
                    <w:rPr>
                      <w:rFonts w:hint="eastAsia" w:cs="Times New Roman"/>
                      <w:sz w:val="22"/>
                      <w:szCs w:val="22"/>
                      <w:lang w:val="en-US" w:eastAsia="zh-CN"/>
                    </w:rPr>
                    <w:t>3</w:t>
                  </w:r>
                  <w:r>
                    <w:rPr>
                      <w:rFonts w:hint="default" w:ascii="Times New Roman" w:hAnsi="Times New Roman" w:eastAsia="宋体" w:cs="Times New Roman"/>
                      <w:sz w:val="22"/>
                      <w:szCs w:val="22"/>
                      <w:lang w:val="en-US" w:eastAsia="zh-CN"/>
                    </w:rPr>
                    <w:t>°</w:t>
                  </w:r>
                  <w:r>
                    <w:rPr>
                      <w:rFonts w:hint="eastAsia" w:cs="Times New Roman"/>
                      <w:sz w:val="22"/>
                      <w:szCs w:val="22"/>
                      <w:lang w:val="en-US" w:eastAsia="zh-CN"/>
                    </w:rPr>
                    <w:t>53</w:t>
                  </w:r>
                  <w:r>
                    <w:rPr>
                      <w:rFonts w:hint="default" w:ascii="Times New Roman" w:hAnsi="Times New Roman" w:eastAsia="宋体" w:cs="Times New Roman"/>
                      <w:sz w:val="22"/>
                      <w:szCs w:val="22"/>
                      <w:lang w:val="en-US" w:eastAsia="zh-CN"/>
                    </w:rPr>
                    <w:t>′</w:t>
                  </w:r>
                  <w:r>
                    <w:rPr>
                      <w:rFonts w:hint="eastAsia" w:cs="Times New Roman"/>
                      <w:sz w:val="22"/>
                      <w:szCs w:val="22"/>
                      <w:lang w:val="en-US" w:eastAsia="zh-CN"/>
                    </w:rPr>
                    <w:t>18.17</w:t>
                  </w:r>
                  <w:r>
                    <w:rPr>
                      <w:rFonts w:hint="default" w:ascii="Times New Roman" w:hAnsi="Times New Roman" w:eastAsia="宋体" w:cs="Times New Roman"/>
                      <w:sz w:val="22"/>
                      <w:szCs w:val="22"/>
                      <w:lang w:val="en-US" w:eastAsia="zh-CN"/>
                    </w:rPr>
                    <w:t>″</w:t>
                  </w:r>
                </w:p>
              </w:tc>
            </w:tr>
            <w:tr w14:paraId="33A0F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94" w:hRule="atLeast"/>
                <w:jc w:val="center"/>
              </w:trPr>
              <w:tc>
                <w:tcPr>
                  <w:tcW w:w="811" w:type="dxa"/>
                  <w:vMerge w:val="continue"/>
                  <w:vAlign w:val="center"/>
                </w:tcPr>
                <w:p w14:paraId="01B5E5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855" w:type="dxa"/>
                  <w:shd w:val="clear" w:color="auto" w:fill="auto"/>
                  <w:vAlign w:val="center"/>
                </w:tcPr>
                <w:p w14:paraId="413890D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bidi="ar-SA"/>
                    </w:rPr>
                  </w:pPr>
                  <w:r>
                    <w:rPr>
                      <w:rFonts w:hint="eastAsia" w:cs="Times New Roman"/>
                      <w:color w:val="000000"/>
                      <w:kern w:val="2"/>
                      <w:sz w:val="22"/>
                      <w:szCs w:val="22"/>
                      <w:highlight w:val="none"/>
                      <w:lang w:val="en-US" w:eastAsia="zh-CN"/>
                    </w:rPr>
                    <w:t>BOD</w:t>
                  </w:r>
                  <w:r>
                    <w:rPr>
                      <w:rFonts w:hint="eastAsia" w:cs="Times New Roman"/>
                      <w:color w:val="000000"/>
                      <w:kern w:val="2"/>
                      <w:sz w:val="22"/>
                      <w:szCs w:val="22"/>
                      <w:highlight w:val="none"/>
                      <w:vertAlign w:val="subscript"/>
                      <w:lang w:val="en-US" w:eastAsia="zh-CN"/>
                    </w:rPr>
                    <w:t>5</w:t>
                  </w:r>
                </w:p>
              </w:tc>
              <w:tc>
                <w:tcPr>
                  <w:tcW w:w="780" w:type="dxa"/>
                  <w:vMerge w:val="continue"/>
                  <w:vAlign w:val="center"/>
                </w:tcPr>
                <w:p w14:paraId="0FCBB6E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828" w:type="dxa"/>
                  <w:vAlign w:val="center"/>
                </w:tcPr>
                <w:p w14:paraId="4B5533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12</w:t>
                  </w:r>
                </w:p>
              </w:tc>
              <w:tc>
                <w:tcPr>
                  <w:tcW w:w="873" w:type="dxa"/>
                  <w:vAlign w:val="center"/>
                </w:tcPr>
                <w:p w14:paraId="325C8F0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0.01</w:t>
                  </w:r>
                </w:p>
              </w:tc>
              <w:tc>
                <w:tcPr>
                  <w:tcW w:w="620" w:type="dxa"/>
                  <w:vMerge w:val="continue"/>
                  <w:vAlign w:val="center"/>
                </w:tcPr>
                <w:p w14:paraId="46FA6B1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844" w:type="dxa"/>
                  <w:vMerge w:val="continue"/>
                  <w:vAlign w:val="center"/>
                </w:tcPr>
                <w:p w14:paraId="12BBA0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624" w:type="dxa"/>
                  <w:vMerge w:val="continue"/>
                  <w:vAlign w:val="center"/>
                </w:tcPr>
                <w:p w14:paraId="5E8CBE4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696" w:type="dxa"/>
                  <w:vMerge w:val="continue"/>
                  <w:vAlign w:val="center"/>
                </w:tcPr>
                <w:p w14:paraId="08967A7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588" w:type="dxa"/>
                  <w:vMerge w:val="continue"/>
                  <w:vAlign w:val="center"/>
                </w:tcPr>
                <w:p w14:paraId="7367F7B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843" w:type="dxa"/>
                  <w:vMerge w:val="continue"/>
                  <w:vAlign w:val="center"/>
                </w:tcPr>
                <w:p w14:paraId="46DF38A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lang w:val="en-US" w:eastAsia="zh-CN"/>
                    </w:rPr>
                  </w:pPr>
                </w:p>
              </w:tc>
            </w:tr>
            <w:tr w14:paraId="757BF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94" w:hRule="atLeast"/>
                <w:jc w:val="center"/>
              </w:trPr>
              <w:tc>
                <w:tcPr>
                  <w:tcW w:w="811" w:type="dxa"/>
                  <w:vMerge w:val="continue"/>
                  <w:vAlign w:val="center"/>
                </w:tcPr>
                <w:p w14:paraId="207F3F7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855" w:type="dxa"/>
                  <w:shd w:val="clear" w:color="auto" w:fill="auto"/>
                  <w:vAlign w:val="center"/>
                </w:tcPr>
                <w:p w14:paraId="745BFD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bidi="ar-SA"/>
                    </w:rPr>
                  </w:pPr>
                  <w:r>
                    <w:rPr>
                      <w:rFonts w:hint="eastAsia" w:cs="Times New Roman"/>
                      <w:color w:val="000000"/>
                      <w:kern w:val="2"/>
                      <w:sz w:val="22"/>
                      <w:szCs w:val="22"/>
                      <w:highlight w:val="none"/>
                      <w:lang w:val="en-US" w:eastAsia="zh-CN" w:bidi="ar-SA"/>
                    </w:rPr>
                    <w:t>SS</w:t>
                  </w:r>
                </w:p>
              </w:tc>
              <w:tc>
                <w:tcPr>
                  <w:tcW w:w="780" w:type="dxa"/>
                  <w:vMerge w:val="continue"/>
                  <w:vAlign w:val="center"/>
                </w:tcPr>
                <w:p w14:paraId="7DAD7A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828" w:type="dxa"/>
                  <w:vAlign w:val="center"/>
                </w:tcPr>
                <w:p w14:paraId="59CE1A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18</w:t>
                  </w:r>
                </w:p>
              </w:tc>
              <w:tc>
                <w:tcPr>
                  <w:tcW w:w="873" w:type="dxa"/>
                  <w:vAlign w:val="center"/>
                </w:tcPr>
                <w:p w14:paraId="07E945F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0.02</w:t>
                  </w:r>
                </w:p>
              </w:tc>
              <w:tc>
                <w:tcPr>
                  <w:tcW w:w="620" w:type="dxa"/>
                  <w:vMerge w:val="continue"/>
                  <w:vAlign w:val="center"/>
                </w:tcPr>
                <w:p w14:paraId="20615B2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844" w:type="dxa"/>
                  <w:vMerge w:val="continue"/>
                  <w:vAlign w:val="center"/>
                </w:tcPr>
                <w:p w14:paraId="0645B9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624" w:type="dxa"/>
                  <w:vMerge w:val="continue"/>
                  <w:vAlign w:val="center"/>
                </w:tcPr>
                <w:p w14:paraId="386703E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696" w:type="dxa"/>
                  <w:vMerge w:val="continue"/>
                  <w:vAlign w:val="center"/>
                </w:tcPr>
                <w:p w14:paraId="6665E46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588" w:type="dxa"/>
                  <w:vMerge w:val="continue"/>
                  <w:vAlign w:val="center"/>
                </w:tcPr>
                <w:p w14:paraId="0C35D6C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843" w:type="dxa"/>
                  <w:vMerge w:val="continue"/>
                  <w:vAlign w:val="center"/>
                </w:tcPr>
                <w:p w14:paraId="30E2E9D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lang w:val="en-US" w:eastAsia="zh-CN"/>
                    </w:rPr>
                  </w:pPr>
                </w:p>
              </w:tc>
            </w:tr>
            <w:tr w14:paraId="19CDA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94" w:hRule="atLeast"/>
                <w:jc w:val="center"/>
              </w:trPr>
              <w:tc>
                <w:tcPr>
                  <w:tcW w:w="811" w:type="dxa"/>
                  <w:vMerge w:val="continue"/>
                  <w:vAlign w:val="center"/>
                </w:tcPr>
                <w:p w14:paraId="10D6640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855" w:type="dxa"/>
                  <w:shd w:val="clear" w:color="auto" w:fill="auto"/>
                  <w:vAlign w:val="center"/>
                </w:tcPr>
                <w:p w14:paraId="7FA5B60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2"/>
                      <w:szCs w:val="22"/>
                      <w:highlight w:val="none"/>
                      <w:lang w:val="en-US" w:eastAsia="zh-CN" w:bidi="ar-SA"/>
                    </w:rPr>
                  </w:pPr>
                  <w:r>
                    <w:rPr>
                      <w:rFonts w:hint="eastAsia" w:cs="Times New Roman"/>
                      <w:color w:val="000000"/>
                      <w:kern w:val="2"/>
                      <w:sz w:val="22"/>
                      <w:szCs w:val="22"/>
                      <w:highlight w:val="none"/>
                      <w:lang w:val="en-US" w:eastAsia="zh-CN" w:bidi="ar-SA"/>
                    </w:rPr>
                    <w:t>氨氮</w:t>
                  </w:r>
                </w:p>
              </w:tc>
              <w:tc>
                <w:tcPr>
                  <w:tcW w:w="780" w:type="dxa"/>
                  <w:vMerge w:val="continue"/>
                  <w:vAlign w:val="center"/>
                </w:tcPr>
                <w:p w14:paraId="0842F2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828" w:type="dxa"/>
                  <w:vAlign w:val="center"/>
                </w:tcPr>
                <w:p w14:paraId="2B9DDAE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5.4</w:t>
                  </w:r>
                </w:p>
              </w:tc>
              <w:tc>
                <w:tcPr>
                  <w:tcW w:w="873" w:type="dxa"/>
                  <w:vAlign w:val="center"/>
                </w:tcPr>
                <w:p w14:paraId="09049AB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0.01</w:t>
                  </w:r>
                </w:p>
              </w:tc>
              <w:tc>
                <w:tcPr>
                  <w:tcW w:w="620" w:type="dxa"/>
                  <w:vMerge w:val="continue"/>
                  <w:vAlign w:val="center"/>
                </w:tcPr>
                <w:p w14:paraId="7932FC0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844" w:type="dxa"/>
                  <w:vMerge w:val="continue"/>
                  <w:vAlign w:val="center"/>
                </w:tcPr>
                <w:p w14:paraId="3222F7A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624" w:type="dxa"/>
                  <w:vMerge w:val="continue"/>
                  <w:vAlign w:val="center"/>
                </w:tcPr>
                <w:p w14:paraId="69FEF32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696" w:type="dxa"/>
                  <w:vMerge w:val="continue"/>
                  <w:vAlign w:val="center"/>
                </w:tcPr>
                <w:p w14:paraId="7CF0D6C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588" w:type="dxa"/>
                  <w:vMerge w:val="continue"/>
                  <w:vAlign w:val="center"/>
                </w:tcPr>
                <w:p w14:paraId="3E9722C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843" w:type="dxa"/>
                  <w:vMerge w:val="continue"/>
                  <w:vAlign w:val="center"/>
                </w:tcPr>
                <w:p w14:paraId="4A62A96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lang w:val="en-US" w:eastAsia="zh-CN"/>
                    </w:rPr>
                  </w:pPr>
                </w:p>
              </w:tc>
            </w:tr>
            <w:tr w14:paraId="45CCE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94" w:hRule="atLeast"/>
                <w:jc w:val="center"/>
              </w:trPr>
              <w:tc>
                <w:tcPr>
                  <w:tcW w:w="811" w:type="dxa"/>
                  <w:vMerge w:val="continue"/>
                  <w:vAlign w:val="center"/>
                </w:tcPr>
                <w:p w14:paraId="56CC421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855" w:type="dxa"/>
                  <w:shd w:val="clear" w:color="auto" w:fill="auto"/>
                  <w:vAlign w:val="center"/>
                </w:tcPr>
                <w:p w14:paraId="287E6D1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bidi="ar-SA"/>
                    </w:rPr>
                  </w:pPr>
                  <w:r>
                    <w:rPr>
                      <w:rFonts w:hint="eastAsia" w:cs="Times New Roman"/>
                      <w:color w:val="000000"/>
                      <w:kern w:val="2"/>
                      <w:sz w:val="22"/>
                      <w:szCs w:val="22"/>
                      <w:highlight w:val="none"/>
                      <w:lang w:val="en-US" w:eastAsia="zh-CN" w:bidi="ar-SA"/>
                    </w:rPr>
                    <w:t>动植物油</w:t>
                  </w:r>
                </w:p>
              </w:tc>
              <w:tc>
                <w:tcPr>
                  <w:tcW w:w="780" w:type="dxa"/>
                  <w:vMerge w:val="continue"/>
                  <w:vAlign w:val="center"/>
                </w:tcPr>
                <w:p w14:paraId="24E0B48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828" w:type="dxa"/>
                  <w:vAlign w:val="center"/>
                </w:tcPr>
                <w:p w14:paraId="0E13BE2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ND</w:t>
                  </w:r>
                </w:p>
              </w:tc>
              <w:tc>
                <w:tcPr>
                  <w:tcW w:w="873" w:type="dxa"/>
                  <w:shd w:val="clear" w:color="auto" w:fill="auto"/>
                  <w:vAlign w:val="center"/>
                </w:tcPr>
                <w:p w14:paraId="4C94B6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0</w:t>
                  </w:r>
                </w:p>
              </w:tc>
              <w:tc>
                <w:tcPr>
                  <w:tcW w:w="620" w:type="dxa"/>
                  <w:vMerge w:val="continue"/>
                  <w:vAlign w:val="center"/>
                </w:tcPr>
                <w:p w14:paraId="425BFF5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844" w:type="dxa"/>
                  <w:vMerge w:val="continue"/>
                  <w:vAlign w:val="center"/>
                </w:tcPr>
                <w:p w14:paraId="1C6162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624" w:type="dxa"/>
                  <w:vMerge w:val="continue"/>
                  <w:vAlign w:val="center"/>
                </w:tcPr>
                <w:p w14:paraId="16D4A88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696" w:type="dxa"/>
                  <w:vMerge w:val="continue"/>
                  <w:vAlign w:val="center"/>
                </w:tcPr>
                <w:p w14:paraId="0E62E66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2"/>
                      <w:szCs w:val="22"/>
                      <w:highlight w:val="none"/>
                      <w:lang w:val="en-US" w:eastAsia="zh-CN"/>
                    </w:rPr>
                  </w:pPr>
                </w:p>
              </w:tc>
              <w:tc>
                <w:tcPr>
                  <w:tcW w:w="588" w:type="dxa"/>
                  <w:vMerge w:val="continue"/>
                  <w:vAlign w:val="center"/>
                </w:tcPr>
                <w:p w14:paraId="53E0B4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p>
              </w:tc>
              <w:tc>
                <w:tcPr>
                  <w:tcW w:w="843" w:type="dxa"/>
                  <w:vMerge w:val="continue"/>
                  <w:vAlign w:val="center"/>
                </w:tcPr>
                <w:p w14:paraId="5F46C50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sz w:val="22"/>
                      <w:szCs w:val="22"/>
                      <w:lang w:val="en-US" w:eastAsia="zh-CN"/>
                    </w:rPr>
                  </w:pPr>
                </w:p>
              </w:tc>
            </w:tr>
          </w:tbl>
          <w:p w14:paraId="6EB96132">
            <w:pPr>
              <w:autoSpaceDE w:val="0"/>
              <w:autoSpaceDN w:val="0"/>
              <w:adjustRightInd w:val="0"/>
              <w:snapToGrid w:val="0"/>
              <w:ind w:firstLine="480" w:firstLineChars="200"/>
              <w:jc w:val="center"/>
              <w:rPr>
                <w:rFonts w:hint="eastAsia" w:ascii="宋体" w:hAnsi="宋体" w:cs="宋体"/>
                <w:kern w:val="0"/>
                <w:sz w:val="24"/>
                <w:szCs w:val="24"/>
              </w:rPr>
            </w:pPr>
          </w:p>
        </w:tc>
      </w:tr>
    </w:tbl>
    <w:p w14:paraId="5B491FCD">
      <w:pPr>
        <w:bidi w:val="0"/>
        <w:rPr>
          <w:rFonts w:hint="eastAsia"/>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4"/>
        <w:gridCol w:w="8444"/>
      </w:tblGrid>
      <w:tr w14:paraId="1923A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64" w:type="dxa"/>
            <w:noWrap w:val="0"/>
            <w:tcMar>
              <w:left w:w="28" w:type="dxa"/>
              <w:right w:w="28" w:type="dxa"/>
            </w:tcMar>
            <w:vAlign w:val="center"/>
          </w:tcPr>
          <w:p w14:paraId="2B618EF6">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运营</w:t>
            </w:r>
          </w:p>
          <w:p w14:paraId="7DCB6E82">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期环</w:t>
            </w:r>
          </w:p>
          <w:p w14:paraId="2E81CE0D">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境影</w:t>
            </w:r>
          </w:p>
          <w:p w14:paraId="463CA073">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响和</w:t>
            </w:r>
          </w:p>
          <w:p w14:paraId="50CC32EF">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保护</w:t>
            </w:r>
          </w:p>
          <w:p w14:paraId="318218B3">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措施</w:t>
            </w:r>
          </w:p>
        </w:tc>
        <w:tc>
          <w:tcPr>
            <w:tcW w:w="8444" w:type="dxa"/>
            <w:noWrap w:val="0"/>
            <w:vAlign w:val="center"/>
          </w:tcPr>
          <w:p w14:paraId="1EA91742">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（2）化粪池依托可行性分析</w:t>
            </w:r>
          </w:p>
          <w:p w14:paraId="20DFE14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淮北市协力重型机器有限责任公司依托现有隔油池和化粪池收集处理技改后的生活污水和食堂废水，技改后不增加生活污水和食堂废水。根据建设单位2024年度的自行检测报告数据，废水污染物排放浓度均满足相关要求和标准，因此，本项目依托现有隔油池和化粪池处理生活污水的措施是可行的。</w:t>
            </w:r>
          </w:p>
          <w:p w14:paraId="330B402D">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（3）污水接管可行性分析</w:t>
            </w:r>
          </w:p>
          <w:p w14:paraId="3C7EB7B4">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①淮北经济开发区新区污水处理厂概况</w:t>
            </w:r>
          </w:p>
          <w:p w14:paraId="255A0195">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淮北经济开发区新区污水处理厂位于淮北市烈山区滨河路与云谷路交叉口。原淮北市环境保护局于2011年7月8日对《淮北市经济开发区新区污水处理厂工程环境影响报告表》给予了批复，并于2015年8月10日对污水厂环评变更报告进行备案（淮环行函[2015]18号）；2015年8月19日，原淮北市环境保护局出具了该项目竣工环保验收意见（环验[2015]25号），淮北经济开发区新区污水处理厂现已投入运行。淮北经济开发区新区污水处理厂设计规模为4万m</w:t>
            </w:r>
            <w:r>
              <w:rPr>
                <w:rFonts w:hint="eastAsia"/>
                <w:color w:val="000000"/>
                <w:kern w:val="0"/>
                <w:sz w:val="24"/>
                <w:vertAlign w:val="superscript"/>
                <w:lang w:val="en-US" w:eastAsia="zh-CN"/>
              </w:rPr>
              <w:t>3</w:t>
            </w:r>
            <w:r>
              <w:rPr>
                <w:rFonts w:hint="eastAsia"/>
                <w:color w:val="000000"/>
                <w:kern w:val="0"/>
                <w:sz w:val="24"/>
                <w:lang w:val="en-US" w:eastAsia="zh-CN"/>
              </w:rPr>
              <w:t>/d，分两期建设，其中已建成一期2万m</w:t>
            </w:r>
            <w:r>
              <w:rPr>
                <w:rFonts w:hint="eastAsia"/>
                <w:color w:val="000000"/>
                <w:kern w:val="0"/>
                <w:sz w:val="24"/>
                <w:vertAlign w:val="superscript"/>
                <w:lang w:val="en-US" w:eastAsia="zh-CN"/>
              </w:rPr>
              <w:t>3</w:t>
            </w:r>
            <w:r>
              <w:rPr>
                <w:rFonts w:hint="eastAsia"/>
                <w:color w:val="000000"/>
                <w:kern w:val="0"/>
                <w:sz w:val="24"/>
                <w:lang w:val="en-US" w:eastAsia="zh-CN"/>
              </w:rPr>
              <w:t>/d，占地面积35亩；一期工程采用水解酸化+改良型A</w:t>
            </w:r>
            <w:r>
              <w:rPr>
                <w:rFonts w:hint="eastAsia"/>
                <w:color w:val="000000"/>
                <w:kern w:val="0"/>
                <w:sz w:val="24"/>
                <w:vertAlign w:val="superscript"/>
                <w:lang w:val="en-US" w:eastAsia="zh-CN"/>
              </w:rPr>
              <w:t>2</w:t>
            </w:r>
            <w:r>
              <w:rPr>
                <w:rFonts w:hint="eastAsia"/>
                <w:color w:val="000000"/>
                <w:kern w:val="0"/>
                <w:sz w:val="24"/>
                <w:lang w:val="en-US" w:eastAsia="zh-CN"/>
              </w:rPr>
              <w:t>O/SBR工艺，污水处理厂出水水质达到《城镇污水处理厂污染排放标准》（GB18918-2002）一级A标准，处理后尾水部分由平山电厂中水回用，剩余排入新濉河。</w:t>
            </w:r>
          </w:p>
          <w:p w14:paraId="4AE38845">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②水量水质分析</w:t>
            </w:r>
          </w:p>
          <w:p w14:paraId="35896DE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淮北经济开发区新区污水处理厂现处理规模为2万吨/天，技改后厂区废水排放量约为2.93m</w:t>
            </w:r>
            <w:r>
              <w:rPr>
                <w:rFonts w:hint="eastAsia"/>
                <w:color w:val="000000"/>
                <w:kern w:val="0"/>
                <w:sz w:val="24"/>
                <w:vertAlign w:val="superscript"/>
                <w:lang w:val="en-US" w:eastAsia="zh-CN"/>
              </w:rPr>
              <w:t>3</w:t>
            </w:r>
            <w:r>
              <w:rPr>
                <w:rFonts w:hint="eastAsia"/>
                <w:color w:val="000000"/>
                <w:kern w:val="0"/>
                <w:sz w:val="24"/>
                <w:lang w:val="en-US" w:eastAsia="zh-CN"/>
              </w:rPr>
              <w:t>/d，占淮北经济开发区新区污水处理厂总处理规模的0.015%，在水量上不会对污水处理厂造成冲击。</w:t>
            </w:r>
          </w:p>
          <w:p w14:paraId="2603AF7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淮北经济开发区新区污水处理厂处理工艺见下图，主要去除SS、COD、BOD</w:t>
            </w:r>
            <w:r>
              <w:rPr>
                <w:rFonts w:hint="eastAsia"/>
                <w:color w:val="000000"/>
                <w:kern w:val="0"/>
                <w:sz w:val="24"/>
                <w:vertAlign w:val="subscript"/>
                <w:lang w:val="en-US" w:eastAsia="zh-CN"/>
              </w:rPr>
              <w:t>5</w:t>
            </w:r>
            <w:r>
              <w:rPr>
                <w:rFonts w:hint="eastAsia"/>
                <w:color w:val="000000"/>
                <w:kern w:val="0"/>
                <w:sz w:val="24"/>
                <w:lang w:val="en-US" w:eastAsia="zh-CN"/>
              </w:rPr>
              <w:t>、氨氮、总磷、总氮。本项目污水水质简单，项目区的废水预处理效果完全在淮北经济开发区新区污水处理厂的进水水质范围内，完全可采用污水处理厂的处理工艺进行处理，本项目废水水质不会对污水处理厂处理工艺造成冲击。</w:t>
            </w:r>
          </w:p>
          <w:p w14:paraId="5AC30886">
            <w:pPr>
              <w:autoSpaceDE w:val="0"/>
              <w:autoSpaceDN w:val="0"/>
              <w:adjustRightInd w:val="0"/>
              <w:snapToGrid w:val="0"/>
              <w:spacing w:line="360" w:lineRule="auto"/>
              <w:jc w:val="center"/>
              <w:rPr>
                <w:rFonts w:hint="eastAsia"/>
                <w:b w:val="0"/>
                <w:bCs w:val="0"/>
                <w:sz w:val="24"/>
                <w:lang w:val="en-US" w:eastAsia="zh-CN"/>
              </w:rPr>
            </w:pPr>
            <w:r>
              <w:drawing>
                <wp:inline distT="0" distB="0" distL="114300" distR="114300">
                  <wp:extent cx="5218430" cy="2413000"/>
                  <wp:effectExtent l="0" t="0" r="889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tretch>
                            <a:fillRect/>
                          </a:stretch>
                        </pic:blipFill>
                        <pic:spPr>
                          <a:xfrm>
                            <a:off x="0" y="0"/>
                            <a:ext cx="5218430" cy="2413000"/>
                          </a:xfrm>
                          <a:prstGeom prst="rect">
                            <a:avLst/>
                          </a:prstGeom>
                          <a:noFill/>
                          <a:ln>
                            <a:noFill/>
                          </a:ln>
                        </pic:spPr>
                      </pic:pic>
                    </a:graphicData>
                  </a:graphic>
                </wp:inline>
              </w:drawing>
            </w:r>
          </w:p>
          <w:p w14:paraId="78F81313">
            <w:pPr>
              <w:keepNext w:val="0"/>
              <w:keepLines w:val="0"/>
              <w:pageBreakBefore w:val="0"/>
              <w:widowControl w:val="0"/>
              <w:kinsoku/>
              <w:wordWrap/>
              <w:overflowPunct/>
              <w:topLinePunct w:val="0"/>
              <w:autoSpaceDE w:val="0"/>
              <w:autoSpaceDN w:val="0"/>
              <w:bidi w:val="0"/>
              <w:adjustRightInd w:val="0"/>
              <w:snapToGrid w:val="0"/>
              <w:spacing w:after="157" w:afterLines="50" w:line="240" w:lineRule="auto"/>
              <w:jc w:val="center"/>
              <w:textAlignment w:val="auto"/>
              <w:rPr>
                <w:rFonts w:hint="default"/>
                <w:b w:val="0"/>
                <w:bCs w:val="0"/>
                <w:sz w:val="24"/>
                <w:lang w:val="en-US" w:eastAsia="zh-CN"/>
              </w:rPr>
            </w:pPr>
            <w:r>
              <w:rPr>
                <w:rFonts w:hint="eastAsia"/>
                <w:b/>
                <w:kern w:val="0"/>
                <w:sz w:val="22"/>
                <w:szCs w:val="22"/>
                <w:lang w:val="en-US" w:eastAsia="zh-CN"/>
              </w:rPr>
              <w:t>图4</w:t>
            </w:r>
            <w:r>
              <w:rPr>
                <w:b/>
                <w:kern w:val="0"/>
                <w:sz w:val="22"/>
                <w:szCs w:val="22"/>
              </w:rPr>
              <w:t>-</w:t>
            </w:r>
            <w:r>
              <w:rPr>
                <w:rFonts w:hint="eastAsia"/>
                <w:b/>
                <w:kern w:val="0"/>
                <w:sz w:val="22"/>
                <w:szCs w:val="22"/>
                <w:lang w:val="en-US" w:eastAsia="zh-CN"/>
              </w:rPr>
              <w:t>1</w:t>
            </w:r>
            <w:r>
              <w:rPr>
                <w:b/>
                <w:kern w:val="0"/>
                <w:sz w:val="22"/>
                <w:szCs w:val="22"/>
              </w:rPr>
              <w:t xml:space="preserve"> </w:t>
            </w:r>
            <w:r>
              <w:rPr>
                <w:rFonts w:hint="eastAsia"/>
                <w:b/>
                <w:kern w:val="0"/>
                <w:sz w:val="22"/>
                <w:szCs w:val="22"/>
                <w:lang w:val="en-US" w:eastAsia="zh-CN"/>
              </w:rPr>
              <w:t>淮北经济开发区新区污水处理厂处理工艺流程图</w:t>
            </w:r>
          </w:p>
          <w:p w14:paraId="696C7261">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③管网设施概况</w:t>
            </w:r>
          </w:p>
          <w:p w14:paraId="21C347D0">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根据《安徽淮北烈山经济开发区环境影响区域评估报告（2024年）》文件，淮北经济开发区新区污水处理厂总服务范围为烈山片区、淮北经济开发区、东部新城（含新蔡工业园），总服务面积约为淮北经济开发区新区污水处理厂44km</w:t>
            </w:r>
            <w:r>
              <w:rPr>
                <w:rFonts w:hint="eastAsia"/>
                <w:color w:val="000000"/>
                <w:kern w:val="0"/>
                <w:sz w:val="24"/>
                <w:vertAlign w:val="superscript"/>
                <w:lang w:val="en-US" w:eastAsia="zh-CN"/>
              </w:rPr>
              <w:t>2</w:t>
            </w:r>
            <w:r>
              <w:rPr>
                <w:rFonts w:hint="eastAsia"/>
                <w:color w:val="000000"/>
                <w:kern w:val="0"/>
                <w:sz w:val="24"/>
                <w:lang w:val="en-US" w:eastAsia="zh-CN"/>
              </w:rPr>
              <w:t>。安徽淮北烈山经济开发区隶属烈山片区，在淮北经济开发区新区污水处理厂服务范围内。</w:t>
            </w:r>
          </w:p>
          <w:p w14:paraId="49138C46">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（4）监测要求</w:t>
            </w:r>
          </w:p>
          <w:p w14:paraId="56E01AAD">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建设单位为非重点排污单位，生活污水和食堂废水间接排放，根据《排污许可证申请与核发技术规范 总则》（HJ942-2018）、《排污单位自行监测技术指南 总则》（HJ 819-2017）文件，本次评价不对建设单位提出废水监测计划。</w:t>
            </w:r>
          </w:p>
          <w:p w14:paraId="12D1993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综上所述，本项目技改后食堂废水和生活污水经现有隔油池和化粪池预处理后，排入淮北经济开发区新区污水处理厂进一步深度处理，处理后尾水部分由平山电厂中水回用，剩余排入新濉河，对周边地表水环境影响较小。</w:t>
            </w:r>
          </w:p>
          <w:p w14:paraId="1873612A">
            <w:pPr>
              <w:autoSpaceDE w:val="0"/>
              <w:autoSpaceDN w:val="0"/>
              <w:adjustRightInd w:val="0"/>
              <w:snapToGrid w:val="0"/>
              <w:spacing w:line="360" w:lineRule="auto"/>
              <w:jc w:val="left"/>
              <w:rPr>
                <w:rFonts w:hint="eastAsia" w:ascii="宋体" w:hAnsi="宋体" w:cs="宋体"/>
                <w:kern w:val="0"/>
                <w:sz w:val="24"/>
                <w:szCs w:val="24"/>
                <w:lang w:eastAsia="zh-CN"/>
              </w:rPr>
            </w:pPr>
            <w:r>
              <w:rPr>
                <w:rFonts w:hint="eastAsia"/>
                <w:b/>
                <w:bCs/>
                <w:sz w:val="24"/>
                <w:lang w:val="en-US" w:eastAsia="zh-CN"/>
              </w:rPr>
              <w:t>3、噪声</w:t>
            </w:r>
          </w:p>
          <w:p w14:paraId="00F1111F">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本项目主要噪声源为生产过程中抛丸机、各车床等生产机械设备及风机产生的噪声，其噪声源强在80-90dB（A）之间，建成后主要设备噪声源强见下表。</w:t>
            </w:r>
          </w:p>
          <w:p w14:paraId="0A32CE1A">
            <w:pPr>
              <w:keepNext w:val="0"/>
              <w:keepLines w:val="0"/>
              <w:pageBreakBefore w:val="0"/>
              <w:widowControl/>
              <w:kinsoku/>
              <w:wordWrap/>
              <w:overflowPunct/>
              <w:topLinePunct w:val="0"/>
              <w:autoSpaceDE/>
              <w:autoSpaceDN/>
              <w:bidi w:val="0"/>
              <w:adjustRightInd/>
              <w:snapToGrid/>
              <w:spacing w:before="157" w:beforeLines="50"/>
              <w:jc w:val="center"/>
              <w:textAlignment w:val="auto"/>
              <w:rPr>
                <w:rFonts w:hint="eastAsia"/>
                <w:b/>
                <w:kern w:val="0"/>
                <w:sz w:val="22"/>
                <w:szCs w:val="22"/>
                <w:lang w:val="en-US" w:eastAsia="zh-CN"/>
              </w:rPr>
            </w:pPr>
            <w:r>
              <w:rPr>
                <w:b/>
                <w:kern w:val="0"/>
                <w:sz w:val="22"/>
                <w:szCs w:val="22"/>
              </w:rPr>
              <w:t>表</w:t>
            </w:r>
            <w:r>
              <w:rPr>
                <w:rFonts w:hint="eastAsia"/>
                <w:b/>
                <w:kern w:val="0"/>
                <w:sz w:val="22"/>
                <w:szCs w:val="22"/>
                <w:lang w:val="en-US" w:eastAsia="zh-CN"/>
              </w:rPr>
              <w:t>4</w:t>
            </w:r>
            <w:r>
              <w:rPr>
                <w:b/>
                <w:kern w:val="0"/>
                <w:sz w:val="22"/>
                <w:szCs w:val="22"/>
              </w:rPr>
              <w:t>-</w:t>
            </w:r>
            <w:r>
              <w:rPr>
                <w:rFonts w:hint="eastAsia"/>
                <w:b/>
                <w:kern w:val="0"/>
                <w:sz w:val="22"/>
                <w:szCs w:val="22"/>
                <w:lang w:val="en-US" w:eastAsia="zh-CN"/>
              </w:rPr>
              <w:t>5</w:t>
            </w:r>
            <w:r>
              <w:rPr>
                <w:b/>
                <w:kern w:val="0"/>
                <w:sz w:val="22"/>
                <w:szCs w:val="22"/>
              </w:rPr>
              <w:t xml:space="preserve"> </w:t>
            </w:r>
            <w:r>
              <w:rPr>
                <w:rFonts w:hint="eastAsia"/>
                <w:b/>
                <w:kern w:val="0"/>
                <w:sz w:val="22"/>
                <w:szCs w:val="22"/>
                <w:lang w:val="en-US" w:eastAsia="zh-CN"/>
              </w:rPr>
              <w:t>本</w:t>
            </w:r>
            <w:r>
              <w:rPr>
                <w:rFonts w:hint="eastAsia"/>
                <w:b/>
                <w:kern w:val="0"/>
                <w:sz w:val="22"/>
                <w:szCs w:val="22"/>
              </w:rPr>
              <w:t>项目噪声源强调查一览表</w:t>
            </w:r>
          </w:p>
          <w:tbl>
            <w:tblPr>
              <w:tblStyle w:val="15"/>
              <w:tblW w:w="82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2"/>
              <w:gridCol w:w="624"/>
              <w:gridCol w:w="624"/>
              <w:gridCol w:w="1698"/>
              <w:gridCol w:w="672"/>
              <w:gridCol w:w="692"/>
              <w:gridCol w:w="624"/>
              <w:gridCol w:w="832"/>
              <w:gridCol w:w="1222"/>
              <w:gridCol w:w="694"/>
            </w:tblGrid>
            <w:tr w14:paraId="27A59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D447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248" w:type="dxa"/>
                  <w:gridSpan w:val="2"/>
                  <w:vMerge w:val="restart"/>
                  <w:tcBorders>
                    <w:top w:val="single" w:color="000000" w:sz="4" w:space="0"/>
                    <w:left w:val="single" w:color="000000" w:sz="4" w:space="0"/>
                    <w:right w:val="single" w:color="000000" w:sz="4" w:space="0"/>
                  </w:tcBorders>
                  <w:shd w:val="clear" w:color="auto" w:fill="auto"/>
                  <w:vAlign w:val="center"/>
                </w:tcPr>
                <w:p w14:paraId="05B786C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bCs/>
                      <w:color w:val="000000"/>
                      <w:kern w:val="2"/>
                      <w:sz w:val="21"/>
                      <w:szCs w:val="21"/>
                      <w:highlight w:val="none"/>
                      <w:lang w:val="en-US" w:eastAsia="zh-CN"/>
                    </w:rPr>
                  </w:pPr>
                  <w:r>
                    <w:rPr>
                      <w:rFonts w:hint="eastAsia" w:cs="Times New Roman"/>
                      <w:b/>
                      <w:bCs/>
                      <w:color w:val="000000"/>
                      <w:kern w:val="2"/>
                      <w:sz w:val="21"/>
                      <w:szCs w:val="21"/>
                      <w:highlight w:val="none"/>
                      <w:lang w:val="en-US" w:eastAsia="zh-CN"/>
                    </w:rPr>
                    <w:t>位置</w:t>
                  </w:r>
                </w:p>
              </w:tc>
              <w:tc>
                <w:tcPr>
                  <w:tcW w:w="1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5E35C2">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声源名称</w:t>
                  </w:r>
                </w:p>
              </w:tc>
              <w:tc>
                <w:tcPr>
                  <w:tcW w:w="19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3EFEC3">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空间相对位置</w:t>
                  </w:r>
                </w:p>
              </w:tc>
              <w:tc>
                <w:tcPr>
                  <w:tcW w:w="832" w:type="dxa"/>
                  <w:vMerge w:val="restart"/>
                  <w:tcBorders>
                    <w:top w:val="single" w:color="000000" w:sz="4" w:space="0"/>
                    <w:left w:val="single" w:color="000000" w:sz="4" w:space="0"/>
                    <w:right w:val="single" w:color="000000" w:sz="4" w:space="0"/>
                  </w:tcBorders>
                  <w:shd w:val="clear" w:color="auto" w:fill="auto"/>
                  <w:vAlign w:val="center"/>
                </w:tcPr>
                <w:p w14:paraId="2A0808C3">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声源源强</w:t>
                  </w:r>
                </w:p>
                <w:p w14:paraId="1725D911">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dB（A）</w:t>
                  </w:r>
                </w:p>
              </w:tc>
              <w:tc>
                <w:tcPr>
                  <w:tcW w:w="1222" w:type="dxa"/>
                  <w:vMerge w:val="restart"/>
                  <w:tcBorders>
                    <w:top w:val="single" w:color="000000" w:sz="4" w:space="0"/>
                    <w:left w:val="single" w:color="000000" w:sz="4" w:space="0"/>
                    <w:right w:val="single" w:color="000000" w:sz="4" w:space="0"/>
                  </w:tcBorders>
                  <w:shd w:val="clear" w:color="auto" w:fill="auto"/>
                  <w:vAlign w:val="center"/>
                </w:tcPr>
                <w:p w14:paraId="08EE001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声源控制措施</w:t>
                  </w:r>
                </w:p>
              </w:tc>
              <w:tc>
                <w:tcPr>
                  <w:tcW w:w="694" w:type="dxa"/>
                  <w:vMerge w:val="restart"/>
                  <w:tcBorders>
                    <w:top w:val="single" w:color="000000" w:sz="4" w:space="0"/>
                    <w:left w:val="single" w:color="000000" w:sz="4" w:space="0"/>
                    <w:right w:val="single" w:color="000000" w:sz="4" w:space="0"/>
                  </w:tcBorders>
                  <w:shd w:val="clear" w:color="auto" w:fill="auto"/>
                  <w:vAlign w:val="center"/>
                </w:tcPr>
                <w:p w14:paraId="0DD6B83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运行时间</w:t>
                  </w:r>
                </w:p>
              </w:tc>
            </w:tr>
            <w:tr w14:paraId="7D73B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8B382">
                  <w:pPr>
                    <w:jc w:val="center"/>
                    <w:rPr>
                      <w:rFonts w:hint="eastAsia" w:ascii="宋体" w:hAnsi="宋体" w:eastAsia="宋体" w:cs="宋体"/>
                      <w:b/>
                      <w:bCs/>
                      <w:i w:val="0"/>
                      <w:iCs w:val="0"/>
                      <w:color w:val="000000"/>
                      <w:sz w:val="24"/>
                      <w:szCs w:val="24"/>
                      <w:u w:val="none"/>
                    </w:rPr>
                  </w:pPr>
                </w:p>
              </w:tc>
              <w:tc>
                <w:tcPr>
                  <w:tcW w:w="1248" w:type="dxa"/>
                  <w:gridSpan w:val="2"/>
                  <w:vMerge w:val="continue"/>
                  <w:tcBorders>
                    <w:left w:val="single" w:color="000000" w:sz="4" w:space="0"/>
                    <w:bottom w:val="single" w:color="000000" w:sz="4" w:space="0"/>
                    <w:right w:val="single" w:color="000000" w:sz="4" w:space="0"/>
                  </w:tcBorders>
                  <w:shd w:val="clear" w:color="auto" w:fill="auto"/>
                  <w:vAlign w:val="center"/>
                </w:tcPr>
                <w:p w14:paraId="12383AEC">
                  <w:pPr>
                    <w:jc w:val="center"/>
                    <w:rPr>
                      <w:rFonts w:hint="eastAsia" w:ascii="宋体" w:hAnsi="宋体" w:eastAsia="宋体" w:cs="宋体"/>
                      <w:b/>
                      <w:bCs/>
                      <w:i w:val="0"/>
                      <w:iCs w:val="0"/>
                      <w:color w:val="000000"/>
                      <w:sz w:val="24"/>
                      <w:szCs w:val="24"/>
                      <w:u w:val="none"/>
                    </w:rPr>
                  </w:pPr>
                </w:p>
              </w:tc>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34C38">
                  <w:pPr>
                    <w:jc w:val="center"/>
                    <w:rPr>
                      <w:rFonts w:hint="eastAsia" w:ascii="宋体" w:hAnsi="宋体" w:eastAsia="宋体" w:cs="宋体"/>
                      <w:b/>
                      <w:bCs/>
                      <w:i w:val="0"/>
                      <w:iCs w:val="0"/>
                      <w:color w:val="000000"/>
                      <w:sz w:val="24"/>
                      <w:szCs w:val="24"/>
                      <w:u w:val="none"/>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D267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X</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145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Y</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EA5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Z</w:t>
                  </w:r>
                </w:p>
              </w:tc>
              <w:tc>
                <w:tcPr>
                  <w:tcW w:w="832" w:type="dxa"/>
                  <w:vMerge w:val="continue"/>
                  <w:tcBorders>
                    <w:left w:val="single" w:color="000000" w:sz="4" w:space="0"/>
                    <w:right w:val="single" w:color="000000" w:sz="4" w:space="0"/>
                  </w:tcBorders>
                  <w:shd w:val="clear" w:color="auto" w:fill="auto"/>
                  <w:vAlign w:val="center"/>
                </w:tcPr>
                <w:p w14:paraId="795A23B2">
                  <w:pPr>
                    <w:jc w:val="center"/>
                    <w:rPr>
                      <w:rFonts w:hint="eastAsia" w:ascii="宋体" w:hAnsi="宋体" w:eastAsia="宋体" w:cs="宋体"/>
                      <w:b/>
                      <w:bCs/>
                      <w:i w:val="0"/>
                      <w:iCs w:val="0"/>
                      <w:color w:val="000000"/>
                      <w:sz w:val="24"/>
                      <w:szCs w:val="24"/>
                      <w:u w:val="none"/>
                    </w:rPr>
                  </w:pPr>
                </w:p>
              </w:tc>
              <w:tc>
                <w:tcPr>
                  <w:tcW w:w="1222" w:type="dxa"/>
                  <w:vMerge w:val="continue"/>
                  <w:tcBorders>
                    <w:left w:val="single" w:color="000000" w:sz="4" w:space="0"/>
                    <w:right w:val="single" w:color="000000" w:sz="4" w:space="0"/>
                  </w:tcBorders>
                  <w:shd w:val="clear" w:color="auto" w:fill="auto"/>
                  <w:vAlign w:val="center"/>
                </w:tcPr>
                <w:p w14:paraId="068286FC">
                  <w:pPr>
                    <w:jc w:val="center"/>
                    <w:rPr>
                      <w:rFonts w:hint="eastAsia" w:ascii="宋体" w:hAnsi="宋体" w:eastAsia="宋体" w:cs="宋体"/>
                      <w:b/>
                      <w:bCs/>
                      <w:i w:val="0"/>
                      <w:iCs w:val="0"/>
                      <w:color w:val="000000"/>
                      <w:sz w:val="24"/>
                      <w:szCs w:val="24"/>
                      <w:u w:val="none"/>
                    </w:rPr>
                  </w:pPr>
                </w:p>
              </w:tc>
              <w:tc>
                <w:tcPr>
                  <w:tcW w:w="694" w:type="dxa"/>
                  <w:vMerge w:val="continue"/>
                  <w:tcBorders>
                    <w:left w:val="single" w:color="000000" w:sz="4" w:space="0"/>
                    <w:right w:val="single" w:color="000000" w:sz="4" w:space="0"/>
                  </w:tcBorders>
                  <w:shd w:val="clear" w:color="auto" w:fill="auto"/>
                  <w:vAlign w:val="center"/>
                </w:tcPr>
                <w:p w14:paraId="3CCE87F9">
                  <w:pPr>
                    <w:jc w:val="center"/>
                    <w:rPr>
                      <w:rFonts w:hint="eastAsia" w:ascii="宋体" w:hAnsi="宋体" w:eastAsia="宋体" w:cs="宋体"/>
                      <w:b/>
                      <w:bCs/>
                      <w:i w:val="0"/>
                      <w:iCs w:val="0"/>
                      <w:color w:val="000000"/>
                      <w:sz w:val="24"/>
                      <w:szCs w:val="24"/>
                      <w:u w:val="none"/>
                    </w:rPr>
                  </w:pPr>
                </w:p>
              </w:tc>
            </w:tr>
            <w:tr w14:paraId="7C089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22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w:t>
                  </w:r>
                </w:p>
              </w:tc>
              <w:tc>
                <w:tcPr>
                  <w:tcW w:w="624" w:type="dxa"/>
                  <w:vMerge w:val="restart"/>
                  <w:tcBorders>
                    <w:top w:val="single" w:color="000000" w:sz="4" w:space="0"/>
                    <w:left w:val="single" w:color="000000" w:sz="4" w:space="0"/>
                    <w:right w:val="single" w:color="auto" w:sz="4" w:space="0"/>
                  </w:tcBorders>
                  <w:shd w:val="clear" w:color="auto" w:fill="auto"/>
                  <w:vAlign w:val="center"/>
                </w:tcPr>
                <w:p w14:paraId="4778933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室内声源</w:t>
                  </w:r>
                </w:p>
              </w:tc>
              <w:tc>
                <w:tcPr>
                  <w:tcW w:w="624" w:type="dxa"/>
                  <w:vMerge w:val="restart"/>
                  <w:tcBorders>
                    <w:top w:val="single" w:color="000000" w:sz="4" w:space="0"/>
                    <w:left w:val="single" w:color="000000" w:sz="4" w:space="0"/>
                    <w:right w:val="single" w:color="auto" w:sz="4" w:space="0"/>
                  </w:tcBorders>
                  <w:shd w:val="clear" w:color="auto" w:fill="auto"/>
                  <w:vAlign w:val="center"/>
                </w:tcPr>
                <w:p w14:paraId="75D81F5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1#车间</w:t>
                  </w: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0FE9721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滚齿机</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473542C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21</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5B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-34</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B71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5D2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85</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133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距离衰减、基础减震、房屋墙壁隔声等</w:t>
                  </w:r>
                </w:p>
              </w:tc>
              <w:tc>
                <w:tcPr>
                  <w:tcW w:w="694" w:type="dxa"/>
                  <w:vMerge w:val="restart"/>
                  <w:tcBorders>
                    <w:top w:val="single" w:color="000000" w:sz="4" w:space="0"/>
                    <w:left w:val="single" w:color="000000" w:sz="4" w:space="0"/>
                    <w:right w:val="single" w:color="000000" w:sz="4" w:space="0"/>
                  </w:tcBorders>
                  <w:shd w:val="clear" w:color="auto" w:fill="auto"/>
                  <w:vAlign w:val="center"/>
                </w:tcPr>
                <w:p w14:paraId="53136A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昼间</w:t>
                  </w:r>
                </w:p>
              </w:tc>
            </w:tr>
            <w:tr w14:paraId="1098C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0B6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w:t>
                  </w:r>
                </w:p>
              </w:tc>
              <w:tc>
                <w:tcPr>
                  <w:tcW w:w="624" w:type="dxa"/>
                  <w:vMerge w:val="continue"/>
                  <w:tcBorders>
                    <w:left w:val="single" w:color="000000" w:sz="4" w:space="0"/>
                    <w:right w:val="single" w:color="auto" w:sz="4" w:space="0"/>
                  </w:tcBorders>
                  <w:shd w:val="clear" w:color="auto" w:fill="auto"/>
                  <w:vAlign w:val="center"/>
                </w:tcPr>
                <w:p w14:paraId="3A8CA0F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624" w:type="dxa"/>
                  <w:vMerge w:val="continue"/>
                  <w:tcBorders>
                    <w:left w:val="single" w:color="000000" w:sz="4" w:space="0"/>
                    <w:right w:val="single" w:color="auto" w:sz="4" w:space="0"/>
                  </w:tcBorders>
                  <w:shd w:val="clear" w:color="auto" w:fill="auto"/>
                  <w:vAlign w:val="center"/>
                </w:tcPr>
                <w:p w14:paraId="35D2B62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4AC4D70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滚齿机</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3169AA9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21.5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69F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-37</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A63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055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85</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24664">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3D840A35">
                  <w:pPr>
                    <w:jc w:val="center"/>
                    <w:rPr>
                      <w:rFonts w:hint="eastAsia" w:ascii="宋体" w:hAnsi="宋体" w:eastAsia="宋体" w:cs="宋体"/>
                      <w:i w:val="0"/>
                      <w:iCs w:val="0"/>
                      <w:color w:val="000000"/>
                      <w:sz w:val="21"/>
                      <w:szCs w:val="21"/>
                      <w:u w:val="none"/>
                    </w:rPr>
                  </w:pPr>
                </w:p>
              </w:tc>
            </w:tr>
            <w:tr w14:paraId="67AF3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623D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3</w:t>
                  </w:r>
                </w:p>
              </w:tc>
              <w:tc>
                <w:tcPr>
                  <w:tcW w:w="624" w:type="dxa"/>
                  <w:vMerge w:val="continue"/>
                  <w:tcBorders>
                    <w:left w:val="single" w:color="000000" w:sz="4" w:space="0"/>
                    <w:right w:val="single" w:color="auto" w:sz="4" w:space="0"/>
                  </w:tcBorders>
                  <w:shd w:val="clear" w:color="auto" w:fill="auto"/>
                  <w:vAlign w:val="center"/>
                </w:tcPr>
                <w:p w14:paraId="426C246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624" w:type="dxa"/>
                  <w:vMerge w:val="continue"/>
                  <w:tcBorders>
                    <w:left w:val="single" w:color="000000" w:sz="4" w:space="0"/>
                    <w:right w:val="single" w:color="auto" w:sz="4" w:space="0"/>
                  </w:tcBorders>
                  <w:shd w:val="clear" w:color="auto" w:fill="auto"/>
                  <w:vAlign w:val="center"/>
                </w:tcPr>
                <w:p w14:paraId="36037F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2678316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外圆磨床</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33892A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21.5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6B9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-40</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AC0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0A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80</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C1CAF">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2AE639CA">
                  <w:pPr>
                    <w:jc w:val="center"/>
                    <w:rPr>
                      <w:rFonts w:hint="eastAsia" w:ascii="宋体" w:hAnsi="宋体" w:eastAsia="宋体" w:cs="宋体"/>
                      <w:i w:val="0"/>
                      <w:iCs w:val="0"/>
                      <w:color w:val="000000"/>
                      <w:sz w:val="21"/>
                      <w:szCs w:val="21"/>
                      <w:u w:val="none"/>
                    </w:rPr>
                  </w:pPr>
                </w:p>
              </w:tc>
            </w:tr>
            <w:tr w14:paraId="17948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E658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4</w:t>
                  </w:r>
                </w:p>
              </w:tc>
              <w:tc>
                <w:tcPr>
                  <w:tcW w:w="624" w:type="dxa"/>
                  <w:vMerge w:val="continue"/>
                  <w:tcBorders>
                    <w:left w:val="single" w:color="000000" w:sz="4" w:space="0"/>
                    <w:right w:val="single" w:color="auto" w:sz="4" w:space="0"/>
                  </w:tcBorders>
                  <w:shd w:val="clear" w:color="auto" w:fill="auto"/>
                  <w:vAlign w:val="center"/>
                </w:tcPr>
                <w:p w14:paraId="6689B79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624" w:type="dxa"/>
                  <w:vMerge w:val="continue"/>
                  <w:tcBorders>
                    <w:left w:val="single" w:color="000000" w:sz="4" w:space="0"/>
                    <w:right w:val="single" w:color="auto" w:sz="4" w:space="0"/>
                  </w:tcBorders>
                  <w:shd w:val="clear" w:color="auto" w:fill="auto"/>
                  <w:vAlign w:val="center"/>
                </w:tcPr>
                <w:p w14:paraId="1E8C37C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5BE0AA7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外圆磨床</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29A45EA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22</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5F8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-43</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7D0B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F48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80</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99DC5">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03CB1512">
                  <w:pPr>
                    <w:jc w:val="center"/>
                    <w:rPr>
                      <w:rFonts w:hint="eastAsia" w:ascii="宋体" w:hAnsi="宋体" w:eastAsia="宋体" w:cs="宋体"/>
                      <w:i w:val="0"/>
                      <w:iCs w:val="0"/>
                      <w:color w:val="000000"/>
                      <w:sz w:val="21"/>
                      <w:szCs w:val="21"/>
                      <w:u w:val="none"/>
                    </w:rPr>
                  </w:pPr>
                </w:p>
              </w:tc>
            </w:tr>
            <w:tr w14:paraId="11D15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4AC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5</w:t>
                  </w:r>
                </w:p>
              </w:tc>
              <w:tc>
                <w:tcPr>
                  <w:tcW w:w="624" w:type="dxa"/>
                  <w:vMerge w:val="continue"/>
                  <w:tcBorders>
                    <w:left w:val="single" w:color="000000" w:sz="4" w:space="0"/>
                    <w:right w:val="single" w:color="auto" w:sz="4" w:space="0"/>
                  </w:tcBorders>
                  <w:shd w:val="clear" w:color="auto" w:fill="auto"/>
                  <w:vAlign w:val="center"/>
                </w:tcPr>
                <w:p w14:paraId="4E3F3C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624" w:type="dxa"/>
                  <w:vMerge w:val="continue"/>
                  <w:tcBorders>
                    <w:left w:val="single" w:color="000000" w:sz="4" w:space="0"/>
                    <w:right w:val="single" w:color="auto" w:sz="4" w:space="0"/>
                  </w:tcBorders>
                  <w:shd w:val="clear" w:color="auto" w:fill="auto"/>
                  <w:vAlign w:val="center"/>
                </w:tcPr>
                <w:p w14:paraId="1205172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47B2593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卧式拉床</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4020A73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22</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1D2A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-45</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B4D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B25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85</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18EFA">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33B05D03">
                  <w:pPr>
                    <w:jc w:val="center"/>
                    <w:rPr>
                      <w:rFonts w:hint="eastAsia" w:ascii="宋体" w:hAnsi="宋体" w:eastAsia="宋体" w:cs="宋体"/>
                      <w:i w:val="0"/>
                      <w:iCs w:val="0"/>
                      <w:color w:val="000000"/>
                      <w:sz w:val="21"/>
                      <w:szCs w:val="21"/>
                      <w:u w:val="none"/>
                    </w:rPr>
                  </w:pPr>
                </w:p>
              </w:tc>
            </w:tr>
            <w:tr w14:paraId="6B609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E98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6</w:t>
                  </w:r>
                </w:p>
              </w:tc>
              <w:tc>
                <w:tcPr>
                  <w:tcW w:w="624" w:type="dxa"/>
                  <w:vMerge w:val="continue"/>
                  <w:tcBorders>
                    <w:left w:val="single" w:color="000000" w:sz="4" w:space="0"/>
                    <w:right w:val="single" w:color="auto" w:sz="4" w:space="0"/>
                  </w:tcBorders>
                  <w:shd w:val="clear" w:color="auto" w:fill="auto"/>
                  <w:vAlign w:val="center"/>
                </w:tcPr>
                <w:p w14:paraId="367CDB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624" w:type="dxa"/>
                  <w:vMerge w:val="continue"/>
                  <w:tcBorders>
                    <w:left w:val="single" w:color="000000" w:sz="4" w:space="0"/>
                    <w:right w:val="single" w:color="auto" w:sz="4" w:space="0"/>
                  </w:tcBorders>
                  <w:shd w:val="clear" w:color="auto" w:fill="auto"/>
                  <w:vAlign w:val="center"/>
                </w:tcPr>
                <w:p w14:paraId="503F6FB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3EF3662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管子车床</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75BF38F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23</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7E1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-49</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44E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4EB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80</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DB111">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6B98D35B">
                  <w:pPr>
                    <w:jc w:val="center"/>
                    <w:rPr>
                      <w:rFonts w:hint="eastAsia" w:ascii="宋体" w:hAnsi="宋体" w:eastAsia="宋体" w:cs="宋体"/>
                      <w:i w:val="0"/>
                      <w:iCs w:val="0"/>
                      <w:color w:val="000000"/>
                      <w:sz w:val="21"/>
                      <w:szCs w:val="21"/>
                      <w:u w:val="none"/>
                    </w:rPr>
                  </w:pPr>
                </w:p>
              </w:tc>
            </w:tr>
            <w:tr w14:paraId="049E7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B21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7</w:t>
                  </w:r>
                </w:p>
              </w:tc>
              <w:tc>
                <w:tcPr>
                  <w:tcW w:w="624" w:type="dxa"/>
                  <w:vMerge w:val="continue"/>
                  <w:tcBorders>
                    <w:left w:val="single" w:color="000000" w:sz="4" w:space="0"/>
                    <w:right w:val="single" w:color="auto" w:sz="4" w:space="0"/>
                  </w:tcBorders>
                  <w:shd w:val="clear" w:color="auto" w:fill="auto"/>
                  <w:vAlign w:val="center"/>
                </w:tcPr>
                <w:p w14:paraId="72D064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624" w:type="dxa"/>
                  <w:vMerge w:val="continue"/>
                  <w:tcBorders>
                    <w:left w:val="single" w:color="000000" w:sz="4" w:space="0"/>
                    <w:right w:val="single" w:color="auto" w:sz="4" w:space="0"/>
                  </w:tcBorders>
                  <w:shd w:val="clear" w:color="auto" w:fill="auto"/>
                  <w:vAlign w:val="center"/>
                </w:tcPr>
                <w:p w14:paraId="0D8F5C9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352623F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落地立车</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35DBB6B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23</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46B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-52</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F2E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029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95</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80C98">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6351ABFF">
                  <w:pPr>
                    <w:jc w:val="center"/>
                    <w:rPr>
                      <w:rFonts w:hint="eastAsia" w:ascii="宋体" w:hAnsi="宋体" w:eastAsia="宋体" w:cs="宋体"/>
                      <w:i w:val="0"/>
                      <w:iCs w:val="0"/>
                      <w:color w:val="000000"/>
                      <w:sz w:val="21"/>
                      <w:szCs w:val="21"/>
                      <w:u w:val="none"/>
                    </w:rPr>
                  </w:pPr>
                </w:p>
              </w:tc>
            </w:tr>
            <w:tr w14:paraId="203BD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F4A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8</w:t>
                  </w:r>
                </w:p>
              </w:tc>
              <w:tc>
                <w:tcPr>
                  <w:tcW w:w="624" w:type="dxa"/>
                  <w:vMerge w:val="continue"/>
                  <w:tcBorders>
                    <w:left w:val="single" w:color="000000" w:sz="4" w:space="0"/>
                    <w:right w:val="single" w:color="auto" w:sz="4" w:space="0"/>
                  </w:tcBorders>
                  <w:shd w:val="clear" w:color="auto" w:fill="auto"/>
                  <w:vAlign w:val="center"/>
                </w:tcPr>
                <w:p w14:paraId="71B248E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624" w:type="dxa"/>
                  <w:vMerge w:val="continue"/>
                  <w:tcBorders>
                    <w:left w:val="single" w:color="000000" w:sz="4" w:space="0"/>
                    <w:right w:val="single" w:color="auto" w:sz="4" w:space="0"/>
                  </w:tcBorders>
                  <w:shd w:val="clear" w:color="auto" w:fill="auto"/>
                  <w:vAlign w:val="center"/>
                </w:tcPr>
                <w:p w14:paraId="5DA1803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46BAE90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单柱立车</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3B04E34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23.5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E4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-55</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599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931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95</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FF826">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29E926A6">
                  <w:pPr>
                    <w:jc w:val="center"/>
                    <w:rPr>
                      <w:rFonts w:hint="eastAsia" w:ascii="宋体" w:hAnsi="宋体" w:eastAsia="宋体" w:cs="宋体"/>
                      <w:i w:val="0"/>
                      <w:iCs w:val="0"/>
                      <w:color w:val="000000"/>
                      <w:sz w:val="21"/>
                      <w:szCs w:val="21"/>
                      <w:u w:val="none"/>
                    </w:rPr>
                  </w:pPr>
                </w:p>
              </w:tc>
            </w:tr>
            <w:tr w14:paraId="50789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362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9</w:t>
                  </w:r>
                </w:p>
              </w:tc>
              <w:tc>
                <w:tcPr>
                  <w:tcW w:w="624" w:type="dxa"/>
                  <w:vMerge w:val="continue"/>
                  <w:tcBorders>
                    <w:left w:val="single" w:color="000000" w:sz="4" w:space="0"/>
                    <w:right w:val="single" w:color="auto" w:sz="4" w:space="0"/>
                  </w:tcBorders>
                  <w:shd w:val="clear" w:color="auto" w:fill="auto"/>
                  <w:vAlign w:val="center"/>
                </w:tcPr>
                <w:p w14:paraId="5B049C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624" w:type="dxa"/>
                  <w:vMerge w:val="continue"/>
                  <w:tcBorders>
                    <w:left w:val="single" w:color="000000" w:sz="4" w:space="0"/>
                    <w:right w:val="single" w:color="auto" w:sz="4" w:space="0"/>
                  </w:tcBorders>
                  <w:shd w:val="clear" w:color="auto" w:fill="auto"/>
                  <w:vAlign w:val="center"/>
                </w:tcPr>
                <w:p w14:paraId="2A0E09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2208C5A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单柱立车</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26AB60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23.5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CFE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-58</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604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0B6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95</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4E993">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58FF4040">
                  <w:pPr>
                    <w:jc w:val="center"/>
                    <w:rPr>
                      <w:rFonts w:hint="eastAsia" w:ascii="宋体" w:hAnsi="宋体" w:eastAsia="宋体" w:cs="宋体"/>
                      <w:i w:val="0"/>
                      <w:iCs w:val="0"/>
                      <w:color w:val="000000"/>
                      <w:sz w:val="21"/>
                      <w:szCs w:val="21"/>
                      <w:u w:val="none"/>
                    </w:rPr>
                  </w:pPr>
                </w:p>
              </w:tc>
            </w:tr>
            <w:tr w14:paraId="1132F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887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10</w:t>
                  </w:r>
                </w:p>
              </w:tc>
              <w:tc>
                <w:tcPr>
                  <w:tcW w:w="624" w:type="dxa"/>
                  <w:vMerge w:val="continue"/>
                  <w:tcBorders>
                    <w:left w:val="single" w:color="000000" w:sz="4" w:space="0"/>
                    <w:right w:val="single" w:color="auto" w:sz="4" w:space="0"/>
                  </w:tcBorders>
                  <w:shd w:val="clear" w:color="auto" w:fill="auto"/>
                  <w:vAlign w:val="center"/>
                </w:tcPr>
                <w:p w14:paraId="0C25E1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624" w:type="dxa"/>
                  <w:vMerge w:val="continue"/>
                  <w:tcBorders>
                    <w:left w:val="single" w:color="000000" w:sz="4" w:space="0"/>
                    <w:right w:val="single" w:color="auto" w:sz="4" w:space="0"/>
                  </w:tcBorders>
                  <w:shd w:val="clear" w:color="auto" w:fill="auto"/>
                  <w:vAlign w:val="center"/>
                </w:tcPr>
                <w:p w14:paraId="42B9BC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5117819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4"/>
                      <w:szCs w:val="24"/>
                      <w:u w:val="none"/>
                      <w:lang w:val="en-US" w:eastAsia="zh-CN" w:bidi="ar"/>
                    </w:rPr>
                    <w:t>等离子切割机</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12FAB93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6D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-61</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E40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E0F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95</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B0679">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4149CB3C">
                  <w:pPr>
                    <w:jc w:val="center"/>
                    <w:rPr>
                      <w:rFonts w:hint="eastAsia" w:ascii="宋体" w:hAnsi="宋体" w:eastAsia="宋体" w:cs="宋体"/>
                      <w:i w:val="0"/>
                      <w:iCs w:val="0"/>
                      <w:color w:val="000000"/>
                      <w:sz w:val="21"/>
                      <w:szCs w:val="21"/>
                      <w:u w:val="none"/>
                    </w:rPr>
                  </w:pPr>
                </w:p>
              </w:tc>
            </w:tr>
            <w:tr w14:paraId="06EB2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28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11</w:t>
                  </w:r>
                </w:p>
              </w:tc>
              <w:tc>
                <w:tcPr>
                  <w:tcW w:w="624" w:type="dxa"/>
                  <w:vMerge w:val="continue"/>
                  <w:tcBorders>
                    <w:left w:val="single" w:color="000000" w:sz="4" w:space="0"/>
                    <w:right w:val="single" w:color="auto" w:sz="4" w:space="0"/>
                  </w:tcBorders>
                  <w:shd w:val="clear" w:color="auto" w:fill="auto"/>
                  <w:vAlign w:val="center"/>
                </w:tcPr>
                <w:p w14:paraId="0CE6D9B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624" w:type="dxa"/>
                  <w:vMerge w:val="continue"/>
                  <w:tcBorders>
                    <w:left w:val="single" w:color="000000" w:sz="4" w:space="0"/>
                    <w:bottom w:val="single" w:color="000000" w:sz="4" w:space="0"/>
                    <w:right w:val="single" w:color="auto" w:sz="4" w:space="0"/>
                  </w:tcBorders>
                  <w:shd w:val="clear" w:color="auto" w:fill="auto"/>
                  <w:vAlign w:val="center"/>
                </w:tcPr>
                <w:p w14:paraId="0DBB391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1F47A90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4"/>
                      <w:szCs w:val="24"/>
                      <w:u w:val="none"/>
                      <w:lang w:val="en-US" w:eastAsia="zh-CN" w:bidi="ar"/>
                    </w:rPr>
                    <w:t>校直机</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08B88CD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95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E2A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-207</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C5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35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80</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31323">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32056491">
                  <w:pPr>
                    <w:jc w:val="center"/>
                    <w:rPr>
                      <w:rFonts w:hint="eastAsia" w:ascii="宋体" w:hAnsi="宋体" w:eastAsia="宋体" w:cs="宋体"/>
                      <w:i w:val="0"/>
                      <w:iCs w:val="0"/>
                      <w:color w:val="000000"/>
                      <w:sz w:val="21"/>
                      <w:szCs w:val="21"/>
                      <w:u w:val="none"/>
                    </w:rPr>
                  </w:pPr>
                </w:p>
              </w:tc>
            </w:tr>
            <w:tr w14:paraId="4E860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EB0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12</w:t>
                  </w:r>
                </w:p>
              </w:tc>
              <w:tc>
                <w:tcPr>
                  <w:tcW w:w="624" w:type="dxa"/>
                  <w:vMerge w:val="continue"/>
                  <w:tcBorders>
                    <w:left w:val="single" w:color="000000" w:sz="4" w:space="0"/>
                    <w:right w:val="single" w:color="auto" w:sz="4" w:space="0"/>
                  </w:tcBorders>
                  <w:shd w:val="clear" w:color="auto" w:fill="auto"/>
                  <w:vAlign w:val="center"/>
                </w:tcPr>
                <w:p w14:paraId="7274E4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p>
              </w:tc>
              <w:tc>
                <w:tcPr>
                  <w:tcW w:w="624" w:type="dxa"/>
                  <w:vMerge w:val="restart"/>
                  <w:tcBorders>
                    <w:top w:val="single" w:color="000000" w:sz="4" w:space="0"/>
                    <w:left w:val="single" w:color="000000" w:sz="4" w:space="0"/>
                    <w:right w:val="single" w:color="auto" w:sz="4" w:space="0"/>
                  </w:tcBorders>
                  <w:shd w:val="clear" w:color="auto" w:fill="auto"/>
                  <w:vAlign w:val="center"/>
                </w:tcPr>
                <w:p w14:paraId="22ECCF8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2#车间</w:t>
                  </w: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6889EA7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4"/>
                      <w:szCs w:val="24"/>
                      <w:u w:val="none"/>
                      <w:lang w:val="en-US" w:eastAsia="zh-CN" w:bidi="ar"/>
                    </w:rPr>
                    <w:t>联合冲剪机</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36A81E4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95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AF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-193</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9F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896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85</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39B8E">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2FC113BE">
                  <w:pPr>
                    <w:jc w:val="center"/>
                    <w:rPr>
                      <w:rFonts w:hint="eastAsia" w:ascii="宋体" w:hAnsi="宋体" w:eastAsia="宋体" w:cs="宋体"/>
                      <w:i w:val="0"/>
                      <w:iCs w:val="0"/>
                      <w:color w:val="000000"/>
                      <w:sz w:val="21"/>
                      <w:szCs w:val="21"/>
                      <w:u w:val="none"/>
                    </w:rPr>
                  </w:pPr>
                </w:p>
              </w:tc>
            </w:tr>
            <w:tr w14:paraId="4DCDA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7B5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13</w:t>
                  </w:r>
                </w:p>
              </w:tc>
              <w:tc>
                <w:tcPr>
                  <w:tcW w:w="624" w:type="dxa"/>
                  <w:vMerge w:val="continue"/>
                  <w:tcBorders>
                    <w:left w:val="single" w:color="000000" w:sz="4" w:space="0"/>
                    <w:right w:val="single" w:color="auto" w:sz="4" w:space="0"/>
                  </w:tcBorders>
                  <w:shd w:val="clear" w:color="auto" w:fill="auto"/>
                  <w:vAlign w:val="center"/>
                </w:tcPr>
                <w:p w14:paraId="633C790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624" w:type="dxa"/>
                  <w:vMerge w:val="continue"/>
                  <w:tcBorders>
                    <w:left w:val="single" w:color="000000" w:sz="4" w:space="0"/>
                    <w:right w:val="single" w:color="auto" w:sz="4" w:space="0"/>
                  </w:tcBorders>
                  <w:shd w:val="clear" w:color="auto" w:fill="auto"/>
                  <w:vAlign w:val="center"/>
                </w:tcPr>
                <w:p w14:paraId="3DEE4A1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688D435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4"/>
                      <w:szCs w:val="24"/>
                      <w:u w:val="none"/>
                      <w:lang w:val="en-US" w:eastAsia="zh-CN" w:bidi="ar"/>
                    </w:rPr>
                    <w:t>折边机</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06FCF3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95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BA27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-184</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667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A1E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90</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2AEED">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21BB9C2F">
                  <w:pPr>
                    <w:jc w:val="center"/>
                    <w:rPr>
                      <w:rFonts w:hint="eastAsia" w:ascii="宋体" w:hAnsi="宋体" w:eastAsia="宋体" w:cs="宋体"/>
                      <w:i w:val="0"/>
                      <w:iCs w:val="0"/>
                      <w:color w:val="000000"/>
                      <w:sz w:val="21"/>
                      <w:szCs w:val="21"/>
                      <w:u w:val="none"/>
                    </w:rPr>
                  </w:pPr>
                </w:p>
              </w:tc>
            </w:tr>
            <w:tr w14:paraId="32F53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354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14</w:t>
                  </w:r>
                </w:p>
              </w:tc>
              <w:tc>
                <w:tcPr>
                  <w:tcW w:w="624" w:type="dxa"/>
                  <w:vMerge w:val="continue"/>
                  <w:tcBorders>
                    <w:left w:val="single" w:color="000000" w:sz="4" w:space="0"/>
                    <w:right w:val="single" w:color="auto" w:sz="4" w:space="0"/>
                  </w:tcBorders>
                  <w:shd w:val="clear" w:color="auto" w:fill="auto"/>
                  <w:vAlign w:val="center"/>
                </w:tcPr>
                <w:p w14:paraId="7ECEE9B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624" w:type="dxa"/>
                  <w:vMerge w:val="continue"/>
                  <w:tcBorders>
                    <w:left w:val="single" w:color="000000" w:sz="4" w:space="0"/>
                    <w:right w:val="single" w:color="auto" w:sz="4" w:space="0"/>
                  </w:tcBorders>
                  <w:shd w:val="clear" w:color="auto" w:fill="auto"/>
                  <w:vAlign w:val="center"/>
                </w:tcPr>
                <w:p w14:paraId="50E20A1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000000" w:sz="4" w:space="0"/>
                    <w:left w:val="single" w:color="000000" w:sz="4" w:space="0"/>
                    <w:bottom w:val="single" w:color="000000" w:sz="4" w:space="0"/>
                    <w:right w:val="single" w:color="auto" w:sz="4" w:space="0"/>
                  </w:tcBorders>
                  <w:shd w:val="clear" w:color="auto" w:fill="auto"/>
                  <w:vAlign w:val="center"/>
                </w:tcPr>
                <w:p w14:paraId="44D96BF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4"/>
                      <w:szCs w:val="24"/>
                      <w:u w:val="none"/>
                      <w:lang w:val="en-US" w:eastAsia="zh-CN" w:bidi="ar"/>
                    </w:rPr>
                    <w:t>抛丸机</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6B337AE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96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037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-203</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FAB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2C4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90</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B9E6A">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77C5C394">
                  <w:pPr>
                    <w:jc w:val="center"/>
                    <w:rPr>
                      <w:rFonts w:hint="eastAsia" w:ascii="宋体" w:hAnsi="宋体" w:eastAsia="宋体" w:cs="宋体"/>
                      <w:i w:val="0"/>
                      <w:iCs w:val="0"/>
                      <w:color w:val="000000"/>
                      <w:sz w:val="21"/>
                      <w:szCs w:val="21"/>
                      <w:u w:val="none"/>
                    </w:rPr>
                  </w:pPr>
                </w:p>
              </w:tc>
            </w:tr>
            <w:tr w14:paraId="22DBC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000000" w:sz="4" w:space="0"/>
                    <w:left w:val="single" w:color="000000" w:sz="4" w:space="0"/>
                    <w:bottom w:val="single" w:color="auto" w:sz="4" w:space="0"/>
                    <w:right w:val="single" w:color="000000" w:sz="4" w:space="0"/>
                  </w:tcBorders>
                  <w:shd w:val="clear" w:color="auto" w:fill="auto"/>
                  <w:vAlign w:val="center"/>
                </w:tcPr>
                <w:p w14:paraId="74E92E3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15</w:t>
                  </w:r>
                </w:p>
              </w:tc>
              <w:tc>
                <w:tcPr>
                  <w:tcW w:w="624" w:type="dxa"/>
                  <w:vMerge w:val="continue"/>
                  <w:tcBorders>
                    <w:left w:val="single" w:color="000000" w:sz="4" w:space="0"/>
                    <w:bottom w:val="single" w:color="auto" w:sz="4" w:space="0"/>
                    <w:right w:val="single" w:color="auto" w:sz="4" w:space="0"/>
                  </w:tcBorders>
                  <w:shd w:val="clear" w:color="auto" w:fill="auto"/>
                  <w:vAlign w:val="center"/>
                </w:tcPr>
                <w:p w14:paraId="07A529A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624" w:type="dxa"/>
                  <w:vMerge w:val="continue"/>
                  <w:tcBorders>
                    <w:left w:val="single" w:color="000000" w:sz="4" w:space="0"/>
                    <w:bottom w:val="single" w:color="auto" w:sz="4" w:space="0"/>
                    <w:right w:val="single" w:color="auto" w:sz="4" w:space="0"/>
                  </w:tcBorders>
                  <w:shd w:val="clear" w:color="auto" w:fill="auto"/>
                  <w:vAlign w:val="center"/>
                </w:tcPr>
                <w:p w14:paraId="2C6B398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000000" w:sz="4" w:space="0"/>
                    <w:left w:val="single" w:color="000000" w:sz="4" w:space="0"/>
                    <w:bottom w:val="single" w:color="auto" w:sz="4" w:space="0"/>
                    <w:right w:val="single" w:color="auto" w:sz="4" w:space="0"/>
                  </w:tcBorders>
                  <w:shd w:val="clear" w:color="auto" w:fill="auto"/>
                  <w:vAlign w:val="center"/>
                </w:tcPr>
                <w:p w14:paraId="7E49E9F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4"/>
                      <w:szCs w:val="24"/>
                      <w:u w:val="none"/>
                      <w:lang w:val="en-US" w:eastAsia="zh-CN" w:bidi="ar"/>
                    </w:rPr>
                    <w:t>锯床</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6C0D5C9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20</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5BA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-108</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D0A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73E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85</w:t>
                  </w: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E3C5E">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right w:val="single" w:color="000000" w:sz="4" w:space="0"/>
                  </w:tcBorders>
                  <w:shd w:val="clear" w:color="auto" w:fill="auto"/>
                  <w:vAlign w:val="center"/>
                </w:tcPr>
                <w:p w14:paraId="6A10BC47">
                  <w:pPr>
                    <w:jc w:val="center"/>
                    <w:rPr>
                      <w:rFonts w:hint="eastAsia" w:ascii="宋体" w:hAnsi="宋体" w:eastAsia="宋体" w:cs="宋体"/>
                      <w:i w:val="0"/>
                      <w:iCs w:val="0"/>
                      <w:color w:val="000000"/>
                      <w:sz w:val="21"/>
                      <w:szCs w:val="21"/>
                      <w:u w:val="none"/>
                    </w:rPr>
                  </w:pPr>
                </w:p>
              </w:tc>
            </w:tr>
            <w:tr w14:paraId="20AD8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6A5CD54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16</w:t>
                  </w:r>
                </w:p>
              </w:tc>
              <w:tc>
                <w:tcPr>
                  <w:tcW w:w="124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998F7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室外声源</w:t>
                  </w:r>
                </w:p>
              </w:tc>
              <w:tc>
                <w:tcPr>
                  <w:tcW w:w="1698" w:type="dxa"/>
                  <w:tcBorders>
                    <w:top w:val="single" w:color="auto" w:sz="4" w:space="0"/>
                    <w:left w:val="single" w:color="auto" w:sz="4" w:space="0"/>
                    <w:bottom w:val="single" w:color="auto" w:sz="4" w:space="0"/>
                    <w:right w:val="single" w:color="auto" w:sz="4" w:space="0"/>
                  </w:tcBorders>
                  <w:shd w:val="clear" w:color="auto" w:fill="auto"/>
                  <w:vAlign w:val="center"/>
                </w:tcPr>
                <w:p w14:paraId="2A6501B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风机</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1F359A0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1BF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-105</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586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1F9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95</w:t>
                  </w:r>
                </w:p>
              </w:tc>
              <w:tc>
                <w:tcPr>
                  <w:tcW w:w="1222" w:type="dxa"/>
                  <w:vMerge w:val="restart"/>
                  <w:tcBorders>
                    <w:top w:val="single" w:color="000000" w:sz="4" w:space="0"/>
                    <w:left w:val="single" w:color="000000" w:sz="4" w:space="0"/>
                    <w:right w:val="single" w:color="000000" w:sz="4" w:space="0"/>
                  </w:tcBorders>
                  <w:shd w:val="clear" w:color="auto" w:fill="auto"/>
                  <w:vAlign w:val="center"/>
                </w:tcPr>
                <w:p w14:paraId="577044A4">
                  <w:pPr>
                    <w:jc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距离衰减、基础减震</w:t>
                  </w:r>
                  <w:r>
                    <w:rPr>
                      <w:rFonts w:hint="eastAsia" w:ascii="宋体" w:hAnsi="宋体" w:cs="宋体"/>
                      <w:i w:val="0"/>
                      <w:iCs w:val="0"/>
                      <w:color w:val="000000"/>
                      <w:kern w:val="0"/>
                      <w:sz w:val="21"/>
                      <w:szCs w:val="21"/>
                      <w:u w:val="none"/>
                      <w:lang w:val="en-US" w:eastAsia="zh-CN" w:bidi="ar"/>
                    </w:rPr>
                    <w:t>、加装隔声措施</w:t>
                  </w:r>
                </w:p>
              </w:tc>
              <w:tc>
                <w:tcPr>
                  <w:tcW w:w="694" w:type="dxa"/>
                  <w:vMerge w:val="continue"/>
                  <w:tcBorders>
                    <w:left w:val="single" w:color="000000" w:sz="4" w:space="0"/>
                    <w:right w:val="single" w:color="000000" w:sz="4" w:space="0"/>
                  </w:tcBorders>
                  <w:shd w:val="clear" w:color="auto" w:fill="auto"/>
                  <w:vAlign w:val="center"/>
                </w:tcPr>
                <w:p w14:paraId="75A5C873">
                  <w:pPr>
                    <w:jc w:val="center"/>
                    <w:rPr>
                      <w:rFonts w:hint="eastAsia" w:ascii="宋体" w:hAnsi="宋体" w:eastAsia="宋体" w:cs="宋体"/>
                      <w:i w:val="0"/>
                      <w:iCs w:val="0"/>
                      <w:color w:val="000000"/>
                      <w:sz w:val="21"/>
                      <w:szCs w:val="21"/>
                      <w:u w:val="none"/>
                    </w:rPr>
                  </w:pPr>
                </w:p>
              </w:tc>
            </w:tr>
            <w:tr w14:paraId="6861E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287423C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17</w:t>
                  </w:r>
                </w:p>
              </w:tc>
              <w:tc>
                <w:tcPr>
                  <w:tcW w:w="1248"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4E85F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1698" w:type="dxa"/>
                  <w:tcBorders>
                    <w:top w:val="single" w:color="auto" w:sz="4" w:space="0"/>
                    <w:left w:val="single" w:color="auto" w:sz="4" w:space="0"/>
                    <w:bottom w:val="single" w:color="auto" w:sz="4" w:space="0"/>
                    <w:right w:val="single" w:color="auto" w:sz="4" w:space="0"/>
                  </w:tcBorders>
                  <w:shd w:val="clear" w:color="auto" w:fill="auto"/>
                  <w:vAlign w:val="center"/>
                </w:tcPr>
                <w:p w14:paraId="1BE9B8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风机</w:t>
                  </w:r>
                </w:p>
              </w:tc>
              <w:tc>
                <w:tcPr>
                  <w:tcW w:w="672" w:type="dxa"/>
                  <w:tcBorders>
                    <w:top w:val="single" w:color="000000" w:sz="4" w:space="0"/>
                    <w:left w:val="single" w:color="auto" w:sz="4" w:space="0"/>
                    <w:bottom w:val="single" w:color="000000" w:sz="4" w:space="0"/>
                    <w:right w:val="single" w:color="000000" w:sz="4" w:space="0"/>
                  </w:tcBorders>
                  <w:shd w:val="clear" w:color="auto" w:fill="auto"/>
                  <w:vAlign w:val="center"/>
                </w:tcPr>
                <w:p w14:paraId="443C0E3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56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7A04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-225</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364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276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95</w:t>
                  </w:r>
                </w:p>
              </w:tc>
              <w:tc>
                <w:tcPr>
                  <w:tcW w:w="1222" w:type="dxa"/>
                  <w:vMerge w:val="continue"/>
                  <w:tcBorders>
                    <w:left w:val="single" w:color="000000" w:sz="4" w:space="0"/>
                    <w:bottom w:val="single" w:color="000000" w:sz="4" w:space="0"/>
                    <w:right w:val="single" w:color="000000" w:sz="4" w:space="0"/>
                  </w:tcBorders>
                  <w:shd w:val="clear" w:color="auto" w:fill="auto"/>
                  <w:vAlign w:val="center"/>
                </w:tcPr>
                <w:p w14:paraId="30DEEA09">
                  <w:pPr>
                    <w:jc w:val="center"/>
                    <w:rPr>
                      <w:rFonts w:hint="eastAsia" w:ascii="宋体" w:hAnsi="宋体" w:eastAsia="宋体" w:cs="宋体"/>
                      <w:i w:val="0"/>
                      <w:iCs w:val="0"/>
                      <w:color w:val="000000"/>
                      <w:sz w:val="21"/>
                      <w:szCs w:val="21"/>
                      <w:u w:val="none"/>
                    </w:rPr>
                  </w:pPr>
                </w:p>
              </w:tc>
              <w:tc>
                <w:tcPr>
                  <w:tcW w:w="694" w:type="dxa"/>
                  <w:vMerge w:val="continue"/>
                  <w:tcBorders>
                    <w:left w:val="single" w:color="000000" w:sz="4" w:space="0"/>
                    <w:bottom w:val="single" w:color="000000" w:sz="4" w:space="0"/>
                    <w:right w:val="single" w:color="000000" w:sz="4" w:space="0"/>
                  </w:tcBorders>
                  <w:shd w:val="clear" w:color="auto" w:fill="auto"/>
                  <w:vAlign w:val="center"/>
                </w:tcPr>
                <w:p w14:paraId="53ECB664">
                  <w:pPr>
                    <w:jc w:val="center"/>
                    <w:rPr>
                      <w:rFonts w:hint="eastAsia" w:ascii="宋体" w:hAnsi="宋体" w:eastAsia="宋体" w:cs="宋体"/>
                      <w:i w:val="0"/>
                      <w:iCs w:val="0"/>
                      <w:color w:val="000000"/>
                      <w:sz w:val="21"/>
                      <w:szCs w:val="21"/>
                      <w:u w:val="none"/>
                    </w:rPr>
                  </w:pPr>
                </w:p>
              </w:tc>
            </w:tr>
          </w:tbl>
          <w:p w14:paraId="15A28C91">
            <w:pPr>
              <w:autoSpaceDE w:val="0"/>
              <w:autoSpaceDN w:val="0"/>
              <w:adjustRightInd w:val="0"/>
              <w:snapToGrid w:val="0"/>
              <w:spacing w:line="360" w:lineRule="auto"/>
              <w:jc w:val="left"/>
              <w:rPr>
                <w:rFonts w:hint="eastAsia"/>
                <w:b w:val="0"/>
                <w:bCs w:val="0"/>
                <w:sz w:val="24"/>
                <w:lang w:val="en-US" w:eastAsia="zh-CN"/>
              </w:rPr>
            </w:pPr>
            <w:r>
              <w:rPr>
                <w:rFonts w:hint="eastAsia"/>
                <w:b/>
                <w:bCs/>
                <w:sz w:val="22"/>
                <w:szCs w:val="22"/>
                <w:lang w:val="en-US" w:eastAsia="zh-CN"/>
              </w:rPr>
              <w:t>注：以厂界西北角作为坐标原点 （0，0）</w:t>
            </w:r>
          </w:p>
          <w:p w14:paraId="1940EFF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本项目生产设备均处于建筑物1#车间和2#车间内，新增两台风机位于厂区内厂房外，</w:t>
            </w:r>
            <w:r>
              <w:rPr>
                <w:rFonts w:hint="default"/>
                <w:color w:val="000000"/>
                <w:kern w:val="0"/>
                <w:sz w:val="24"/>
                <w:lang w:val="en-US" w:eastAsia="zh-CN"/>
              </w:rPr>
              <w:t>根据《环境影响</w:t>
            </w:r>
            <w:r>
              <w:rPr>
                <w:rFonts w:hint="eastAsia"/>
                <w:color w:val="000000"/>
                <w:kern w:val="0"/>
                <w:sz w:val="24"/>
                <w:lang w:val="en-US" w:eastAsia="zh-CN"/>
              </w:rPr>
              <w:t>评</w:t>
            </w:r>
            <w:r>
              <w:rPr>
                <w:rFonts w:hint="default"/>
                <w:color w:val="000000"/>
                <w:kern w:val="0"/>
                <w:sz w:val="24"/>
                <w:lang w:val="en-US" w:eastAsia="zh-CN"/>
              </w:rPr>
              <w:t>价技术导则</w:t>
            </w:r>
            <w:r>
              <w:rPr>
                <w:rFonts w:hint="eastAsia"/>
                <w:color w:val="000000"/>
                <w:kern w:val="0"/>
                <w:sz w:val="24"/>
                <w:lang w:val="en-US" w:eastAsia="zh-CN"/>
              </w:rPr>
              <w:t xml:space="preserve"> </w:t>
            </w:r>
            <w:r>
              <w:rPr>
                <w:rFonts w:hint="default"/>
                <w:color w:val="000000"/>
                <w:kern w:val="0"/>
                <w:sz w:val="24"/>
                <w:lang w:val="en-US" w:eastAsia="zh-CN"/>
              </w:rPr>
              <w:t>声环境》</w:t>
            </w:r>
            <w:r>
              <w:rPr>
                <w:rFonts w:hint="eastAsia"/>
                <w:color w:val="000000"/>
                <w:kern w:val="0"/>
                <w:sz w:val="24"/>
                <w:lang w:val="en-US" w:eastAsia="zh-CN"/>
              </w:rPr>
              <w:t>（</w:t>
            </w:r>
            <w:r>
              <w:rPr>
                <w:rFonts w:hint="default"/>
                <w:color w:val="000000"/>
                <w:kern w:val="0"/>
                <w:sz w:val="24"/>
                <w:lang w:val="en-US" w:eastAsia="zh-CN"/>
              </w:rPr>
              <w:t>HJ2</w:t>
            </w:r>
            <w:r>
              <w:rPr>
                <w:rFonts w:hint="eastAsia"/>
                <w:color w:val="000000"/>
                <w:kern w:val="0"/>
                <w:sz w:val="24"/>
                <w:lang w:val="en-US" w:eastAsia="zh-CN"/>
              </w:rPr>
              <w:t>.</w:t>
            </w:r>
            <w:r>
              <w:rPr>
                <w:rFonts w:hint="default"/>
                <w:color w:val="000000"/>
                <w:kern w:val="0"/>
                <w:sz w:val="24"/>
                <w:lang w:val="en-US" w:eastAsia="zh-CN"/>
              </w:rPr>
              <w:t>4</w:t>
            </w:r>
            <w:r>
              <w:rPr>
                <w:rFonts w:hint="eastAsia"/>
                <w:color w:val="000000"/>
                <w:kern w:val="0"/>
                <w:sz w:val="24"/>
                <w:lang w:val="en-US" w:eastAsia="zh-CN"/>
              </w:rPr>
              <w:t>-</w:t>
            </w:r>
            <w:r>
              <w:rPr>
                <w:rFonts w:hint="default"/>
                <w:color w:val="000000"/>
                <w:kern w:val="0"/>
                <w:sz w:val="24"/>
                <w:lang w:val="en-US" w:eastAsia="zh-CN"/>
              </w:rPr>
              <w:t>2021</w:t>
            </w:r>
            <w:r>
              <w:rPr>
                <w:rFonts w:hint="eastAsia"/>
                <w:color w:val="000000"/>
                <w:kern w:val="0"/>
                <w:sz w:val="24"/>
                <w:lang w:val="en-US" w:eastAsia="zh-CN"/>
              </w:rPr>
              <w:t>）文件，</w:t>
            </w:r>
            <w:r>
              <w:rPr>
                <w:rFonts w:hint="default"/>
                <w:color w:val="000000"/>
                <w:kern w:val="0"/>
                <w:sz w:val="24"/>
                <w:lang w:val="en-US" w:eastAsia="zh-CN"/>
              </w:rPr>
              <w:t>本次</w:t>
            </w:r>
            <w:r>
              <w:rPr>
                <w:rFonts w:hint="eastAsia"/>
                <w:color w:val="000000"/>
                <w:kern w:val="0"/>
                <w:sz w:val="24"/>
                <w:lang w:val="en-US" w:eastAsia="zh-CN"/>
              </w:rPr>
              <w:t>评</w:t>
            </w:r>
            <w:r>
              <w:rPr>
                <w:rFonts w:hint="default"/>
                <w:color w:val="000000"/>
                <w:kern w:val="0"/>
                <w:sz w:val="24"/>
                <w:lang w:val="en-US" w:eastAsia="zh-CN"/>
              </w:rPr>
              <w:t>价</w:t>
            </w:r>
            <w:r>
              <w:rPr>
                <w:rFonts w:hint="eastAsia"/>
                <w:color w:val="000000"/>
                <w:kern w:val="0"/>
                <w:sz w:val="24"/>
                <w:lang w:val="en-US" w:eastAsia="zh-CN"/>
              </w:rPr>
              <w:t>采</w:t>
            </w:r>
            <w:r>
              <w:rPr>
                <w:rFonts w:hint="default"/>
                <w:color w:val="000000"/>
                <w:kern w:val="0"/>
                <w:sz w:val="24"/>
                <w:lang w:val="en-US" w:eastAsia="zh-CN"/>
              </w:rPr>
              <w:t>取导则上推</w:t>
            </w:r>
            <w:r>
              <w:rPr>
                <w:rFonts w:hint="eastAsia"/>
                <w:color w:val="000000"/>
                <w:kern w:val="0"/>
                <w:sz w:val="24"/>
                <w:lang w:val="en-US" w:eastAsia="zh-CN"/>
              </w:rPr>
              <w:t>荐</w:t>
            </w:r>
            <w:r>
              <w:rPr>
                <w:rFonts w:hint="default"/>
                <w:color w:val="000000"/>
                <w:kern w:val="0"/>
                <w:sz w:val="24"/>
                <w:lang w:val="en-US" w:eastAsia="zh-CN"/>
              </w:rPr>
              <w:t>模式。</w:t>
            </w:r>
          </w:p>
          <w:p w14:paraId="08834B43">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default"/>
                <w:color w:val="000000"/>
                <w:kern w:val="0"/>
                <w:sz w:val="24"/>
                <w:lang w:val="en-US" w:eastAsia="zh-CN"/>
              </w:rPr>
              <w:t>①室外声源在</w:t>
            </w:r>
            <w:r>
              <w:rPr>
                <w:rFonts w:hint="eastAsia"/>
                <w:color w:val="000000"/>
                <w:kern w:val="0"/>
                <w:sz w:val="24"/>
                <w:lang w:val="en-US" w:eastAsia="zh-CN"/>
              </w:rPr>
              <w:t>预</w:t>
            </w:r>
            <w:r>
              <w:rPr>
                <w:rFonts w:hint="default"/>
                <w:color w:val="000000"/>
                <w:kern w:val="0"/>
                <w:sz w:val="24"/>
                <w:lang w:val="en-US" w:eastAsia="zh-CN"/>
              </w:rPr>
              <w:t>测点产生的声级</w:t>
            </w:r>
            <w:r>
              <w:rPr>
                <w:rFonts w:hint="eastAsia"/>
                <w:color w:val="000000"/>
                <w:kern w:val="0"/>
                <w:sz w:val="24"/>
                <w:lang w:val="en-US" w:eastAsia="zh-CN"/>
              </w:rPr>
              <w:t>计</w:t>
            </w:r>
            <w:r>
              <w:rPr>
                <w:rFonts w:hint="default"/>
                <w:color w:val="000000"/>
                <w:kern w:val="0"/>
                <w:sz w:val="24"/>
                <w:lang w:val="en-US" w:eastAsia="zh-CN"/>
              </w:rPr>
              <w:t>算模型。</w:t>
            </w:r>
          </w:p>
          <w:p w14:paraId="284C0A9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default"/>
                <w:color w:val="000000"/>
                <w:kern w:val="0"/>
                <w:sz w:val="24"/>
                <w:lang w:val="en-US" w:eastAsia="zh-CN"/>
              </w:rPr>
              <w:t>户外声传播</w:t>
            </w:r>
            <w:r>
              <w:rPr>
                <w:rFonts w:hint="eastAsia"/>
                <w:color w:val="000000"/>
                <w:kern w:val="0"/>
                <w:sz w:val="24"/>
                <w:lang w:val="en-US" w:eastAsia="zh-CN"/>
              </w:rPr>
              <w:t>衰</w:t>
            </w:r>
            <w:r>
              <w:rPr>
                <w:rFonts w:hint="default"/>
                <w:color w:val="000000"/>
                <w:kern w:val="0"/>
                <w:sz w:val="24"/>
                <w:lang w:val="en-US" w:eastAsia="zh-CN"/>
              </w:rPr>
              <w:t>减包括几何发散</w:t>
            </w:r>
            <w:r>
              <w:rPr>
                <w:rFonts w:hint="eastAsia"/>
                <w:color w:val="000000"/>
                <w:kern w:val="0"/>
                <w:sz w:val="24"/>
                <w:lang w:val="en-US" w:eastAsia="zh-CN"/>
              </w:rPr>
              <w:t>（</w:t>
            </w:r>
            <w:r>
              <w:rPr>
                <w:rFonts w:hint="default"/>
                <w:color w:val="000000"/>
                <w:kern w:val="0"/>
                <w:sz w:val="24"/>
                <w:lang w:val="en-US" w:eastAsia="zh-CN"/>
              </w:rPr>
              <w:t>A</w:t>
            </w:r>
            <w:r>
              <w:rPr>
                <w:rFonts w:hint="default"/>
                <w:color w:val="000000"/>
                <w:kern w:val="0"/>
                <w:sz w:val="24"/>
                <w:vertAlign w:val="subscript"/>
                <w:lang w:val="en-US" w:eastAsia="zh-CN"/>
              </w:rPr>
              <w:t>div</w:t>
            </w:r>
            <w:r>
              <w:rPr>
                <w:rFonts w:hint="eastAsia"/>
                <w:color w:val="000000"/>
                <w:kern w:val="0"/>
                <w:sz w:val="24"/>
                <w:lang w:val="en-US" w:eastAsia="zh-CN"/>
              </w:rPr>
              <w:t>）</w:t>
            </w:r>
            <w:r>
              <w:rPr>
                <w:rFonts w:hint="default"/>
                <w:color w:val="000000"/>
                <w:kern w:val="0"/>
                <w:sz w:val="24"/>
                <w:lang w:val="en-US" w:eastAsia="zh-CN"/>
              </w:rPr>
              <w:t>、大气吸收</w:t>
            </w:r>
            <w:r>
              <w:rPr>
                <w:rFonts w:hint="eastAsia"/>
                <w:color w:val="000000"/>
                <w:kern w:val="0"/>
                <w:sz w:val="24"/>
                <w:lang w:val="en-US" w:eastAsia="zh-CN"/>
              </w:rPr>
              <w:t>（</w:t>
            </w:r>
            <w:r>
              <w:rPr>
                <w:rFonts w:hint="default"/>
                <w:color w:val="000000"/>
                <w:kern w:val="0"/>
                <w:sz w:val="24"/>
                <w:lang w:val="en-US" w:eastAsia="zh-CN"/>
              </w:rPr>
              <w:t>A</w:t>
            </w:r>
            <w:r>
              <w:rPr>
                <w:rFonts w:hint="default"/>
                <w:color w:val="000000"/>
                <w:kern w:val="0"/>
                <w:sz w:val="24"/>
                <w:vertAlign w:val="subscript"/>
                <w:lang w:val="en-US" w:eastAsia="zh-CN"/>
              </w:rPr>
              <w:t>atm</w:t>
            </w:r>
            <w:r>
              <w:rPr>
                <w:rFonts w:hint="eastAsia"/>
                <w:color w:val="000000"/>
                <w:kern w:val="0"/>
                <w:sz w:val="24"/>
                <w:lang w:val="en-US" w:eastAsia="zh-CN"/>
              </w:rPr>
              <w:t>）</w:t>
            </w:r>
            <w:r>
              <w:rPr>
                <w:rFonts w:hint="default"/>
                <w:color w:val="000000"/>
                <w:kern w:val="0"/>
                <w:sz w:val="24"/>
                <w:lang w:val="en-US" w:eastAsia="zh-CN"/>
              </w:rPr>
              <w:t>、地</w:t>
            </w:r>
            <w:r>
              <w:rPr>
                <w:rFonts w:hint="eastAsia"/>
                <w:color w:val="000000"/>
                <w:kern w:val="0"/>
                <w:sz w:val="24"/>
                <w:lang w:val="en-US" w:eastAsia="zh-CN"/>
              </w:rPr>
              <w:t>面</w:t>
            </w:r>
            <w:r>
              <w:rPr>
                <w:rFonts w:hint="default"/>
                <w:color w:val="000000"/>
                <w:kern w:val="0"/>
                <w:sz w:val="24"/>
                <w:lang w:val="en-US" w:eastAsia="zh-CN"/>
              </w:rPr>
              <w:t>效应</w:t>
            </w:r>
            <w:r>
              <w:rPr>
                <w:rFonts w:hint="eastAsia"/>
                <w:color w:val="000000"/>
                <w:kern w:val="0"/>
                <w:sz w:val="24"/>
                <w:lang w:val="en-US" w:eastAsia="zh-CN"/>
              </w:rPr>
              <w:t>（</w:t>
            </w:r>
            <w:r>
              <w:rPr>
                <w:rFonts w:hint="default"/>
                <w:color w:val="000000"/>
                <w:kern w:val="0"/>
                <w:sz w:val="24"/>
                <w:lang w:val="en-US" w:eastAsia="zh-CN"/>
              </w:rPr>
              <w:t>A</w:t>
            </w:r>
            <w:r>
              <w:rPr>
                <w:rFonts w:hint="default"/>
                <w:color w:val="000000"/>
                <w:kern w:val="0"/>
                <w:sz w:val="24"/>
                <w:vertAlign w:val="subscript"/>
                <w:lang w:val="en-US" w:eastAsia="zh-CN"/>
              </w:rPr>
              <w:t>gr</w:t>
            </w:r>
            <w:r>
              <w:rPr>
                <w:rFonts w:hint="eastAsia"/>
                <w:color w:val="000000"/>
                <w:kern w:val="0"/>
                <w:sz w:val="24"/>
                <w:lang w:val="en-US" w:eastAsia="zh-CN"/>
              </w:rPr>
              <w:t>）</w:t>
            </w:r>
            <w:r>
              <w:rPr>
                <w:rFonts w:hint="default"/>
                <w:color w:val="000000"/>
                <w:kern w:val="0"/>
                <w:sz w:val="24"/>
                <w:lang w:val="en-US" w:eastAsia="zh-CN"/>
              </w:rPr>
              <w:t>、</w:t>
            </w:r>
            <w:r>
              <w:rPr>
                <w:rFonts w:hint="eastAsia"/>
                <w:color w:val="000000"/>
                <w:kern w:val="0"/>
                <w:sz w:val="24"/>
                <w:lang w:val="en-US" w:eastAsia="zh-CN"/>
              </w:rPr>
              <w:t>障</w:t>
            </w:r>
            <w:r>
              <w:rPr>
                <w:rFonts w:hint="default"/>
                <w:color w:val="000000"/>
                <w:kern w:val="0"/>
                <w:sz w:val="24"/>
                <w:lang w:val="en-US" w:eastAsia="zh-CN"/>
              </w:rPr>
              <w:t>碍物屏</w:t>
            </w:r>
            <w:r>
              <w:rPr>
                <w:rFonts w:hint="eastAsia"/>
                <w:color w:val="000000"/>
                <w:kern w:val="0"/>
                <w:sz w:val="24"/>
                <w:lang w:val="en-US" w:eastAsia="zh-CN"/>
              </w:rPr>
              <w:t>蔽（</w:t>
            </w:r>
            <w:r>
              <w:rPr>
                <w:rFonts w:hint="default"/>
                <w:color w:val="000000"/>
                <w:kern w:val="0"/>
                <w:sz w:val="24"/>
                <w:lang w:val="en-US" w:eastAsia="zh-CN"/>
              </w:rPr>
              <w:t>A</w:t>
            </w:r>
            <w:r>
              <w:rPr>
                <w:rFonts w:hint="default"/>
                <w:color w:val="000000"/>
                <w:kern w:val="0"/>
                <w:sz w:val="24"/>
                <w:vertAlign w:val="subscript"/>
                <w:lang w:val="en-US" w:eastAsia="zh-CN"/>
              </w:rPr>
              <w:t>bar</w:t>
            </w:r>
            <w:r>
              <w:rPr>
                <w:rFonts w:hint="eastAsia"/>
                <w:color w:val="000000"/>
                <w:kern w:val="0"/>
                <w:sz w:val="24"/>
                <w:lang w:val="en-US" w:eastAsia="zh-CN"/>
              </w:rPr>
              <w:t>）</w:t>
            </w:r>
            <w:r>
              <w:rPr>
                <w:rFonts w:hint="default"/>
                <w:color w:val="000000"/>
                <w:kern w:val="0"/>
                <w:sz w:val="24"/>
                <w:lang w:val="en-US" w:eastAsia="zh-CN"/>
              </w:rPr>
              <w:t>、其他多方</w:t>
            </w:r>
            <w:r>
              <w:rPr>
                <w:rFonts w:hint="eastAsia"/>
                <w:color w:val="000000"/>
                <w:kern w:val="0"/>
                <w:sz w:val="24"/>
                <w:lang w:val="en-US" w:eastAsia="zh-CN"/>
              </w:rPr>
              <w:t>面</w:t>
            </w:r>
            <w:r>
              <w:rPr>
                <w:rFonts w:hint="default"/>
                <w:color w:val="000000"/>
                <w:kern w:val="0"/>
                <w:sz w:val="24"/>
                <w:lang w:val="en-US" w:eastAsia="zh-CN"/>
              </w:rPr>
              <w:t>效应</w:t>
            </w:r>
            <w:r>
              <w:rPr>
                <w:rFonts w:hint="eastAsia"/>
                <w:color w:val="000000"/>
                <w:kern w:val="0"/>
                <w:sz w:val="24"/>
                <w:lang w:val="en-US" w:eastAsia="zh-CN"/>
              </w:rPr>
              <w:t>（</w:t>
            </w:r>
            <w:r>
              <w:rPr>
                <w:rFonts w:hint="default"/>
                <w:color w:val="000000"/>
                <w:kern w:val="0"/>
                <w:sz w:val="24"/>
                <w:lang w:val="en-US" w:eastAsia="zh-CN"/>
              </w:rPr>
              <w:t>A</w:t>
            </w:r>
            <w:r>
              <w:rPr>
                <w:rFonts w:hint="default"/>
                <w:color w:val="000000"/>
                <w:kern w:val="0"/>
                <w:sz w:val="24"/>
                <w:vertAlign w:val="subscript"/>
                <w:lang w:val="en-US" w:eastAsia="zh-CN"/>
              </w:rPr>
              <w:t>misc</w:t>
            </w:r>
            <w:r>
              <w:rPr>
                <w:rFonts w:hint="eastAsia"/>
                <w:color w:val="000000"/>
                <w:kern w:val="0"/>
                <w:sz w:val="24"/>
                <w:lang w:val="en-US" w:eastAsia="zh-CN"/>
              </w:rPr>
              <w:t>）</w:t>
            </w:r>
            <w:r>
              <w:rPr>
                <w:rFonts w:hint="default"/>
                <w:color w:val="000000"/>
                <w:kern w:val="0"/>
                <w:sz w:val="24"/>
                <w:lang w:val="en-US" w:eastAsia="zh-CN"/>
              </w:rPr>
              <w:t>引</w:t>
            </w:r>
            <w:r>
              <w:rPr>
                <w:rFonts w:hint="eastAsia"/>
                <w:color w:val="000000"/>
                <w:kern w:val="0"/>
                <w:sz w:val="24"/>
                <w:lang w:val="en-US" w:eastAsia="zh-CN"/>
              </w:rPr>
              <w:t>起</w:t>
            </w:r>
            <w:r>
              <w:rPr>
                <w:rFonts w:hint="default"/>
                <w:color w:val="000000"/>
                <w:kern w:val="0"/>
                <w:sz w:val="24"/>
                <w:lang w:val="en-US" w:eastAsia="zh-CN"/>
              </w:rPr>
              <w:t>的</w:t>
            </w:r>
            <w:r>
              <w:rPr>
                <w:rFonts w:hint="eastAsia"/>
                <w:color w:val="000000"/>
                <w:kern w:val="0"/>
                <w:sz w:val="24"/>
                <w:lang w:val="en-US" w:eastAsia="zh-CN"/>
              </w:rPr>
              <w:t>衰</w:t>
            </w:r>
            <w:r>
              <w:rPr>
                <w:rFonts w:hint="default"/>
                <w:color w:val="000000"/>
                <w:kern w:val="0"/>
                <w:sz w:val="24"/>
                <w:lang w:val="en-US" w:eastAsia="zh-CN"/>
              </w:rPr>
              <w:t>减。根据声源声功率级、户外声传播</w:t>
            </w:r>
            <w:r>
              <w:rPr>
                <w:rFonts w:hint="eastAsia"/>
                <w:color w:val="000000"/>
                <w:kern w:val="0"/>
                <w:sz w:val="24"/>
                <w:lang w:val="en-US" w:eastAsia="zh-CN"/>
              </w:rPr>
              <w:t>衰</w:t>
            </w:r>
            <w:r>
              <w:rPr>
                <w:rFonts w:hint="default"/>
                <w:color w:val="000000"/>
                <w:kern w:val="0"/>
                <w:sz w:val="24"/>
                <w:lang w:val="en-US" w:eastAsia="zh-CN"/>
              </w:rPr>
              <w:t>减</w:t>
            </w:r>
            <w:r>
              <w:rPr>
                <w:rFonts w:hint="eastAsia"/>
                <w:color w:val="000000"/>
                <w:kern w:val="0"/>
                <w:sz w:val="24"/>
                <w:lang w:val="en-US" w:eastAsia="zh-CN"/>
              </w:rPr>
              <w:t>，计</w:t>
            </w:r>
            <w:r>
              <w:rPr>
                <w:rFonts w:hint="default"/>
                <w:color w:val="000000"/>
                <w:kern w:val="0"/>
                <w:sz w:val="24"/>
                <w:lang w:val="en-US" w:eastAsia="zh-CN"/>
              </w:rPr>
              <w:t>算</w:t>
            </w:r>
            <w:r>
              <w:rPr>
                <w:rFonts w:hint="eastAsia"/>
                <w:color w:val="000000"/>
                <w:kern w:val="0"/>
                <w:sz w:val="24"/>
                <w:lang w:val="en-US" w:eastAsia="zh-CN"/>
              </w:rPr>
              <w:t>预</w:t>
            </w:r>
            <w:r>
              <w:rPr>
                <w:rFonts w:hint="default"/>
                <w:color w:val="000000"/>
                <w:kern w:val="0"/>
                <w:sz w:val="24"/>
                <w:lang w:val="en-US" w:eastAsia="zh-CN"/>
              </w:rPr>
              <w:t>测点的声级</w:t>
            </w:r>
            <w:r>
              <w:rPr>
                <w:rFonts w:hint="eastAsia"/>
                <w:color w:val="000000"/>
                <w:kern w:val="0"/>
                <w:sz w:val="24"/>
                <w:lang w:val="en-US" w:eastAsia="zh-CN"/>
              </w:rPr>
              <w:t>，</w:t>
            </w:r>
            <w:r>
              <w:rPr>
                <w:rFonts w:hint="default"/>
                <w:color w:val="000000"/>
                <w:kern w:val="0"/>
                <w:sz w:val="24"/>
                <w:lang w:val="en-US" w:eastAsia="zh-CN"/>
              </w:rPr>
              <w:t>按下列</w:t>
            </w:r>
            <w:r>
              <w:rPr>
                <w:rFonts w:hint="eastAsia"/>
                <w:color w:val="000000"/>
                <w:kern w:val="0"/>
                <w:sz w:val="24"/>
                <w:lang w:val="en-US" w:eastAsia="zh-CN"/>
              </w:rPr>
              <w:t>计</w:t>
            </w:r>
            <w:r>
              <w:rPr>
                <w:rFonts w:hint="default"/>
                <w:color w:val="000000"/>
                <w:kern w:val="0"/>
                <w:sz w:val="24"/>
                <w:lang w:val="en-US" w:eastAsia="zh-CN"/>
              </w:rPr>
              <w:t>算公式</w:t>
            </w:r>
            <w:r>
              <w:rPr>
                <w:rFonts w:hint="eastAsia"/>
                <w:color w:val="000000"/>
                <w:kern w:val="0"/>
                <w:sz w:val="24"/>
                <w:lang w:val="en-US" w:eastAsia="zh-CN"/>
              </w:rPr>
              <w:t>计</w:t>
            </w:r>
            <w:r>
              <w:rPr>
                <w:rFonts w:hint="default"/>
                <w:color w:val="000000"/>
                <w:kern w:val="0"/>
                <w:sz w:val="24"/>
                <w:lang w:val="en-US" w:eastAsia="zh-CN"/>
              </w:rPr>
              <w:t>算。</w:t>
            </w:r>
          </w:p>
          <w:p w14:paraId="54C81E1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lang w:val="en-US" w:eastAsia="zh-CN"/>
              </w:rPr>
            </w:pPr>
            <w:r>
              <w:drawing>
                <wp:inline distT="0" distB="0" distL="114300" distR="114300">
                  <wp:extent cx="3505200" cy="409575"/>
                  <wp:effectExtent l="0" t="0" r="0" b="1905"/>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23"/>
                          <a:stretch>
                            <a:fillRect/>
                          </a:stretch>
                        </pic:blipFill>
                        <pic:spPr>
                          <a:xfrm>
                            <a:off x="0" y="0"/>
                            <a:ext cx="3505200" cy="409575"/>
                          </a:xfrm>
                          <a:prstGeom prst="rect">
                            <a:avLst/>
                          </a:prstGeom>
                          <a:noFill/>
                          <a:ln>
                            <a:noFill/>
                          </a:ln>
                        </pic:spPr>
                      </pic:pic>
                    </a:graphicData>
                  </a:graphic>
                </wp:inline>
              </w:drawing>
            </w:r>
          </w:p>
          <w:p w14:paraId="5067583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式中</w:t>
            </w:r>
            <w:r>
              <w:rPr>
                <w:rFonts w:hint="eastAsia" w:ascii="宋体" w:hAnsi="宋体" w:eastAsia="宋体" w:cs="宋体"/>
                <w:lang w:val="en-US" w:eastAsia="zh-CN"/>
              </w:rPr>
              <w:t>：</w:t>
            </w: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p</w:t>
            </w:r>
            <w:r>
              <w:rPr>
                <w:rFonts w:hint="eastAsia" w:ascii="宋体" w:hAnsi="宋体" w:cs="宋体"/>
                <w:lang w:val="en-US" w:eastAsia="zh-CN"/>
              </w:rPr>
              <w:t>（</w:t>
            </w:r>
            <w:r>
              <w:rPr>
                <w:rFonts w:hint="default" w:ascii="Times New Roman" w:hAnsi="Times New Roman" w:eastAsia="宋体" w:cs="Times New Roman"/>
                <w:lang w:val="en-US" w:eastAsia="zh-CN"/>
              </w:rPr>
              <w:t>r</w:t>
            </w:r>
            <w:r>
              <w:rPr>
                <w:rFonts w:hint="eastAsia" w:ascii="宋体" w:hAnsi="宋体" w:cs="宋体"/>
                <w:lang w:val="en-US" w:eastAsia="zh-CN"/>
              </w:rPr>
              <w:t>）</w:t>
            </w:r>
            <w:r>
              <w:rPr>
                <w:rFonts w:hint="default" w:ascii="Times New Roman" w:hAnsi="Times New Roman" w:eastAsia="宋体" w:cs="Times New Roman"/>
                <w:lang w:val="en-US" w:eastAsia="zh-CN"/>
              </w:rPr>
              <w:t>—</w:t>
            </w:r>
            <w:r>
              <w:rPr>
                <w:rFonts w:hint="eastAsia" w:ascii="宋体" w:hAnsi="宋体" w:eastAsia="宋体" w:cs="宋体"/>
                <w:lang w:val="en-US" w:eastAsia="zh-CN"/>
              </w:rPr>
              <w:t>预</w:t>
            </w:r>
            <w:r>
              <w:rPr>
                <w:rFonts w:hint="default" w:ascii="Times New Roman" w:hAnsi="Times New Roman" w:eastAsia="宋体" w:cs="Times New Roman"/>
                <w:lang w:val="en-US" w:eastAsia="zh-CN"/>
              </w:rPr>
              <w:t>测点处声压级</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07C2100A">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w</w:t>
            </w:r>
            <w:r>
              <w:rPr>
                <w:rFonts w:hint="default" w:ascii="Times New Roman" w:hAnsi="Times New Roman" w:eastAsia="宋体" w:cs="Times New Roman"/>
                <w:lang w:val="en-US" w:eastAsia="zh-CN"/>
              </w:rPr>
              <w:t>—由点声源产生的声功率级</w:t>
            </w:r>
            <w:r>
              <w:rPr>
                <w:rFonts w:hint="eastAsia" w:ascii="宋体" w:hAnsi="宋体" w:eastAsia="宋体" w:cs="宋体"/>
                <w:lang w:val="en-US" w:eastAsia="zh-CN"/>
              </w:rPr>
              <w:t>（</w:t>
            </w:r>
            <w:r>
              <w:rPr>
                <w:rFonts w:hint="default" w:ascii="Times New Roman" w:hAnsi="Times New Roman" w:eastAsia="宋体" w:cs="Times New Roman"/>
                <w:lang w:val="en-US" w:eastAsia="zh-CN"/>
              </w:rPr>
              <w:t>A</w:t>
            </w:r>
            <w:r>
              <w:rPr>
                <w:rFonts w:hint="eastAsia" w:ascii="宋体" w:hAnsi="宋体" w:eastAsia="宋体" w:cs="宋体"/>
                <w:lang w:val="en-US" w:eastAsia="zh-CN"/>
              </w:rPr>
              <w:t>计</w:t>
            </w:r>
            <w:r>
              <w:rPr>
                <w:rFonts w:hint="default" w:ascii="Times New Roman" w:hAnsi="Times New Roman" w:eastAsia="宋体" w:cs="Times New Roman"/>
                <w:lang w:val="en-US" w:eastAsia="zh-CN"/>
              </w:rPr>
              <w:t>权或倍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0ABF9F19">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D</w:t>
            </w:r>
            <w:r>
              <w:rPr>
                <w:rFonts w:hint="default" w:ascii="Times New Roman" w:hAnsi="Times New Roman" w:eastAsia="宋体" w:cs="Times New Roman"/>
                <w:vertAlign w:val="subscript"/>
                <w:lang w:val="en-US" w:eastAsia="zh-CN"/>
              </w:rPr>
              <w:t>c</w:t>
            </w:r>
            <w:r>
              <w:rPr>
                <w:rFonts w:hint="default" w:ascii="Times New Roman" w:hAnsi="Times New Roman" w:eastAsia="宋体" w:cs="Times New Roman"/>
                <w:lang w:val="en-US" w:eastAsia="zh-CN"/>
              </w:rPr>
              <w:t>—指向性校正</w:t>
            </w:r>
            <w:r>
              <w:rPr>
                <w:rFonts w:hint="eastAsia" w:ascii="宋体" w:hAnsi="宋体" w:eastAsia="宋体" w:cs="宋体"/>
                <w:lang w:val="en-US" w:eastAsia="zh-CN"/>
              </w:rPr>
              <w:t>，</w:t>
            </w:r>
            <w:r>
              <w:rPr>
                <w:rFonts w:hint="default" w:ascii="Times New Roman" w:hAnsi="Times New Roman" w:eastAsia="宋体" w:cs="Times New Roman"/>
                <w:lang w:val="en-US" w:eastAsia="zh-CN"/>
              </w:rPr>
              <w:t>它描</w:t>
            </w:r>
            <w:r>
              <w:rPr>
                <w:rFonts w:hint="eastAsia" w:ascii="宋体" w:hAnsi="宋体" w:eastAsia="宋体" w:cs="宋体"/>
                <w:lang w:val="en-US" w:eastAsia="zh-CN"/>
              </w:rPr>
              <w:t>述</w:t>
            </w:r>
            <w:r>
              <w:rPr>
                <w:rFonts w:hint="default" w:ascii="Times New Roman" w:hAnsi="Times New Roman" w:eastAsia="宋体" w:cs="Times New Roman"/>
                <w:lang w:val="en-US" w:eastAsia="zh-CN"/>
              </w:rPr>
              <w:t>点声源的等效</w:t>
            </w:r>
            <w:r>
              <w:rPr>
                <w:rFonts w:hint="eastAsia" w:ascii="宋体" w:hAnsi="宋体" w:eastAsia="宋体" w:cs="宋体"/>
                <w:lang w:val="en-US" w:eastAsia="zh-CN"/>
              </w:rPr>
              <w:t>连</w:t>
            </w:r>
            <w:r>
              <w:rPr>
                <w:rFonts w:hint="default" w:ascii="Times New Roman" w:hAnsi="Times New Roman" w:eastAsia="宋体" w:cs="Times New Roman"/>
                <w:lang w:val="en-US" w:eastAsia="zh-CN"/>
              </w:rPr>
              <w:t>续声压级与产生声功率级L</w:t>
            </w:r>
            <w:r>
              <w:rPr>
                <w:rFonts w:hint="default" w:ascii="Times New Roman" w:hAnsi="Times New Roman" w:eastAsia="宋体" w:cs="Times New Roman"/>
                <w:vertAlign w:val="subscript"/>
                <w:lang w:val="en-US" w:eastAsia="zh-CN"/>
              </w:rPr>
              <w:t>w</w:t>
            </w:r>
            <w:r>
              <w:rPr>
                <w:rFonts w:hint="default" w:ascii="Times New Roman" w:hAnsi="Times New Roman" w:eastAsia="宋体" w:cs="Times New Roman"/>
                <w:lang w:val="en-US" w:eastAsia="zh-CN"/>
              </w:rPr>
              <w:t>的全向点声源在</w:t>
            </w:r>
            <w:r>
              <w:rPr>
                <w:rFonts w:hint="eastAsia" w:ascii="宋体" w:hAnsi="宋体" w:eastAsia="宋体" w:cs="宋体"/>
                <w:lang w:val="en-US" w:eastAsia="zh-CN"/>
              </w:rPr>
              <w:t>规</w:t>
            </w:r>
            <w:r>
              <w:rPr>
                <w:rFonts w:hint="default" w:ascii="Times New Roman" w:hAnsi="Times New Roman" w:eastAsia="宋体" w:cs="Times New Roman"/>
                <w:lang w:val="en-US" w:eastAsia="zh-CN"/>
              </w:rPr>
              <w:t>定方向的声级的偏差程度</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63637833">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A</w:t>
            </w:r>
            <w:r>
              <w:rPr>
                <w:rFonts w:hint="default" w:ascii="Times New Roman" w:hAnsi="Times New Roman" w:eastAsia="宋体" w:cs="Times New Roman"/>
                <w:vertAlign w:val="subscript"/>
                <w:lang w:val="en-US" w:eastAsia="zh-CN"/>
              </w:rPr>
              <w:t>div</w:t>
            </w:r>
            <w:r>
              <w:rPr>
                <w:rFonts w:hint="default" w:ascii="Times New Roman" w:hAnsi="Times New Roman" w:eastAsia="宋体" w:cs="Times New Roman"/>
                <w:lang w:val="en-US" w:eastAsia="zh-CN"/>
              </w:rPr>
              <w:t>—几何发散引</w:t>
            </w:r>
            <w:r>
              <w:rPr>
                <w:rFonts w:hint="eastAsia" w:ascii="宋体" w:hAnsi="宋体" w:eastAsia="宋体" w:cs="宋体"/>
                <w:lang w:val="en-US" w:eastAsia="zh-CN"/>
              </w:rPr>
              <w:t>起</w:t>
            </w:r>
            <w:r>
              <w:rPr>
                <w:rFonts w:hint="default" w:ascii="Times New Roman" w:hAnsi="Times New Roman" w:eastAsia="宋体" w:cs="Times New Roman"/>
                <w:lang w:val="en-US" w:eastAsia="zh-CN"/>
              </w:rPr>
              <w:t>的</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67129130">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A</w:t>
            </w:r>
            <w:r>
              <w:rPr>
                <w:rFonts w:hint="default" w:ascii="Times New Roman" w:hAnsi="Times New Roman" w:eastAsia="宋体" w:cs="Times New Roman"/>
                <w:vertAlign w:val="subscript"/>
                <w:lang w:val="en-US" w:eastAsia="zh-CN"/>
              </w:rPr>
              <w:t>atm</w:t>
            </w:r>
            <w:r>
              <w:rPr>
                <w:rFonts w:hint="default" w:ascii="Times New Roman" w:hAnsi="Times New Roman" w:eastAsia="宋体" w:cs="Times New Roman"/>
                <w:lang w:val="en-US" w:eastAsia="zh-CN"/>
              </w:rPr>
              <w:t>—大气吸收引</w:t>
            </w:r>
            <w:r>
              <w:rPr>
                <w:rFonts w:hint="eastAsia" w:ascii="宋体" w:hAnsi="宋体" w:eastAsia="宋体" w:cs="宋体"/>
                <w:lang w:val="en-US" w:eastAsia="zh-CN"/>
              </w:rPr>
              <w:t>起</w:t>
            </w:r>
            <w:r>
              <w:rPr>
                <w:rFonts w:hint="default" w:ascii="Times New Roman" w:hAnsi="Times New Roman" w:eastAsia="宋体" w:cs="Times New Roman"/>
                <w:lang w:val="en-US" w:eastAsia="zh-CN"/>
              </w:rPr>
              <w:t>的</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76065A4F">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A</w:t>
            </w:r>
            <w:r>
              <w:rPr>
                <w:rFonts w:hint="default" w:ascii="Times New Roman" w:hAnsi="Times New Roman" w:eastAsia="宋体" w:cs="Times New Roman"/>
                <w:vertAlign w:val="subscript"/>
                <w:lang w:val="en-US" w:eastAsia="zh-CN"/>
              </w:rPr>
              <w:t>gr</w:t>
            </w:r>
            <w:r>
              <w:rPr>
                <w:rFonts w:hint="default" w:ascii="Times New Roman" w:hAnsi="Times New Roman" w:eastAsia="宋体" w:cs="Times New Roman"/>
                <w:lang w:val="en-US" w:eastAsia="zh-CN"/>
              </w:rPr>
              <w:t>—地</w:t>
            </w:r>
            <w:r>
              <w:rPr>
                <w:rFonts w:hint="eastAsia" w:ascii="宋体" w:hAnsi="宋体" w:eastAsia="宋体" w:cs="宋体"/>
                <w:lang w:val="en-US" w:eastAsia="zh-CN"/>
              </w:rPr>
              <w:t>面</w:t>
            </w:r>
            <w:r>
              <w:rPr>
                <w:rFonts w:hint="default" w:ascii="Times New Roman" w:hAnsi="Times New Roman" w:eastAsia="宋体" w:cs="Times New Roman"/>
                <w:lang w:val="en-US" w:eastAsia="zh-CN"/>
              </w:rPr>
              <w:t>效应引</w:t>
            </w:r>
            <w:r>
              <w:rPr>
                <w:rFonts w:hint="eastAsia" w:ascii="宋体" w:hAnsi="宋体" w:eastAsia="宋体" w:cs="宋体"/>
                <w:lang w:val="en-US" w:eastAsia="zh-CN"/>
              </w:rPr>
              <w:t>起</w:t>
            </w:r>
            <w:r>
              <w:rPr>
                <w:rFonts w:hint="default" w:ascii="Times New Roman" w:hAnsi="Times New Roman" w:eastAsia="宋体" w:cs="Times New Roman"/>
                <w:lang w:val="en-US" w:eastAsia="zh-CN"/>
              </w:rPr>
              <w:t>的</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751C77F0">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A</w:t>
            </w:r>
            <w:r>
              <w:rPr>
                <w:rFonts w:hint="default" w:ascii="Times New Roman" w:hAnsi="Times New Roman" w:eastAsia="宋体" w:cs="Times New Roman"/>
                <w:vertAlign w:val="subscript"/>
                <w:lang w:val="en-US" w:eastAsia="zh-CN"/>
              </w:rPr>
              <w:t>bar</w:t>
            </w:r>
            <w:r>
              <w:rPr>
                <w:rFonts w:hint="default" w:ascii="Times New Roman" w:hAnsi="Times New Roman" w:eastAsia="宋体" w:cs="Times New Roman"/>
                <w:lang w:val="en-US" w:eastAsia="zh-CN"/>
              </w:rPr>
              <w:t>—</w:t>
            </w:r>
            <w:r>
              <w:rPr>
                <w:rFonts w:hint="eastAsia" w:ascii="宋体" w:hAnsi="宋体" w:eastAsia="宋体" w:cs="宋体"/>
                <w:lang w:val="en-US" w:eastAsia="zh-CN"/>
              </w:rPr>
              <w:t>障</w:t>
            </w:r>
            <w:r>
              <w:rPr>
                <w:rFonts w:hint="default" w:ascii="Times New Roman" w:hAnsi="Times New Roman" w:eastAsia="宋体" w:cs="Times New Roman"/>
                <w:lang w:val="en-US" w:eastAsia="zh-CN"/>
              </w:rPr>
              <w:t>碍物屏</w:t>
            </w:r>
            <w:r>
              <w:rPr>
                <w:rFonts w:hint="eastAsia" w:ascii="宋体" w:hAnsi="宋体" w:eastAsia="宋体" w:cs="宋体"/>
                <w:lang w:val="en-US" w:eastAsia="zh-CN"/>
              </w:rPr>
              <w:t>蔽</w:t>
            </w:r>
            <w:r>
              <w:rPr>
                <w:rFonts w:hint="default" w:ascii="Times New Roman" w:hAnsi="Times New Roman" w:eastAsia="宋体" w:cs="Times New Roman"/>
                <w:lang w:val="en-US" w:eastAsia="zh-CN"/>
              </w:rPr>
              <w:t>引</w:t>
            </w:r>
            <w:r>
              <w:rPr>
                <w:rFonts w:hint="eastAsia" w:ascii="宋体" w:hAnsi="宋体" w:eastAsia="宋体" w:cs="宋体"/>
                <w:lang w:val="en-US" w:eastAsia="zh-CN"/>
              </w:rPr>
              <w:t>起</w:t>
            </w:r>
            <w:r>
              <w:rPr>
                <w:rFonts w:hint="default" w:ascii="Times New Roman" w:hAnsi="Times New Roman" w:eastAsia="宋体" w:cs="Times New Roman"/>
                <w:lang w:val="en-US" w:eastAsia="zh-CN"/>
              </w:rPr>
              <w:t>的</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29E02D33">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A</w:t>
            </w:r>
            <w:r>
              <w:rPr>
                <w:rFonts w:hint="default" w:ascii="Times New Roman" w:hAnsi="Times New Roman" w:eastAsia="宋体" w:cs="Times New Roman"/>
                <w:vertAlign w:val="subscript"/>
                <w:lang w:val="en-US" w:eastAsia="zh-CN"/>
              </w:rPr>
              <w:t>misc</w:t>
            </w:r>
            <w:r>
              <w:rPr>
                <w:rFonts w:hint="default" w:ascii="Times New Roman" w:hAnsi="Times New Roman" w:eastAsia="宋体" w:cs="Times New Roman"/>
                <w:lang w:val="en-US" w:eastAsia="zh-CN"/>
              </w:rPr>
              <w:t>—其他多方</w:t>
            </w:r>
            <w:r>
              <w:rPr>
                <w:rFonts w:hint="eastAsia" w:ascii="宋体" w:hAnsi="宋体" w:eastAsia="宋体" w:cs="宋体"/>
                <w:lang w:val="en-US" w:eastAsia="zh-CN"/>
              </w:rPr>
              <w:t>面</w:t>
            </w:r>
            <w:r>
              <w:rPr>
                <w:rFonts w:hint="default" w:ascii="Times New Roman" w:hAnsi="Times New Roman" w:eastAsia="宋体" w:cs="Times New Roman"/>
                <w:lang w:val="en-US" w:eastAsia="zh-CN"/>
              </w:rPr>
              <w:t>效应引</w:t>
            </w:r>
            <w:r>
              <w:rPr>
                <w:rFonts w:hint="eastAsia" w:ascii="宋体" w:hAnsi="宋体" w:eastAsia="宋体" w:cs="宋体"/>
                <w:lang w:val="en-US" w:eastAsia="zh-CN"/>
              </w:rPr>
              <w:t>起</w:t>
            </w:r>
            <w:r>
              <w:rPr>
                <w:rFonts w:hint="default" w:ascii="Times New Roman" w:hAnsi="Times New Roman" w:eastAsia="宋体" w:cs="Times New Roman"/>
                <w:lang w:val="en-US" w:eastAsia="zh-CN"/>
              </w:rPr>
              <w:t>的</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cs="Times New Roman"/>
                <w:lang w:val="en-US" w:eastAsia="zh-CN"/>
              </w:rPr>
              <w:t>。</w:t>
            </w:r>
          </w:p>
          <w:p w14:paraId="780942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a</w:t>
            </w:r>
            <w:r>
              <w:rPr>
                <w:rFonts w:hint="eastAsia" w:ascii="宋体" w:hAnsi="宋体" w:eastAsia="宋体" w:cs="宋体"/>
                <w:lang w:val="en-US" w:eastAsia="zh-CN"/>
              </w:rPr>
              <w:t>.</w:t>
            </w:r>
            <w:r>
              <w:rPr>
                <w:rFonts w:hint="default" w:ascii="Times New Roman" w:hAnsi="Times New Roman" w:eastAsia="宋体" w:cs="Times New Roman"/>
                <w:lang w:val="en-US" w:eastAsia="zh-CN"/>
              </w:rPr>
              <w:t>本</w:t>
            </w:r>
            <w:r>
              <w:rPr>
                <w:rFonts w:hint="eastAsia" w:ascii="宋体" w:hAnsi="宋体" w:eastAsia="宋体" w:cs="宋体"/>
                <w:lang w:val="en-US" w:eastAsia="zh-CN"/>
              </w:rPr>
              <w:t>项</w:t>
            </w:r>
            <w:r>
              <w:rPr>
                <w:rFonts w:hint="default" w:ascii="Times New Roman" w:hAnsi="Times New Roman" w:eastAsia="宋体" w:cs="Times New Roman"/>
                <w:lang w:val="en-US" w:eastAsia="zh-CN"/>
              </w:rPr>
              <w:t>目点声源处于半</w:t>
            </w:r>
            <w:r>
              <w:rPr>
                <w:rFonts w:hint="eastAsia" w:ascii="宋体" w:hAnsi="宋体" w:eastAsia="宋体" w:cs="宋体"/>
                <w:lang w:val="en-US" w:eastAsia="zh-CN"/>
              </w:rPr>
              <w:t>自</w:t>
            </w:r>
            <w:r>
              <w:rPr>
                <w:rFonts w:hint="default" w:ascii="Times New Roman" w:hAnsi="Times New Roman" w:eastAsia="宋体" w:cs="Times New Roman"/>
                <w:lang w:val="en-US" w:eastAsia="zh-CN"/>
              </w:rPr>
              <w:t>由场</w:t>
            </w:r>
            <w:r>
              <w:rPr>
                <w:rFonts w:hint="eastAsia" w:ascii="宋体" w:hAnsi="宋体" w:eastAsia="宋体" w:cs="宋体"/>
                <w:lang w:val="en-US" w:eastAsia="zh-CN"/>
              </w:rPr>
              <w:t>，</w:t>
            </w:r>
            <w:r>
              <w:rPr>
                <w:rFonts w:hint="default" w:ascii="Times New Roman" w:hAnsi="Times New Roman" w:eastAsia="宋体" w:cs="Times New Roman"/>
                <w:lang w:val="en-US" w:eastAsia="zh-CN"/>
              </w:rPr>
              <w:t>几何发散</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减的基本公式是</w:t>
            </w:r>
            <w:r>
              <w:rPr>
                <w:rFonts w:hint="eastAsia" w:ascii="宋体" w:hAnsi="宋体" w:eastAsia="宋体" w:cs="宋体"/>
                <w:lang w:val="en-US" w:eastAsia="zh-CN"/>
              </w:rPr>
              <w:t>：</w:t>
            </w:r>
          </w:p>
          <w:p w14:paraId="3DB4EB5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lang w:val="en-US" w:eastAsia="zh-CN"/>
              </w:rPr>
            </w:pPr>
            <w:r>
              <w:drawing>
                <wp:inline distT="0" distB="0" distL="114300" distR="114300">
                  <wp:extent cx="1905000" cy="361950"/>
                  <wp:effectExtent l="0" t="0" r="0" b="3810"/>
                  <wp:docPr id="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
                          <pic:cNvPicPr>
                            <a:picLocks noChangeAspect="1"/>
                          </pic:cNvPicPr>
                        </pic:nvPicPr>
                        <pic:blipFill>
                          <a:blip r:embed="rId24"/>
                          <a:stretch>
                            <a:fillRect/>
                          </a:stretch>
                        </pic:blipFill>
                        <pic:spPr>
                          <a:xfrm>
                            <a:off x="0" y="0"/>
                            <a:ext cx="1905000" cy="361950"/>
                          </a:xfrm>
                          <a:prstGeom prst="rect">
                            <a:avLst/>
                          </a:prstGeom>
                          <a:noFill/>
                          <a:ln>
                            <a:noFill/>
                          </a:ln>
                        </pic:spPr>
                      </pic:pic>
                    </a:graphicData>
                  </a:graphic>
                </wp:inline>
              </w:drawing>
            </w:r>
          </w:p>
          <w:p w14:paraId="7543FDE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式中</w:t>
            </w:r>
            <w:r>
              <w:rPr>
                <w:rFonts w:hint="eastAsia" w:ascii="宋体" w:hAnsi="宋体" w:eastAsia="宋体" w:cs="宋体"/>
                <w:lang w:val="en-US" w:eastAsia="zh-CN"/>
              </w:rPr>
              <w:t>：</w:t>
            </w: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A</w:t>
            </w:r>
            <w:r>
              <w:rPr>
                <w:rFonts w:hint="eastAsia" w:ascii="宋体" w:hAnsi="宋体" w:cs="宋体"/>
                <w:lang w:val="en-US" w:eastAsia="zh-CN"/>
              </w:rPr>
              <w:t>（</w:t>
            </w:r>
            <w:r>
              <w:rPr>
                <w:rFonts w:hint="default" w:ascii="Times New Roman" w:hAnsi="Times New Roman" w:eastAsia="宋体" w:cs="Times New Roman"/>
                <w:lang w:val="en-US" w:eastAsia="zh-CN"/>
              </w:rPr>
              <w:t>r</w:t>
            </w:r>
            <w:r>
              <w:rPr>
                <w:rFonts w:hint="eastAsia" w:ascii="宋体" w:hAnsi="宋体" w:cs="宋体"/>
                <w:lang w:val="en-US" w:eastAsia="zh-CN"/>
              </w:rPr>
              <w:t>）</w:t>
            </w:r>
            <w:r>
              <w:rPr>
                <w:rFonts w:hint="default" w:ascii="Times New Roman" w:hAnsi="Times New Roman" w:eastAsia="宋体" w:cs="Times New Roman"/>
                <w:lang w:val="en-US" w:eastAsia="zh-CN"/>
              </w:rPr>
              <w:t>—</w:t>
            </w:r>
            <w:r>
              <w:rPr>
                <w:rFonts w:hint="eastAsia" w:ascii="宋体" w:hAnsi="宋体" w:eastAsia="宋体" w:cs="宋体"/>
                <w:lang w:val="en-US" w:eastAsia="zh-CN"/>
              </w:rPr>
              <w:t>距</w:t>
            </w:r>
            <w:r>
              <w:rPr>
                <w:rFonts w:hint="default" w:ascii="Times New Roman" w:hAnsi="Times New Roman" w:eastAsia="宋体" w:cs="Times New Roman"/>
                <w:lang w:val="en-US" w:eastAsia="zh-CN"/>
              </w:rPr>
              <w:t>声源r处的A声级</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r>
              <w:rPr>
                <w:rFonts w:hint="default" w:ascii="Times New Roman" w:hAnsi="Times New Roman" w:eastAsia="宋体" w:cs="Times New Roman"/>
                <w:lang w:val="en-US" w:eastAsia="zh-CN"/>
              </w:rPr>
              <w:t>A</w:t>
            </w:r>
            <w:r>
              <w:rPr>
                <w:rFonts w:hint="eastAsia" w:ascii="宋体" w:hAnsi="宋体" w:eastAsia="宋体" w:cs="宋体"/>
                <w:lang w:val="en-US" w:eastAsia="zh-CN"/>
              </w:rPr>
              <w:t>）；</w:t>
            </w:r>
          </w:p>
          <w:p w14:paraId="27E73368">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Aw</w:t>
            </w:r>
            <w:r>
              <w:rPr>
                <w:rFonts w:hint="default" w:ascii="Times New Roman" w:hAnsi="Times New Roman" w:eastAsia="宋体" w:cs="Times New Roman"/>
                <w:lang w:val="en-US" w:eastAsia="zh-CN"/>
              </w:rPr>
              <w:t>—点声源A</w:t>
            </w:r>
            <w:r>
              <w:rPr>
                <w:rFonts w:hint="eastAsia" w:ascii="宋体" w:hAnsi="宋体" w:eastAsia="宋体" w:cs="宋体"/>
                <w:lang w:val="en-US" w:eastAsia="zh-CN"/>
              </w:rPr>
              <w:t>计</w:t>
            </w:r>
            <w:r>
              <w:rPr>
                <w:rFonts w:hint="default" w:ascii="Times New Roman" w:hAnsi="Times New Roman" w:eastAsia="宋体" w:cs="Times New Roman"/>
                <w:lang w:val="en-US" w:eastAsia="zh-CN"/>
              </w:rPr>
              <w:t>权声功率级</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119BAD47">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r—</w:t>
            </w:r>
            <w:r>
              <w:rPr>
                <w:rFonts w:hint="eastAsia" w:ascii="宋体" w:hAnsi="宋体" w:eastAsia="宋体" w:cs="宋体"/>
                <w:lang w:val="en-US" w:eastAsia="zh-CN"/>
              </w:rPr>
              <w:t>预</w:t>
            </w:r>
            <w:r>
              <w:rPr>
                <w:rFonts w:hint="default" w:ascii="Times New Roman" w:hAnsi="Times New Roman" w:eastAsia="宋体" w:cs="Times New Roman"/>
                <w:lang w:val="en-US" w:eastAsia="zh-CN"/>
              </w:rPr>
              <w:t>测点</w:t>
            </w:r>
            <w:r>
              <w:rPr>
                <w:rFonts w:hint="eastAsia" w:ascii="宋体" w:hAnsi="宋体" w:eastAsia="宋体" w:cs="宋体"/>
                <w:lang w:val="en-US" w:eastAsia="zh-CN"/>
              </w:rPr>
              <w:t>距</w:t>
            </w:r>
            <w:r>
              <w:rPr>
                <w:rFonts w:hint="default" w:ascii="Times New Roman" w:hAnsi="Times New Roman" w:eastAsia="宋体" w:cs="Times New Roman"/>
                <w:lang w:val="en-US" w:eastAsia="zh-CN"/>
              </w:rPr>
              <w:t>声源的</w:t>
            </w:r>
            <w:r>
              <w:rPr>
                <w:rFonts w:hint="eastAsia" w:ascii="宋体" w:hAnsi="宋体" w:eastAsia="宋体" w:cs="宋体"/>
                <w:lang w:val="en-US" w:eastAsia="zh-CN"/>
              </w:rPr>
              <w:t>距</w:t>
            </w:r>
            <w:r>
              <w:rPr>
                <w:rFonts w:hint="default" w:ascii="Times New Roman" w:hAnsi="Times New Roman" w:eastAsia="宋体" w:cs="Times New Roman"/>
                <w:lang w:val="en-US" w:eastAsia="zh-CN"/>
              </w:rPr>
              <w:t>离。</w:t>
            </w:r>
          </w:p>
          <w:p w14:paraId="325B85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b</w:t>
            </w:r>
            <w:r>
              <w:rPr>
                <w:rFonts w:hint="eastAsia" w:ascii="宋体" w:hAnsi="宋体" w:eastAsia="宋体" w:cs="宋体"/>
                <w:lang w:val="en-US" w:eastAsia="zh-CN"/>
              </w:rPr>
              <w:t>.本项目面声源的几何发散衰减</w:t>
            </w:r>
          </w:p>
          <w:p w14:paraId="3A3B97CB">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本项目车间透声的墙壁可以认为是面声源，当预测点和面声源中心距离r处于以下条件时，可按下述方法近似计算：r＜a/π时，几乎不衰减（Adiv≈0）；当a/π＜r＜b/π，距离加倍衰减3dB左右右，类似线声源衰减特性[Adiv≈10lg（r/r0）]；当r＞b/π时，距离加倍衰减趋近于6dB，类似点声源衰减特性[Adiv≈20lg（r/r0）]。其中面声源的b＞a。</w:t>
            </w:r>
          </w:p>
          <w:p w14:paraId="11F923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c.</w:t>
            </w:r>
            <w:r>
              <w:rPr>
                <w:rFonts w:hint="default" w:ascii="Times New Roman" w:hAnsi="Times New Roman" w:eastAsia="宋体" w:cs="Times New Roman"/>
                <w:lang w:val="en-US" w:eastAsia="zh-CN"/>
              </w:rPr>
              <w:t>本</w:t>
            </w:r>
            <w:r>
              <w:rPr>
                <w:rFonts w:hint="eastAsia" w:ascii="宋体" w:hAnsi="宋体" w:eastAsia="宋体" w:cs="宋体"/>
                <w:lang w:val="en-US" w:eastAsia="zh-CN"/>
              </w:rPr>
              <w:t>项</w:t>
            </w:r>
            <w:r>
              <w:rPr>
                <w:rFonts w:hint="default" w:ascii="Times New Roman" w:hAnsi="Times New Roman" w:eastAsia="宋体" w:cs="Times New Roman"/>
                <w:lang w:val="en-US" w:eastAsia="zh-CN"/>
              </w:rPr>
              <w:t>目噪声大气吸收引</w:t>
            </w:r>
            <w:r>
              <w:rPr>
                <w:rFonts w:hint="eastAsia" w:ascii="宋体" w:hAnsi="宋体" w:eastAsia="宋体" w:cs="宋体"/>
                <w:lang w:val="en-US" w:eastAsia="zh-CN"/>
              </w:rPr>
              <w:t>起</w:t>
            </w:r>
            <w:r>
              <w:rPr>
                <w:rFonts w:hint="default" w:ascii="Times New Roman" w:hAnsi="Times New Roman" w:eastAsia="宋体" w:cs="Times New Roman"/>
                <w:lang w:val="en-US" w:eastAsia="zh-CN"/>
              </w:rPr>
              <w:t>的</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减按下列公式</w:t>
            </w:r>
            <w:r>
              <w:rPr>
                <w:rFonts w:hint="eastAsia" w:ascii="宋体" w:hAnsi="宋体" w:eastAsia="宋体" w:cs="宋体"/>
                <w:lang w:val="en-US" w:eastAsia="zh-CN"/>
              </w:rPr>
              <w:t>计</w:t>
            </w:r>
            <w:r>
              <w:rPr>
                <w:rFonts w:hint="default" w:ascii="Times New Roman" w:hAnsi="Times New Roman" w:eastAsia="宋体" w:cs="Times New Roman"/>
                <w:lang w:val="en-US" w:eastAsia="zh-CN"/>
              </w:rPr>
              <w:t>算</w:t>
            </w:r>
            <w:r>
              <w:rPr>
                <w:rFonts w:hint="eastAsia" w:ascii="宋体" w:hAnsi="宋体" w:eastAsia="宋体" w:cs="宋体"/>
                <w:lang w:val="en-US" w:eastAsia="zh-CN"/>
              </w:rPr>
              <w:t>：</w:t>
            </w:r>
          </w:p>
          <w:p w14:paraId="32FEDFC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lang w:val="en-US" w:eastAsia="zh-CN"/>
              </w:rPr>
            </w:pPr>
            <w:r>
              <w:drawing>
                <wp:inline distT="0" distB="0" distL="114300" distR="114300">
                  <wp:extent cx="1371600" cy="514350"/>
                  <wp:effectExtent l="0" t="0" r="0" b="3810"/>
                  <wp:docPr id="8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pic:cNvPicPr>
                            <a:picLocks noChangeAspect="1"/>
                          </pic:cNvPicPr>
                        </pic:nvPicPr>
                        <pic:blipFill>
                          <a:blip r:embed="rId25"/>
                          <a:stretch>
                            <a:fillRect/>
                          </a:stretch>
                        </pic:blipFill>
                        <pic:spPr>
                          <a:xfrm>
                            <a:off x="0" y="0"/>
                            <a:ext cx="1371600" cy="514350"/>
                          </a:xfrm>
                          <a:prstGeom prst="rect">
                            <a:avLst/>
                          </a:prstGeom>
                          <a:noFill/>
                          <a:ln>
                            <a:noFill/>
                          </a:ln>
                        </pic:spPr>
                      </pic:pic>
                    </a:graphicData>
                  </a:graphic>
                </wp:inline>
              </w:drawing>
            </w:r>
          </w:p>
          <w:p w14:paraId="40BC18C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式中</w:t>
            </w:r>
            <w:r>
              <w:rPr>
                <w:rFonts w:hint="eastAsia" w:ascii="宋体" w:hAnsi="宋体" w:eastAsia="宋体" w:cs="宋体"/>
                <w:lang w:val="en-US" w:eastAsia="zh-CN"/>
              </w:rPr>
              <w:t>：</w:t>
            </w:r>
            <w:r>
              <w:rPr>
                <w:rFonts w:hint="default" w:ascii="Times New Roman" w:hAnsi="Times New Roman" w:eastAsia="宋体" w:cs="Times New Roman"/>
                <w:lang w:val="en-US" w:eastAsia="zh-CN"/>
              </w:rPr>
              <w:t>A</w:t>
            </w:r>
            <w:r>
              <w:rPr>
                <w:rFonts w:hint="default" w:ascii="Times New Roman" w:hAnsi="Times New Roman" w:eastAsia="宋体" w:cs="Times New Roman"/>
                <w:vertAlign w:val="subscript"/>
                <w:lang w:val="en-US" w:eastAsia="zh-CN"/>
              </w:rPr>
              <w:t>atm</w:t>
            </w:r>
            <w:r>
              <w:rPr>
                <w:rFonts w:hint="default" w:ascii="Times New Roman" w:hAnsi="Times New Roman" w:eastAsia="宋体" w:cs="Times New Roman"/>
                <w:lang w:val="en-US" w:eastAsia="zh-CN"/>
              </w:rPr>
              <w:t>—大气吸收引</w:t>
            </w:r>
            <w:r>
              <w:rPr>
                <w:rFonts w:hint="eastAsia" w:ascii="宋体" w:hAnsi="宋体" w:eastAsia="宋体" w:cs="宋体"/>
                <w:lang w:val="en-US" w:eastAsia="zh-CN"/>
              </w:rPr>
              <w:t>起</w:t>
            </w:r>
            <w:r>
              <w:rPr>
                <w:rFonts w:hint="default" w:ascii="Times New Roman" w:hAnsi="Times New Roman" w:eastAsia="宋体" w:cs="Times New Roman"/>
                <w:lang w:val="en-US" w:eastAsia="zh-CN"/>
              </w:rPr>
              <w:t>的</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56A0BF1E">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α—与温度、湿度和声波</w:t>
            </w:r>
            <w:r>
              <w:rPr>
                <w:rFonts w:hint="eastAsia" w:ascii="宋体" w:hAnsi="宋体" w:eastAsia="宋体" w:cs="宋体"/>
                <w:lang w:val="en-US" w:eastAsia="zh-CN"/>
              </w:rPr>
              <w:t>频</w:t>
            </w:r>
            <w:r>
              <w:rPr>
                <w:rFonts w:hint="default" w:ascii="Times New Roman" w:hAnsi="Times New Roman" w:eastAsia="宋体" w:cs="Times New Roman"/>
                <w:lang w:val="en-US" w:eastAsia="zh-CN"/>
              </w:rPr>
              <w:t>率有关的大气吸收</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减系数</w:t>
            </w:r>
            <w:r>
              <w:rPr>
                <w:rFonts w:hint="eastAsia" w:ascii="宋体" w:hAnsi="宋体" w:eastAsia="宋体" w:cs="宋体"/>
                <w:lang w:val="en-US" w:eastAsia="zh-CN"/>
              </w:rPr>
              <w:t>，预</w:t>
            </w:r>
            <w:r>
              <w:rPr>
                <w:rFonts w:hint="default" w:ascii="Times New Roman" w:hAnsi="Times New Roman" w:eastAsia="宋体" w:cs="Times New Roman"/>
                <w:lang w:val="en-US" w:eastAsia="zh-CN"/>
              </w:rPr>
              <w:t>测</w:t>
            </w:r>
            <w:r>
              <w:rPr>
                <w:rFonts w:hint="eastAsia" w:ascii="宋体" w:hAnsi="宋体" w:eastAsia="宋体" w:cs="宋体"/>
                <w:lang w:val="en-US" w:eastAsia="zh-CN"/>
              </w:rPr>
              <w:t>计</w:t>
            </w:r>
            <w:r>
              <w:rPr>
                <w:rFonts w:hint="default" w:ascii="Times New Roman" w:hAnsi="Times New Roman" w:eastAsia="宋体" w:cs="Times New Roman"/>
                <w:lang w:val="en-US" w:eastAsia="zh-CN"/>
              </w:rPr>
              <w:t>算中一</w:t>
            </w:r>
            <w:r>
              <w:rPr>
                <w:rFonts w:hint="eastAsia" w:ascii="宋体" w:hAnsi="宋体" w:eastAsia="宋体" w:cs="宋体"/>
                <w:lang w:val="en-US" w:eastAsia="zh-CN"/>
              </w:rPr>
              <w:t>般</w:t>
            </w:r>
            <w:r>
              <w:rPr>
                <w:rFonts w:hint="default" w:ascii="Times New Roman" w:hAnsi="Times New Roman" w:eastAsia="宋体" w:cs="Times New Roman"/>
                <w:lang w:val="en-US" w:eastAsia="zh-CN"/>
              </w:rPr>
              <w:t>根据建</w:t>
            </w:r>
            <w:r>
              <w:rPr>
                <w:rFonts w:hint="eastAsia" w:ascii="宋体" w:hAnsi="宋体" w:eastAsia="宋体" w:cs="宋体"/>
                <w:lang w:val="en-US" w:eastAsia="zh-CN"/>
              </w:rPr>
              <w:t>设项</w:t>
            </w:r>
            <w:r>
              <w:rPr>
                <w:rFonts w:hint="default" w:ascii="Times New Roman" w:hAnsi="Times New Roman" w:eastAsia="宋体" w:cs="Times New Roman"/>
                <w:lang w:val="en-US" w:eastAsia="zh-CN"/>
              </w:rPr>
              <w:t>目所处区域常年平均气温和湿度</w:t>
            </w:r>
            <w:r>
              <w:rPr>
                <w:rFonts w:hint="eastAsia" w:ascii="宋体" w:hAnsi="宋体" w:eastAsia="宋体" w:cs="宋体"/>
                <w:lang w:val="en-US" w:eastAsia="zh-CN"/>
              </w:rPr>
              <w:t>选</w:t>
            </w:r>
            <w:r>
              <w:rPr>
                <w:rFonts w:hint="default" w:ascii="Times New Roman" w:hAnsi="Times New Roman" w:eastAsia="宋体" w:cs="Times New Roman"/>
                <w:lang w:val="en-US" w:eastAsia="zh-CN"/>
              </w:rPr>
              <w:t>择相应的大气吸收</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减系数</w:t>
            </w:r>
            <w:r>
              <w:rPr>
                <w:rFonts w:hint="eastAsia" w:ascii="宋体" w:hAnsi="宋体" w:eastAsia="宋体" w:cs="宋体"/>
                <w:lang w:val="en-US" w:eastAsia="zh-CN"/>
              </w:rPr>
              <w:t>；</w:t>
            </w:r>
          </w:p>
          <w:p w14:paraId="3CE2B074">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r</w:t>
            </w:r>
            <w:r>
              <w:rPr>
                <w:rFonts w:hint="eastAsia" w:ascii="宋体" w:hAnsi="宋体" w:eastAsia="宋体" w:cs="宋体"/>
                <w:lang w:val="en-US" w:eastAsia="zh-CN"/>
              </w:rPr>
              <w:t xml:space="preserve"> </w:t>
            </w:r>
            <w:r>
              <w:rPr>
                <w:rFonts w:hint="default" w:ascii="Times New Roman" w:hAnsi="Times New Roman" w:eastAsia="宋体" w:cs="Times New Roman"/>
                <w:lang w:val="en-US" w:eastAsia="zh-CN"/>
              </w:rPr>
              <w:t>—</w:t>
            </w:r>
            <w:r>
              <w:rPr>
                <w:rFonts w:hint="eastAsia" w:ascii="宋体" w:hAnsi="宋体" w:eastAsia="宋体" w:cs="宋体"/>
                <w:lang w:val="en-US" w:eastAsia="zh-CN"/>
              </w:rPr>
              <w:t>预</w:t>
            </w:r>
            <w:r>
              <w:rPr>
                <w:rFonts w:hint="default" w:ascii="Times New Roman" w:hAnsi="Times New Roman" w:eastAsia="宋体" w:cs="Times New Roman"/>
                <w:lang w:val="en-US" w:eastAsia="zh-CN"/>
              </w:rPr>
              <w:t>测点</w:t>
            </w:r>
            <w:r>
              <w:rPr>
                <w:rFonts w:hint="eastAsia" w:ascii="宋体" w:hAnsi="宋体" w:eastAsia="宋体" w:cs="宋体"/>
                <w:lang w:val="en-US" w:eastAsia="zh-CN"/>
              </w:rPr>
              <w:t>距</w:t>
            </w:r>
            <w:r>
              <w:rPr>
                <w:rFonts w:hint="default" w:ascii="Times New Roman" w:hAnsi="Times New Roman" w:eastAsia="宋体" w:cs="Times New Roman"/>
                <w:lang w:val="en-US" w:eastAsia="zh-CN"/>
              </w:rPr>
              <w:t>声源的</w:t>
            </w:r>
            <w:r>
              <w:rPr>
                <w:rFonts w:hint="eastAsia" w:ascii="宋体" w:hAnsi="宋体" w:eastAsia="宋体" w:cs="宋体"/>
                <w:lang w:val="en-US" w:eastAsia="zh-CN"/>
              </w:rPr>
              <w:t>距</w:t>
            </w:r>
            <w:r>
              <w:rPr>
                <w:rFonts w:hint="default" w:ascii="Times New Roman" w:hAnsi="Times New Roman" w:eastAsia="宋体" w:cs="Times New Roman"/>
                <w:lang w:val="en-US" w:eastAsia="zh-CN"/>
              </w:rPr>
              <w:t>离</w:t>
            </w:r>
            <w:r>
              <w:rPr>
                <w:rFonts w:hint="eastAsia" w:ascii="宋体" w:hAnsi="宋体" w:eastAsia="宋体" w:cs="宋体"/>
                <w:lang w:val="en-US" w:eastAsia="zh-CN"/>
              </w:rPr>
              <w:t>；</w:t>
            </w:r>
          </w:p>
          <w:p w14:paraId="4DABBA65">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r</w:t>
            </w:r>
            <w:r>
              <w:rPr>
                <w:rFonts w:hint="default" w:ascii="Times New Roman" w:hAnsi="Times New Roman" w:eastAsia="宋体" w:cs="Times New Roman"/>
                <w:vertAlign w:val="subscript"/>
                <w:lang w:val="en-US" w:eastAsia="zh-CN"/>
              </w:rPr>
              <w:t>0</w:t>
            </w:r>
            <w:r>
              <w:rPr>
                <w:rFonts w:hint="default" w:ascii="Times New Roman" w:hAnsi="Times New Roman" w:eastAsia="宋体" w:cs="Times New Roman"/>
                <w:lang w:val="en-US" w:eastAsia="zh-CN"/>
              </w:rPr>
              <w:t>—参</w:t>
            </w:r>
            <w:r>
              <w:rPr>
                <w:rFonts w:hint="eastAsia" w:ascii="宋体" w:hAnsi="宋体" w:eastAsia="宋体" w:cs="宋体"/>
                <w:lang w:val="en-US" w:eastAsia="zh-CN"/>
              </w:rPr>
              <w:t>考</w:t>
            </w:r>
            <w:r>
              <w:rPr>
                <w:rFonts w:hint="default" w:ascii="Times New Roman" w:hAnsi="Times New Roman" w:eastAsia="宋体" w:cs="Times New Roman"/>
                <w:lang w:val="en-US" w:eastAsia="zh-CN"/>
              </w:rPr>
              <w:t>位置</w:t>
            </w:r>
            <w:r>
              <w:rPr>
                <w:rFonts w:hint="eastAsia" w:ascii="宋体" w:hAnsi="宋体" w:eastAsia="宋体" w:cs="宋体"/>
                <w:lang w:val="en-US" w:eastAsia="zh-CN"/>
              </w:rPr>
              <w:t>距</w:t>
            </w:r>
            <w:r>
              <w:rPr>
                <w:rFonts w:hint="default" w:ascii="Times New Roman" w:hAnsi="Times New Roman" w:eastAsia="宋体" w:cs="Times New Roman"/>
                <w:lang w:val="en-US" w:eastAsia="zh-CN"/>
              </w:rPr>
              <w:t>声源的</w:t>
            </w:r>
            <w:r>
              <w:rPr>
                <w:rFonts w:hint="eastAsia" w:ascii="宋体" w:hAnsi="宋体" w:eastAsia="宋体" w:cs="宋体"/>
                <w:lang w:val="en-US" w:eastAsia="zh-CN"/>
              </w:rPr>
              <w:t>距</w:t>
            </w:r>
            <w:r>
              <w:rPr>
                <w:rFonts w:hint="default" w:ascii="Times New Roman" w:hAnsi="Times New Roman" w:eastAsia="宋体" w:cs="Times New Roman"/>
                <w:lang w:val="en-US" w:eastAsia="zh-CN"/>
              </w:rPr>
              <w:t>离。</w:t>
            </w:r>
          </w:p>
          <w:p w14:paraId="651FA2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lang w:val="en-US" w:eastAsia="zh-CN"/>
              </w:rPr>
            </w:pPr>
            <w:r>
              <w:rPr>
                <w:rFonts w:hint="default" w:ascii="Times New Roman" w:hAnsi="Times New Roman" w:eastAsia="宋体" w:cs="Times New Roman"/>
                <w:lang w:val="en-US" w:eastAsia="zh-CN"/>
              </w:rPr>
              <w:t>本</w:t>
            </w:r>
            <w:r>
              <w:rPr>
                <w:rFonts w:hint="eastAsia" w:ascii="宋体" w:hAnsi="宋体" w:eastAsia="宋体" w:cs="宋体"/>
                <w:lang w:val="en-US" w:eastAsia="zh-CN"/>
              </w:rPr>
              <w:t>项</w:t>
            </w:r>
            <w:r>
              <w:rPr>
                <w:rFonts w:hint="default" w:ascii="Times New Roman" w:hAnsi="Times New Roman" w:eastAsia="宋体" w:cs="Times New Roman"/>
                <w:lang w:val="en-US" w:eastAsia="zh-CN"/>
              </w:rPr>
              <w:t>目噪声大气吸收引</w:t>
            </w:r>
            <w:r>
              <w:rPr>
                <w:rFonts w:hint="eastAsia" w:ascii="宋体" w:hAnsi="宋体" w:eastAsia="宋体" w:cs="宋体"/>
                <w:lang w:val="en-US" w:eastAsia="zh-CN"/>
              </w:rPr>
              <w:t>起</w:t>
            </w:r>
            <w:r>
              <w:rPr>
                <w:rFonts w:hint="default" w:ascii="Times New Roman" w:hAnsi="Times New Roman" w:eastAsia="宋体" w:cs="Times New Roman"/>
                <w:lang w:val="en-US" w:eastAsia="zh-CN"/>
              </w:rPr>
              <w:t>的</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减值很小</w:t>
            </w:r>
            <w:r>
              <w:rPr>
                <w:rFonts w:hint="eastAsia" w:ascii="宋体" w:hAnsi="宋体" w:eastAsia="宋体" w:cs="宋体"/>
                <w:lang w:val="en-US" w:eastAsia="zh-CN"/>
              </w:rPr>
              <w:t>，</w:t>
            </w:r>
            <w:r>
              <w:rPr>
                <w:rFonts w:hint="default" w:ascii="Times New Roman" w:hAnsi="Times New Roman" w:eastAsia="宋体" w:cs="Times New Roman"/>
                <w:lang w:val="en-US" w:eastAsia="zh-CN"/>
              </w:rPr>
              <w:t>忽略不</w:t>
            </w:r>
            <w:r>
              <w:rPr>
                <w:rFonts w:hint="eastAsia" w:ascii="宋体" w:hAnsi="宋体" w:eastAsia="宋体" w:cs="宋体"/>
                <w:lang w:val="en-US" w:eastAsia="zh-CN"/>
              </w:rPr>
              <w:t>计</w:t>
            </w:r>
            <w:r>
              <w:rPr>
                <w:rFonts w:hint="default" w:ascii="Times New Roman" w:hAnsi="Times New Roman" w:eastAsia="宋体" w:cs="Times New Roman"/>
                <w:lang w:val="en-US" w:eastAsia="zh-CN"/>
              </w:rPr>
              <w:t>。</w:t>
            </w:r>
          </w:p>
          <w:p w14:paraId="15E047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lang w:val="en-US" w:eastAsia="zh-CN"/>
              </w:rPr>
            </w:pPr>
            <w:r>
              <w:rPr>
                <w:rFonts w:hint="eastAsia" w:ascii="Times New Roman" w:hAnsi="Times New Roman" w:eastAsia="宋体" w:cs="Times New Roman"/>
                <w:lang w:val="en-US" w:eastAsia="zh-CN"/>
              </w:rPr>
              <w:t>d</w:t>
            </w:r>
            <w:r>
              <w:rPr>
                <w:rFonts w:hint="eastAsia" w:ascii="宋体" w:hAnsi="宋体" w:eastAsia="宋体" w:cs="宋体"/>
                <w:lang w:val="en-US" w:eastAsia="zh-CN"/>
              </w:rPr>
              <w:t>.</w:t>
            </w:r>
            <w:r>
              <w:rPr>
                <w:rFonts w:hint="default" w:ascii="Times New Roman" w:hAnsi="Times New Roman" w:eastAsia="宋体" w:cs="Times New Roman"/>
                <w:lang w:val="en-US" w:eastAsia="zh-CN"/>
              </w:rPr>
              <w:t>本</w:t>
            </w:r>
            <w:r>
              <w:rPr>
                <w:rFonts w:hint="eastAsia" w:ascii="宋体" w:hAnsi="宋体" w:eastAsia="宋体" w:cs="宋体"/>
                <w:lang w:val="en-US" w:eastAsia="zh-CN"/>
              </w:rPr>
              <w:t>项</w:t>
            </w:r>
            <w:r>
              <w:rPr>
                <w:rFonts w:hint="default" w:ascii="Times New Roman" w:hAnsi="Times New Roman" w:eastAsia="宋体" w:cs="Times New Roman"/>
                <w:lang w:val="en-US" w:eastAsia="zh-CN"/>
              </w:rPr>
              <w:t>目噪声地</w:t>
            </w:r>
            <w:r>
              <w:rPr>
                <w:rFonts w:hint="eastAsia" w:ascii="宋体" w:hAnsi="宋体" w:eastAsia="宋体" w:cs="宋体"/>
                <w:lang w:val="en-US" w:eastAsia="zh-CN"/>
              </w:rPr>
              <w:t>面</w:t>
            </w:r>
            <w:r>
              <w:rPr>
                <w:rFonts w:hint="default" w:ascii="Times New Roman" w:hAnsi="Times New Roman" w:eastAsia="宋体" w:cs="Times New Roman"/>
                <w:lang w:val="en-US" w:eastAsia="zh-CN"/>
              </w:rPr>
              <w:t>效应引</w:t>
            </w:r>
            <w:r>
              <w:rPr>
                <w:rFonts w:hint="eastAsia" w:ascii="宋体" w:hAnsi="宋体" w:eastAsia="宋体" w:cs="宋体"/>
                <w:lang w:val="en-US" w:eastAsia="zh-CN"/>
              </w:rPr>
              <w:t>起</w:t>
            </w:r>
            <w:r>
              <w:rPr>
                <w:rFonts w:hint="default" w:ascii="Times New Roman" w:hAnsi="Times New Roman" w:eastAsia="宋体" w:cs="Times New Roman"/>
                <w:lang w:val="en-US" w:eastAsia="zh-CN"/>
              </w:rPr>
              <w:t>的</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w:t>
            </w:r>
            <w:r>
              <w:rPr>
                <w:rFonts w:hint="eastAsia" w:ascii="宋体" w:hAnsi="宋体" w:eastAsia="宋体" w:cs="宋体"/>
                <w:lang w:val="en-US" w:eastAsia="zh-CN"/>
              </w:rPr>
              <w:t>，</w:t>
            </w:r>
            <w:r>
              <w:rPr>
                <w:rFonts w:hint="default" w:ascii="Times New Roman" w:hAnsi="Times New Roman" w:eastAsia="宋体" w:cs="Times New Roman"/>
                <w:lang w:val="en-US" w:eastAsia="zh-CN"/>
              </w:rPr>
              <w:t>其中地</w:t>
            </w:r>
            <w:r>
              <w:rPr>
                <w:rFonts w:hint="eastAsia" w:ascii="宋体" w:hAnsi="宋体" w:eastAsia="宋体" w:cs="宋体"/>
                <w:lang w:val="en-US" w:eastAsia="zh-CN"/>
              </w:rPr>
              <w:t>面</w:t>
            </w:r>
            <w:r>
              <w:rPr>
                <w:rFonts w:hint="default" w:ascii="Times New Roman" w:hAnsi="Times New Roman" w:eastAsia="宋体" w:cs="Times New Roman"/>
                <w:lang w:val="en-US" w:eastAsia="zh-CN"/>
              </w:rPr>
              <w:t>类型为混合地</w:t>
            </w:r>
            <w:r>
              <w:rPr>
                <w:rFonts w:hint="eastAsia" w:ascii="宋体" w:hAnsi="宋体" w:eastAsia="宋体" w:cs="宋体"/>
                <w:lang w:val="en-US" w:eastAsia="zh-CN"/>
              </w:rPr>
              <w:t>面，</w:t>
            </w:r>
            <w:r>
              <w:rPr>
                <w:rFonts w:hint="default" w:ascii="Times New Roman" w:hAnsi="Times New Roman" w:eastAsia="宋体" w:cs="Times New Roman"/>
                <w:lang w:val="en-US" w:eastAsia="zh-CN"/>
              </w:rPr>
              <w:t>由坚实地</w:t>
            </w:r>
            <w:r>
              <w:rPr>
                <w:rFonts w:hint="eastAsia" w:ascii="宋体" w:hAnsi="宋体" w:eastAsia="宋体" w:cs="宋体"/>
                <w:lang w:val="en-US" w:eastAsia="zh-CN"/>
              </w:rPr>
              <w:t>面</w:t>
            </w:r>
            <w:r>
              <w:rPr>
                <w:rFonts w:hint="default" w:ascii="Times New Roman" w:hAnsi="Times New Roman" w:eastAsia="宋体" w:cs="Times New Roman"/>
                <w:lang w:val="en-US" w:eastAsia="zh-CN"/>
              </w:rPr>
              <w:t>和疏松地</w:t>
            </w:r>
            <w:r>
              <w:rPr>
                <w:rFonts w:hint="eastAsia" w:ascii="宋体" w:hAnsi="宋体" w:eastAsia="宋体" w:cs="宋体"/>
                <w:lang w:val="en-US" w:eastAsia="zh-CN"/>
              </w:rPr>
              <w:t>面</w:t>
            </w:r>
            <w:r>
              <w:rPr>
                <w:rFonts w:hint="default" w:ascii="Times New Roman" w:hAnsi="Times New Roman" w:eastAsia="宋体" w:cs="Times New Roman"/>
                <w:lang w:val="en-US" w:eastAsia="zh-CN"/>
              </w:rPr>
              <w:t>组成</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减按下列公式</w:t>
            </w:r>
            <w:r>
              <w:rPr>
                <w:rFonts w:hint="eastAsia" w:ascii="宋体" w:hAnsi="宋体" w:eastAsia="宋体" w:cs="宋体"/>
                <w:lang w:val="en-US" w:eastAsia="zh-CN"/>
              </w:rPr>
              <w:t>计</w:t>
            </w:r>
            <w:r>
              <w:rPr>
                <w:rFonts w:hint="default" w:ascii="Times New Roman" w:hAnsi="Times New Roman" w:eastAsia="宋体" w:cs="Times New Roman"/>
                <w:lang w:val="en-US" w:eastAsia="zh-CN"/>
              </w:rPr>
              <w:t>算</w:t>
            </w:r>
            <w:r>
              <w:rPr>
                <w:rFonts w:hint="eastAsia" w:ascii="宋体" w:hAnsi="宋体" w:eastAsia="宋体" w:cs="宋体"/>
                <w:lang w:val="en-US" w:eastAsia="zh-CN"/>
              </w:rPr>
              <w:t>：</w:t>
            </w:r>
          </w:p>
          <w:p w14:paraId="015F8FF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lang w:val="en-US" w:eastAsia="zh-CN"/>
              </w:rPr>
            </w:pPr>
            <w:r>
              <w:drawing>
                <wp:inline distT="0" distB="0" distL="114300" distR="114300">
                  <wp:extent cx="2238375" cy="600075"/>
                  <wp:effectExtent l="0" t="0" r="1905" b="9525"/>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pic:cNvPicPr>
                            <a:picLocks noChangeAspect="1"/>
                          </pic:cNvPicPr>
                        </pic:nvPicPr>
                        <pic:blipFill>
                          <a:blip r:embed="rId26"/>
                          <a:stretch>
                            <a:fillRect/>
                          </a:stretch>
                        </pic:blipFill>
                        <pic:spPr>
                          <a:xfrm>
                            <a:off x="0" y="0"/>
                            <a:ext cx="2238375" cy="600075"/>
                          </a:xfrm>
                          <a:prstGeom prst="rect">
                            <a:avLst/>
                          </a:prstGeom>
                          <a:noFill/>
                          <a:ln>
                            <a:noFill/>
                          </a:ln>
                        </pic:spPr>
                      </pic:pic>
                    </a:graphicData>
                  </a:graphic>
                </wp:inline>
              </w:drawing>
            </w:r>
          </w:p>
          <w:p w14:paraId="297B9A5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式中</w:t>
            </w:r>
            <w:r>
              <w:rPr>
                <w:rFonts w:hint="eastAsia" w:ascii="宋体" w:hAnsi="宋体" w:eastAsia="宋体" w:cs="宋体"/>
                <w:lang w:val="en-US" w:eastAsia="zh-CN"/>
              </w:rPr>
              <w:t>：</w:t>
            </w:r>
            <w:r>
              <w:rPr>
                <w:rFonts w:hint="default" w:ascii="Times New Roman" w:hAnsi="Times New Roman" w:eastAsia="宋体" w:cs="Times New Roman"/>
                <w:lang w:val="en-US" w:eastAsia="zh-CN"/>
              </w:rPr>
              <w:t>A</w:t>
            </w:r>
            <w:r>
              <w:rPr>
                <w:rFonts w:hint="default" w:ascii="Times New Roman" w:hAnsi="Times New Roman" w:eastAsia="宋体" w:cs="Times New Roman"/>
                <w:vertAlign w:val="subscript"/>
                <w:lang w:val="en-US" w:eastAsia="zh-CN"/>
              </w:rPr>
              <w:t>gr</w:t>
            </w:r>
            <w:r>
              <w:rPr>
                <w:rFonts w:hint="default" w:ascii="Times New Roman" w:hAnsi="Times New Roman" w:eastAsia="宋体" w:cs="Times New Roman"/>
                <w:lang w:val="en-US" w:eastAsia="zh-CN"/>
              </w:rPr>
              <w:t>—地</w:t>
            </w:r>
            <w:r>
              <w:rPr>
                <w:rFonts w:hint="eastAsia" w:ascii="宋体" w:hAnsi="宋体" w:eastAsia="宋体" w:cs="宋体"/>
                <w:lang w:val="en-US" w:eastAsia="zh-CN"/>
              </w:rPr>
              <w:t>面</w:t>
            </w:r>
            <w:r>
              <w:rPr>
                <w:rFonts w:hint="default" w:ascii="Times New Roman" w:hAnsi="Times New Roman" w:eastAsia="宋体" w:cs="Times New Roman"/>
                <w:lang w:val="en-US" w:eastAsia="zh-CN"/>
              </w:rPr>
              <w:t>效应引</w:t>
            </w:r>
            <w:r>
              <w:rPr>
                <w:rFonts w:hint="eastAsia" w:ascii="宋体" w:hAnsi="宋体" w:eastAsia="宋体" w:cs="宋体"/>
                <w:lang w:val="en-US" w:eastAsia="zh-CN"/>
              </w:rPr>
              <w:t>起</w:t>
            </w:r>
            <w:r>
              <w:rPr>
                <w:rFonts w:hint="default" w:ascii="Times New Roman" w:hAnsi="Times New Roman" w:eastAsia="宋体" w:cs="Times New Roman"/>
                <w:lang w:val="en-US" w:eastAsia="zh-CN"/>
              </w:rPr>
              <w:t>的</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44D3B96C">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r—</w:t>
            </w:r>
            <w:r>
              <w:rPr>
                <w:rFonts w:hint="eastAsia" w:ascii="宋体" w:hAnsi="宋体" w:eastAsia="宋体" w:cs="宋体"/>
                <w:lang w:val="en-US" w:eastAsia="zh-CN"/>
              </w:rPr>
              <w:t>预</w:t>
            </w:r>
            <w:r>
              <w:rPr>
                <w:rFonts w:hint="default" w:ascii="Times New Roman" w:hAnsi="Times New Roman" w:eastAsia="宋体" w:cs="Times New Roman"/>
                <w:lang w:val="en-US" w:eastAsia="zh-CN"/>
              </w:rPr>
              <w:t>测点</w:t>
            </w:r>
            <w:r>
              <w:rPr>
                <w:rFonts w:hint="eastAsia" w:ascii="宋体" w:hAnsi="宋体" w:eastAsia="宋体" w:cs="宋体"/>
                <w:lang w:val="en-US" w:eastAsia="zh-CN"/>
              </w:rPr>
              <w:t>距</w:t>
            </w:r>
            <w:r>
              <w:rPr>
                <w:rFonts w:hint="default" w:ascii="Times New Roman" w:hAnsi="Times New Roman" w:eastAsia="宋体" w:cs="Times New Roman"/>
                <w:lang w:val="en-US" w:eastAsia="zh-CN"/>
              </w:rPr>
              <w:t>声源的</w:t>
            </w:r>
            <w:r>
              <w:rPr>
                <w:rFonts w:hint="eastAsia" w:ascii="宋体" w:hAnsi="宋体" w:eastAsia="宋体" w:cs="宋体"/>
                <w:lang w:val="en-US" w:eastAsia="zh-CN"/>
              </w:rPr>
              <w:t>距</w:t>
            </w:r>
            <w:r>
              <w:rPr>
                <w:rFonts w:hint="default" w:ascii="Times New Roman" w:hAnsi="Times New Roman" w:eastAsia="宋体" w:cs="Times New Roman"/>
                <w:lang w:val="en-US" w:eastAsia="zh-CN"/>
              </w:rPr>
              <w:t>离</w:t>
            </w:r>
            <w:r>
              <w:rPr>
                <w:rFonts w:hint="eastAsia" w:ascii="宋体" w:hAnsi="宋体" w:eastAsia="宋体" w:cs="宋体"/>
                <w:lang w:val="en-US" w:eastAsia="zh-CN"/>
              </w:rPr>
              <w:t>，</w:t>
            </w:r>
            <w:r>
              <w:rPr>
                <w:rFonts w:hint="default" w:ascii="Times New Roman" w:hAnsi="Times New Roman" w:eastAsia="宋体" w:cs="Times New Roman"/>
                <w:lang w:val="en-US" w:eastAsia="zh-CN"/>
              </w:rPr>
              <w:t>m</w:t>
            </w:r>
            <w:r>
              <w:rPr>
                <w:rFonts w:hint="eastAsia" w:ascii="宋体" w:hAnsi="宋体" w:eastAsia="宋体" w:cs="宋体"/>
                <w:lang w:val="en-US" w:eastAsia="zh-CN"/>
              </w:rPr>
              <w:t>；</w:t>
            </w:r>
          </w:p>
          <w:p w14:paraId="70BA2D63">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h</w:t>
            </w:r>
            <w:r>
              <w:rPr>
                <w:rFonts w:hint="default" w:ascii="Times New Roman" w:hAnsi="Times New Roman" w:eastAsia="宋体" w:cs="Times New Roman"/>
                <w:vertAlign w:val="subscript"/>
                <w:lang w:val="en-US" w:eastAsia="zh-CN"/>
              </w:rPr>
              <w:t>m</w:t>
            </w:r>
            <w:r>
              <w:rPr>
                <w:rFonts w:hint="default" w:ascii="Times New Roman" w:hAnsi="Times New Roman" w:eastAsia="宋体" w:cs="Times New Roman"/>
                <w:lang w:val="en-US" w:eastAsia="zh-CN"/>
              </w:rPr>
              <w:t>—传播</w:t>
            </w:r>
            <w:r>
              <w:rPr>
                <w:rFonts w:hint="eastAsia" w:ascii="宋体" w:hAnsi="宋体" w:eastAsia="宋体" w:cs="宋体"/>
                <w:lang w:val="en-US" w:eastAsia="zh-CN"/>
              </w:rPr>
              <w:t>路</w:t>
            </w:r>
            <w:r>
              <w:rPr>
                <w:rFonts w:hint="default" w:ascii="Times New Roman" w:hAnsi="Times New Roman" w:eastAsia="宋体" w:cs="Times New Roman"/>
                <w:lang w:val="en-US" w:eastAsia="zh-CN"/>
              </w:rPr>
              <w:t>径的平均离地</w:t>
            </w:r>
            <w:r>
              <w:rPr>
                <w:rFonts w:hint="eastAsia" w:ascii="宋体" w:hAnsi="宋体" w:eastAsia="宋体" w:cs="宋体"/>
                <w:lang w:val="en-US" w:eastAsia="zh-CN"/>
              </w:rPr>
              <w:t>高</w:t>
            </w:r>
            <w:r>
              <w:rPr>
                <w:rFonts w:hint="default" w:ascii="Times New Roman" w:hAnsi="Times New Roman" w:eastAsia="宋体" w:cs="Times New Roman"/>
                <w:lang w:val="en-US" w:eastAsia="zh-CN"/>
              </w:rPr>
              <w:t>度</w:t>
            </w:r>
            <w:r>
              <w:rPr>
                <w:rFonts w:hint="eastAsia" w:ascii="宋体" w:hAnsi="宋体" w:eastAsia="宋体" w:cs="宋体"/>
                <w:lang w:val="en-US" w:eastAsia="zh-CN"/>
              </w:rPr>
              <w:t>，</w:t>
            </w:r>
            <w:r>
              <w:rPr>
                <w:rFonts w:hint="default" w:ascii="Times New Roman" w:hAnsi="Times New Roman" w:eastAsia="宋体" w:cs="Times New Roman"/>
                <w:lang w:val="en-US" w:eastAsia="zh-CN"/>
              </w:rPr>
              <w:t>m。</w:t>
            </w:r>
          </w:p>
          <w:p w14:paraId="54F615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本</w:t>
            </w:r>
            <w:r>
              <w:rPr>
                <w:rFonts w:hint="eastAsia" w:ascii="宋体" w:hAnsi="宋体" w:eastAsia="宋体" w:cs="宋体"/>
                <w:lang w:val="en-US" w:eastAsia="zh-CN"/>
              </w:rPr>
              <w:t>项</w:t>
            </w:r>
            <w:r>
              <w:rPr>
                <w:rFonts w:hint="default" w:ascii="Times New Roman" w:hAnsi="Times New Roman" w:eastAsia="宋体" w:cs="Times New Roman"/>
                <w:lang w:val="en-US" w:eastAsia="zh-CN"/>
              </w:rPr>
              <w:t>目噪声地</w:t>
            </w:r>
            <w:r>
              <w:rPr>
                <w:rFonts w:hint="eastAsia" w:ascii="宋体" w:hAnsi="宋体" w:eastAsia="宋体" w:cs="宋体"/>
                <w:lang w:val="en-US" w:eastAsia="zh-CN"/>
              </w:rPr>
              <w:t>面</w:t>
            </w:r>
            <w:r>
              <w:rPr>
                <w:rFonts w:hint="default" w:ascii="Times New Roman" w:hAnsi="Times New Roman" w:eastAsia="宋体" w:cs="Times New Roman"/>
                <w:lang w:val="en-US" w:eastAsia="zh-CN"/>
              </w:rPr>
              <w:t>效应引</w:t>
            </w:r>
            <w:r>
              <w:rPr>
                <w:rFonts w:hint="eastAsia" w:ascii="宋体" w:hAnsi="宋体" w:eastAsia="宋体" w:cs="宋体"/>
                <w:lang w:val="en-US" w:eastAsia="zh-CN"/>
              </w:rPr>
              <w:t>起</w:t>
            </w:r>
            <w:r>
              <w:rPr>
                <w:rFonts w:hint="default" w:ascii="Times New Roman" w:hAnsi="Times New Roman" w:eastAsia="宋体" w:cs="Times New Roman"/>
                <w:lang w:val="en-US" w:eastAsia="zh-CN"/>
              </w:rPr>
              <w:t>的</w:t>
            </w:r>
            <w:r>
              <w:rPr>
                <w:rFonts w:hint="eastAsia" w:ascii="宋体" w:hAnsi="宋体" w:eastAsia="宋体" w:cs="宋体"/>
                <w:lang w:val="en-US" w:eastAsia="zh-CN"/>
              </w:rPr>
              <w:t>衰</w:t>
            </w:r>
            <w:r>
              <w:rPr>
                <w:rFonts w:hint="default" w:ascii="Times New Roman" w:hAnsi="Times New Roman" w:eastAsia="宋体" w:cs="Times New Roman"/>
                <w:lang w:val="en-US" w:eastAsia="zh-CN"/>
              </w:rPr>
              <w:t>减值很小</w:t>
            </w:r>
            <w:r>
              <w:rPr>
                <w:rFonts w:hint="eastAsia" w:ascii="宋体" w:hAnsi="宋体" w:eastAsia="宋体" w:cs="宋体"/>
                <w:lang w:val="en-US" w:eastAsia="zh-CN"/>
              </w:rPr>
              <w:t>，</w:t>
            </w:r>
            <w:r>
              <w:rPr>
                <w:rFonts w:hint="default" w:ascii="Times New Roman" w:hAnsi="Times New Roman" w:eastAsia="宋体" w:cs="Times New Roman"/>
                <w:lang w:val="en-US" w:eastAsia="zh-CN"/>
              </w:rPr>
              <w:t>忽略不</w:t>
            </w:r>
            <w:r>
              <w:rPr>
                <w:rFonts w:hint="eastAsia" w:ascii="宋体" w:hAnsi="宋体" w:eastAsia="宋体" w:cs="宋体"/>
                <w:lang w:val="en-US" w:eastAsia="zh-CN"/>
              </w:rPr>
              <w:t>计</w:t>
            </w:r>
            <w:r>
              <w:rPr>
                <w:rFonts w:hint="default" w:ascii="Times New Roman" w:hAnsi="Times New Roman" w:eastAsia="宋体" w:cs="Times New Roman"/>
                <w:lang w:val="en-US" w:eastAsia="zh-CN"/>
              </w:rPr>
              <w:t>。</w:t>
            </w:r>
          </w:p>
          <w:p w14:paraId="1430E3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lang w:val="en-US" w:eastAsia="zh-CN"/>
              </w:rPr>
            </w:pPr>
            <w:r>
              <w:rPr>
                <w:rFonts w:hint="eastAsia" w:ascii="Times New Roman" w:hAnsi="Times New Roman" w:eastAsia="宋体" w:cs="Times New Roman"/>
                <w:lang w:val="en-US" w:eastAsia="zh-CN"/>
              </w:rPr>
              <w:t>e</w:t>
            </w:r>
            <w:r>
              <w:rPr>
                <w:rFonts w:hint="eastAsia" w:ascii="宋体" w:hAnsi="宋体" w:eastAsia="宋体" w:cs="宋体"/>
                <w:lang w:val="en-US" w:eastAsia="zh-CN"/>
              </w:rPr>
              <w:t>.</w:t>
            </w:r>
            <w:r>
              <w:rPr>
                <w:rFonts w:hint="eastAsia" w:cs="Times New Roman"/>
                <w:lang w:val="en-US" w:eastAsia="zh-CN"/>
              </w:rPr>
              <w:t>本项目风机距离西厂界和南厂界距离较近，需通过加装减震垫、隔声屏障等措施进行降噪。针对风机，</w:t>
            </w:r>
            <w:r>
              <w:rPr>
                <w:rFonts w:hint="default" w:ascii="Times New Roman" w:hAnsi="Times New Roman" w:eastAsia="宋体" w:cs="Times New Roman"/>
                <w:lang w:val="en-US" w:eastAsia="zh-CN"/>
              </w:rPr>
              <w:t>A</w:t>
            </w:r>
            <w:r>
              <w:rPr>
                <w:rFonts w:hint="default" w:ascii="Times New Roman" w:hAnsi="Times New Roman" w:eastAsia="宋体" w:cs="Times New Roman"/>
                <w:vertAlign w:val="subscript"/>
                <w:lang w:val="en-US" w:eastAsia="zh-CN"/>
              </w:rPr>
              <w:t>bar</w:t>
            </w:r>
            <w:r>
              <w:rPr>
                <w:rFonts w:hint="eastAsia" w:cs="Times New Roman"/>
                <w:vertAlign w:val="baseline"/>
                <w:lang w:val="en-US" w:eastAsia="zh-CN"/>
              </w:rPr>
              <w:t>取值为20dB</w:t>
            </w:r>
            <w:r>
              <w:rPr>
                <w:rFonts w:hint="default" w:ascii="Times New Roman" w:hAnsi="Times New Roman" w:eastAsia="宋体" w:cs="Times New Roman"/>
                <w:lang w:val="en-US" w:eastAsia="zh-CN"/>
              </w:rPr>
              <w:t>。</w:t>
            </w:r>
          </w:p>
          <w:p w14:paraId="029D22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②室内声源等效室外声源声功率级</w:t>
            </w:r>
            <w:r>
              <w:rPr>
                <w:rFonts w:hint="eastAsia" w:ascii="宋体" w:hAnsi="宋体" w:eastAsia="宋体" w:cs="宋体"/>
                <w:lang w:val="en-US" w:eastAsia="zh-CN"/>
              </w:rPr>
              <w:t>计</w:t>
            </w:r>
            <w:r>
              <w:rPr>
                <w:rFonts w:hint="default" w:ascii="Times New Roman" w:hAnsi="Times New Roman" w:eastAsia="宋体" w:cs="Times New Roman"/>
                <w:lang w:val="en-US" w:eastAsia="zh-CN"/>
              </w:rPr>
              <w:t>算方法</w:t>
            </w:r>
          </w:p>
          <w:p w14:paraId="5882E0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a</w:t>
            </w:r>
            <w:r>
              <w:rPr>
                <w:rFonts w:hint="eastAsia" w:ascii="宋体" w:hAnsi="宋体" w:eastAsia="宋体" w:cs="宋体"/>
                <w:lang w:val="en-US" w:eastAsia="zh-CN"/>
              </w:rPr>
              <w:t>.</w:t>
            </w:r>
            <w:r>
              <w:rPr>
                <w:rFonts w:hint="default" w:ascii="Times New Roman" w:hAnsi="Times New Roman" w:eastAsia="宋体" w:cs="Times New Roman"/>
                <w:lang w:val="en-US" w:eastAsia="zh-CN"/>
              </w:rPr>
              <w:t>声源位于室内</w:t>
            </w:r>
            <w:r>
              <w:rPr>
                <w:rFonts w:hint="eastAsia" w:ascii="宋体" w:hAnsi="宋体" w:eastAsia="宋体" w:cs="宋体"/>
                <w:lang w:val="en-US" w:eastAsia="zh-CN"/>
              </w:rPr>
              <w:t>，</w:t>
            </w:r>
            <w:r>
              <w:rPr>
                <w:rFonts w:hint="default" w:ascii="Times New Roman" w:hAnsi="Times New Roman" w:eastAsia="宋体" w:cs="Times New Roman"/>
                <w:lang w:val="en-US" w:eastAsia="zh-CN"/>
              </w:rPr>
              <w:t>室内声源可</w:t>
            </w:r>
            <w:r>
              <w:rPr>
                <w:rFonts w:hint="eastAsia" w:ascii="宋体" w:hAnsi="宋体" w:eastAsia="宋体" w:cs="宋体"/>
                <w:lang w:val="en-US" w:eastAsia="zh-CN"/>
              </w:rPr>
              <w:t>采</w:t>
            </w:r>
            <w:r>
              <w:rPr>
                <w:rFonts w:hint="default" w:ascii="Times New Roman" w:hAnsi="Times New Roman" w:eastAsia="宋体" w:cs="Times New Roman"/>
                <w:lang w:val="en-US" w:eastAsia="zh-CN"/>
              </w:rPr>
              <w:t>用等效室外声源声功率级法</w:t>
            </w:r>
            <w:r>
              <w:rPr>
                <w:rFonts w:hint="eastAsia" w:ascii="宋体" w:hAnsi="宋体" w:eastAsia="宋体" w:cs="宋体"/>
                <w:lang w:val="en-US" w:eastAsia="zh-CN"/>
              </w:rPr>
              <w:t>进行计</w:t>
            </w:r>
            <w:r>
              <w:rPr>
                <w:rFonts w:hint="default" w:ascii="Times New Roman" w:hAnsi="Times New Roman" w:eastAsia="宋体" w:cs="Times New Roman"/>
                <w:lang w:val="en-US" w:eastAsia="zh-CN"/>
              </w:rPr>
              <w:t>算。</w:t>
            </w:r>
            <w:r>
              <w:rPr>
                <w:rFonts w:hint="eastAsia" w:ascii="宋体" w:hAnsi="宋体" w:eastAsia="宋体" w:cs="宋体"/>
                <w:lang w:val="en-US" w:eastAsia="zh-CN"/>
              </w:rPr>
              <w:t>设靠近</w:t>
            </w:r>
            <w:r>
              <w:rPr>
                <w:rFonts w:hint="default" w:ascii="Times New Roman" w:hAnsi="Times New Roman" w:eastAsia="宋体" w:cs="Times New Roman"/>
                <w:lang w:val="en-US" w:eastAsia="zh-CN"/>
              </w:rPr>
              <w:t>开口处</w:t>
            </w:r>
            <w:r>
              <w:rPr>
                <w:rFonts w:hint="eastAsia" w:ascii="宋体" w:hAnsi="宋体" w:eastAsia="宋体" w:cs="宋体"/>
                <w:lang w:val="en-US" w:eastAsia="zh-CN"/>
              </w:rPr>
              <w:t>（</w:t>
            </w:r>
            <w:r>
              <w:rPr>
                <w:rFonts w:hint="default" w:ascii="Times New Roman" w:hAnsi="Times New Roman" w:eastAsia="宋体" w:cs="Times New Roman"/>
                <w:lang w:val="en-US" w:eastAsia="zh-CN"/>
              </w:rPr>
              <w:t>或窗户</w:t>
            </w:r>
            <w:r>
              <w:rPr>
                <w:rFonts w:hint="eastAsia" w:ascii="宋体" w:hAnsi="宋体" w:eastAsia="宋体" w:cs="宋体"/>
                <w:lang w:val="en-US" w:eastAsia="zh-CN"/>
              </w:rPr>
              <w:t>）</w:t>
            </w:r>
            <w:r>
              <w:rPr>
                <w:rFonts w:hint="default" w:ascii="Times New Roman" w:hAnsi="Times New Roman" w:eastAsia="宋体" w:cs="Times New Roman"/>
                <w:lang w:val="en-US" w:eastAsia="zh-CN"/>
              </w:rPr>
              <w:t>室内、室外某A声级分别为L</w:t>
            </w:r>
            <w:r>
              <w:rPr>
                <w:rFonts w:hint="default" w:ascii="Times New Roman" w:hAnsi="Times New Roman" w:eastAsia="宋体" w:cs="Times New Roman"/>
                <w:vertAlign w:val="subscript"/>
                <w:lang w:val="en-US" w:eastAsia="zh-CN"/>
              </w:rPr>
              <w:t>p1</w:t>
            </w:r>
            <w:r>
              <w:rPr>
                <w:rFonts w:hint="default" w:ascii="Times New Roman" w:hAnsi="Times New Roman" w:eastAsia="宋体" w:cs="Times New Roman"/>
                <w:lang w:val="en-US" w:eastAsia="zh-CN"/>
              </w:rPr>
              <w:t>和L</w:t>
            </w:r>
            <w:r>
              <w:rPr>
                <w:rFonts w:hint="default" w:ascii="Times New Roman" w:hAnsi="Times New Roman" w:eastAsia="宋体" w:cs="Times New Roman"/>
                <w:vertAlign w:val="subscript"/>
                <w:lang w:val="en-US" w:eastAsia="zh-CN"/>
              </w:rPr>
              <w:t>p2</w:t>
            </w:r>
            <w:r>
              <w:rPr>
                <w:rFonts w:hint="default" w:ascii="Times New Roman" w:hAnsi="Times New Roman" w:eastAsia="宋体" w:cs="Times New Roman"/>
                <w:lang w:val="en-US" w:eastAsia="zh-CN"/>
              </w:rPr>
              <w:t>。</w:t>
            </w:r>
            <w:r>
              <w:rPr>
                <w:rFonts w:hint="eastAsia" w:ascii="宋体" w:hAnsi="宋体" w:eastAsia="宋体" w:cs="宋体"/>
                <w:lang w:val="en-US" w:eastAsia="zh-CN"/>
              </w:rPr>
              <w:t>若</w:t>
            </w:r>
            <w:r>
              <w:rPr>
                <w:rFonts w:hint="default" w:ascii="Times New Roman" w:hAnsi="Times New Roman" w:eastAsia="宋体" w:cs="Times New Roman"/>
                <w:lang w:val="en-US" w:eastAsia="zh-CN"/>
              </w:rPr>
              <w:t>声源所在室内声场为</w:t>
            </w:r>
            <w:r>
              <w:rPr>
                <w:rFonts w:hint="eastAsia" w:ascii="宋体" w:hAnsi="宋体" w:eastAsia="宋体" w:cs="宋体"/>
                <w:lang w:val="en-US" w:eastAsia="zh-CN"/>
              </w:rPr>
              <w:t>近</w:t>
            </w:r>
            <w:r>
              <w:rPr>
                <w:rFonts w:hint="default" w:ascii="Times New Roman" w:hAnsi="Times New Roman" w:eastAsia="宋体" w:cs="Times New Roman"/>
                <w:lang w:val="en-US" w:eastAsia="zh-CN"/>
              </w:rPr>
              <w:t>似扩散声场</w:t>
            </w:r>
            <w:r>
              <w:rPr>
                <w:rFonts w:hint="eastAsia" w:ascii="宋体" w:hAnsi="宋体" w:eastAsia="宋体" w:cs="宋体"/>
                <w:lang w:val="en-US" w:eastAsia="zh-CN"/>
              </w:rPr>
              <w:t>，</w:t>
            </w:r>
            <w:r>
              <w:rPr>
                <w:rFonts w:hint="default" w:ascii="Times New Roman" w:hAnsi="Times New Roman" w:eastAsia="宋体" w:cs="Times New Roman"/>
                <w:lang w:val="en-US" w:eastAsia="zh-CN"/>
              </w:rPr>
              <w:t>则室外的倍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带声压级可按下列公式</w:t>
            </w:r>
            <w:r>
              <w:rPr>
                <w:rFonts w:hint="eastAsia" w:ascii="宋体" w:hAnsi="宋体" w:eastAsia="宋体" w:cs="宋体"/>
                <w:lang w:val="en-US" w:eastAsia="zh-CN"/>
              </w:rPr>
              <w:t>近</w:t>
            </w:r>
            <w:r>
              <w:rPr>
                <w:rFonts w:hint="default" w:ascii="Times New Roman" w:hAnsi="Times New Roman" w:eastAsia="宋体" w:cs="Times New Roman"/>
                <w:lang w:val="en-US" w:eastAsia="zh-CN"/>
              </w:rPr>
              <w:t>似求出</w:t>
            </w:r>
            <w:r>
              <w:rPr>
                <w:rFonts w:hint="eastAsia" w:ascii="宋体" w:hAnsi="宋体" w:eastAsia="宋体" w:cs="宋体"/>
                <w:lang w:val="en-US" w:eastAsia="zh-CN"/>
              </w:rPr>
              <w:t>：</w:t>
            </w:r>
          </w:p>
          <w:p w14:paraId="2DB7CEB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lang w:val="en-US" w:eastAsia="zh-CN"/>
              </w:rPr>
            </w:pPr>
            <w:r>
              <w:drawing>
                <wp:inline distT="0" distB="0" distL="114300" distR="114300">
                  <wp:extent cx="1581150" cy="295275"/>
                  <wp:effectExtent l="0" t="0" r="3810" b="9525"/>
                  <wp:docPr id="8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6"/>
                          <pic:cNvPicPr>
                            <a:picLocks noChangeAspect="1"/>
                          </pic:cNvPicPr>
                        </pic:nvPicPr>
                        <pic:blipFill>
                          <a:blip r:embed="rId27"/>
                          <a:stretch>
                            <a:fillRect/>
                          </a:stretch>
                        </pic:blipFill>
                        <pic:spPr>
                          <a:xfrm>
                            <a:off x="0" y="0"/>
                            <a:ext cx="1581150" cy="295275"/>
                          </a:xfrm>
                          <a:prstGeom prst="rect">
                            <a:avLst/>
                          </a:prstGeom>
                          <a:noFill/>
                          <a:ln>
                            <a:noFill/>
                          </a:ln>
                        </pic:spPr>
                      </pic:pic>
                    </a:graphicData>
                  </a:graphic>
                </wp:inline>
              </w:drawing>
            </w:r>
          </w:p>
          <w:p w14:paraId="48BC836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式中</w:t>
            </w:r>
            <w:r>
              <w:rPr>
                <w:rFonts w:hint="eastAsia" w:ascii="宋体" w:hAnsi="宋体" w:eastAsia="宋体" w:cs="宋体"/>
                <w:lang w:val="en-US" w:eastAsia="zh-CN"/>
              </w:rPr>
              <w:t>：</w:t>
            </w: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p1</w:t>
            </w:r>
            <w:r>
              <w:rPr>
                <w:rFonts w:hint="default" w:ascii="Times New Roman" w:hAnsi="Times New Roman" w:eastAsia="宋体" w:cs="Times New Roman"/>
                <w:lang w:val="en-US" w:eastAsia="zh-CN"/>
              </w:rPr>
              <w:t>—</w:t>
            </w:r>
            <w:r>
              <w:rPr>
                <w:rFonts w:hint="eastAsia" w:ascii="宋体" w:hAnsi="宋体" w:eastAsia="宋体" w:cs="宋体"/>
                <w:lang w:val="en-US" w:eastAsia="zh-CN"/>
              </w:rPr>
              <w:t>靠近</w:t>
            </w:r>
            <w:r>
              <w:rPr>
                <w:rFonts w:hint="default" w:ascii="Times New Roman" w:hAnsi="Times New Roman" w:eastAsia="宋体" w:cs="Times New Roman"/>
                <w:lang w:val="en-US" w:eastAsia="zh-CN"/>
              </w:rPr>
              <w:t>开口处</w:t>
            </w:r>
            <w:r>
              <w:rPr>
                <w:rFonts w:hint="eastAsia" w:ascii="宋体" w:hAnsi="宋体" w:eastAsia="宋体" w:cs="宋体"/>
                <w:lang w:val="en-US" w:eastAsia="zh-CN"/>
              </w:rPr>
              <w:t>（</w:t>
            </w:r>
            <w:r>
              <w:rPr>
                <w:rFonts w:hint="default" w:ascii="Times New Roman" w:hAnsi="Times New Roman" w:eastAsia="宋体" w:cs="Times New Roman"/>
                <w:lang w:val="en-US" w:eastAsia="zh-CN"/>
              </w:rPr>
              <w:t>或窗户</w:t>
            </w:r>
            <w:r>
              <w:rPr>
                <w:rFonts w:hint="eastAsia" w:ascii="宋体" w:hAnsi="宋体" w:eastAsia="宋体" w:cs="宋体"/>
                <w:lang w:val="en-US" w:eastAsia="zh-CN"/>
              </w:rPr>
              <w:t>）</w:t>
            </w:r>
            <w:r>
              <w:rPr>
                <w:rFonts w:hint="default" w:ascii="Times New Roman" w:hAnsi="Times New Roman" w:eastAsia="宋体" w:cs="Times New Roman"/>
                <w:lang w:val="en-US" w:eastAsia="zh-CN"/>
              </w:rPr>
              <w:t>室内某倍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带的声压级或</w:t>
            </w:r>
            <w:r>
              <w:rPr>
                <w:rFonts w:hint="eastAsia" w:ascii="宋体" w:hAnsi="宋体" w:eastAsia="宋体" w:cs="宋体"/>
                <w:lang w:val="en-US" w:eastAsia="zh-CN"/>
              </w:rPr>
              <w:t xml:space="preserve"> </w:t>
            </w:r>
            <w:r>
              <w:rPr>
                <w:rFonts w:hint="default" w:ascii="Times New Roman" w:hAnsi="Times New Roman" w:eastAsia="宋体" w:cs="Times New Roman"/>
                <w:lang w:val="en-US" w:eastAsia="zh-CN"/>
              </w:rPr>
              <w:t>A</w:t>
            </w:r>
            <w:r>
              <w:rPr>
                <w:rFonts w:hint="eastAsia" w:ascii="宋体" w:hAnsi="宋体" w:eastAsia="宋体" w:cs="宋体"/>
                <w:lang w:val="en-US" w:eastAsia="zh-CN"/>
              </w:rPr>
              <w:t xml:space="preserve"> </w:t>
            </w:r>
            <w:r>
              <w:rPr>
                <w:rFonts w:hint="default" w:ascii="Times New Roman" w:hAnsi="Times New Roman" w:eastAsia="宋体" w:cs="Times New Roman"/>
                <w:lang w:val="en-US" w:eastAsia="zh-CN"/>
              </w:rPr>
              <w:t>声级</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1A2B657A">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p2</w:t>
            </w:r>
            <w:r>
              <w:rPr>
                <w:rFonts w:hint="default" w:ascii="Times New Roman" w:hAnsi="Times New Roman" w:eastAsia="宋体" w:cs="Times New Roman"/>
                <w:lang w:val="en-US" w:eastAsia="zh-CN"/>
              </w:rPr>
              <w:t>—</w:t>
            </w:r>
            <w:r>
              <w:rPr>
                <w:rFonts w:hint="eastAsia" w:ascii="宋体" w:hAnsi="宋体" w:eastAsia="宋体" w:cs="宋体"/>
                <w:lang w:val="en-US" w:eastAsia="zh-CN"/>
              </w:rPr>
              <w:t>靠近</w:t>
            </w:r>
            <w:r>
              <w:rPr>
                <w:rFonts w:hint="default" w:ascii="Times New Roman" w:hAnsi="Times New Roman" w:eastAsia="宋体" w:cs="Times New Roman"/>
                <w:lang w:val="en-US" w:eastAsia="zh-CN"/>
              </w:rPr>
              <w:t>开口处</w:t>
            </w:r>
            <w:r>
              <w:rPr>
                <w:rFonts w:hint="eastAsia" w:ascii="宋体" w:hAnsi="宋体" w:eastAsia="宋体" w:cs="宋体"/>
                <w:lang w:val="en-US" w:eastAsia="zh-CN"/>
              </w:rPr>
              <w:t>（</w:t>
            </w:r>
            <w:r>
              <w:rPr>
                <w:rFonts w:hint="default" w:ascii="Times New Roman" w:hAnsi="Times New Roman" w:eastAsia="宋体" w:cs="Times New Roman"/>
                <w:lang w:val="en-US" w:eastAsia="zh-CN"/>
              </w:rPr>
              <w:t>或窗户</w:t>
            </w:r>
            <w:r>
              <w:rPr>
                <w:rFonts w:hint="eastAsia" w:ascii="宋体" w:hAnsi="宋体" w:eastAsia="宋体" w:cs="宋体"/>
                <w:lang w:val="en-US" w:eastAsia="zh-CN"/>
              </w:rPr>
              <w:t>）</w:t>
            </w:r>
            <w:r>
              <w:rPr>
                <w:rFonts w:hint="default" w:ascii="Times New Roman" w:hAnsi="Times New Roman" w:eastAsia="宋体" w:cs="Times New Roman"/>
                <w:lang w:val="en-US" w:eastAsia="zh-CN"/>
              </w:rPr>
              <w:t>室外某倍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带的声压级或</w:t>
            </w:r>
            <w:r>
              <w:rPr>
                <w:rFonts w:hint="eastAsia" w:ascii="宋体" w:hAnsi="宋体" w:eastAsia="宋体" w:cs="宋体"/>
                <w:lang w:val="en-US" w:eastAsia="zh-CN"/>
              </w:rPr>
              <w:t xml:space="preserve"> </w:t>
            </w:r>
            <w:r>
              <w:rPr>
                <w:rFonts w:hint="default" w:ascii="Times New Roman" w:hAnsi="Times New Roman" w:eastAsia="宋体" w:cs="Times New Roman"/>
                <w:lang w:val="en-US" w:eastAsia="zh-CN"/>
              </w:rPr>
              <w:t>A</w:t>
            </w:r>
            <w:r>
              <w:rPr>
                <w:rFonts w:hint="eastAsia" w:ascii="宋体" w:hAnsi="宋体" w:eastAsia="宋体" w:cs="宋体"/>
                <w:lang w:val="en-US" w:eastAsia="zh-CN"/>
              </w:rPr>
              <w:t xml:space="preserve"> </w:t>
            </w:r>
            <w:r>
              <w:rPr>
                <w:rFonts w:hint="default" w:ascii="Times New Roman" w:hAnsi="Times New Roman" w:eastAsia="宋体" w:cs="Times New Roman"/>
                <w:lang w:val="en-US" w:eastAsia="zh-CN"/>
              </w:rPr>
              <w:t>声级</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5873C68F">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TL—</w:t>
            </w:r>
            <w:r>
              <w:rPr>
                <w:rFonts w:hint="eastAsia" w:ascii="宋体" w:hAnsi="宋体" w:eastAsia="宋体" w:cs="宋体"/>
                <w:lang w:val="en-US" w:eastAsia="zh-CN"/>
              </w:rPr>
              <w:t>隔</w:t>
            </w:r>
            <w:r>
              <w:rPr>
                <w:rFonts w:hint="default" w:ascii="Times New Roman" w:hAnsi="Times New Roman" w:eastAsia="宋体" w:cs="Times New Roman"/>
                <w:lang w:val="en-US" w:eastAsia="zh-CN"/>
              </w:rPr>
              <w:t>墙</w:t>
            </w:r>
            <w:r>
              <w:rPr>
                <w:rFonts w:hint="eastAsia" w:ascii="宋体" w:hAnsi="宋体" w:eastAsia="宋体" w:cs="宋体"/>
                <w:lang w:val="en-US" w:eastAsia="zh-CN"/>
              </w:rPr>
              <w:t>（</w:t>
            </w:r>
            <w:r>
              <w:rPr>
                <w:rFonts w:hint="default" w:ascii="Times New Roman" w:hAnsi="Times New Roman" w:eastAsia="宋体" w:cs="Times New Roman"/>
                <w:lang w:val="en-US" w:eastAsia="zh-CN"/>
              </w:rPr>
              <w:t>或窗户</w:t>
            </w:r>
            <w:r>
              <w:rPr>
                <w:rFonts w:hint="eastAsia" w:ascii="宋体" w:hAnsi="宋体" w:eastAsia="宋体" w:cs="宋体"/>
                <w:lang w:val="en-US" w:eastAsia="zh-CN"/>
              </w:rPr>
              <w:t>）</w:t>
            </w:r>
            <w:r>
              <w:rPr>
                <w:rFonts w:hint="default" w:ascii="Times New Roman" w:hAnsi="Times New Roman" w:eastAsia="宋体" w:cs="Times New Roman"/>
                <w:lang w:val="en-US" w:eastAsia="zh-CN"/>
              </w:rPr>
              <w:t>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带或</w:t>
            </w:r>
            <w:r>
              <w:rPr>
                <w:rFonts w:hint="eastAsia" w:ascii="宋体" w:hAnsi="宋体" w:eastAsia="宋体" w:cs="宋体"/>
                <w:lang w:val="en-US" w:eastAsia="zh-CN"/>
              </w:rPr>
              <w:t xml:space="preserve"> </w:t>
            </w:r>
            <w:r>
              <w:rPr>
                <w:rFonts w:hint="default" w:ascii="Times New Roman" w:hAnsi="Times New Roman" w:eastAsia="宋体" w:cs="Times New Roman"/>
                <w:lang w:val="en-US" w:eastAsia="zh-CN"/>
              </w:rPr>
              <w:t>A</w:t>
            </w:r>
            <w:r>
              <w:rPr>
                <w:rFonts w:hint="eastAsia" w:ascii="宋体" w:hAnsi="宋体" w:eastAsia="宋体" w:cs="宋体"/>
                <w:lang w:val="en-US" w:eastAsia="zh-CN"/>
              </w:rPr>
              <w:t xml:space="preserve"> </w:t>
            </w:r>
            <w:r>
              <w:rPr>
                <w:rFonts w:hint="default" w:ascii="Times New Roman" w:hAnsi="Times New Roman" w:eastAsia="宋体" w:cs="Times New Roman"/>
                <w:lang w:val="en-US" w:eastAsia="zh-CN"/>
              </w:rPr>
              <w:t>声级的</w:t>
            </w:r>
            <w:r>
              <w:rPr>
                <w:rFonts w:hint="eastAsia" w:ascii="宋体" w:hAnsi="宋体" w:eastAsia="宋体" w:cs="宋体"/>
                <w:lang w:val="en-US" w:eastAsia="zh-CN"/>
              </w:rPr>
              <w:t>隔</w:t>
            </w:r>
            <w:r>
              <w:rPr>
                <w:rFonts w:hint="default" w:ascii="Times New Roman" w:hAnsi="Times New Roman" w:eastAsia="宋体" w:cs="Times New Roman"/>
                <w:lang w:val="en-US" w:eastAsia="zh-CN"/>
              </w:rPr>
              <w:t>声</w:t>
            </w:r>
            <w:r>
              <w:rPr>
                <w:rFonts w:hint="eastAsia" w:ascii="宋体" w:hAnsi="宋体" w:eastAsia="宋体" w:cs="宋体"/>
                <w:lang w:val="en-US" w:eastAsia="zh-CN"/>
              </w:rPr>
              <w:t>量，</w:t>
            </w:r>
            <w:r>
              <w:rPr>
                <w:rFonts w:hint="default" w:ascii="Times New Roman" w:hAnsi="Times New Roman" w:eastAsia="宋体" w:cs="Times New Roman"/>
                <w:lang w:val="en-US" w:eastAsia="zh-CN"/>
              </w:rPr>
              <w:t>dB。</w:t>
            </w:r>
          </w:p>
          <w:p w14:paraId="5ED25EE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lang w:val="en-US" w:eastAsia="zh-CN"/>
              </w:rPr>
            </w:pPr>
            <w:r>
              <w:drawing>
                <wp:inline distT="0" distB="0" distL="114300" distR="114300">
                  <wp:extent cx="3895725" cy="2190750"/>
                  <wp:effectExtent l="0" t="0" r="5715" b="3810"/>
                  <wp:docPr id="8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7"/>
                          <pic:cNvPicPr>
                            <a:picLocks noChangeAspect="1"/>
                          </pic:cNvPicPr>
                        </pic:nvPicPr>
                        <pic:blipFill>
                          <a:blip r:embed="rId28"/>
                          <a:stretch>
                            <a:fillRect/>
                          </a:stretch>
                        </pic:blipFill>
                        <pic:spPr>
                          <a:xfrm>
                            <a:off x="0" y="0"/>
                            <a:ext cx="3895725" cy="2190750"/>
                          </a:xfrm>
                          <a:prstGeom prst="rect">
                            <a:avLst/>
                          </a:prstGeom>
                          <a:noFill/>
                          <a:ln>
                            <a:noFill/>
                          </a:ln>
                        </pic:spPr>
                      </pic:pic>
                    </a:graphicData>
                  </a:graphic>
                </wp:inline>
              </w:drawing>
            </w:r>
          </w:p>
          <w:p w14:paraId="4BB3C2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lang w:val="en-US" w:eastAsia="zh-CN"/>
              </w:rPr>
            </w:pPr>
            <w:r>
              <w:rPr>
                <w:rFonts w:hint="default" w:ascii="Times New Roman" w:hAnsi="Times New Roman" w:eastAsia="宋体" w:cs="Times New Roman"/>
                <w:lang w:val="en-US" w:eastAsia="zh-CN"/>
              </w:rPr>
              <w:t>b</w:t>
            </w:r>
            <w:r>
              <w:rPr>
                <w:rFonts w:hint="eastAsia" w:ascii="宋体" w:hAnsi="宋体" w:eastAsia="宋体" w:cs="宋体"/>
                <w:lang w:val="en-US" w:eastAsia="zh-CN"/>
              </w:rPr>
              <w:t>.计</w:t>
            </w:r>
            <w:r>
              <w:rPr>
                <w:rFonts w:hint="default" w:ascii="Times New Roman" w:hAnsi="Times New Roman" w:eastAsia="宋体" w:cs="Times New Roman"/>
                <w:lang w:val="en-US" w:eastAsia="zh-CN"/>
              </w:rPr>
              <w:t>算某一室内声源</w:t>
            </w:r>
            <w:r>
              <w:rPr>
                <w:rFonts w:hint="eastAsia" w:ascii="宋体" w:hAnsi="宋体" w:eastAsia="宋体" w:cs="宋体"/>
                <w:lang w:val="en-US" w:eastAsia="zh-CN"/>
              </w:rPr>
              <w:t>靠近</w:t>
            </w:r>
            <w:r>
              <w:rPr>
                <w:rFonts w:hint="default" w:ascii="Times New Roman" w:hAnsi="Times New Roman" w:eastAsia="宋体" w:cs="Times New Roman"/>
                <w:lang w:val="en-US" w:eastAsia="zh-CN"/>
              </w:rPr>
              <w:t>围护结构处产生的倍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带声压级或A声级</w:t>
            </w:r>
            <w:r>
              <w:rPr>
                <w:rFonts w:hint="eastAsia" w:ascii="宋体" w:hAnsi="宋体" w:eastAsia="宋体" w:cs="宋体"/>
                <w:lang w:val="en-US" w:eastAsia="zh-CN"/>
              </w:rPr>
              <w:t>：</w:t>
            </w:r>
          </w:p>
          <w:p w14:paraId="35C7E50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lang w:val="en-US" w:eastAsia="zh-CN"/>
              </w:rPr>
            </w:pPr>
            <w:r>
              <w:drawing>
                <wp:inline distT="0" distB="0" distL="114300" distR="114300">
                  <wp:extent cx="2276475" cy="542925"/>
                  <wp:effectExtent l="0" t="0" r="9525" b="5715"/>
                  <wp:docPr id="8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8"/>
                          <pic:cNvPicPr>
                            <a:picLocks noChangeAspect="1"/>
                          </pic:cNvPicPr>
                        </pic:nvPicPr>
                        <pic:blipFill>
                          <a:blip r:embed="rId29"/>
                          <a:stretch>
                            <a:fillRect/>
                          </a:stretch>
                        </pic:blipFill>
                        <pic:spPr>
                          <a:xfrm>
                            <a:off x="0" y="0"/>
                            <a:ext cx="2276475" cy="542925"/>
                          </a:xfrm>
                          <a:prstGeom prst="rect">
                            <a:avLst/>
                          </a:prstGeom>
                          <a:noFill/>
                          <a:ln>
                            <a:noFill/>
                          </a:ln>
                        </pic:spPr>
                      </pic:pic>
                    </a:graphicData>
                  </a:graphic>
                </wp:inline>
              </w:drawing>
            </w:r>
          </w:p>
          <w:p w14:paraId="2003410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式中</w:t>
            </w:r>
            <w:r>
              <w:rPr>
                <w:rFonts w:hint="eastAsia" w:ascii="宋体" w:hAnsi="宋体" w:eastAsia="宋体" w:cs="宋体"/>
                <w:lang w:val="en-US" w:eastAsia="zh-CN"/>
              </w:rPr>
              <w:t>：</w:t>
            </w: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p1</w:t>
            </w:r>
            <w:r>
              <w:rPr>
                <w:rFonts w:hint="default" w:ascii="Times New Roman" w:hAnsi="Times New Roman" w:eastAsia="宋体" w:cs="Times New Roman"/>
                <w:lang w:val="en-US" w:eastAsia="zh-CN"/>
              </w:rPr>
              <w:t>—</w:t>
            </w:r>
            <w:r>
              <w:rPr>
                <w:rFonts w:hint="eastAsia" w:ascii="宋体" w:hAnsi="宋体" w:eastAsia="宋体" w:cs="宋体"/>
                <w:lang w:val="en-US" w:eastAsia="zh-CN"/>
              </w:rPr>
              <w:t>靠近</w:t>
            </w:r>
            <w:r>
              <w:rPr>
                <w:rFonts w:hint="default" w:ascii="Times New Roman" w:hAnsi="Times New Roman" w:eastAsia="宋体" w:cs="Times New Roman"/>
                <w:lang w:val="en-US" w:eastAsia="zh-CN"/>
              </w:rPr>
              <w:t>开口处</w:t>
            </w:r>
            <w:r>
              <w:rPr>
                <w:rFonts w:hint="eastAsia" w:ascii="宋体" w:hAnsi="宋体" w:eastAsia="宋体" w:cs="宋体"/>
                <w:lang w:val="en-US" w:eastAsia="zh-CN"/>
              </w:rPr>
              <w:t>（</w:t>
            </w:r>
            <w:r>
              <w:rPr>
                <w:rFonts w:hint="default" w:ascii="Times New Roman" w:hAnsi="Times New Roman" w:eastAsia="宋体" w:cs="Times New Roman"/>
                <w:lang w:val="en-US" w:eastAsia="zh-CN"/>
              </w:rPr>
              <w:t>或窗户</w:t>
            </w:r>
            <w:r>
              <w:rPr>
                <w:rFonts w:hint="eastAsia" w:ascii="宋体" w:hAnsi="宋体" w:eastAsia="宋体" w:cs="宋体"/>
                <w:lang w:val="en-US" w:eastAsia="zh-CN"/>
              </w:rPr>
              <w:t>）</w:t>
            </w:r>
            <w:r>
              <w:rPr>
                <w:rFonts w:hint="default" w:ascii="Times New Roman" w:hAnsi="Times New Roman" w:eastAsia="宋体" w:cs="Times New Roman"/>
                <w:lang w:val="en-US" w:eastAsia="zh-CN"/>
              </w:rPr>
              <w:t>室内某倍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带的声压级或A声级</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3946EA1C">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w</w:t>
            </w:r>
            <w:r>
              <w:rPr>
                <w:rFonts w:hint="default" w:ascii="Times New Roman" w:hAnsi="Times New Roman" w:eastAsia="宋体" w:cs="Times New Roman"/>
                <w:lang w:val="en-US" w:eastAsia="zh-CN"/>
              </w:rPr>
              <w:t>—点声源声功率级</w:t>
            </w:r>
            <w:r>
              <w:rPr>
                <w:rFonts w:hint="eastAsia" w:ascii="宋体" w:hAnsi="宋体" w:eastAsia="宋体" w:cs="宋体"/>
                <w:lang w:val="en-US" w:eastAsia="zh-CN"/>
              </w:rPr>
              <w:t>（</w:t>
            </w:r>
            <w:r>
              <w:rPr>
                <w:rFonts w:hint="default" w:ascii="Times New Roman" w:hAnsi="Times New Roman" w:eastAsia="宋体" w:cs="Times New Roman"/>
                <w:lang w:val="en-US" w:eastAsia="zh-CN"/>
              </w:rPr>
              <w:t>A</w:t>
            </w:r>
            <w:r>
              <w:rPr>
                <w:rFonts w:hint="eastAsia" w:ascii="宋体" w:hAnsi="宋体" w:eastAsia="宋体" w:cs="宋体"/>
                <w:lang w:val="en-US" w:eastAsia="zh-CN"/>
              </w:rPr>
              <w:t>计</w:t>
            </w:r>
            <w:r>
              <w:rPr>
                <w:rFonts w:hint="default" w:ascii="Times New Roman" w:hAnsi="Times New Roman" w:eastAsia="宋体" w:cs="Times New Roman"/>
                <w:lang w:val="en-US" w:eastAsia="zh-CN"/>
              </w:rPr>
              <w:t>权或倍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1AB4BC70">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Q—指向性因数</w:t>
            </w:r>
            <w:r>
              <w:rPr>
                <w:rFonts w:hint="eastAsia" w:ascii="宋体" w:hAnsi="宋体" w:eastAsia="宋体" w:cs="宋体"/>
                <w:lang w:val="en-US" w:eastAsia="zh-CN"/>
              </w:rPr>
              <w:t>；通</w:t>
            </w:r>
            <w:r>
              <w:rPr>
                <w:rFonts w:hint="default" w:ascii="Times New Roman" w:hAnsi="Times New Roman" w:eastAsia="宋体" w:cs="Times New Roman"/>
                <w:lang w:val="en-US" w:eastAsia="zh-CN"/>
              </w:rPr>
              <w:t>常对无指向性声源</w:t>
            </w:r>
            <w:r>
              <w:rPr>
                <w:rFonts w:hint="eastAsia" w:ascii="宋体" w:hAnsi="宋体" w:eastAsia="宋体" w:cs="宋体"/>
                <w:lang w:val="en-US" w:eastAsia="zh-CN"/>
              </w:rPr>
              <w:t>，</w:t>
            </w:r>
            <w:r>
              <w:rPr>
                <w:rFonts w:hint="default" w:ascii="Times New Roman" w:hAnsi="Times New Roman" w:eastAsia="宋体" w:cs="Times New Roman"/>
                <w:lang w:val="en-US" w:eastAsia="zh-CN"/>
              </w:rPr>
              <w:t>当声源放在房</w:t>
            </w:r>
            <w:r>
              <w:rPr>
                <w:rFonts w:hint="eastAsia" w:ascii="宋体" w:hAnsi="宋体" w:eastAsia="宋体" w:cs="宋体"/>
                <w:lang w:val="en-US" w:eastAsia="zh-CN"/>
              </w:rPr>
              <w:t>间</w:t>
            </w:r>
            <w:r>
              <w:rPr>
                <w:rFonts w:hint="default" w:ascii="Times New Roman" w:hAnsi="Times New Roman" w:eastAsia="宋体" w:cs="Times New Roman"/>
                <w:lang w:val="en-US" w:eastAsia="zh-CN"/>
              </w:rPr>
              <w:t>中心时</w:t>
            </w:r>
            <w:r>
              <w:rPr>
                <w:rFonts w:hint="eastAsia" w:ascii="宋体" w:hAnsi="宋体" w:eastAsia="宋体" w:cs="宋体"/>
                <w:lang w:val="en-US" w:eastAsia="zh-CN"/>
              </w:rPr>
              <w:t>，</w:t>
            </w:r>
            <w:r>
              <w:rPr>
                <w:rFonts w:hint="default" w:ascii="Times New Roman" w:hAnsi="Times New Roman" w:eastAsia="宋体" w:cs="Times New Roman"/>
                <w:lang w:val="en-US" w:eastAsia="zh-CN"/>
              </w:rPr>
              <w:t>Q</w:t>
            </w:r>
            <w:r>
              <w:rPr>
                <w:rFonts w:hint="eastAsia" w:ascii="宋体" w:hAnsi="宋体" w:eastAsia="宋体" w:cs="宋体"/>
                <w:lang w:val="en-US" w:eastAsia="zh-CN"/>
              </w:rPr>
              <w:t>=</w:t>
            </w:r>
            <w:r>
              <w:rPr>
                <w:rFonts w:hint="default" w:ascii="Times New Roman" w:hAnsi="Times New Roman" w:eastAsia="宋体" w:cs="Times New Roman"/>
                <w:lang w:val="en-US" w:eastAsia="zh-CN"/>
              </w:rPr>
              <w:t>1</w:t>
            </w:r>
            <w:r>
              <w:rPr>
                <w:rFonts w:hint="eastAsia" w:ascii="宋体" w:hAnsi="宋体" w:eastAsia="宋体" w:cs="宋体"/>
                <w:lang w:val="en-US" w:eastAsia="zh-CN"/>
              </w:rPr>
              <w:t>；</w:t>
            </w:r>
            <w:r>
              <w:rPr>
                <w:rFonts w:hint="default" w:ascii="Times New Roman" w:hAnsi="Times New Roman" w:eastAsia="宋体" w:cs="Times New Roman"/>
                <w:lang w:val="en-US" w:eastAsia="zh-CN"/>
              </w:rPr>
              <w:t>当放在一</w:t>
            </w:r>
            <w:r>
              <w:rPr>
                <w:rFonts w:hint="eastAsia" w:ascii="宋体" w:hAnsi="宋体" w:eastAsia="宋体" w:cs="宋体"/>
                <w:lang w:val="en-US" w:eastAsia="zh-CN"/>
              </w:rPr>
              <w:t>面</w:t>
            </w:r>
            <w:r>
              <w:rPr>
                <w:rFonts w:hint="default" w:ascii="Times New Roman" w:hAnsi="Times New Roman" w:eastAsia="宋体" w:cs="Times New Roman"/>
                <w:lang w:val="en-US" w:eastAsia="zh-CN"/>
              </w:rPr>
              <w:t>墙的中心时</w:t>
            </w:r>
            <w:r>
              <w:rPr>
                <w:rFonts w:hint="eastAsia" w:ascii="宋体" w:hAnsi="宋体" w:eastAsia="宋体" w:cs="宋体"/>
                <w:lang w:val="en-US" w:eastAsia="zh-CN"/>
              </w:rPr>
              <w:t>，</w:t>
            </w:r>
            <w:r>
              <w:rPr>
                <w:rFonts w:hint="default" w:ascii="Times New Roman" w:hAnsi="Times New Roman" w:eastAsia="宋体" w:cs="Times New Roman"/>
                <w:lang w:val="en-US" w:eastAsia="zh-CN"/>
              </w:rPr>
              <w:t>Q</w:t>
            </w:r>
            <w:r>
              <w:rPr>
                <w:rFonts w:hint="eastAsia" w:ascii="宋体" w:hAnsi="宋体" w:eastAsia="宋体" w:cs="宋体"/>
                <w:lang w:val="en-US" w:eastAsia="zh-CN"/>
              </w:rPr>
              <w:t>=</w:t>
            </w:r>
            <w:r>
              <w:rPr>
                <w:rFonts w:hint="default" w:ascii="Times New Roman" w:hAnsi="Times New Roman" w:eastAsia="宋体" w:cs="Times New Roman"/>
                <w:lang w:val="en-US" w:eastAsia="zh-CN"/>
              </w:rPr>
              <w:t>2</w:t>
            </w:r>
            <w:r>
              <w:rPr>
                <w:rFonts w:hint="eastAsia" w:ascii="宋体" w:hAnsi="宋体" w:eastAsia="宋体" w:cs="宋体"/>
                <w:lang w:val="en-US" w:eastAsia="zh-CN"/>
              </w:rPr>
              <w:t>；</w:t>
            </w:r>
            <w:r>
              <w:rPr>
                <w:rFonts w:hint="default" w:ascii="Times New Roman" w:hAnsi="Times New Roman" w:eastAsia="宋体" w:cs="Times New Roman"/>
                <w:lang w:val="en-US" w:eastAsia="zh-CN"/>
              </w:rPr>
              <w:t>当放在两</w:t>
            </w:r>
            <w:r>
              <w:rPr>
                <w:rFonts w:hint="eastAsia" w:ascii="宋体" w:hAnsi="宋体" w:eastAsia="宋体" w:cs="宋体"/>
                <w:lang w:val="en-US" w:eastAsia="zh-CN"/>
              </w:rPr>
              <w:t>面</w:t>
            </w:r>
            <w:r>
              <w:rPr>
                <w:rFonts w:hint="default" w:ascii="Times New Roman" w:hAnsi="Times New Roman" w:eastAsia="宋体" w:cs="Times New Roman"/>
                <w:lang w:val="en-US" w:eastAsia="zh-CN"/>
              </w:rPr>
              <w:t>墙夹</w:t>
            </w:r>
            <w:r>
              <w:rPr>
                <w:rFonts w:hint="eastAsia" w:ascii="宋体" w:hAnsi="宋体" w:eastAsia="宋体" w:cs="宋体"/>
                <w:lang w:val="en-US" w:eastAsia="zh-CN"/>
              </w:rPr>
              <w:t>角</w:t>
            </w:r>
            <w:r>
              <w:rPr>
                <w:rFonts w:hint="default" w:ascii="Times New Roman" w:hAnsi="Times New Roman" w:eastAsia="宋体" w:cs="Times New Roman"/>
                <w:lang w:val="en-US" w:eastAsia="zh-CN"/>
              </w:rPr>
              <w:t>处时</w:t>
            </w:r>
            <w:r>
              <w:rPr>
                <w:rFonts w:hint="eastAsia" w:ascii="宋体" w:hAnsi="宋体" w:eastAsia="宋体" w:cs="宋体"/>
                <w:lang w:val="en-US" w:eastAsia="zh-CN"/>
              </w:rPr>
              <w:t>，</w:t>
            </w:r>
            <w:r>
              <w:rPr>
                <w:rFonts w:hint="default" w:ascii="Times New Roman" w:hAnsi="Times New Roman" w:eastAsia="宋体" w:cs="Times New Roman"/>
                <w:lang w:val="en-US" w:eastAsia="zh-CN"/>
              </w:rPr>
              <w:t>Q</w:t>
            </w:r>
            <w:r>
              <w:rPr>
                <w:rFonts w:hint="eastAsia" w:ascii="宋体" w:hAnsi="宋体" w:eastAsia="宋体" w:cs="宋体"/>
                <w:lang w:val="en-US" w:eastAsia="zh-CN"/>
              </w:rPr>
              <w:t>=</w:t>
            </w:r>
            <w:r>
              <w:rPr>
                <w:rFonts w:hint="default" w:ascii="Times New Roman" w:hAnsi="Times New Roman" w:eastAsia="宋体" w:cs="Times New Roman"/>
                <w:lang w:val="en-US" w:eastAsia="zh-CN"/>
              </w:rPr>
              <w:t>4</w:t>
            </w:r>
            <w:r>
              <w:rPr>
                <w:rFonts w:hint="eastAsia" w:ascii="宋体" w:hAnsi="宋体" w:eastAsia="宋体" w:cs="宋体"/>
                <w:lang w:val="en-US" w:eastAsia="zh-CN"/>
              </w:rPr>
              <w:t>；</w:t>
            </w:r>
            <w:r>
              <w:rPr>
                <w:rFonts w:hint="default" w:ascii="Times New Roman" w:hAnsi="Times New Roman" w:eastAsia="宋体" w:cs="Times New Roman"/>
                <w:lang w:val="en-US" w:eastAsia="zh-CN"/>
              </w:rPr>
              <w:t>当放在三</w:t>
            </w:r>
            <w:r>
              <w:rPr>
                <w:rFonts w:hint="eastAsia" w:ascii="宋体" w:hAnsi="宋体" w:eastAsia="宋体" w:cs="宋体"/>
                <w:lang w:val="en-US" w:eastAsia="zh-CN"/>
              </w:rPr>
              <w:t>面</w:t>
            </w:r>
            <w:r>
              <w:rPr>
                <w:rFonts w:hint="default" w:ascii="Times New Roman" w:hAnsi="Times New Roman" w:eastAsia="宋体" w:cs="Times New Roman"/>
                <w:lang w:val="en-US" w:eastAsia="zh-CN"/>
              </w:rPr>
              <w:t>墙夹</w:t>
            </w:r>
            <w:r>
              <w:rPr>
                <w:rFonts w:hint="eastAsia" w:ascii="宋体" w:hAnsi="宋体" w:eastAsia="宋体" w:cs="宋体"/>
                <w:lang w:val="en-US" w:eastAsia="zh-CN"/>
              </w:rPr>
              <w:t>角</w:t>
            </w:r>
            <w:r>
              <w:rPr>
                <w:rFonts w:hint="default" w:ascii="Times New Roman" w:hAnsi="Times New Roman" w:eastAsia="宋体" w:cs="Times New Roman"/>
                <w:lang w:val="en-US" w:eastAsia="zh-CN"/>
              </w:rPr>
              <w:t>处时</w:t>
            </w:r>
            <w:r>
              <w:rPr>
                <w:rFonts w:hint="eastAsia" w:ascii="宋体" w:hAnsi="宋体" w:eastAsia="宋体" w:cs="宋体"/>
                <w:lang w:val="en-US" w:eastAsia="zh-CN"/>
              </w:rPr>
              <w:t>，</w:t>
            </w:r>
            <w:r>
              <w:rPr>
                <w:rFonts w:hint="default" w:ascii="Times New Roman" w:hAnsi="Times New Roman" w:eastAsia="宋体" w:cs="Times New Roman"/>
                <w:lang w:val="en-US" w:eastAsia="zh-CN"/>
              </w:rPr>
              <w:t>Q</w:t>
            </w:r>
            <w:r>
              <w:rPr>
                <w:rFonts w:hint="eastAsia" w:ascii="宋体" w:hAnsi="宋体" w:eastAsia="宋体" w:cs="宋体"/>
                <w:lang w:val="en-US" w:eastAsia="zh-CN"/>
              </w:rPr>
              <w:t>=</w:t>
            </w:r>
            <w:r>
              <w:rPr>
                <w:rFonts w:hint="default" w:ascii="Times New Roman" w:hAnsi="Times New Roman" w:eastAsia="宋体" w:cs="Times New Roman"/>
                <w:lang w:val="en-US" w:eastAsia="zh-CN"/>
              </w:rPr>
              <w:t>8</w:t>
            </w:r>
            <w:r>
              <w:rPr>
                <w:rFonts w:hint="eastAsia" w:ascii="宋体" w:hAnsi="宋体" w:eastAsia="宋体" w:cs="宋体"/>
                <w:lang w:val="en-US" w:eastAsia="zh-CN"/>
              </w:rPr>
              <w:t>；</w:t>
            </w:r>
          </w:p>
          <w:p w14:paraId="34BB8DCE">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R—房</w:t>
            </w:r>
            <w:r>
              <w:rPr>
                <w:rFonts w:hint="eastAsia" w:ascii="宋体" w:hAnsi="宋体" w:eastAsia="宋体" w:cs="宋体"/>
                <w:lang w:val="en-US" w:eastAsia="zh-CN"/>
              </w:rPr>
              <w:t>间</w:t>
            </w:r>
            <w:r>
              <w:rPr>
                <w:rFonts w:hint="default" w:ascii="Times New Roman" w:hAnsi="Times New Roman" w:eastAsia="宋体" w:cs="Times New Roman"/>
                <w:lang w:val="en-US" w:eastAsia="zh-CN"/>
              </w:rPr>
              <w:t>常数</w:t>
            </w:r>
            <w:r>
              <w:rPr>
                <w:rFonts w:hint="eastAsia" w:ascii="宋体" w:hAnsi="宋体" w:eastAsia="宋体" w:cs="宋体"/>
                <w:lang w:val="en-US" w:eastAsia="zh-CN"/>
              </w:rPr>
              <w:t>；</w:t>
            </w:r>
            <w:r>
              <w:rPr>
                <w:rFonts w:hint="default" w:ascii="Times New Roman" w:hAnsi="Times New Roman" w:eastAsia="宋体" w:cs="Times New Roman"/>
                <w:lang w:val="en-US" w:eastAsia="zh-CN"/>
              </w:rPr>
              <w:t>R</w:t>
            </w:r>
            <w:r>
              <w:rPr>
                <w:rFonts w:hint="eastAsia" w:ascii="宋体" w:hAnsi="宋体" w:eastAsia="宋体" w:cs="宋体"/>
                <w:lang w:val="en-US" w:eastAsia="zh-CN"/>
              </w:rPr>
              <w:t>=</w:t>
            </w:r>
            <w:r>
              <w:rPr>
                <w:rFonts w:hint="default" w:ascii="Times New Roman" w:hAnsi="Times New Roman" w:eastAsia="宋体" w:cs="Times New Roman"/>
                <w:lang w:val="en-US" w:eastAsia="zh-CN"/>
              </w:rPr>
              <w:t>Sα</w:t>
            </w:r>
            <w:r>
              <w:rPr>
                <w:rFonts w:hint="eastAsia" w:ascii="宋体" w:hAnsi="宋体" w:eastAsia="宋体" w:cs="宋体"/>
                <w:lang w:val="en-US" w:eastAsia="zh-CN"/>
              </w:rPr>
              <w:t>/</w:t>
            </w:r>
            <w:r>
              <w:rPr>
                <w:rFonts w:hint="eastAsia" w:ascii="宋体" w:hAnsi="宋体" w:cs="宋体"/>
                <w:lang w:val="en-US" w:eastAsia="zh-CN"/>
              </w:rPr>
              <w:t>（</w:t>
            </w:r>
            <w:r>
              <w:rPr>
                <w:rFonts w:hint="default" w:ascii="Times New Roman" w:hAnsi="Times New Roman" w:eastAsia="宋体" w:cs="Times New Roman"/>
                <w:lang w:val="en-US" w:eastAsia="zh-CN"/>
              </w:rPr>
              <w:t>1</w:t>
            </w:r>
            <w:r>
              <w:rPr>
                <w:rFonts w:hint="eastAsia" w:ascii="宋体" w:hAnsi="宋体" w:eastAsia="宋体" w:cs="宋体"/>
                <w:lang w:val="en-US" w:eastAsia="zh-CN"/>
              </w:rPr>
              <w:t>-</w:t>
            </w:r>
            <w:r>
              <w:rPr>
                <w:rFonts w:hint="default" w:ascii="Times New Roman" w:hAnsi="Times New Roman" w:eastAsia="宋体" w:cs="Times New Roman"/>
                <w:lang w:val="en-US" w:eastAsia="zh-CN"/>
              </w:rPr>
              <w:t>α</w:t>
            </w:r>
            <w:r>
              <w:rPr>
                <w:rFonts w:hint="eastAsia" w:ascii="宋体" w:hAnsi="宋体" w:cs="宋体"/>
                <w:lang w:val="en-US" w:eastAsia="zh-CN"/>
              </w:rPr>
              <w:t>），</w:t>
            </w:r>
            <w:r>
              <w:rPr>
                <w:rFonts w:hint="default" w:ascii="Times New Roman" w:hAnsi="Times New Roman" w:eastAsia="宋体" w:cs="Times New Roman"/>
                <w:lang w:val="en-US" w:eastAsia="zh-CN"/>
              </w:rPr>
              <w:t>S为房</w:t>
            </w:r>
            <w:r>
              <w:rPr>
                <w:rFonts w:hint="eastAsia" w:ascii="宋体" w:hAnsi="宋体" w:eastAsia="宋体" w:cs="宋体"/>
                <w:lang w:val="en-US" w:eastAsia="zh-CN"/>
              </w:rPr>
              <w:t>间</w:t>
            </w:r>
            <w:r>
              <w:rPr>
                <w:rFonts w:hint="default" w:ascii="Times New Roman" w:hAnsi="Times New Roman" w:eastAsia="宋体" w:cs="Times New Roman"/>
                <w:lang w:val="en-US" w:eastAsia="zh-CN"/>
              </w:rPr>
              <w:t>内</w:t>
            </w:r>
            <w:r>
              <w:rPr>
                <w:rFonts w:hint="eastAsia" w:ascii="宋体" w:hAnsi="宋体" w:eastAsia="宋体" w:cs="宋体"/>
                <w:lang w:val="en-US" w:eastAsia="zh-CN"/>
              </w:rPr>
              <w:t>表面面</w:t>
            </w:r>
            <w:r>
              <w:rPr>
                <w:rFonts w:hint="default" w:ascii="Times New Roman" w:hAnsi="Times New Roman" w:eastAsia="宋体" w:cs="Times New Roman"/>
                <w:lang w:val="en-US" w:eastAsia="zh-CN"/>
              </w:rPr>
              <w:t>积</w:t>
            </w:r>
            <w:r>
              <w:rPr>
                <w:rFonts w:hint="eastAsia" w:ascii="宋体" w:hAnsi="宋体" w:eastAsia="宋体" w:cs="宋体"/>
                <w:lang w:val="en-US" w:eastAsia="zh-CN"/>
              </w:rPr>
              <w:t>，</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2</w:t>
            </w:r>
            <w:r>
              <w:rPr>
                <w:rFonts w:hint="eastAsia" w:ascii="宋体" w:hAnsi="宋体" w:eastAsia="宋体" w:cs="宋体"/>
                <w:vertAlign w:val="baseline"/>
                <w:lang w:val="en-US" w:eastAsia="zh-CN"/>
              </w:rPr>
              <w:t>；</w:t>
            </w:r>
            <w:r>
              <w:rPr>
                <w:rFonts w:hint="default" w:ascii="Times New Roman" w:hAnsi="Times New Roman" w:eastAsia="宋体" w:cs="Times New Roman"/>
                <w:lang w:val="en-US" w:eastAsia="zh-CN"/>
              </w:rPr>
              <w:t>α为平均吸声系数</w:t>
            </w:r>
            <w:r>
              <w:rPr>
                <w:rFonts w:hint="eastAsia" w:ascii="宋体" w:hAnsi="宋体" w:eastAsia="宋体" w:cs="宋体"/>
                <w:lang w:val="en-US" w:eastAsia="zh-CN"/>
              </w:rPr>
              <w:t>；</w:t>
            </w:r>
          </w:p>
          <w:p w14:paraId="7167AA38">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r—声源到</w:t>
            </w:r>
            <w:r>
              <w:rPr>
                <w:rFonts w:hint="eastAsia" w:ascii="宋体" w:hAnsi="宋体" w:eastAsia="宋体" w:cs="宋体"/>
                <w:lang w:val="en-US" w:eastAsia="zh-CN"/>
              </w:rPr>
              <w:t>靠近</w:t>
            </w:r>
            <w:r>
              <w:rPr>
                <w:rFonts w:hint="default" w:ascii="Times New Roman" w:hAnsi="Times New Roman" w:eastAsia="宋体" w:cs="Times New Roman"/>
                <w:lang w:val="en-US" w:eastAsia="zh-CN"/>
              </w:rPr>
              <w:t>围护结构某点处的</w:t>
            </w:r>
            <w:r>
              <w:rPr>
                <w:rFonts w:hint="eastAsia" w:ascii="宋体" w:hAnsi="宋体" w:eastAsia="宋体" w:cs="宋体"/>
                <w:lang w:val="en-US" w:eastAsia="zh-CN"/>
              </w:rPr>
              <w:t>距</w:t>
            </w:r>
            <w:r>
              <w:rPr>
                <w:rFonts w:hint="default" w:ascii="Times New Roman" w:hAnsi="Times New Roman" w:eastAsia="宋体" w:cs="Times New Roman"/>
                <w:lang w:val="en-US" w:eastAsia="zh-CN"/>
              </w:rPr>
              <w:t>离</w:t>
            </w:r>
            <w:r>
              <w:rPr>
                <w:rFonts w:hint="eastAsia" w:ascii="宋体" w:hAnsi="宋体" w:eastAsia="宋体" w:cs="宋体"/>
                <w:lang w:val="en-US" w:eastAsia="zh-CN"/>
              </w:rPr>
              <w:t>，</w:t>
            </w:r>
            <w:r>
              <w:rPr>
                <w:rFonts w:hint="default" w:ascii="Times New Roman" w:hAnsi="Times New Roman" w:eastAsia="宋体" w:cs="Times New Roman"/>
                <w:lang w:val="en-US" w:eastAsia="zh-CN"/>
              </w:rPr>
              <w:t>m。</w:t>
            </w:r>
          </w:p>
          <w:p w14:paraId="57DFA6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lang w:val="en-US" w:eastAsia="zh-CN"/>
              </w:rPr>
            </w:pPr>
            <w:r>
              <w:rPr>
                <w:rFonts w:hint="default" w:ascii="Times New Roman" w:hAnsi="Times New Roman" w:eastAsia="宋体" w:cs="Times New Roman"/>
                <w:lang w:val="en-US" w:eastAsia="zh-CN"/>
              </w:rPr>
              <w:t>c</w:t>
            </w:r>
            <w:r>
              <w:rPr>
                <w:rFonts w:hint="eastAsia" w:ascii="宋体" w:hAnsi="宋体" w:eastAsia="宋体" w:cs="宋体"/>
                <w:lang w:val="en-US" w:eastAsia="zh-CN"/>
              </w:rPr>
              <w:t>.</w:t>
            </w:r>
            <w:r>
              <w:rPr>
                <w:rFonts w:hint="default" w:ascii="Times New Roman" w:hAnsi="Times New Roman" w:eastAsia="宋体" w:cs="Times New Roman"/>
                <w:lang w:val="en-US" w:eastAsia="zh-CN"/>
              </w:rPr>
              <w:t>然后按下列公式</w:t>
            </w:r>
            <w:r>
              <w:rPr>
                <w:rFonts w:hint="eastAsia" w:ascii="宋体" w:hAnsi="宋体" w:eastAsia="宋体" w:cs="宋体"/>
                <w:lang w:val="en-US" w:eastAsia="zh-CN"/>
              </w:rPr>
              <w:t>计</w:t>
            </w:r>
            <w:r>
              <w:rPr>
                <w:rFonts w:hint="default" w:ascii="Times New Roman" w:hAnsi="Times New Roman" w:eastAsia="宋体" w:cs="Times New Roman"/>
                <w:lang w:val="en-US" w:eastAsia="zh-CN"/>
              </w:rPr>
              <w:t>算出所有室内声源在围护结构处产生的i倍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带叠加声压级</w:t>
            </w:r>
            <w:r>
              <w:rPr>
                <w:rFonts w:hint="eastAsia" w:ascii="宋体" w:hAnsi="宋体" w:eastAsia="宋体" w:cs="宋体"/>
                <w:lang w:val="en-US" w:eastAsia="zh-CN"/>
              </w:rPr>
              <w:t>：</w:t>
            </w:r>
          </w:p>
          <w:p w14:paraId="40D9DFB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lang w:val="en-US" w:eastAsia="zh-CN"/>
              </w:rPr>
            </w:pPr>
            <w:r>
              <w:drawing>
                <wp:inline distT="0" distB="0" distL="114300" distR="114300">
                  <wp:extent cx="2209800" cy="619125"/>
                  <wp:effectExtent l="0" t="0" r="0" b="5715"/>
                  <wp:docPr id="8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9"/>
                          <pic:cNvPicPr>
                            <a:picLocks noChangeAspect="1"/>
                          </pic:cNvPicPr>
                        </pic:nvPicPr>
                        <pic:blipFill>
                          <a:blip r:embed="rId30"/>
                          <a:stretch>
                            <a:fillRect/>
                          </a:stretch>
                        </pic:blipFill>
                        <pic:spPr>
                          <a:xfrm>
                            <a:off x="0" y="0"/>
                            <a:ext cx="2209800" cy="619125"/>
                          </a:xfrm>
                          <a:prstGeom prst="rect">
                            <a:avLst/>
                          </a:prstGeom>
                          <a:noFill/>
                          <a:ln>
                            <a:noFill/>
                          </a:ln>
                        </pic:spPr>
                      </pic:pic>
                    </a:graphicData>
                  </a:graphic>
                </wp:inline>
              </w:drawing>
            </w:r>
          </w:p>
          <w:p w14:paraId="19F61B6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式中</w:t>
            </w:r>
            <w:r>
              <w:rPr>
                <w:rFonts w:hint="eastAsia" w:ascii="宋体" w:hAnsi="宋体" w:eastAsia="宋体" w:cs="宋体"/>
                <w:lang w:val="en-US" w:eastAsia="zh-CN"/>
              </w:rPr>
              <w:t>：</w:t>
            </w: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p1i</w:t>
            </w:r>
            <w:r>
              <w:rPr>
                <w:rFonts w:hint="eastAsia" w:ascii="宋体" w:hAnsi="宋体" w:cs="宋体"/>
                <w:vertAlign w:val="baseline"/>
                <w:lang w:val="en-US" w:eastAsia="zh-CN"/>
              </w:rPr>
              <w:t>（</w:t>
            </w:r>
            <w:r>
              <w:rPr>
                <w:rFonts w:hint="default" w:ascii="Times New Roman" w:hAnsi="Times New Roman" w:eastAsia="宋体" w:cs="Times New Roman"/>
                <w:vertAlign w:val="baseline"/>
                <w:lang w:val="en-US" w:eastAsia="zh-CN"/>
              </w:rPr>
              <w:t>T</w:t>
            </w:r>
            <w:r>
              <w:rPr>
                <w:rFonts w:hint="eastAsia" w:ascii="宋体" w:hAnsi="宋体" w:cs="宋体"/>
                <w:vertAlign w:val="baseline"/>
                <w:lang w:val="en-US" w:eastAsia="zh-CN"/>
              </w:rPr>
              <w:t>）</w:t>
            </w:r>
            <w:r>
              <w:rPr>
                <w:rFonts w:hint="default" w:ascii="Times New Roman" w:hAnsi="Times New Roman" w:eastAsia="宋体" w:cs="Times New Roman"/>
                <w:lang w:val="en-US" w:eastAsia="zh-CN"/>
              </w:rPr>
              <w:t>—</w:t>
            </w:r>
            <w:r>
              <w:rPr>
                <w:rFonts w:hint="eastAsia" w:ascii="宋体" w:hAnsi="宋体" w:eastAsia="宋体" w:cs="宋体"/>
                <w:lang w:val="en-US" w:eastAsia="zh-CN"/>
              </w:rPr>
              <w:t>靠近</w:t>
            </w:r>
            <w:r>
              <w:rPr>
                <w:rFonts w:hint="default" w:ascii="Times New Roman" w:hAnsi="Times New Roman" w:eastAsia="宋体" w:cs="Times New Roman"/>
                <w:lang w:val="en-US" w:eastAsia="zh-CN"/>
              </w:rPr>
              <w:t>围护结构处室内N个声源i倍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带的叠加声压级</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0D0C462A">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p1ij</w:t>
            </w:r>
            <w:r>
              <w:rPr>
                <w:rFonts w:hint="default" w:ascii="Times New Roman" w:hAnsi="Times New Roman" w:eastAsia="宋体" w:cs="Times New Roman"/>
                <w:lang w:val="en-US" w:eastAsia="zh-CN"/>
              </w:rPr>
              <w:t>—室内j声源i倍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带的声压级</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3B02314E">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N—室内声源总数。</w:t>
            </w:r>
          </w:p>
          <w:p w14:paraId="0571C1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d</w:t>
            </w:r>
            <w:r>
              <w:rPr>
                <w:rFonts w:hint="eastAsia" w:ascii="宋体" w:hAnsi="宋体" w:eastAsia="宋体" w:cs="宋体"/>
                <w:lang w:val="en-US" w:eastAsia="zh-CN"/>
              </w:rPr>
              <w:t>.</w:t>
            </w:r>
            <w:r>
              <w:rPr>
                <w:rFonts w:hint="default" w:ascii="Times New Roman" w:hAnsi="Times New Roman" w:eastAsia="宋体" w:cs="Times New Roman"/>
                <w:lang w:val="en-US" w:eastAsia="zh-CN"/>
              </w:rPr>
              <w:t>在室内</w:t>
            </w:r>
            <w:r>
              <w:rPr>
                <w:rFonts w:hint="eastAsia" w:ascii="宋体" w:hAnsi="宋体" w:eastAsia="宋体" w:cs="宋体"/>
                <w:lang w:val="en-US" w:eastAsia="zh-CN"/>
              </w:rPr>
              <w:t>近</w:t>
            </w:r>
            <w:r>
              <w:rPr>
                <w:rFonts w:hint="default" w:ascii="Times New Roman" w:hAnsi="Times New Roman" w:eastAsia="宋体" w:cs="Times New Roman"/>
                <w:lang w:val="en-US" w:eastAsia="zh-CN"/>
              </w:rPr>
              <w:t>似为扩散声场时</w:t>
            </w:r>
            <w:r>
              <w:rPr>
                <w:rFonts w:hint="eastAsia" w:ascii="宋体" w:hAnsi="宋体" w:eastAsia="宋体" w:cs="宋体"/>
                <w:lang w:val="en-US" w:eastAsia="zh-CN"/>
              </w:rPr>
              <w:t>，</w:t>
            </w:r>
            <w:r>
              <w:rPr>
                <w:rFonts w:hint="default" w:ascii="Times New Roman" w:hAnsi="Times New Roman" w:eastAsia="宋体" w:cs="Times New Roman"/>
                <w:lang w:val="en-US" w:eastAsia="zh-CN"/>
              </w:rPr>
              <w:t>按下列公式</w:t>
            </w:r>
            <w:r>
              <w:rPr>
                <w:rFonts w:hint="eastAsia" w:ascii="宋体" w:hAnsi="宋体" w:eastAsia="宋体" w:cs="宋体"/>
                <w:lang w:val="en-US" w:eastAsia="zh-CN"/>
              </w:rPr>
              <w:t>计</w:t>
            </w:r>
            <w:r>
              <w:rPr>
                <w:rFonts w:hint="default" w:ascii="Times New Roman" w:hAnsi="Times New Roman" w:eastAsia="宋体" w:cs="Times New Roman"/>
                <w:lang w:val="en-US" w:eastAsia="zh-CN"/>
              </w:rPr>
              <w:t>算出</w:t>
            </w:r>
            <w:r>
              <w:rPr>
                <w:rFonts w:hint="eastAsia" w:ascii="宋体" w:hAnsi="宋体" w:eastAsia="宋体" w:cs="宋体"/>
                <w:lang w:val="en-US" w:eastAsia="zh-CN"/>
              </w:rPr>
              <w:t>靠近</w:t>
            </w:r>
            <w:r>
              <w:rPr>
                <w:rFonts w:hint="default" w:ascii="Times New Roman" w:hAnsi="Times New Roman" w:eastAsia="宋体" w:cs="Times New Roman"/>
                <w:lang w:val="en-US" w:eastAsia="zh-CN"/>
              </w:rPr>
              <w:t>室外围护结构处的声压级</w:t>
            </w:r>
            <w:r>
              <w:rPr>
                <w:rFonts w:hint="eastAsia" w:ascii="宋体" w:hAnsi="宋体" w:eastAsia="宋体" w:cs="宋体"/>
                <w:lang w:val="en-US" w:eastAsia="zh-CN"/>
              </w:rPr>
              <w:t>：</w:t>
            </w:r>
          </w:p>
          <w:p w14:paraId="6CB5942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lang w:val="en-US" w:eastAsia="zh-CN"/>
              </w:rPr>
            </w:pPr>
            <w:r>
              <w:drawing>
                <wp:inline distT="0" distB="0" distL="114300" distR="114300">
                  <wp:extent cx="2200275" cy="342900"/>
                  <wp:effectExtent l="0" t="0" r="9525" b="7620"/>
                  <wp:docPr id="8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0"/>
                          <pic:cNvPicPr>
                            <a:picLocks noChangeAspect="1"/>
                          </pic:cNvPicPr>
                        </pic:nvPicPr>
                        <pic:blipFill>
                          <a:blip r:embed="rId31"/>
                          <a:stretch>
                            <a:fillRect/>
                          </a:stretch>
                        </pic:blipFill>
                        <pic:spPr>
                          <a:xfrm>
                            <a:off x="0" y="0"/>
                            <a:ext cx="2200275" cy="342900"/>
                          </a:xfrm>
                          <a:prstGeom prst="rect">
                            <a:avLst/>
                          </a:prstGeom>
                          <a:noFill/>
                          <a:ln>
                            <a:noFill/>
                          </a:ln>
                        </pic:spPr>
                      </pic:pic>
                    </a:graphicData>
                  </a:graphic>
                </wp:inline>
              </w:drawing>
            </w:r>
          </w:p>
          <w:p w14:paraId="4692BB3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式中</w:t>
            </w:r>
            <w:r>
              <w:rPr>
                <w:rFonts w:hint="eastAsia" w:ascii="宋体" w:hAnsi="宋体" w:eastAsia="宋体" w:cs="宋体"/>
                <w:lang w:val="en-US" w:eastAsia="zh-CN"/>
              </w:rPr>
              <w:t>：</w:t>
            </w: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p2i</w:t>
            </w:r>
            <w:r>
              <w:rPr>
                <w:rFonts w:hint="eastAsia" w:ascii="宋体" w:hAnsi="宋体" w:cs="宋体"/>
                <w:vertAlign w:val="baseline"/>
                <w:lang w:val="en-US" w:eastAsia="zh-CN"/>
              </w:rPr>
              <w:t>（</w:t>
            </w:r>
            <w:r>
              <w:rPr>
                <w:rFonts w:hint="default" w:ascii="Times New Roman" w:hAnsi="Times New Roman" w:eastAsia="宋体" w:cs="Times New Roman"/>
                <w:vertAlign w:val="baseline"/>
                <w:lang w:val="en-US" w:eastAsia="zh-CN"/>
              </w:rPr>
              <w:t>T</w:t>
            </w:r>
            <w:r>
              <w:rPr>
                <w:rFonts w:hint="eastAsia" w:ascii="宋体" w:hAnsi="宋体" w:cs="宋体"/>
                <w:vertAlign w:val="baseline"/>
                <w:lang w:val="en-US" w:eastAsia="zh-CN"/>
              </w:rPr>
              <w:t>）</w:t>
            </w:r>
            <w:r>
              <w:rPr>
                <w:rFonts w:hint="default" w:ascii="Times New Roman" w:hAnsi="Times New Roman" w:eastAsia="宋体" w:cs="Times New Roman"/>
                <w:lang w:val="en-US" w:eastAsia="zh-CN"/>
              </w:rPr>
              <w:t>—</w:t>
            </w:r>
            <w:r>
              <w:rPr>
                <w:rFonts w:hint="eastAsia" w:ascii="宋体" w:hAnsi="宋体" w:eastAsia="宋体" w:cs="宋体"/>
                <w:lang w:val="en-US" w:eastAsia="zh-CN"/>
              </w:rPr>
              <w:t>靠近</w:t>
            </w:r>
            <w:r>
              <w:rPr>
                <w:rFonts w:hint="default" w:ascii="Times New Roman" w:hAnsi="Times New Roman" w:eastAsia="宋体" w:cs="Times New Roman"/>
                <w:lang w:val="en-US" w:eastAsia="zh-CN"/>
              </w:rPr>
              <w:t>围护结构处室外N个声源i倍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带的叠加声压级</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263FC1C5">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p1i</w:t>
            </w:r>
            <w:r>
              <w:rPr>
                <w:rFonts w:hint="eastAsia" w:ascii="宋体" w:hAnsi="宋体" w:cs="宋体"/>
                <w:vertAlign w:val="baseline"/>
                <w:lang w:val="en-US" w:eastAsia="zh-CN"/>
              </w:rPr>
              <w:t>（</w:t>
            </w:r>
            <w:r>
              <w:rPr>
                <w:rFonts w:hint="default" w:ascii="Times New Roman" w:hAnsi="Times New Roman" w:eastAsia="宋体" w:cs="Times New Roman"/>
                <w:vertAlign w:val="baseline"/>
                <w:lang w:val="en-US" w:eastAsia="zh-CN"/>
              </w:rPr>
              <w:t>T</w:t>
            </w:r>
            <w:r>
              <w:rPr>
                <w:rFonts w:hint="eastAsia" w:ascii="宋体" w:hAnsi="宋体" w:cs="宋体"/>
                <w:vertAlign w:val="baseline"/>
                <w:lang w:val="en-US" w:eastAsia="zh-CN"/>
              </w:rPr>
              <w:t>）</w:t>
            </w:r>
            <w:r>
              <w:rPr>
                <w:rFonts w:hint="default" w:ascii="Times New Roman" w:hAnsi="Times New Roman" w:eastAsia="宋体" w:cs="Times New Roman"/>
                <w:lang w:val="en-US" w:eastAsia="zh-CN"/>
              </w:rPr>
              <w:t>—</w:t>
            </w:r>
            <w:r>
              <w:rPr>
                <w:rFonts w:hint="eastAsia" w:ascii="宋体" w:hAnsi="宋体" w:eastAsia="宋体" w:cs="宋体"/>
                <w:lang w:val="en-US" w:eastAsia="zh-CN"/>
              </w:rPr>
              <w:t>靠近</w:t>
            </w:r>
            <w:r>
              <w:rPr>
                <w:rFonts w:hint="default" w:ascii="Times New Roman" w:hAnsi="Times New Roman" w:eastAsia="宋体" w:cs="Times New Roman"/>
                <w:lang w:val="en-US" w:eastAsia="zh-CN"/>
              </w:rPr>
              <w:t>围护结构处室内N个声源i倍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带的叠加声压级</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58557B23">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TL</w:t>
            </w:r>
            <w:r>
              <w:rPr>
                <w:rFonts w:hint="default" w:ascii="Times New Roman" w:hAnsi="Times New Roman" w:eastAsia="宋体" w:cs="Times New Roman"/>
                <w:vertAlign w:val="subscript"/>
                <w:lang w:val="en-US" w:eastAsia="zh-CN"/>
              </w:rPr>
              <w:t>i</w:t>
            </w:r>
            <w:r>
              <w:rPr>
                <w:rFonts w:hint="default" w:ascii="Times New Roman" w:hAnsi="Times New Roman" w:eastAsia="宋体" w:cs="Times New Roman"/>
                <w:lang w:val="en-US" w:eastAsia="zh-CN"/>
              </w:rPr>
              <w:t>—围护结构i倍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带的</w:t>
            </w:r>
            <w:r>
              <w:rPr>
                <w:rFonts w:hint="eastAsia" w:ascii="宋体" w:hAnsi="宋体" w:eastAsia="宋体" w:cs="宋体"/>
                <w:lang w:val="en-US" w:eastAsia="zh-CN"/>
              </w:rPr>
              <w:t>隔</w:t>
            </w:r>
            <w:r>
              <w:rPr>
                <w:rFonts w:hint="default" w:ascii="Times New Roman" w:hAnsi="Times New Roman" w:eastAsia="宋体" w:cs="Times New Roman"/>
                <w:lang w:val="en-US" w:eastAsia="zh-CN"/>
              </w:rPr>
              <w:t>声</w:t>
            </w:r>
            <w:r>
              <w:rPr>
                <w:rFonts w:hint="eastAsia" w:ascii="宋体" w:hAnsi="宋体" w:eastAsia="宋体" w:cs="宋体"/>
                <w:lang w:val="en-US" w:eastAsia="zh-CN"/>
              </w:rPr>
              <w:t>量，</w:t>
            </w:r>
            <w:r>
              <w:rPr>
                <w:rFonts w:hint="default" w:ascii="Times New Roman" w:hAnsi="Times New Roman" w:eastAsia="宋体" w:cs="Times New Roman"/>
                <w:lang w:val="en-US" w:eastAsia="zh-CN"/>
              </w:rPr>
              <w:t>dB。</w:t>
            </w:r>
          </w:p>
          <w:p w14:paraId="355D46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e</w:t>
            </w:r>
            <w:r>
              <w:rPr>
                <w:rFonts w:hint="eastAsia" w:ascii="宋体" w:hAnsi="宋体" w:eastAsia="宋体" w:cs="宋体"/>
                <w:lang w:val="en-US" w:eastAsia="zh-CN"/>
              </w:rPr>
              <w:t>.</w:t>
            </w:r>
            <w:r>
              <w:rPr>
                <w:rFonts w:hint="default" w:ascii="Times New Roman" w:hAnsi="Times New Roman" w:eastAsia="宋体" w:cs="Times New Roman"/>
                <w:lang w:val="en-US" w:eastAsia="zh-CN"/>
              </w:rPr>
              <w:t>然后按下列公式将室外声源的声压级和</w:t>
            </w:r>
            <w:r>
              <w:rPr>
                <w:rFonts w:hint="eastAsia" w:ascii="宋体" w:hAnsi="宋体" w:eastAsia="宋体" w:cs="宋体"/>
                <w:lang w:val="en-US" w:eastAsia="zh-CN"/>
              </w:rPr>
              <w:t>透过面</w:t>
            </w:r>
            <w:r>
              <w:rPr>
                <w:rFonts w:hint="default" w:ascii="Times New Roman" w:hAnsi="Times New Roman" w:eastAsia="宋体" w:cs="Times New Roman"/>
                <w:lang w:val="en-US" w:eastAsia="zh-CN"/>
              </w:rPr>
              <w:t>积换算成等效的室外声源</w:t>
            </w:r>
            <w:r>
              <w:rPr>
                <w:rFonts w:hint="eastAsia" w:ascii="宋体" w:hAnsi="宋体" w:eastAsia="宋体" w:cs="宋体"/>
                <w:lang w:val="en-US" w:eastAsia="zh-CN"/>
              </w:rPr>
              <w:t>，计</w:t>
            </w:r>
            <w:r>
              <w:rPr>
                <w:rFonts w:hint="default" w:ascii="Times New Roman" w:hAnsi="Times New Roman" w:eastAsia="宋体" w:cs="Times New Roman"/>
                <w:lang w:val="en-US" w:eastAsia="zh-CN"/>
              </w:rPr>
              <w:t>算出中心位置位于</w:t>
            </w:r>
            <w:r>
              <w:rPr>
                <w:rFonts w:hint="eastAsia" w:ascii="宋体" w:hAnsi="宋体" w:eastAsia="宋体" w:cs="宋体"/>
                <w:lang w:val="en-US" w:eastAsia="zh-CN"/>
              </w:rPr>
              <w:t>透</w:t>
            </w:r>
            <w:r>
              <w:rPr>
                <w:rFonts w:hint="default" w:ascii="Times New Roman" w:hAnsi="Times New Roman" w:eastAsia="宋体" w:cs="Times New Roman"/>
                <w:lang w:val="en-US" w:eastAsia="zh-CN"/>
              </w:rPr>
              <w:t>声</w:t>
            </w:r>
            <w:r>
              <w:rPr>
                <w:rFonts w:hint="eastAsia" w:ascii="宋体" w:hAnsi="宋体" w:eastAsia="宋体" w:cs="宋体"/>
                <w:lang w:val="en-US" w:eastAsia="zh-CN"/>
              </w:rPr>
              <w:t>面</w:t>
            </w:r>
            <w:r>
              <w:rPr>
                <w:rFonts w:hint="default" w:ascii="Times New Roman" w:hAnsi="Times New Roman" w:eastAsia="宋体" w:cs="Times New Roman"/>
                <w:lang w:val="en-US" w:eastAsia="zh-CN"/>
              </w:rPr>
              <w:t>积</w:t>
            </w:r>
            <w:r>
              <w:rPr>
                <w:rFonts w:hint="eastAsia" w:ascii="宋体" w:hAnsi="宋体" w:eastAsia="宋体" w:cs="宋体"/>
                <w:lang w:val="en-US" w:eastAsia="zh-CN"/>
              </w:rPr>
              <w:t>（</w:t>
            </w:r>
            <w:r>
              <w:rPr>
                <w:rFonts w:hint="default" w:ascii="Times New Roman" w:hAnsi="Times New Roman" w:eastAsia="宋体" w:cs="Times New Roman"/>
                <w:lang w:val="en-US" w:eastAsia="zh-CN"/>
              </w:rPr>
              <w:t>S</w:t>
            </w:r>
            <w:r>
              <w:rPr>
                <w:rFonts w:hint="eastAsia" w:ascii="宋体" w:hAnsi="宋体" w:eastAsia="宋体" w:cs="宋体"/>
                <w:lang w:val="en-US" w:eastAsia="zh-CN"/>
              </w:rPr>
              <w:t>）</w:t>
            </w:r>
            <w:r>
              <w:rPr>
                <w:rFonts w:hint="default" w:ascii="Times New Roman" w:hAnsi="Times New Roman" w:eastAsia="宋体" w:cs="Times New Roman"/>
                <w:lang w:val="en-US" w:eastAsia="zh-CN"/>
              </w:rPr>
              <w:t>处的等效声源的倍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带声功率级。</w:t>
            </w:r>
          </w:p>
          <w:p w14:paraId="49F82F0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lang w:val="en-US" w:eastAsia="zh-CN"/>
              </w:rPr>
            </w:pPr>
            <w:r>
              <w:drawing>
                <wp:inline distT="0" distB="0" distL="114300" distR="114300">
                  <wp:extent cx="1647825" cy="276225"/>
                  <wp:effectExtent l="0" t="0" r="13335" b="13335"/>
                  <wp:docPr id="8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
                          <pic:cNvPicPr>
                            <a:picLocks noChangeAspect="1"/>
                          </pic:cNvPicPr>
                        </pic:nvPicPr>
                        <pic:blipFill>
                          <a:blip r:embed="rId32"/>
                          <a:stretch>
                            <a:fillRect/>
                          </a:stretch>
                        </pic:blipFill>
                        <pic:spPr>
                          <a:xfrm>
                            <a:off x="0" y="0"/>
                            <a:ext cx="1647825" cy="276225"/>
                          </a:xfrm>
                          <a:prstGeom prst="rect">
                            <a:avLst/>
                          </a:prstGeom>
                          <a:noFill/>
                          <a:ln>
                            <a:noFill/>
                          </a:ln>
                        </pic:spPr>
                      </pic:pic>
                    </a:graphicData>
                  </a:graphic>
                </wp:inline>
              </w:drawing>
            </w:r>
          </w:p>
          <w:p w14:paraId="594211B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式中</w:t>
            </w:r>
            <w:r>
              <w:rPr>
                <w:rFonts w:hint="eastAsia" w:ascii="宋体" w:hAnsi="宋体" w:eastAsia="宋体" w:cs="宋体"/>
                <w:lang w:val="en-US" w:eastAsia="zh-CN"/>
              </w:rPr>
              <w:t>：</w:t>
            </w: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w</w:t>
            </w:r>
            <w:r>
              <w:rPr>
                <w:rFonts w:hint="default" w:ascii="Times New Roman" w:hAnsi="Times New Roman" w:eastAsia="宋体" w:cs="Times New Roman"/>
                <w:lang w:val="en-US" w:eastAsia="zh-CN"/>
              </w:rPr>
              <w:t>—中心位置位于</w:t>
            </w:r>
            <w:r>
              <w:rPr>
                <w:rFonts w:hint="eastAsia" w:ascii="宋体" w:hAnsi="宋体" w:eastAsia="宋体" w:cs="宋体"/>
                <w:lang w:val="en-US" w:eastAsia="zh-CN"/>
              </w:rPr>
              <w:t>透</w:t>
            </w:r>
            <w:r>
              <w:rPr>
                <w:rFonts w:hint="default" w:ascii="Times New Roman" w:hAnsi="Times New Roman" w:eastAsia="宋体" w:cs="Times New Roman"/>
                <w:lang w:val="en-US" w:eastAsia="zh-CN"/>
              </w:rPr>
              <w:t>声</w:t>
            </w:r>
            <w:r>
              <w:rPr>
                <w:rFonts w:hint="eastAsia" w:ascii="宋体" w:hAnsi="宋体" w:eastAsia="宋体" w:cs="宋体"/>
                <w:lang w:val="en-US" w:eastAsia="zh-CN"/>
              </w:rPr>
              <w:t>面</w:t>
            </w:r>
            <w:r>
              <w:rPr>
                <w:rFonts w:hint="default" w:ascii="Times New Roman" w:hAnsi="Times New Roman" w:eastAsia="宋体" w:cs="Times New Roman"/>
                <w:lang w:val="en-US" w:eastAsia="zh-CN"/>
              </w:rPr>
              <w:t>积</w:t>
            </w:r>
            <w:r>
              <w:rPr>
                <w:rFonts w:hint="eastAsia" w:ascii="宋体" w:hAnsi="宋体" w:eastAsia="宋体" w:cs="宋体"/>
                <w:lang w:val="en-US" w:eastAsia="zh-CN"/>
              </w:rPr>
              <w:t>（</w:t>
            </w:r>
            <w:r>
              <w:rPr>
                <w:rFonts w:hint="default" w:ascii="Times New Roman" w:hAnsi="Times New Roman" w:eastAsia="宋体" w:cs="Times New Roman"/>
                <w:lang w:val="en-US" w:eastAsia="zh-CN"/>
              </w:rPr>
              <w:t>S</w:t>
            </w:r>
            <w:r>
              <w:rPr>
                <w:rFonts w:hint="eastAsia" w:ascii="宋体" w:hAnsi="宋体" w:eastAsia="宋体" w:cs="宋体"/>
                <w:lang w:val="en-US" w:eastAsia="zh-CN"/>
              </w:rPr>
              <w:t>）</w:t>
            </w:r>
            <w:r>
              <w:rPr>
                <w:rFonts w:hint="default" w:ascii="Times New Roman" w:hAnsi="Times New Roman" w:eastAsia="宋体" w:cs="Times New Roman"/>
                <w:lang w:val="en-US" w:eastAsia="zh-CN"/>
              </w:rPr>
              <w:t>处的等效声源的倍</w:t>
            </w:r>
            <w:r>
              <w:rPr>
                <w:rFonts w:hint="eastAsia" w:ascii="宋体" w:hAnsi="宋体" w:eastAsia="宋体" w:cs="宋体"/>
                <w:lang w:val="en-US" w:eastAsia="zh-CN"/>
              </w:rPr>
              <w:t>频</w:t>
            </w:r>
            <w:r>
              <w:rPr>
                <w:rFonts w:hint="default" w:ascii="Times New Roman" w:hAnsi="Times New Roman" w:eastAsia="宋体" w:cs="Times New Roman"/>
                <w:lang w:val="en-US" w:eastAsia="zh-CN"/>
              </w:rPr>
              <w:t>带声功率级</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5622743D">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L</w:t>
            </w:r>
            <w:r>
              <w:rPr>
                <w:rFonts w:hint="default" w:ascii="Times New Roman" w:hAnsi="Times New Roman" w:eastAsia="宋体" w:cs="Times New Roman"/>
                <w:vertAlign w:val="subscript"/>
                <w:lang w:val="en-US" w:eastAsia="zh-CN"/>
              </w:rPr>
              <w:t>p2</w:t>
            </w:r>
            <w:r>
              <w:rPr>
                <w:rFonts w:hint="eastAsia" w:ascii="宋体" w:hAnsi="宋体" w:cs="宋体"/>
                <w:lang w:val="en-US" w:eastAsia="zh-CN"/>
              </w:rPr>
              <w:t>（</w:t>
            </w:r>
            <w:r>
              <w:rPr>
                <w:rFonts w:hint="default" w:ascii="Times New Roman" w:hAnsi="Times New Roman" w:eastAsia="宋体" w:cs="Times New Roman"/>
                <w:lang w:val="en-US" w:eastAsia="zh-CN"/>
              </w:rPr>
              <w:t>T</w:t>
            </w:r>
            <w:r>
              <w:rPr>
                <w:rFonts w:hint="eastAsia" w:ascii="宋体" w:hAnsi="宋体" w:cs="宋体"/>
                <w:lang w:val="en-US" w:eastAsia="zh-CN"/>
              </w:rPr>
              <w:t>）</w:t>
            </w:r>
            <w:r>
              <w:rPr>
                <w:rFonts w:hint="default" w:ascii="Times New Roman" w:hAnsi="Times New Roman" w:eastAsia="宋体" w:cs="Times New Roman"/>
                <w:lang w:val="en-US" w:eastAsia="zh-CN"/>
              </w:rPr>
              <w:t>—</w:t>
            </w:r>
            <w:r>
              <w:rPr>
                <w:rFonts w:hint="eastAsia" w:ascii="宋体" w:hAnsi="宋体" w:eastAsia="宋体" w:cs="宋体"/>
                <w:lang w:val="en-US" w:eastAsia="zh-CN"/>
              </w:rPr>
              <w:t>靠近</w:t>
            </w:r>
            <w:r>
              <w:rPr>
                <w:rFonts w:hint="default" w:ascii="Times New Roman" w:hAnsi="Times New Roman" w:eastAsia="宋体" w:cs="Times New Roman"/>
                <w:lang w:val="en-US" w:eastAsia="zh-CN"/>
              </w:rPr>
              <w:t>围护结构处室外声源的声压级</w:t>
            </w:r>
            <w:r>
              <w:rPr>
                <w:rFonts w:hint="eastAsia" w:ascii="宋体" w:hAnsi="宋体" w:eastAsia="宋体" w:cs="宋体"/>
                <w:lang w:val="en-US" w:eastAsia="zh-CN"/>
              </w:rPr>
              <w:t>，</w:t>
            </w:r>
            <w:r>
              <w:rPr>
                <w:rFonts w:hint="default" w:ascii="Times New Roman" w:hAnsi="Times New Roman" w:eastAsia="宋体" w:cs="Times New Roman"/>
                <w:lang w:val="en-US" w:eastAsia="zh-CN"/>
              </w:rPr>
              <w:t>dB</w:t>
            </w:r>
            <w:r>
              <w:rPr>
                <w:rFonts w:hint="eastAsia" w:ascii="宋体" w:hAnsi="宋体" w:eastAsia="宋体" w:cs="宋体"/>
                <w:lang w:val="en-US" w:eastAsia="zh-CN"/>
              </w:rPr>
              <w:t>；</w:t>
            </w:r>
          </w:p>
          <w:p w14:paraId="49F35244">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S—</w:t>
            </w:r>
            <w:r>
              <w:rPr>
                <w:rFonts w:hint="eastAsia" w:ascii="宋体" w:hAnsi="宋体" w:eastAsia="宋体" w:cs="宋体"/>
                <w:lang w:val="en-US" w:eastAsia="zh-CN"/>
              </w:rPr>
              <w:t>透</w:t>
            </w:r>
            <w:r>
              <w:rPr>
                <w:rFonts w:hint="default" w:ascii="Times New Roman" w:hAnsi="Times New Roman" w:eastAsia="宋体" w:cs="Times New Roman"/>
                <w:lang w:val="en-US" w:eastAsia="zh-CN"/>
              </w:rPr>
              <w:t>声</w:t>
            </w:r>
            <w:r>
              <w:rPr>
                <w:rFonts w:hint="eastAsia" w:ascii="宋体" w:hAnsi="宋体" w:eastAsia="宋体" w:cs="宋体"/>
                <w:lang w:val="en-US" w:eastAsia="zh-CN"/>
              </w:rPr>
              <w:t>面</w:t>
            </w:r>
            <w:r>
              <w:rPr>
                <w:rFonts w:hint="default" w:ascii="Times New Roman" w:hAnsi="Times New Roman" w:eastAsia="宋体" w:cs="Times New Roman"/>
                <w:lang w:val="en-US" w:eastAsia="zh-CN"/>
              </w:rPr>
              <w:t>积</w:t>
            </w:r>
            <w:r>
              <w:rPr>
                <w:rFonts w:hint="eastAsia" w:ascii="宋体" w:hAnsi="宋体" w:eastAsia="宋体" w:cs="宋体"/>
                <w:lang w:val="en-US" w:eastAsia="zh-CN"/>
              </w:rPr>
              <w:t>，</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w:t>
            </w:r>
          </w:p>
          <w:p w14:paraId="5EDC55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然后按室外声源</w:t>
            </w:r>
            <w:r>
              <w:rPr>
                <w:rFonts w:hint="eastAsia" w:ascii="宋体" w:hAnsi="宋体" w:eastAsia="宋体" w:cs="宋体"/>
                <w:lang w:val="en-US" w:eastAsia="zh-CN"/>
              </w:rPr>
              <w:t>预</w:t>
            </w:r>
            <w:r>
              <w:rPr>
                <w:rFonts w:hint="default" w:ascii="Times New Roman" w:hAnsi="Times New Roman" w:eastAsia="宋体" w:cs="Times New Roman"/>
                <w:lang w:val="en-US" w:eastAsia="zh-CN"/>
              </w:rPr>
              <w:t>测方法</w:t>
            </w:r>
            <w:r>
              <w:rPr>
                <w:rFonts w:hint="eastAsia" w:ascii="宋体" w:hAnsi="宋体" w:eastAsia="宋体" w:cs="宋体"/>
                <w:lang w:val="en-US" w:eastAsia="zh-CN"/>
              </w:rPr>
              <w:t>计</w:t>
            </w:r>
            <w:r>
              <w:rPr>
                <w:rFonts w:hint="default" w:ascii="Times New Roman" w:hAnsi="Times New Roman" w:eastAsia="宋体" w:cs="Times New Roman"/>
                <w:lang w:val="en-US" w:eastAsia="zh-CN"/>
              </w:rPr>
              <w:t>算</w:t>
            </w:r>
            <w:r>
              <w:rPr>
                <w:rFonts w:hint="eastAsia" w:ascii="宋体" w:hAnsi="宋体" w:eastAsia="宋体" w:cs="宋体"/>
                <w:lang w:val="en-US" w:eastAsia="zh-CN"/>
              </w:rPr>
              <w:t>预</w:t>
            </w:r>
            <w:r>
              <w:rPr>
                <w:rFonts w:hint="default" w:ascii="Times New Roman" w:hAnsi="Times New Roman" w:eastAsia="宋体" w:cs="Times New Roman"/>
                <w:lang w:val="en-US" w:eastAsia="zh-CN"/>
              </w:rPr>
              <w:t>测点处的A声级。</w:t>
            </w:r>
          </w:p>
          <w:p w14:paraId="20250E7A">
            <w:pPr>
              <w:autoSpaceDE w:val="0"/>
              <w:autoSpaceDN w:val="0"/>
              <w:adjustRightInd w:val="0"/>
              <w:snapToGrid w:val="0"/>
              <w:spacing w:line="360" w:lineRule="auto"/>
              <w:ind w:firstLine="480" w:firstLineChars="200"/>
              <w:jc w:val="left"/>
              <w:rPr>
                <w:rFonts w:hint="default"/>
                <w:b w:val="0"/>
                <w:bCs w:val="0"/>
                <w:sz w:val="24"/>
                <w:lang w:val="en-US" w:eastAsia="zh-CN"/>
              </w:rPr>
            </w:pPr>
            <w:r>
              <w:rPr>
                <w:rFonts w:hint="eastAsia"/>
                <w:b w:val="0"/>
                <w:bCs w:val="0"/>
                <w:sz w:val="24"/>
                <w:lang w:val="en-US" w:eastAsia="zh-CN"/>
              </w:rPr>
              <w:t>本项目夜间不生产，产噪设备对四周厂界处噪声贡献值及预测值见下表。</w:t>
            </w:r>
          </w:p>
          <w:p w14:paraId="0812A1EE">
            <w:pPr>
              <w:bidi w:val="0"/>
            </w:pPr>
          </w:p>
          <w:p w14:paraId="2B643952">
            <w:pPr>
              <w:bidi w:val="0"/>
            </w:pPr>
          </w:p>
          <w:p w14:paraId="60F14CC8">
            <w:pPr>
              <w:keepNext w:val="0"/>
              <w:keepLines w:val="0"/>
              <w:pageBreakBefore w:val="0"/>
              <w:widowControl/>
              <w:kinsoku/>
              <w:wordWrap/>
              <w:overflowPunct/>
              <w:topLinePunct w:val="0"/>
              <w:autoSpaceDE/>
              <w:autoSpaceDN/>
              <w:bidi w:val="0"/>
              <w:adjustRightInd/>
              <w:snapToGrid/>
              <w:spacing w:before="157" w:beforeLines="50"/>
              <w:jc w:val="center"/>
              <w:textAlignment w:val="auto"/>
              <w:rPr>
                <w:rFonts w:hint="eastAsia"/>
                <w:b/>
                <w:kern w:val="0"/>
                <w:sz w:val="22"/>
                <w:szCs w:val="22"/>
                <w:lang w:val="en-US" w:eastAsia="zh-CN"/>
              </w:rPr>
            </w:pPr>
            <w:r>
              <w:rPr>
                <w:b/>
                <w:kern w:val="0"/>
                <w:sz w:val="22"/>
                <w:szCs w:val="22"/>
              </w:rPr>
              <w:t>表</w:t>
            </w:r>
            <w:r>
              <w:rPr>
                <w:rFonts w:hint="eastAsia"/>
                <w:b/>
                <w:kern w:val="0"/>
                <w:sz w:val="22"/>
                <w:szCs w:val="22"/>
                <w:lang w:val="en-US" w:eastAsia="zh-CN"/>
              </w:rPr>
              <w:t>4</w:t>
            </w:r>
            <w:r>
              <w:rPr>
                <w:b/>
                <w:kern w:val="0"/>
                <w:sz w:val="22"/>
                <w:szCs w:val="22"/>
              </w:rPr>
              <w:t>-</w:t>
            </w:r>
            <w:r>
              <w:rPr>
                <w:rFonts w:hint="eastAsia"/>
                <w:b/>
                <w:kern w:val="0"/>
                <w:sz w:val="22"/>
                <w:szCs w:val="22"/>
                <w:lang w:val="en-US" w:eastAsia="zh-CN"/>
              </w:rPr>
              <w:t>6</w:t>
            </w:r>
            <w:r>
              <w:rPr>
                <w:b/>
                <w:kern w:val="0"/>
                <w:sz w:val="22"/>
                <w:szCs w:val="22"/>
              </w:rPr>
              <w:t xml:space="preserve"> </w:t>
            </w:r>
            <w:r>
              <w:rPr>
                <w:rFonts w:hint="eastAsia"/>
                <w:b/>
                <w:kern w:val="0"/>
                <w:sz w:val="22"/>
                <w:szCs w:val="22"/>
                <w:lang w:val="en-US" w:eastAsia="zh-CN"/>
              </w:rPr>
              <w:t>厂界处</w:t>
            </w:r>
            <w:r>
              <w:rPr>
                <w:rFonts w:hint="eastAsia"/>
                <w:b/>
                <w:kern w:val="0"/>
                <w:sz w:val="22"/>
                <w:szCs w:val="22"/>
              </w:rPr>
              <w:t>噪声</w:t>
            </w:r>
            <w:r>
              <w:rPr>
                <w:rFonts w:hint="eastAsia"/>
                <w:b/>
                <w:kern w:val="0"/>
                <w:sz w:val="22"/>
                <w:szCs w:val="22"/>
                <w:lang w:val="en-US" w:eastAsia="zh-CN"/>
              </w:rPr>
              <w:t>预结果</w:t>
            </w:r>
            <w:r>
              <w:rPr>
                <w:rFonts w:hint="eastAsia"/>
                <w:b/>
                <w:kern w:val="0"/>
                <w:sz w:val="22"/>
                <w:szCs w:val="22"/>
              </w:rPr>
              <w:t>一览表</w:t>
            </w:r>
          </w:p>
          <w:tbl>
            <w:tblPr>
              <w:tblStyle w:val="15"/>
              <w:tblW w:w="71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57" w:type="dxa"/>
                <w:left w:w="108" w:type="dxa"/>
                <w:bottom w:w="57" w:type="dxa"/>
                <w:right w:w="108" w:type="dxa"/>
              </w:tblCellMar>
            </w:tblPr>
            <w:tblGrid>
              <w:gridCol w:w="1531"/>
              <w:gridCol w:w="1871"/>
              <w:gridCol w:w="1871"/>
              <w:gridCol w:w="1871"/>
            </w:tblGrid>
            <w:tr w14:paraId="54E14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jc w:val="center"/>
              </w:trPr>
              <w:tc>
                <w:tcPr>
                  <w:tcW w:w="1531" w:type="dxa"/>
                  <w:tcBorders>
                    <w:top w:val="single" w:color="000000" w:sz="4" w:space="0"/>
                    <w:left w:val="single" w:color="000000" w:sz="4" w:space="0"/>
                    <w:right w:val="single" w:color="000000" w:sz="4" w:space="0"/>
                  </w:tcBorders>
                  <w:shd w:val="clear" w:color="auto" w:fill="auto"/>
                  <w:vAlign w:val="center"/>
                </w:tcPr>
                <w:p w14:paraId="4C29E688">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点位</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EF46">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昼间贡献值（</w:t>
                  </w:r>
                  <w:r>
                    <w:rPr>
                      <w:rFonts w:hint="eastAsia"/>
                      <w:b w:val="0"/>
                      <w:bCs w:val="0"/>
                      <w:sz w:val="24"/>
                      <w:lang w:val="en-US" w:eastAsia="zh-CN"/>
                    </w:rPr>
                    <w:t>dB(A)</w:t>
                  </w:r>
                  <w:r>
                    <w:rPr>
                      <w:rFonts w:hint="eastAsia" w:ascii="宋体" w:hAnsi="宋体" w:cs="宋体"/>
                      <w:b/>
                      <w:bCs/>
                      <w:i w:val="0"/>
                      <w:iCs w:val="0"/>
                      <w:color w:val="000000"/>
                      <w:kern w:val="0"/>
                      <w:sz w:val="22"/>
                      <w:szCs w:val="22"/>
                      <w:u w:val="none"/>
                      <w:lang w:val="en-US" w:eastAsia="zh-CN" w:bidi="ar"/>
                    </w:rPr>
                    <w:t>）</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3E95">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昼间背景值（</w:t>
                  </w:r>
                  <w:r>
                    <w:rPr>
                      <w:rFonts w:hint="eastAsia"/>
                      <w:b w:val="0"/>
                      <w:bCs w:val="0"/>
                      <w:sz w:val="24"/>
                      <w:lang w:val="en-US" w:eastAsia="zh-CN"/>
                    </w:rPr>
                    <w:t>dB(A)</w:t>
                  </w:r>
                  <w:r>
                    <w:rPr>
                      <w:rFonts w:hint="eastAsia" w:ascii="宋体" w:hAnsi="宋体" w:cs="宋体"/>
                      <w:b/>
                      <w:bCs/>
                      <w:i w:val="0"/>
                      <w:iCs w:val="0"/>
                      <w:color w:val="000000"/>
                      <w:kern w:val="0"/>
                      <w:sz w:val="22"/>
                      <w:szCs w:val="22"/>
                      <w:u w:val="none"/>
                      <w:lang w:val="en-US" w:eastAsia="zh-CN" w:bidi="ar"/>
                    </w:rPr>
                    <w:t>）</w:t>
                  </w:r>
                </w:p>
              </w:tc>
              <w:tc>
                <w:tcPr>
                  <w:tcW w:w="1871" w:type="dxa"/>
                  <w:tcBorders>
                    <w:top w:val="single" w:color="000000" w:sz="4" w:space="0"/>
                    <w:left w:val="single" w:color="000000" w:sz="4" w:space="0"/>
                    <w:right w:val="single" w:color="000000" w:sz="4" w:space="0"/>
                  </w:tcBorders>
                  <w:shd w:val="clear" w:color="auto" w:fill="auto"/>
                  <w:vAlign w:val="center"/>
                </w:tcPr>
                <w:p w14:paraId="1E603093">
                  <w:pPr>
                    <w:keepNext w:val="0"/>
                    <w:keepLines w:val="0"/>
                    <w:widowControl/>
                    <w:suppressLineNumbers w:val="0"/>
                    <w:jc w:val="center"/>
                    <w:textAlignment w:val="center"/>
                    <w:rPr>
                      <w:rFonts w:hint="eastAsia" w:ascii="宋体" w:hAnsi="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昼间预测值（</w:t>
                  </w:r>
                  <w:r>
                    <w:rPr>
                      <w:rFonts w:hint="eastAsia"/>
                      <w:b w:val="0"/>
                      <w:bCs w:val="0"/>
                      <w:sz w:val="24"/>
                      <w:lang w:val="en-US" w:eastAsia="zh-CN"/>
                    </w:rPr>
                    <w:t>dB(A)</w:t>
                  </w:r>
                  <w:r>
                    <w:rPr>
                      <w:rFonts w:hint="eastAsia" w:ascii="宋体" w:hAnsi="宋体" w:cs="宋体"/>
                      <w:b/>
                      <w:bCs/>
                      <w:i w:val="0"/>
                      <w:iCs w:val="0"/>
                      <w:color w:val="000000"/>
                      <w:kern w:val="0"/>
                      <w:sz w:val="22"/>
                      <w:szCs w:val="22"/>
                      <w:u w:val="none"/>
                      <w:lang w:val="en-US" w:eastAsia="zh-CN" w:bidi="ar"/>
                    </w:rPr>
                    <w:t>）</w:t>
                  </w:r>
                </w:p>
              </w:tc>
            </w:tr>
            <w:tr w14:paraId="56842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108" w:type="dxa"/>
                  <w:bottom w:w="57" w:type="dxa"/>
                  <w:right w:w="108" w:type="dxa"/>
                </w:tblCellMar>
              </w:tblPrEx>
              <w:trPr>
                <w:trHeight w:val="397" w:hRule="atLeast"/>
                <w:jc w:val="center"/>
              </w:trPr>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EB3C">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东厂界</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028B8">
                  <w:pPr>
                    <w:keepNext w:val="0"/>
                    <w:keepLines w:val="0"/>
                    <w:widowControl/>
                    <w:suppressLineNumbers w:val="0"/>
                    <w:jc w:val="center"/>
                    <w:textAlignment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57.16</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A6D5">
                  <w:pPr>
                    <w:keepNext w:val="0"/>
                    <w:keepLines w:val="0"/>
                    <w:widowControl/>
                    <w:suppressLineNumbers w:val="0"/>
                    <w:jc w:val="center"/>
                    <w:textAlignment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60</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63F7">
                  <w:pPr>
                    <w:keepNext w:val="0"/>
                    <w:keepLines w:val="0"/>
                    <w:widowControl/>
                    <w:suppressLineNumbers w:val="0"/>
                    <w:jc w:val="center"/>
                    <w:textAlignment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61.82</w:t>
                  </w:r>
                </w:p>
              </w:tc>
            </w:tr>
            <w:tr w14:paraId="66605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108" w:type="dxa"/>
                  <w:bottom w:w="57" w:type="dxa"/>
                  <w:right w:w="108" w:type="dxa"/>
                </w:tblCellMar>
              </w:tblPrEx>
              <w:trPr>
                <w:trHeight w:val="397" w:hRule="atLeast"/>
                <w:jc w:val="center"/>
              </w:trPr>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E69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南厂界</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7B7F">
                  <w:pPr>
                    <w:keepNext w:val="0"/>
                    <w:keepLines w:val="0"/>
                    <w:widowControl/>
                    <w:suppressLineNumbers w:val="0"/>
                    <w:jc w:val="center"/>
                    <w:textAlignment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51.37</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FB23">
                  <w:pPr>
                    <w:keepNext w:val="0"/>
                    <w:keepLines w:val="0"/>
                    <w:widowControl/>
                    <w:suppressLineNumbers w:val="0"/>
                    <w:jc w:val="center"/>
                    <w:textAlignment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57</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C048">
                  <w:pPr>
                    <w:keepNext w:val="0"/>
                    <w:keepLines w:val="0"/>
                    <w:widowControl/>
                    <w:suppressLineNumbers w:val="0"/>
                    <w:jc w:val="center"/>
                    <w:textAlignment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58.05</w:t>
                  </w:r>
                </w:p>
              </w:tc>
            </w:tr>
            <w:tr w14:paraId="78DA1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108" w:type="dxa"/>
                  <w:bottom w:w="57" w:type="dxa"/>
                  <w:right w:w="108" w:type="dxa"/>
                </w:tblCellMar>
              </w:tblPrEx>
              <w:trPr>
                <w:trHeight w:val="397" w:hRule="atLeast"/>
                <w:jc w:val="center"/>
              </w:trPr>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B04D">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西厂界</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6EA2B">
                  <w:pPr>
                    <w:keepNext w:val="0"/>
                    <w:keepLines w:val="0"/>
                    <w:widowControl/>
                    <w:suppressLineNumbers w:val="0"/>
                    <w:jc w:val="center"/>
                    <w:textAlignment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57.5</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32C7">
                  <w:pPr>
                    <w:keepNext w:val="0"/>
                    <w:keepLines w:val="0"/>
                    <w:widowControl/>
                    <w:suppressLineNumbers w:val="0"/>
                    <w:jc w:val="center"/>
                    <w:textAlignment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55</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D13C">
                  <w:pPr>
                    <w:keepNext w:val="0"/>
                    <w:keepLines w:val="0"/>
                    <w:widowControl/>
                    <w:suppressLineNumbers w:val="0"/>
                    <w:jc w:val="center"/>
                    <w:textAlignment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59.44</w:t>
                  </w:r>
                </w:p>
              </w:tc>
            </w:tr>
            <w:tr w14:paraId="4193E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108" w:type="dxa"/>
                  <w:bottom w:w="57" w:type="dxa"/>
                  <w:right w:w="108" w:type="dxa"/>
                </w:tblCellMar>
              </w:tblPrEx>
              <w:trPr>
                <w:trHeight w:val="397" w:hRule="atLeast"/>
                <w:jc w:val="center"/>
              </w:trPr>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8F43">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北厂界</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9A1A">
                  <w:pPr>
                    <w:keepNext w:val="0"/>
                    <w:keepLines w:val="0"/>
                    <w:widowControl/>
                    <w:suppressLineNumbers w:val="0"/>
                    <w:jc w:val="center"/>
                    <w:textAlignment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51.7</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6A22">
                  <w:pPr>
                    <w:keepNext w:val="0"/>
                    <w:keepLines w:val="0"/>
                    <w:widowControl/>
                    <w:suppressLineNumbers w:val="0"/>
                    <w:jc w:val="center"/>
                    <w:textAlignment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57</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EEDC">
                  <w:pPr>
                    <w:keepNext w:val="0"/>
                    <w:keepLines w:val="0"/>
                    <w:widowControl/>
                    <w:suppressLineNumbers w:val="0"/>
                    <w:jc w:val="center"/>
                    <w:textAlignment w:val="center"/>
                    <w:rPr>
                      <w:rFonts w:hint="default"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58.12</w:t>
                  </w:r>
                </w:p>
              </w:tc>
            </w:tr>
          </w:tbl>
          <w:p w14:paraId="2B95CA31">
            <w:pPr>
              <w:bidi w:val="0"/>
              <w:rPr>
                <w:rFonts w:hint="eastAsia"/>
                <w:lang w:val="en-US" w:eastAsia="zh-CN"/>
              </w:rPr>
            </w:pPr>
          </w:p>
          <w:p w14:paraId="7EDCEACA">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根据预测数值，本次技改项目新增机械设备产生的噪声以及运营后叠加的厂界噪声可以满足《工业企业厂界环境噪声排放标准》（GB12348-2008）中3类标准，厂界外50m之内没有声环境保护目标，故本项目噪声对环境影响不大。</w:t>
            </w:r>
          </w:p>
          <w:p w14:paraId="22B40659">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根据《排污许可证申请与核发技术规范 工业噪声》（HJ1301-2023）文件，本项目厂界噪声监测要求如下。</w:t>
            </w:r>
          </w:p>
          <w:p w14:paraId="687CD2E3">
            <w:pPr>
              <w:keepNext w:val="0"/>
              <w:keepLines w:val="0"/>
              <w:pageBreakBefore w:val="0"/>
              <w:widowControl/>
              <w:kinsoku/>
              <w:wordWrap/>
              <w:overflowPunct/>
              <w:topLinePunct w:val="0"/>
              <w:autoSpaceDE/>
              <w:autoSpaceDN/>
              <w:bidi w:val="0"/>
              <w:adjustRightInd/>
              <w:snapToGrid/>
              <w:spacing w:before="157" w:beforeLines="50"/>
              <w:jc w:val="center"/>
              <w:textAlignment w:val="auto"/>
              <w:rPr>
                <w:b/>
                <w:kern w:val="0"/>
                <w:sz w:val="22"/>
                <w:szCs w:val="22"/>
              </w:rPr>
            </w:pPr>
            <w:r>
              <w:rPr>
                <w:b/>
                <w:kern w:val="0"/>
                <w:sz w:val="22"/>
                <w:szCs w:val="22"/>
              </w:rPr>
              <w:t>表</w:t>
            </w:r>
            <w:r>
              <w:rPr>
                <w:rFonts w:hint="eastAsia"/>
                <w:b/>
                <w:kern w:val="0"/>
                <w:sz w:val="22"/>
                <w:szCs w:val="22"/>
                <w:lang w:val="en-US" w:eastAsia="zh-CN"/>
              </w:rPr>
              <w:t>4</w:t>
            </w:r>
            <w:r>
              <w:rPr>
                <w:b/>
                <w:kern w:val="0"/>
                <w:sz w:val="22"/>
                <w:szCs w:val="22"/>
              </w:rPr>
              <w:t>-</w:t>
            </w:r>
            <w:r>
              <w:rPr>
                <w:rFonts w:hint="eastAsia"/>
                <w:b/>
                <w:kern w:val="0"/>
                <w:sz w:val="22"/>
                <w:szCs w:val="22"/>
                <w:lang w:val="en-US" w:eastAsia="zh-CN"/>
              </w:rPr>
              <w:t>7</w:t>
            </w:r>
            <w:r>
              <w:rPr>
                <w:b/>
                <w:kern w:val="0"/>
                <w:sz w:val="22"/>
                <w:szCs w:val="22"/>
              </w:rPr>
              <w:t xml:space="preserve"> </w:t>
            </w:r>
            <w:r>
              <w:rPr>
                <w:rFonts w:hint="eastAsia"/>
                <w:b/>
                <w:kern w:val="0"/>
                <w:sz w:val="22"/>
                <w:szCs w:val="22"/>
                <w:lang w:val="en-US" w:eastAsia="zh-CN"/>
              </w:rPr>
              <w:t>厂界噪声监测要求</w:t>
            </w:r>
            <w:r>
              <w:rPr>
                <w:rFonts w:hint="eastAsia"/>
                <w:b/>
                <w:kern w:val="0"/>
                <w:sz w:val="22"/>
                <w:szCs w:val="22"/>
              </w:rPr>
              <w:t>一览表</w:t>
            </w:r>
          </w:p>
          <w:tbl>
            <w:tblPr>
              <w:tblStyle w:val="15"/>
              <w:tblW w:w="47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189"/>
              <w:gridCol w:w="1859"/>
              <w:gridCol w:w="1366"/>
              <w:gridCol w:w="1342"/>
              <w:gridCol w:w="2130"/>
            </w:tblGrid>
            <w:tr w14:paraId="54DD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53" w:type="pct"/>
                  <w:tcBorders>
                    <w:tl2br w:val="nil"/>
                    <w:tr2bl w:val="nil"/>
                  </w:tcBorders>
                  <w:noWrap w:val="0"/>
                  <w:tcMar>
                    <w:top w:w="57" w:type="dxa"/>
                    <w:left w:w="57" w:type="dxa"/>
                    <w:bottom w:w="57" w:type="dxa"/>
                    <w:right w:w="57" w:type="dxa"/>
                  </w:tcMar>
                  <w:vAlign w:val="center"/>
                </w:tcPr>
                <w:p w14:paraId="0C79FCC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default" w:ascii="Times New Roman" w:hAnsi="Times New Roman" w:eastAsia="宋体" w:cs="Times New Roman"/>
                      <w:b/>
                      <w:bCs/>
                      <w:color w:val="000000"/>
                      <w:kern w:val="2"/>
                      <w:sz w:val="22"/>
                      <w:szCs w:val="22"/>
                      <w:highlight w:val="none"/>
                      <w:lang w:val="en-US" w:eastAsia="zh-CN"/>
                    </w:rPr>
                    <w:t>点位编号</w:t>
                  </w:r>
                </w:p>
              </w:tc>
              <w:tc>
                <w:tcPr>
                  <w:tcW w:w="1178" w:type="pct"/>
                  <w:tcBorders>
                    <w:tl2br w:val="nil"/>
                    <w:tr2bl w:val="nil"/>
                  </w:tcBorders>
                  <w:noWrap w:val="0"/>
                  <w:tcMar>
                    <w:top w:w="57" w:type="dxa"/>
                    <w:left w:w="57" w:type="dxa"/>
                    <w:bottom w:w="57" w:type="dxa"/>
                    <w:right w:w="57" w:type="dxa"/>
                  </w:tcMar>
                  <w:vAlign w:val="center"/>
                </w:tcPr>
                <w:p w14:paraId="69141A9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default" w:ascii="Times New Roman" w:hAnsi="Times New Roman" w:eastAsia="宋体" w:cs="Times New Roman"/>
                      <w:b/>
                      <w:bCs/>
                      <w:color w:val="000000"/>
                      <w:kern w:val="2"/>
                      <w:sz w:val="22"/>
                      <w:szCs w:val="22"/>
                      <w:highlight w:val="none"/>
                      <w:lang w:val="en-US" w:eastAsia="zh-CN"/>
                    </w:rPr>
                    <w:t>监测点位置</w:t>
                  </w:r>
                </w:p>
              </w:tc>
              <w:tc>
                <w:tcPr>
                  <w:tcW w:w="866" w:type="pct"/>
                  <w:tcBorders>
                    <w:tl2br w:val="nil"/>
                    <w:tr2bl w:val="nil"/>
                  </w:tcBorders>
                  <w:noWrap w:val="0"/>
                  <w:tcMar>
                    <w:top w:w="57" w:type="dxa"/>
                    <w:left w:w="57" w:type="dxa"/>
                    <w:bottom w:w="57" w:type="dxa"/>
                    <w:right w:w="57" w:type="dxa"/>
                  </w:tcMar>
                  <w:vAlign w:val="center"/>
                </w:tcPr>
                <w:p w14:paraId="279F769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color w:val="000000"/>
                      <w:kern w:val="2"/>
                      <w:sz w:val="22"/>
                      <w:szCs w:val="22"/>
                      <w:highlight w:val="none"/>
                      <w:lang w:val="en-US" w:eastAsia="zh-CN"/>
                    </w:rPr>
                  </w:pPr>
                  <w:r>
                    <w:rPr>
                      <w:rFonts w:hint="default" w:ascii="Times New Roman" w:hAnsi="Times New Roman" w:eastAsia="宋体" w:cs="Times New Roman"/>
                      <w:b/>
                      <w:bCs/>
                      <w:color w:val="000000"/>
                      <w:kern w:val="2"/>
                      <w:sz w:val="22"/>
                      <w:szCs w:val="22"/>
                      <w:highlight w:val="none"/>
                      <w:lang w:val="en-US" w:eastAsia="zh-CN"/>
                    </w:rPr>
                    <w:t>监测</w:t>
                  </w:r>
                  <w:r>
                    <w:rPr>
                      <w:rFonts w:hint="eastAsia" w:ascii="宋体" w:hAnsi="宋体" w:eastAsia="宋体" w:cs="宋体"/>
                      <w:b/>
                      <w:bCs/>
                      <w:color w:val="000000"/>
                      <w:kern w:val="2"/>
                      <w:sz w:val="22"/>
                      <w:szCs w:val="22"/>
                      <w:highlight w:val="none"/>
                      <w:lang w:val="en-US" w:eastAsia="zh-CN"/>
                    </w:rPr>
                    <w:t>项</w:t>
                  </w:r>
                  <w:r>
                    <w:rPr>
                      <w:rFonts w:hint="default" w:ascii="Times New Roman" w:hAnsi="Times New Roman" w:eastAsia="宋体" w:cs="Times New Roman"/>
                      <w:b/>
                      <w:bCs/>
                      <w:color w:val="000000"/>
                      <w:kern w:val="2"/>
                      <w:sz w:val="22"/>
                      <w:szCs w:val="22"/>
                      <w:highlight w:val="none"/>
                      <w:lang w:val="en-US" w:eastAsia="zh-CN"/>
                    </w:rPr>
                    <w:t>目</w:t>
                  </w:r>
                </w:p>
              </w:tc>
              <w:tc>
                <w:tcPr>
                  <w:tcW w:w="850" w:type="pct"/>
                  <w:tcBorders>
                    <w:tl2br w:val="nil"/>
                    <w:tr2bl w:val="nil"/>
                  </w:tcBorders>
                  <w:noWrap w:val="0"/>
                  <w:tcMar>
                    <w:top w:w="57" w:type="dxa"/>
                    <w:left w:w="57" w:type="dxa"/>
                    <w:bottom w:w="57" w:type="dxa"/>
                    <w:right w:w="57" w:type="dxa"/>
                  </w:tcMar>
                  <w:vAlign w:val="center"/>
                </w:tcPr>
                <w:p w14:paraId="2078EFE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color w:val="000000"/>
                      <w:kern w:val="2"/>
                      <w:sz w:val="22"/>
                      <w:szCs w:val="22"/>
                      <w:highlight w:val="none"/>
                      <w:lang w:val="en-US" w:eastAsia="zh-CN"/>
                    </w:rPr>
                  </w:pPr>
                  <w:r>
                    <w:rPr>
                      <w:rFonts w:hint="default" w:ascii="Times New Roman" w:hAnsi="Times New Roman" w:eastAsia="宋体" w:cs="Times New Roman"/>
                      <w:b/>
                      <w:bCs/>
                      <w:color w:val="000000"/>
                      <w:kern w:val="2"/>
                      <w:sz w:val="22"/>
                      <w:szCs w:val="22"/>
                      <w:highlight w:val="none"/>
                      <w:lang w:val="en-US" w:eastAsia="zh-CN"/>
                    </w:rPr>
                    <w:t>监测</w:t>
                  </w:r>
                  <w:r>
                    <w:rPr>
                      <w:rFonts w:hint="eastAsia" w:ascii="宋体" w:hAnsi="宋体" w:eastAsia="宋体" w:cs="宋体"/>
                      <w:b/>
                      <w:bCs/>
                      <w:color w:val="000000"/>
                      <w:kern w:val="2"/>
                      <w:sz w:val="22"/>
                      <w:szCs w:val="22"/>
                      <w:highlight w:val="none"/>
                      <w:lang w:val="en-US" w:eastAsia="zh-CN"/>
                    </w:rPr>
                    <w:t>频次</w:t>
                  </w:r>
                </w:p>
              </w:tc>
              <w:tc>
                <w:tcPr>
                  <w:tcW w:w="1350" w:type="pct"/>
                  <w:tcBorders>
                    <w:tl2br w:val="nil"/>
                    <w:tr2bl w:val="nil"/>
                  </w:tcBorders>
                  <w:noWrap w:val="0"/>
                  <w:tcMar>
                    <w:top w:w="57" w:type="dxa"/>
                    <w:left w:w="57" w:type="dxa"/>
                    <w:bottom w:w="57" w:type="dxa"/>
                    <w:right w:w="57" w:type="dxa"/>
                  </w:tcMar>
                  <w:vAlign w:val="center"/>
                </w:tcPr>
                <w:p w14:paraId="0C990EE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default" w:ascii="Times New Roman" w:hAnsi="Times New Roman" w:eastAsia="宋体" w:cs="Times New Roman"/>
                      <w:b/>
                      <w:bCs/>
                      <w:color w:val="000000"/>
                      <w:kern w:val="2"/>
                      <w:sz w:val="22"/>
                      <w:szCs w:val="22"/>
                      <w:highlight w:val="none"/>
                      <w:lang w:val="en-US" w:eastAsia="zh-CN"/>
                    </w:rPr>
                    <w:t>执</w:t>
                  </w:r>
                  <w:r>
                    <w:rPr>
                      <w:rFonts w:hint="eastAsia" w:ascii="宋体" w:hAnsi="宋体" w:eastAsia="宋体" w:cs="宋体"/>
                      <w:b/>
                      <w:bCs/>
                      <w:color w:val="000000"/>
                      <w:kern w:val="2"/>
                      <w:sz w:val="22"/>
                      <w:szCs w:val="22"/>
                      <w:highlight w:val="none"/>
                      <w:lang w:val="en-US" w:eastAsia="zh-CN"/>
                    </w:rPr>
                    <w:t>行</w:t>
                  </w:r>
                  <w:r>
                    <w:rPr>
                      <w:rFonts w:hint="default" w:ascii="Times New Roman" w:hAnsi="Times New Roman" w:eastAsia="宋体" w:cs="Times New Roman"/>
                      <w:b/>
                      <w:bCs/>
                      <w:color w:val="000000"/>
                      <w:kern w:val="2"/>
                      <w:sz w:val="22"/>
                      <w:szCs w:val="22"/>
                      <w:highlight w:val="none"/>
                      <w:lang w:val="en-US" w:eastAsia="zh-CN"/>
                    </w:rPr>
                    <w:t>标准</w:t>
                  </w:r>
                </w:p>
              </w:tc>
            </w:tr>
            <w:tr w14:paraId="27D0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53" w:type="pct"/>
                  <w:tcBorders>
                    <w:tl2br w:val="nil"/>
                    <w:tr2bl w:val="nil"/>
                  </w:tcBorders>
                  <w:noWrap w:val="0"/>
                  <w:tcMar>
                    <w:top w:w="57" w:type="dxa"/>
                    <w:left w:w="57" w:type="dxa"/>
                    <w:bottom w:w="57" w:type="dxa"/>
                    <w:right w:w="57" w:type="dxa"/>
                  </w:tcMar>
                  <w:vAlign w:val="center"/>
                </w:tcPr>
                <w:p w14:paraId="476BD51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N1</w:t>
                  </w:r>
                </w:p>
              </w:tc>
              <w:tc>
                <w:tcPr>
                  <w:tcW w:w="1178" w:type="pct"/>
                  <w:tcBorders>
                    <w:tl2br w:val="nil"/>
                    <w:tr2bl w:val="nil"/>
                  </w:tcBorders>
                  <w:noWrap w:val="0"/>
                  <w:tcMar>
                    <w:top w:w="57" w:type="dxa"/>
                    <w:left w:w="57" w:type="dxa"/>
                    <w:bottom w:w="57" w:type="dxa"/>
                    <w:right w:w="57" w:type="dxa"/>
                  </w:tcMar>
                  <w:vAlign w:val="center"/>
                </w:tcPr>
                <w:p w14:paraId="1A8D4575">
                  <w:pPr>
                    <w:keepNext w:val="0"/>
                    <w:keepLines w:val="0"/>
                    <w:widowControl/>
                    <w:suppressLineNumbers w:val="0"/>
                    <w:jc w:val="center"/>
                    <w:textAlignment w:val="center"/>
                    <w:rPr>
                      <w:rFonts w:hint="default" w:ascii="宋体" w:hAnsi="宋体" w:eastAsia="宋体" w:cs="宋体"/>
                      <w:color w:val="000000"/>
                      <w:kern w:val="2"/>
                      <w:sz w:val="21"/>
                      <w:szCs w:val="21"/>
                      <w:highlight w:val="none"/>
                      <w:lang w:val="en-US" w:eastAsia="zh-CN"/>
                    </w:rPr>
                  </w:pPr>
                  <w:r>
                    <w:rPr>
                      <w:rFonts w:hint="eastAsia" w:ascii="宋体" w:hAnsi="宋体" w:cs="宋体"/>
                      <w:i w:val="0"/>
                      <w:iCs w:val="0"/>
                      <w:color w:val="000000"/>
                      <w:sz w:val="21"/>
                      <w:szCs w:val="21"/>
                      <w:u w:val="none"/>
                      <w:lang w:val="en-US" w:eastAsia="zh-CN"/>
                    </w:rPr>
                    <w:t>东厂界</w:t>
                  </w:r>
                </w:p>
              </w:tc>
              <w:tc>
                <w:tcPr>
                  <w:tcW w:w="866" w:type="pct"/>
                  <w:vMerge w:val="restart"/>
                  <w:tcBorders>
                    <w:tl2br w:val="nil"/>
                    <w:tr2bl w:val="nil"/>
                  </w:tcBorders>
                  <w:noWrap w:val="0"/>
                  <w:tcMar>
                    <w:top w:w="57" w:type="dxa"/>
                    <w:left w:w="57" w:type="dxa"/>
                    <w:bottom w:w="57" w:type="dxa"/>
                    <w:right w:w="57" w:type="dxa"/>
                  </w:tcMar>
                  <w:vAlign w:val="center"/>
                </w:tcPr>
                <w:p w14:paraId="6C835E3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连续等效A声级Leq</w:t>
                  </w:r>
                </w:p>
              </w:tc>
              <w:tc>
                <w:tcPr>
                  <w:tcW w:w="850" w:type="pct"/>
                  <w:vMerge w:val="restart"/>
                  <w:tcBorders>
                    <w:tl2br w:val="nil"/>
                    <w:tr2bl w:val="nil"/>
                  </w:tcBorders>
                  <w:noWrap w:val="0"/>
                  <w:tcMar>
                    <w:top w:w="57" w:type="dxa"/>
                    <w:left w:w="57" w:type="dxa"/>
                    <w:bottom w:w="57" w:type="dxa"/>
                    <w:right w:w="57" w:type="dxa"/>
                  </w:tcMar>
                  <w:vAlign w:val="center"/>
                </w:tcPr>
                <w:p w14:paraId="2C8C32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1次/</w:t>
                  </w:r>
                  <w:r>
                    <w:rPr>
                      <w:rFonts w:hint="eastAsia" w:ascii="Times New Roman" w:hAnsi="Times New Roman" w:eastAsia="宋体" w:cs="Times New Roman"/>
                      <w:color w:val="000000"/>
                      <w:kern w:val="2"/>
                      <w:sz w:val="21"/>
                      <w:szCs w:val="21"/>
                      <w:highlight w:val="none"/>
                      <w:lang w:val="en-US" w:eastAsia="zh-CN"/>
                    </w:rPr>
                    <w:t>季度</w:t>
                  </w:r>
                </w:p>
              </w:tc>
              <w:tc>
                <w:tcPr>
                  <w:tcW w:w="1350" w:type="pct"/>
                  <w:vMerge w:val="restart"/>
                  <w:tcBorders>
                    <w:tl2br w:val="nil"/>
                    <w:tr2bl w:val="nil"/>
                  </w:tcBorders>
                  <w:noWrap w:val="0"/>
                  <w:tcMar>
                    <w:top w:w="57" w:type="dxa"/>
                    <w:left w:w="57" w:type="dxa"/>
                    <w:bottom w:w="57" w:type="dxa"/>
                    <w:right w:w="57" w:type="dxa"/>
                  </w:tcMar>
                  <w:vAlign w:val="center"/>
                </w:tcPr>
                <w:p w14:paraId="440477A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Times New Roman" w:hAnsi="Times New Roman" w:eastAsia="宋体" w:cs="Times New Roman"/>
                      <w:b w:val="0"/>
                      <w:bCs w:val="0"/>
                      <w:sz w:val="21"/>
                      <w:szCs w:val="21"/>
                      <w:lang w:val="en-US" w:eastAsia="zh-CN"/>
                    </w:rPr>
                    <w:t>《工业企业厂界环境噪声排放标准》</w:t>
                  </w:r>
                  <w:r>
                    <w:rPr>
                      <w:rFonts w:hint="eastAsia" w:ascii="宋体" w:hAnsi="宋体" w:eastAsia="宋体" w:cs="宋体"/>
                      <w:b w:val="0"/>
                      <w:bCs w:val="0"/>
                      <w:sz w:val="21"/>
                      <w:szCs w:val="21"/>
                      <w:lang w:val="en-US" w:eastAsia="zh-CN"/>
                    </w:rPr>
                    <w:t>（</w:t>
                  </w:r>
                  <w:r>
                    <w:rPr>
                      <w:rFonts w:hint="default" w:ascii="Times New Roman" w:hAnsi="Times New Roman" w:eastAsia="宋体" w:cs="Times New Roman"/>
                      <w:b w:val="0"/>
                      <w:bCs w:val="0"/>
                      <w:sz w:val="21"/>
                      <w:szCs w:val="21"/>
                      <w:lang w:val="en-US" w:eastAsia="zh-CN"/>
                    </w:rPr>
                    <w:t>GB12348</w:t>
                  </w:r>
                  <w:r>
                    <w:rPr>
                      <w:rFonts w:hint="eastAsia" w:ascii="宋体" w:hAnsi="宋体" w:eastAsia="宋体" w:cs="宋体"/>
                      <w:b w:val="0"/>
                      <w:bCs w:val="0"/>
                      <w:sz w:val="21"/>
                      <w:szCs w:val="21"/>
                      <w:lang w:val="en-US" w:eastAsia="zh-CN"/>
                    </w:rPr>
                    <w:t>-</w:t>
                  </w:r>
                  <w:r>
                    <w:rPr>
                      <w:rFonts w:hint="default" w:ascii="Times New Roman" w:hAnsi="Times New Roman" w:eastAsia="宋体" w:cs="Times New Roman"/>
                      <w:b w:val="0"/>
                      <w:bCs w:val="0"/>
                      <w:sz w:val="21"/>
                      <w:szCs w:val="21"/>
                      <w:lang w:val="en-US" w:eastAsia="zh-CN"/>
                    </w:rPr>
                    <w:t>2008</w:t>
                  </w:r>
                  <w:r>
                    <w:rPr>
                      <w:rFonts w:hint="eastAsia" w:ascii="Times New Roman" w:hAnsi="Times New Roman" w:eastAsia="宋体" w:cs="Times New Roman"/>
                      <w:b w:val="0"/>
                      <w:bCs w:val="0"/>
                      <w:sz w:val="21"/>
                      <w:szCs w:val="21"/>
                      <w:lang w:val="en-US" w:eastAsia="zh-CN"/>
                    </w:rPr>
                    <w:t>）中</w:t>
                  </w:r>
                  <w:r>
                    <w:rPr>
                      <w:rFonts w:hint="eastAsia" w:cs="Times New Roman"/>
                      <w:b w:val="0"/>
                      <w:bCs w:val="0"/>
                      <w:sz w:val="21"/>
                      <w:szCs w:val="21"/>
                      <w:lang w:val="en-US" w:eastAsia="zh-CN"/>
                    </w:rPr>
                    <w:t>3</w:t>
                  </w:r>
                  <w:r>
                    <w:rPr>
                      <w:rFonts w:hint="eastAsia" w:ascii="Times New Roman" w:hAnsi="Times New Roman" w:eastAsia="宋体" w:cs="Times New Roman"/>
                      <w:b w:val="0"/>
                      <w:bCs w:val="0"/>
                      <w:sz w:val="21"/>
                      <w:szCs w:val="21"/>
                      <w:lang w:val="en-US" w:eastAsia="zh-CN"/>
                    </w:rPr>
                    <w:t>类</w:t>
                  </w:r>
                  <w:r>
                    <w:rPr>
                      <w:rFonts w:hint="eastAsia" w:ascii="宋体" w:hAnsi="宋体" w:eastAsia="宋体" w:cs="宋体"/>
                      <w:b w:val="0"/>
                      <w:bCs w:val="0"/>
                      <w:sz w:val="21"/>
                      <w:szCs w:val="21"/>
                      <w:lang w:val="en-US" w:eastAsia="zh-CN"/>
                    </w:rPr>
                    <w:t>标准</w:t>
                  </w:r>
                </w:p>
              </w:tc>
            </w:tr>
            <w:tr w14:paraId="0A0F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53" w:type="pct"/>
                  <w:tcBorders>
                    <w:tl2br w:val="nil"/>
                    <w:tr2bl w:val="nil"/>
                  </w:tcBorders>
                  <w:noWrap w:val="0"/>
                  <w:tcMar>
                    <w:top w:w="57" w:type="dxa"/>
                    <w:left w:w="57" w:type="dxa"/>
                    <w:bottom w:w="57" w:type="dxa"/>
                    <w:right w:w="57" w:type="dxa"/>
                  </w:tcMar>
                  <w:vAlign w:val="center"/>
                </w:tcPr>
                <w:p w14:paraId="0791039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N2</w:t>
                  </w:r>
                </w:p>
              </w:tc>
              <w:tc>
                <w:tcPr>
                  <w:tcW w:w="1178" w:type="pct"/>
                  <w:tcBorders>
                    <w:tl2br w:val="nil"/>
                    <w:tr2bl w:val="nil"/>
                  </w:tcBorders>
                  <w:noWrap w:val="0"/>
                  <w:tcMar>
                    <w:top w:w="57" w:type="dxa"/>
                    <w:left w:w="57" w:type="dxa"/>
                    <w:bottom w:w="57" w:type="dxa"/>
                    <w:right w:w="57" w:type="dxa"/>
                  </w:tcMar>
                  <w:vAlign w:val="center"/>
                </w:tcPr>
                <w:p w14:paraId="2DFF004F">
                  <w:pPr>
                    <w:keepNext w:val="0"/>
                    <w:keepLines w:val="0"/>
                    <w:widowControl/>
                    <w:suppressLineNumbers w:val="0"/>
                    <w:jc w:val="center"/>
                    <w:textAlignment w:val="center"/>
                    <w:rPr>
                      <w:rFonts w:hint="default" w:ascii="宋体" w:hAnsi="宋体" w:eastAsia="宋体" w:cs="宋体"/>
                      <w:color w:val="000000"/>
                      <w:kern w:val="2"/>
                      <w:sz w:val="21"/>
                      <w:szCs w:val="21"/>
                      <w:highlight w:val="none"/>
                      <w:lang w:val="en-US" w:eastAsia="zh-CN"/>
                    </w:rPr>
                  </w:pPr>
                  <w:r>
                    <w:rPr>
                      <w:rFonts w:hint="eastAsia" w:ascii="宋体" w:hAnsi="宋体" w:cs="宋体"/>
                      <w:i w:val="0"/>
                      <w:iCs w:val="0"/>
                      <w:color w:val="000000"/>
                      <w:sz w:val="21"/>
                      <w:szCs w:val="21"/>
                      <w:u w:val="none"/>
                      <w:lang w:val="en-US" w:eastAsia="zh-CN"/>
                    </w:rPr>
                    <w:t>南厂界</w:t>
                  </w:r>
                </w:p>
              </w:tc>
              <w:tc>
                <w:tcPr>
                  <w:tcW w:w="866" w:type="pct"/>
                  <w:vMerge w:val="continue"/>
                  <w:tcBorders>
                    <w:tl2br w:val="nil"/>
                    <w:tr2bl w:val="nil"/>
                  </w:tcBorders>
                  <w:noWrap w:val="0"/>
                  <w:tcMar>
                    <w:top w:w="57" w:type="dxa"/>
                    <w:left w:w="57" w:type="dxa"/>
                    <w:bottom w:w="57" w:type="dxa"/>
                    <w:right w:w="57" w:type="dxa"/>
                  </w:tcMar>
                  <w:vAlign w:val="center"/>
                </w:tcPr>
                <w:p w14:paraId="4FBB32B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21"/>
                      <w:szCs w:val="21"/>
                      <w:highlight w:val="none"/>
                    </w:rPr>
                  </w:pPr>
                </w:p>
              </w:tc>
              <w:tc>
                <w:tcPr>
                  <w:tcW w:w="850" w:type="pct"/>
                  <w:vMerge w:val="continue"/>
                  <w:tcBorders>
                    <w:tl2br w:val="nil"/>
                    <w:tr2bl w:val="nil"/>
                  </w:tcBorders>
                  <w:noWrap w:val="0"/>
                  <w:tcMar>
                    <w:top w:w="57" w:type="dxa"/>
                    <w:left w:w="57" w:type="dxa"/>
                    <w:bottom w:w="57" w:type="dxa"/>
                    <w:right w:w="57" w:type="dxa"/>
                  </w:tcMar>
                  <w:vAlign w:val="center"/>
                </w:tcPr>
                <w:p w14:paraId="0BF65F6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21"/>
                      <w:szCs w:val="21"/>
                      <w:highlight w:val="none"/>
                    </w:rPr>
                  </w:pPr>
                </w:p>
              </w:tc>
              <w:tc>
                <w:tcPr>
                  <w:tcW w:w="1350" w:type="pct"/>
                  <w:vMerge w:val="continue"/>
                  <w:tcBorders>
                    <w:tl2br w:val="nil"/>
                    <w:tr2bl w:val="nil"/>
                  </w:tcBorders>
                  <w:noWrap w:val="0"/>
                  <w:tcMar>
                    <w:top w:w="57" w:type="dxa"/>
                    <w:left w:w="57" w:type="dxa"/>
                    <w:bottom w:w="57" w:type="dxa"/>
                    <w:right w:w="57" w:type="dxa"/>
                  </w:tcMar>
                  <w:vAlign w:val="center"/>
                </w:tcPr>
                <w:p w14:paraId="21069E7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21"/>
                      <w:szCs w:val="21"/>
                      <w:highlight w:val="none"/>
                    </w:rPr>
                  </w:pPr>
                </w:p>
              </w:tc>
            </w:tr>
            <w:tr w14:paraId="6BEE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53" w:type="pct"/>
                  <w:tcBorders>
                    <w:tl2br w:val="nil"/>
                    <w:tr2bl w:val="nil"/>
                  </w:tcBorders>
                  <w:noWrap w:val="0"/>
                  <w:tcMar>
                    <w:top w:w="57" w:type="dxa"/>
                    <w:left w:w="57" w:type="dxa"/>
                    <w:bottom w:w="57" w:type="dxa"/>
                    <w:right w:w="57" w:type="dxa"/>
                  </w:tcMar>
                  <w:vAlign w:val="center"/>
                </w:tcPr>
                <w:p w14:paraId="14B261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N3</w:t>
                  </w:r>
                </w:p>
              </w:tc>
              <w:tc>
                <w:tcPr>
                  <w:tcW w:w="1178" w:type="pct"/>
                  <w:tcBorders>
                    <w:tl2br w:val="nil"/>
                    <w:tr2bl w:val="nil"/>
                  </w:tcBorders>
                  <w:noWrap w:val="0"/>
                  <w:tcMar>
                    <w:top w:w="57" w:type="dxa"/>
                    <w:left w:w="57" w:type="dxa"/>
                    <w:bottom w:w="57" w:type="dxa"/>
                    <w:right w:w="57" w:type="dxa"/>
                  </w:tcMar>
                  <w:vAlign w:val="center"/>
                </w:tcPr>
                <w:p w14:paraId="4B8E75EE">
                  <w:pPr>
                    <w:keepNext w:val="0"/>
                    <w:keepLines w:val="0"/>
                    <w:widowControl/>
                    <w:suppressLineNumbers w:val="0"/>
                    <w:jc w:val="center"/>
                    <w:textAlignment w:val="center"/>
                    <w:rPr>
                      <w:rFonts w:hint="default" w:ascii="宋体" w:hAnsi="宋体" w:eastAsia="宋体" w:cs="宋体"/>
                      <w:color w:val="000000"/>
                      <w:kern w:val="2"/>
                      <w:sz w:val="21"/>
                      <w:szCs w:val="21"/>
                      <w:highlight w:val="none"/>
                      <w:lang w:val="en-US" w:eastAsia="zh-CN"/>
                    </w:rPr>
                  </w:pPr>
                  <w:r>
                    <w:rPr>
                      <w:rFonts w:hint="eastAsia" w:ascii="宋体" w:hAnsi="宋体" w:cs="宋体"/>
                      <w:i w:val="0"/>
                      <w:iCs w:val="0"/>
                      <w:color w:val="000000"/>
                      <w:sz w:val="21"/>
                      <w:szCs w:val="21"/>
                      <w:u w:val="none"/>
                      <w:lang w:val="en-US" w:eastAsia="zh-CN"/>
                    </w:rPr>
                    <w:t>西厂界</w:t>
                  </w:r>
                </w:p>
              </w:tc>
              <w:tc>
                <w:tcPr>
                  <w:tcW w:w="866" w:type="pct"/>
                  <w:vMerge w:val="continue"/>
                  <w:tcBorders>
                    <w:tl2br w:val="nil"/>
                    <w:tr2bl w:val="nil"/>
                  </w:tcBorders>
                  <w:noWrap w:val="0"/>
                  <w:tcMar>
                    <w:top w:w="57" w:type="dxa"/>
                    <w:left w:w="57" w:type="dxa"/>
                    <w:bottom w:w="57" w:type="dxa"/>
                    <w:right w:w="57" w:type="dxa"/>
                  </w:tcMar>
                  <w:vAlign w:val="center"/>
                </w:tcPr>
                <w:p w14:paraId="02E7499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21"/>
                      <w:szCs w:val="21"/>
                      <w:highlight w:val="none"/>
                    </w:rPr>
                  </w:pPr>
                </w:p>
              </w:tc>
              <w:tc>
                <w:tcPr>
                  <w:tcW w:w="850" w:type="pct"/>
                  <w:vMerge w:val="continue"/>
                  <w:tcBorders>
                    <w:tl2br w:val="nil"/>
                    <w:tr2bl w:val="nil"/>
                  </w:tcBorders>
                  <w:noWrap w:val="0"/>
                  <w:tcMar>
                    <w:top w:w="57" w:type="dxa"/>
                    <w:left w:w="57" w:type="dxa"/>
                    <w:bottom w:w="57" w:type="dxa"/>
                    <w:right w:w="57" w:type="dxa"/>
                  </w:tcMar>
                  <w:vAlign w:val="center"/>
                </w:tcPr>
                <w:p w14:paraId="51ED542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21"/>
                      <w:szCs w:val="21"/>
                      <w:highlight w:val="none"/>
                    </w:rPr>
                  </w:pPr>
                </w:p>
              </w:tc>
              <w:tc>
                <w:tcPr>
                  <w:tcW w:w="1350" w:type="pct"/>
                  <w:vMerge w:val="continue"/>
                  <w:tcBorders>
                    <w:tl2br w:val="nil"/>
                    <w:tr2bl w:val="nil"/>
                  </w:tcBorders>
                  <w:noWrap w:val="0"/>
                  <w:tcMar>
                    <w:top w:w="57" w:type="dxa"/>
                    <w:left w:w="57" w:type="dxa"/>
                    <w:bottom w:w="57" w:type="dxa"/>
                    <w:right w:w="57" w:type="dxa"/>
                  </w:tcMar>
                  <w:vAlign w:val="center"/>
                </w:tcPr>
                <w:p w14:paraId="5E934F1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21"/>
                      <w:szCs w:val="21"/>
                      <w:highlight w:val="none"/>
                    </w:rPr>
                  </w:pPr>
                </w:p>
              </w:tc>
            </w:tr>
            <w:tr w14:paraId="1856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53" w:type="pct"/>
                  <w:tcBorders>
                    <w:tl2br w:val="nil"/>
                    <w:tr2bl w:val="nil"/>
                  </w:tcBorders>
                  <w:noWrap w:val="0"/>
                  <w:tcMar>
                    <w:top w:w="57" w:type="dxa"/>
                    <w:left w:w="57" w:type="dxa"/>
                    <w:bottom w:w="57" w:type="dxa"/>
                    <w:right w:w="57" w:type="dxa"/>
                  </w:tcMar>
                  <w:vAlign w:val="center"/>
                </w:tcPr>
                <w:p w14:paraId="51DA775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N4</w:t>
                  </w:r>
                </w:p>
              </w:tc>
              <w:tc>
                <w:tcPr>
                  <w:tcW w:w="1178" w:type="pct"/>
                  <w:tcBorders>
                    <w:tl2br w:val="nil"/>
                    <w:tr2bl w:val="nil"/>
                  </w:tcBorders>
                  <w:noWrap w:val="0"/>
                  <w:tcMar>
                    <w:top w:w="57" w:type="dxa"/>
                    <w:left w:w="57" w:type="dxa"/>
                    <w:bottom w:w="57" w:type="dxa"/>
                    <w:right w:w="57" w:type="dxa"/>
                  </w:tcMar>
                  <w:vAlign w:val="center"/>
                </w:tcPr>
                <w:p w14:paraId="117E20DC">
                  <w:pPr>
                    <w:keepNext w:val="0"/>
                    <w:keepLines w:val="0"/>
                    <w:widowControl/>
                    <w:suppressLineNumbers w:val="0"/>
                    <w:jc w:val="center"/>
                    <w:textAlignment w:val="center"/>
                    <w:rPr>
                      <w:rFonts w:hint="default" w:ascii="宋体" w:hAnsi="宋体" w:eastAsia="宋体" w:cs="宋体"/>
                      <w:color w:val="000000"/>
                      <w:kern w:val="2"/>
                      <w:sz w:val="21"/>
                      <w:szCs w:val="21"/>
                      <w:highlight w:val="none"/>
                      <w:lang w:val="en-US" w:eastAsia="zh-CN"/>
                    </w:rPr>
                  </w:pPr>
                  <w:r>
                    <w:rPr>
                      <w:rFonts w:hint="eastAsia" w:ascii="宋体" w:hAnsi="宋体" w:cs="宋体"/>
                      <w:i w:val="0"/>
                      <w:iCs w:val="0"/>
                      <w:color w:val="000000"/>
                      <w:sz w:val="21"/>
                      <w:szCs w:val="21"/>
                      <w:u w:val="none"/>
                      <w:lang w:val="en-US" w:eastAsia="zh-CN"/>
                    </w:rPr>
                    <w:t>北厂界</w:t>
                  </w:r>
                </w:p>
              </w:tc>
              <w:tc>
                <w:tcPr>
                  <w:tcW w:w="866" w:type="pct"/>
                  <w:vMerge w:val="continue"/>
                  <w:tcBorders>
                    <w:tl2br w:val="nil"/>
                    <w:tr2bl w:val="nil"/>
                  </w:tcBorders>
                  <w:noWrap w:val="0"/>
                  <w:tcMar>
                    <w:top w:w="57" w:type="dxa"/>
                    <w:left w:w="57" w:type="dxa"/>
                    <w:bottom w:w="57" w:type="dxa"/>
                    <w:right w:w="57" w:type="dxa"/>
                  </w:tcMar>
                  <w:vAlign w:val="center"/>
                </w:tcPr>
                <w:p w14:paraId="0EC8114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21"/>
                      <w:szCs w:val="21"/>
                      <w:highlight w:val="none"/>
                    </w:rPr>
                  </w:pPr>
                </w:p>
              </w:tc>
              <w:tc>
                <w:tcPr>
                  <w:tcW w:w="850" w:type="pct"/>
                  <w:vMerge w:val="continue"/>
                  <w:tcBorders>
                    <w:tl2br w:val="nil"/>
                    <w:tr2bl w:val="nil"/>
                  </w:tcBorders>
                  <w:noWrap w:val="0"/>
                  <w:tcMar>
                    <w:top w:w="57" w:type="dxa"/>
                    <w:left w:w="57" w:type="dxa"/>
                    <w:bottom w:w="57" w:type="dxa"/>
                    <w:right w:w="57" w:type="dxa"/>
                  </w:tcMar>
                  <w:vAlign w:val="center"/>
                </w:tcPr>
                <w:p w14:paraId="30FEB4C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21"/>
                      <w:szCs w:val="21"/>
                      <w:highlight w:val="none"/>
                    </w:rPr>
                  </w:pPr>
                </w:p>
              </w:tc>
              <w:tc>
                <w:tcPr>
                  <w:tcW w:w="1350" w:type="pct"/>
                  <w:vMerge w:val="continue"/>
                  <w:tcBorders>
                    <w:tl2br w:val="nil"/>
                    <w:tr2bl w:val="nil"/>
                  </w:tcBorders>
                  <w:noWrap w:val="0"/>
                  <w:tcMar>
                    <w:top w:w="57" w:type="dxa"/>
                    <w:left w:w="57" w:type="dxa"/>
                    <w:bottom w:w="57" w:type="dxa"/>
                    <w:right w:w="57" w:type="dxa"/>
                  </w:tcMar>
                  <w:vAlign w:val="center"/>
                </w:tcPr>
                <w:p w14:paraId="28D970F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sz w:val="21"/>
                      <w:szCs w:val="21"/>
                      <w:highlight w:val="none"/>
                    </w:rPr>
                  </w:pPr>
                </w:p>
              </w:tc>
            </w:tr>
          </w:tbl>
          <w:p w14:paraId="5815B026">
            <w:pPr>
              <w:bidi w:val="0"/>
              <w:rPr>
                <w:rFonts w:hint="default"/>
                <w:lang w:val="en-US" w:eastAsia="zh-CN"/>
              </w:rPr>
            </w:pPr>
            <w:r>
              <w:rPr>
                <w:rFonts w:hint="eastAsia"/>
                <w:lang w:val="en-US" w:eastAsia="zh-CN"/>
              </w:rPr>
              <w:t xml:space="preserve"> </w:t>
            </w:r>
          </w:p>
          <w:p w14:paraId="13DF4C99">
            <w:pPr>
              <w:autoSpaceDE w:val="0"/>
              <w:autoSpaceDN w:val="0"/>
              <w:adjustRightInd w:val="0"/>
              <w:snapToGrid w:val="0"/>
              <w:spacing w:line="360" w:lineRule="auto"/>
              <w:jc w:val="left"/>
              <w:rPr>
                <w:rFonts w:hint="eastAsia" w:ascii="宋体" w:hAnsi="宋体" w:cs="宋体"/>
                <w:kern w:val="0"/>
                <w:sz w:val="24"/>
                <w:szCs w:val="24"/>
                <w:lang w:eastAsia="zh-CN"/>
              </w:rPr>
            </w:pPr>
            <w:r>
              <w:rPr>
                <w:rFonts w:hint="eastAsia"/>
                <w:b/>
                <w:bCs/>
                <w:sz w:val="24"/>
                <w:lang w:val="en-US" w:eastAsia="zh-CN"/>
              </w:rPr>
              <w:t>4、固体废物</w:t>
            </w:r>
          </w:p>
          <w:p w14:paraId="269EA2D7">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本项目固体废物主要包括金属边角料、焊渣、废钢砂、除尘器粉尘、废油漆桶、废矿物油、废切削液、废过滤棉、废活性炭、生活垃圾等。</w:t>
            </w:r>
          </w:p>
          <w:p w14:paraId="44E4FFB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（1）金属边角料</w:t>
            </w:r>
          </w:p>
          <w:p w14:paraId="4DCAEECF">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技改后项目使用钢材原料在下料、机加工过程中会产生部分金属边角料，产生量约为原料的10%，技改后全厂钢材用量为4330t/a，则金属边角料产生量为433t/a。对照《固体废物分类与代码目录》（2024版）文件，金属边角料属于SW17可再生类废物—非特定行业—废钢铁，固废代码为900-001-S17。暂存于生产区一般工业固体废物暂存间，定期外售。</w:t>
            </w:r>
          </w:p>
          <w:p w14:paraId="1014C67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（2）焊渣</w:t>
            </w:r>
          </w:p>
          <w:p w14:paraId="0357124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技改后项目在焊接工序中会产生焊渣，产生量约为原料的15%，技改后焊条和焊丝用量为16t/a，则焊渣产生量为2.4t/a。对照《固体废物分类与代码目录》（2024版）文件，收集的焊渣属于SW59其他工业固体废物—非特定行业—其他工业生产过程中产生的固体废物，固废代码为900-099-S59。焊渣定期清理后暂存于生产区一般工业固体废物暂存间，定期外售。</w:t>
            </w:r>
          </w:p>
          <w:p w14:paraId="7C7B0A3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（3）废钢丸</w:t>
            </w:r>
          </w:p>
          <w:p w14:paraId="3902294A">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技改后项目抛丸工序会用到钢丸，用量为60t/a，废钢丸产生量约为原料的5%，则废钢丸产生量为3t/a。对照《固体废物分类与代码目录》（2024版）文件，金属边角料属于SW17可再生类废物—非特定行业—废钢铁，固废代码为900-001-S17。暂存于生产区一般工业固体废物暂存间，定期外售。</w:t>
            </w:r>
          </w:p>
          <w:p w14:paraId="7D27568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（4）除尘器粉尘</w:t>
            </w:r>
          </w:p>
          <w:p w14:paraId="0A813CC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技改后项目抛丸工序产生的粉尘采用进行处理。根据前文分析，除尘器收集的粉尘量约为12.76t/a。对照《固体废物分类与代码目录》（2024版）文件，除尘器收集的粉尘属于SW59其他工业固体废物—非特定行业—其他工业生产过程中产生的固体废物，固废代码为900-099-S59。收集的粉尘暂存于生产区一般工业固体废物暂存间，定期外售。</w:t>
            </w:r>
          </w:p>
          <w:p w14:paraId="344AFD64">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（5）废油漆桶</w:t>
            </w:r>
          </w:p>
          <w:p w14:paraId="7BE8374E">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技改后项目刷漆工序会产生废油漆桶，产生量约370个，单个空桶质量约为0.5kg，则产生的废油漆桶为0.19t/a。废油漆桶属于《国家危险废物名录》（2025年版）中HW49其他废物，危废代码为900-041-49。废油漆桶暂存于危废暂存间，定期委托有资质单位处置。</w:t>
            </w:r>
          </w:p>
          <w:p w14:paraId="439C04E4">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（6）废矿物油</w:t>
            </w:r>
          </w:p>
          <w:p w14:paraId="536A5F1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技改后项目机油用量约0.8t/a，液压油用量约2.5t/a，机油在机器内自然损耗，液压油定期更换，根据企业提供资料，其废矿物油产生量约为2t/a。废矿物油属于《国家危险废物名录》（2025年版）中HW08废矿物油与含矿物油废物，危废代码为900-249-08。机器内液压油定期更换，废液压油暂存于厂区内危险废物暂存库，定期交由有资质单位处理。</w:t>
            </w:r>
          </w:p>
          <w:p w14:paraId="48377C5C">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（7）废切削液</w:t>
            </w:r>
          </w:p>
          <w:p w14:paraId="5A94C16A">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技改后项目切削液用量约0.2t/a，废切削液产生量约为0.1t/a。废切削液属于《国家危险废物名录》（2025年版）中HW09油/水、烃/水混合物或者乳化液，危废代码为900-007-09。废乳化液暂存于厂区内危险废物暂存库，定期交由有资质单位处理。</w:t>
            </w:r>
          </w:p>
          <w:p w14:paraId="0F46831C">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（8）废过滤棉</w:t>
            </w:r>
          </w:p>
          <w:p w14:paraId="73CA0A0E">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本项目刷漆晾干过程中产生的有机废气通过过滤棉+活性炭吸附处理，根据建设单位提供的资料，废过滤棉产生量约为0.05t/a。沾染漆雾的废过滤棉属于《国家危险废物名录》（2025年版）中HW49其他废物，危废代码为900-041-49。废过滤棉暂存于危废暂存间，定期委托有资质单位处置。</w:t>
            </w:r>
          </w:p>
          <w:p w14:paraId="09C611CA">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（9）废活性炭</w:t>
            </w:r>
          </w:p>
          <w:p w14:paraId="274E7937">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技改后项目刷漆晾干过程中产生的有机废气通过过滤棉+活性炭吸附处理，根据前文分析，进入活性炭吸附装置的有机废气量约1.25t/a，活性炭对于有机废气的吸附量约0.3t/t，则活性炭量消耗量为4.17t/a。活性炭吸附饱和后定期更换，产生废活性炭量为5.42t/a（含有机废气1.25t/a）。吸附有机废气的废活性炭属于《国家危险废物名录》（2025年版）中HW49其他废物，危废代码为900-039-49。活性炭定期更换，更换后委托有资质单位处置。</w:t>
            </w:r>
          </w:p>
          <w:p w14:paraId="2A903D5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（10）生活垃圾</w:t>
            </w:r>
          </w:p>
          <w:p w14:paraId="791047B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技改后项目员工生活垃圾产生量按0.5kg/d计，项目人数共100人，年运行300天，生活垃圾产生量15t/a。对照《固体废物分类与代码目录》（2024版）文件，生活垃圾属于SW64其他垃圾—非特定行业—其他生活垃圾，固废代码为900-099-S64。生活垃圾集中到垃圾桶内收集，交由环卫部门处置。</w:t>
            </w:r>
          </w:p>
          <w:p w14:paraId="7EA41F4B">
            <w:pPr>
              <w:autoSpaceDE w:val="0"/>
              <w:autoSpaceDN w:val="0"/>
              <w:adjustRightInd w:val="0"/>
              <w:snapToGrid w:val="0"/>
              <w:spacing w:line="360" w:lineRule="auto"/>
              <w:ind w:firstLine="480" w:firstLineChars="200"/>
              <w:jc w:val="both"/>
              <w:rPr>
                <w:rFonts w:hint="eastAsia" w:ascii="宋体" w:hAnsi="宋体" w:cs="宋体"/>
                <w:kern w:val="0"/>
                <w:sz w:val="24"/>
                <w:szCs w:val="24"/>
              </w:rPr>
            </w:pPr>
            <w:r>
              <w:rPr>
                <w:rFonts w:hint="eastAsia"/>
                <w:color w:val="000000"/>
                <w:kern w:val="0"/>
                <w:sz w:val="24"/>
                <w:lang w:val="en-US" w:eastAsia="zh-CN"/>
              </w:rPr>
              <w:t>本项目固体产生情况汇总表如下表所示。</w:t>
            </w:r>
          </w:p>
        </w:tc>
      </w:tr>
    </w:tbl>
    <w:p w14:paraId="1C2D5C8F">
      <w:pPr>
        <w:bidi w:val="0"/>
        <w:rPr>
          <w:rFonts w:hint="eastAsia"/>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5"/>
        <w:tblW w:w="13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3484"/>
      </w:tblGrid>
      <w:tr w14:paraId="6A82F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8" w:hRule="atLeast"/>
          <w:jc w:val="center"/>
        </w:trPr>
        <w:tc>
          <w:tcPr>
            <w:tcW w:w="464" w:type="dxa"/>
            <w:noWrap w:val="0"/>
            <w:tcMar>
              <w:left w:w="28" w:type="dxa"/>
              <w:right w:w="28" w:type="dxa"/>
            </w:tcMar>
            <w:vAlign w:val="center"/>
          </w:tcPr>
          <w:p w14:paraId="45D5EF02">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运营</w:t>
            </w:r>
          </w:p>
          <w:p w14:paraId="25C134A5">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期环</w:t>
            </w:r>
          </w:p>
          <w:p w14:paraId="6A24C3B7">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境影</w:t>
            </w:r>
          </w:p>
          <w:p w14:paraId="6A2E07F5">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响和</w:t>
            </w:r>
          </w:p>
          <w:p w14:paraId="213AF613">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保护</w:t>
            </w:r>
          </w:p>
          <w:p w14:paraId="72C54EF2">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措施</w:t>
            </w:r>
          </w:p>
        </w:tc>
        <w:tc>
          <w:tcPr>
            <w:tcW w:w="13484" w:type="dxa"/>
            <w:noWrap w:val="0"/>
            <w:vAlign w:val="center"/>
          </w:tcPr>
          <w:p w14:paraId="01D36C54">
            <w:pPr>
              <w:keepNext w:val="0"/>
              <w:keepLines w:val="0"/>
              <w:pageBreakBefore w:val="0"/>
              <w:widowControl/>
              <w:kinsoku/>
              <w:wordWrap/>
              <w:overflowPunct/>
              <w:topLinePunct w:val="0"/>
              <w:autoSpaceDE/>
              <w:autoSpaceDN/>
              <w:bidi w:val="0"/>
              <w:adjustRightInd/>
              <w:snapToGrid/>
              <w:spacing w:before="157" w:beforeLines="50"/>
              <w:jc w:val="center"/>
              <w:textAlignment w:val="auto"/>
              <w:rPr>
                <w:rFonts w:hint="eastAsia"/>
                <w:b w:val="0"/>
                <w:bCs w:val="0"/>
                <w:sz w:val="24"/>
                <w:lang w:val="en-US" w:eastAsia="zh-CN"/>
              </w:rPr>
            </w:pPr>
            <w:r>
              <w:rPr>
                <w:rFonts w:hint="eastAsia"/>
                <w:b/>
                <w:kern w:val="0"/>
                <w:sz w:val="22"/>
                <w:szCs w:val="22"/>
                <w:lang w:val="en-US" w:eastAsia="zh-CN"/>
              </w:rPr>
              <w:t>表4-8 建设项目固体废物分析结果汇总表</w:t>
            </w:r>
          </w:p>
          <w:tbl>
            <w:tblPr>
              <w:tblStyle w:val="16"/>
              <w:tblW w:w="12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20"/>
              <w:gridCol w:w="1332"/>
              <w:gridCol w:w="1502"/>
              <w:gridCol w:w="1152"/>
              <w:gridCol w:w="1572"/>
              <w:gridCol w:w="719"/>
              <w:gridCol w:w="942"/>
              <w:gridCol w:w="888"/>
              <w:gridCol w:w="1459"/>
              <w:gridCol w:w="1620"/>
              <w:gridCol w:w="1019"/>
            </w:tblGrid>
            <w:tr w14:paraId="30D0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20" w:type="dxa"/>
                  <w:vAlign w:val="center"/>
                </w:tcPr>
                <w:p w14:paraId="48EB82AB">
                  <w:pPr>
                    <w:keepNext w:val="0"/>
                    <w:keepLines w:val="0"/>
                    <w:widowControl/>
                    <w:suppressLineNumbers w:val="0"/>
                    <w:jc w:val="center"/>
                    <w:textAlignment w:val="center"/>
                    <w:rPr>
                      <w:rFonts w:hint="default" w:ascii="宋体" w:hAnsi="宋体" w:cs="宋体"/>
                      <w:b/>
                      <w:bCs/>
                      <w:i w:val="0"/>
                      <w:iCs w:val="0"/>
                      <w:color w:val="000000"/>
                      <w:sz w:val="21"/>
                      <w:szCs w:val="21"/>
                      <w:u w:val="none"/>
                      <w:lang w:val="en-US" w:eastAsia="zh-CN"/>
                    </w:rPr>
                  </w:pPr>
                  <w:r>
                    <w:rPr>
                      <w:rFonts w:hint="eastAsia" w:ascii="宋体" w:hAnsi="宋体" w:cs="宋体"/>
                      <w:b/>
                      <w:bCs/>
                      <w:i w:val="0"/>
                      <w:iCs w:val="0"/>
                      <w:color w:val="000000"/>
                      <w:sz w:val="21"/>
                      <w:szCs w:val="21"/>
                      <w:u w:val="none"/>
                      <w:lang w:val="en-US" w:eastAsia="zh-CN"/>
                    </w:rPr>
                    <w:t>序号</w:t>
                  </w:r>
                </w:p>
              </w:tc>
              <w:tc>
                <w:tcPr>
                  <w:tcW w:w="1332" w:type="dxa"/>
                  <w:vAlign w:val="center"/>
                </w:tcPr>
                <w:p w14:paraId="4F594F49">
                  <w:pPr>
                    <w:keepNext w:val="0"/>
                    <w:keepLines w:val="0"/>
                    <w:widowControl/>
                    <w:suppressLineNumbers w:val="0"/>
                    <w:jc w:val="center"/>
                    <w:textAlignment w:val="center"/>
                    <w:rPr>
                      <w:rFonts w:hint="default" w:ascii="宋体" w:hAnsi="宋体" w:cs="宋体"/>
                      <w:b/>
                      <w:bCs/>
                      <w:i w:val="0"/>
                      <w:iCs w:val="0"/>
                      <w:color w:val="000000"/>
                      <w:sz w:val="21"/>
                      <w:szCs w:val="21"/>
                      <w:u w:val="none"/>
                      <w:lang w:val="en-US" w:eastAsia="zh-CN"/>
                    </w:rPr>
                  </w:pPr>
                  <w:r>
                    <w:rPr>
                      <w:rFonts w:hint="eastAsia" w:ascii="宋体" w:hAnsi="宋体" w:cs="宋体"/>
                      <w:b/>
                      <w:bCs/>
                      <w:i w:val="0"/>
                      <w:iCs w:val="0"/>
                      <w:color w:val="000000"/>
                      <w:sz w:val="21"/>
                      <w:szCs w:val="21"/>
                      <w:u w:val="none"/>
                      <w:lang w:val="en-US" w:eastAsia="zh-CN"/>
                    </w:rPr>
                    <w:t>固废名称</w:t>
                  </w:r>
                </w:p>
              </w:tc>
              <w:tc>
                <w:tcPr>
                  <w:tcW w:w="1502" w:type="dxa"/>
                  <w:vAlign w:val="center"/>
                </w:tcPr>
                <w:p w14:paraId="0A24C89A">
                  <w:pPr>
                    <w:keepNext w:val="0"/>
                    <w:keepLines w:val="0"/>
                    <w:widowControl/>
                    <w:suppressLineNumbers w:val="0"/>
                    <w:jc w:val="center"/>
                    <w:textAlignment w:val="center"/>
                    <w:rPr>
                      <w:rFonts w:hint="default" w:ascii="宋体" w:hAnsi="宋体" w:cs="宋体"/>
                      <w:b/>
                      <w:bCs/>
                      <w:i w:val="0"/>
                      <w:iCs w:val="0"/>
                      <w:color w:val="000000"/>
                      <w:sz w:val="21"/>
                      <w:szCs w:val="21"/>
                      <w:u w:val="none"/>
                      <w:lang w:val="en-US" w:eastAsia="zh-CN"/>
                    </w:rPr>
                  </w:pPr>
                  <w:r>
                    <w:rPr>
                      <w:rFonts w:hint="eastAsia" w:ascii="宋体" w:hAnsi="宋体" w:cs="宋体"/>
                      <w:b/>
                      <w:bCs/>
                      <w:i w:val="0"/>
                      <w:iCs w:val="0"/>
                      <w:color w:val="000000"/>
                      <w:sz w:val="21"/>
                      <w:szCs w:val="21"/>
                      <w:u w:val="none"/>
                      <w:lang w:val="en-US" w:eastAsia="zh-CN"/>
                    </w:rPr>
                    <w:t>产生环节</w:t>
                  </w:r>
                </w:p>
              </w:tc>
              <w:tc>
                <w:tcPr>
                  <w:tcW w:w="1152" w:type="dxa"/>
                  <w:shd w:val="clear" w:color="auto" w:fill="auto"/>
                  <w:vAlign w:val="center"/>
                </w:tcPr>
                <w:p w14:paraId="1A9E5B3D">
                  <w:pPr>
                    <w:keepNext w:val="0"/>
                    <w:keepLines w:val="0"/>
                    <w:widowControl/>
                    <w:suppressLineNumbers w:val="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cs="宋体"/>
                      <w:b/>
                      <w:bCs/>
                      <w:i w:val="0"/>
                      <w:iCs w:val="0"/>
                      <w:color w:val="000000"/>
                      <w:sz w:val="21"/>
                      <w:szCs w:val="21"/>
                      <w:u w:val="none"/>
                      <w:lang w:val="en-US" w:eastAsia="zh-CN"/>
                    </w:rPr>
                    <w:t>废物类别</w:t>
                  </w:r>
                </w:p>
              </w:tc>
              <w:tc>
                <w:tcPr>
                  <w:tcW w:w="1572" w:type="dxa"/>
                  <w:shd w:val="clear" w:color="auto" w:fill="auto"/>
                  <w:vAlign w:val="center"/>
                </w:tcPr>
                <w:p w14:paraId="5F494CF0">
                  <w:pPr>
                    <w:keepNext w:val="0"/>
                    <w:keepLines w:val="0"/>
                    <w:widowControl/>
                    <w:suppressLineNumbers w:val="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cs="宋体"/>
                      <w:b/>
                      <w:bCs/>
                      <w:i w:val="0"/>
                      <w:iCs w:val="0"/>
                      <w:color w:val="000000"/>
                      <w:sz w:val="21"/>
                      <w:szCs w:val="21"/>
                      <w:u w:val="none"/>
                      <w:lang w:val="en-US" w:eastAsia="zh-CN"/>
                    </w:rPr>
                    <w:t>废物代码</w:t>
                  </w:r>
                </w:p>
              </w:tc>
              <w:tc>
                <w:tcPr>
                  <w:tcW w:w="719" w:type="dxa"/>
                  <w:vAlign w:val="center"/>
                </w:tcPr>
                <w:p w14:paraId="13A02453">
                  <w:pPr>
                    <w:keepNext w:val="0"/>
                    <w:keepLines w:val="0"/>
                    <w:widowControl/>
                    <w:suppressLineNumbers w:val="0"/>
                    <w:jc w:val="center"/>
                    <w:textAlignment w:val="center"/>
                    <w:rPr>
                      <w:rFonts w:hint="default" w:ascii="宋体" w:hAnsi="宋体" w:cs="宋体"/>
                      <w:b/>
                      <w:bCs/>
                      <w:i w:val="0"/>
                      <w:iCs w:val="0"/>
                      <w:color w:val="000000"/>
                      <w:sz w:val="21"/>
                      <w:szCs w:val="21"/>
                      <w:u w:val="none"/>
                      <w:lang w:val="en-US" w:eastAsia="zh-CN"/>
                    </w:rPr>
                  </w:pPr>
                  <w:r>
                    <w:rPr>
                      <w:rFonts w:hint="default" w:ascii="宋体" w:hAnsi="宋体" w:cs="宋体"/>
                      <w:b/>
                      <w:bCs/>
                      <w:i w:val="0"/>
                      <w:iCs w:val="0"/>
                      <w:color w:val="000000"/>
                      <w:sz w:val="21"/>
                      <w:szCs w:val="21"/>
                      <w:u w:val="none"/>
                      <w:lang w:val="en-US" w:eastAsia="zh-CN"/>
                    </w:rPr>
                    <w:t>物理性状</w:t>
                  </w:r>
                </w:p>
              </w:tc>
              <w:tc>
                <w:tcPr>
                  <w:tcW w:w="942" w:type="dxa"/>
                  <w:vAlign w:val="center"/>
                </w:tcPr>
                <w:p w14:paraId="61D97BC3">
                  <w:pPr>
                    <w:keepNext w:val="0"/>
                    <w:keepLines w:val="0"/>
                    <w:widowControl/>
                    <w:suppressLineNumbers w:val="0"/>
                    <w:jc w:val="center"/>
                    <w:textAlignment w:val="center"/>
                    <w:rPr>
                      <w:rFonts w:hint="default" w:ascii="宋体" w:hAnsi="宋体" w:cs="宋体"/>
                      <w:b/>
                      <w:bCs/>
                      <w:i w:val="0"/>
                      <w:iCs w:val="0"/>
                      <w:color w:val="000000"/>
                      <w:sz w:val="21"/>
                      <w:szCs w:val="21"/>
                      <w:u w:val="none"/>
                      <w:lang w:val="en-US" w:eastAsia="zh-CN"/>
                    </w:rPr>
                  </w:pPr>
                  <w:r>
                    <w:rPr>
                      <w:rFonts w:hint="default" w:ascii="宋体" w:hAnsi="宋体" w:cs="宋体"/>
                      <w:b/>
                      <w:bCs/>
                      <w:i w:val="0"/>
                      <w:iCs w:val="0"/>
                      <w:color w:val="000000"/>
                      <w:sz w:val="21"/>
                      <w:szCs w:val="21"/>
                      <w:u w:val="none"/>
                      <w:lang w:val="en-US" w:eastAsia="zh-CN"/>
                    </w:rPr>
                    <w:t>环境危险特性</w:t>
                  </w:r>
                </w:p>
              </w:tc>
              <w:tc>
                <w:tcPr>
                  <w:tcW w:w="888" w:type="dxa"/>
                  <w:vAlign w:val="center"/>
                </w:tcPr>
                <w:p w14:paraId="388AAF93">
                  <w:pPr>
                    <w:keepNext w:val="0"/>
                    <w:keepLines w:val="0"/>
                    <w:widowControl/>
                    <w:suppressLineNumbers w:val="0"/>
                    <w:jc w:val="center"/>
                    <w:textAlignment w:val="center"/>
                    <w:rPr>
                      <w:rFonts w:hint="default" w:ascii="宋体" w:hAnsi="宋体" w:cs="宋体"/>
                      <w:b/>
                      <w:bCs/>
                      <w:i w:val="0"/>
                      <w:iCs w:val="0"/>
                      <w:color w:val="000000"/>
                      <w:sz w:val="21"/>
                      <w:szCs w:val="21"/>
                      <w:u w:val="none"/>
                      <w:lang w:val="en-US" w:eastAsia="zh-CN"/>
                    </w:rPr>
                  </w:pPr>
                  <w:r>
                    <w:rPr>
                      <w:rFonts w:hint="eastAsia" w:ascii="宋体" w:hAnsi="宋体" w:cs="宋体"/>
                      <w:b/>
                      <w:bCs/>
                      <w:i w:val="0"/>
                      <w:iCs w:val="0"/>
                      <w:color w:val="000000"/>
                      <w:sz w:val="21"/>
                      <w:szCs w:val="21"/>
                      <w:u w:val="none"/>
                      <w:lang w:val="en-US" w:eastAsia="zh-CN"/>
                    </w:rPr>
                    <w:t>产生量（t/a）</w:t>
                  </w:r>
                </w:p>
              </w:tc>
              <w:tc>
                <w:tcPr>
                  <w:tcW w:w="1459" w:type="dxa"/>
                  <w:vAlign w:val="center"/>
                </w:tcPr>
                <w:p w14:paraId="6E3B13DE">
                  <w:pPr>
                    <w:keepNext w:val="0"/>
                    <w:keepLines w:val="0"/>
                    <w:widowControl/>
                    <w:suppressLineNumbers w:val="0"/>
                    <w:jc w:val="center"/>
                    <w:textAlignment w:val="center"/>
                    <w:rPr>
                      <w:rFonts w:hint="default" w:ascii="宋体" w:hAnsi="宋体" w:cs="宋体"/>
                      <w:b/>
                      <w:bCs/>
                      <w:i w:val="0"/>
                      <w:iCs w:val="0"/>
                      <w:color w:val="000000"/>
                      <w:sz w:val="21"/>
                      <w:szCs w:val="21"/>
                      <w:u w:val="none"/>
                      <w:lang w:val="en-US" w:eastAsia="zh-CN"/>
                    </w:rPr>
                  </w:pPr>
                  <w:r>
                    <w:rPr>
                      <w:rFonts w:hint="eastAsia" w:ascii="宋体" w:hAnsi="宋体" w:cs="宋体"/>
                      <w:b/>
                      <w:bCs/>
                      <w:i w:val="0"/>
                      <w:iCs w:val="0"/>
                      <w:color w:val="000000"/>
                      <w:sz w:val="21"/>
                      <w:szCs w:val="21"/>
                      <w:u w:val="none"/>
                      <w:lang w:val="en-US" w:eastAsia="zh-CN"/>
                    </w:rPr>
                    <w:t>贮存方式</w:t>
                  </w:r>
                </w:p>
              </w:tc>
              <w:tc>
                <w:tcPr>
                  <w:tcW w:w="1620" w:type="dxa"/>
                  <w:vAlign w:val="center"/>
                </w:tcPr>
                <w:p w14:paraId="6C85AD23">
                  <w:pPr>
                    <w:keepNext w:val="0"/>
                    <w:keepLines w:val="0"/>
                    <w:widowControl/>
                    <w:suppressLineNumbers w:val="0"/>
                    <w:jc w:val="center"/>
                    <w:textAlignment w:val="center"/>
                    <w:rPr>
                      <w:rFonts w:hint="eastAsia" w:ascii="宋体" w:hAnsi="宋体" w:cs="宋体"/>
                      <w:b/>
                      <w:bCs/>
                      <w:i w:val="0"/>
                      <w:iCs w:val="0"/>
                      <w:color w:val="000000"/>
                      <w:sz w:val="21"/>
                      <w:szCs w:val="21"/>
                      <w:u w:val="none"/>
                      <w:lang w:val="en-US" w:eastAsia="zh-CN"/>
                    </w:rPr>
                  </w:pPr>
                  <w:r>
                    <w:rPr>
                      <w:rFonts w:hint="eastAsia" w:ascii="宋体" w:hAnsi="宋体" w:cs="宋体"/>
                      <w:b/>
                      <w:bCs/>
                      <w:i w:val="0"/>
                      <w:iCs w:val="0"/>
                      <w:color w:val="000000"/>
                      <w:sz w:val="21"/>
                      <w:szCs w:val="21"/>
                      <w:u w:val="none"/>
                      <w:lang w:val="en-US" w:eastAsia="zh-CN"/>
                    </w:rPr>
                    <w:t>利用/处置方式和去向</w:t>
                  </w:r>
                </w:p>
              </w:tc>
              <w:tc>
                <w:tcPr>
                  <w:tcW w:w="1019" w:type="dxa"/>
                  <w:vAlign w:val="center"/>
                </w:tcPr>
                <w:p w14:paraId="3608CCAB">
                  <w:pPr>
                    <w:keepNext w:val="0"/>
                    <w:keepLines w:val="0"/>
                    <w:widowControl/>
                    <w:suppressLineNumbers w:val="0"/>
                    <w:jc w:val="center"/>
                    <w:textAlignment w:val="center"/>
                    <w:rPr>
                      <w:rFonts w:hint="eastAsia" w:ascii="宋体" w:hAnsi="宋体" w:cs="宋体"/>
                      <w:b/>
                      <w:bCs/>
                      <w:i w:val="0"/>
                      <w:iCs w:val="0"/>
                      <w:color w:val="000000"/>
                      <w:sz w:val="21"/>
                      <w:szCs w:val="21"/>
                      <w:u w:val="none"/>
                      <w:lang w:val="en-US" w:eastAsia="zh-CN"/>
                    </w:rPr>
                  </w:pPr>
                  <w:r>
                    <w:rPr>
                      <w:rFonts w:hint="eastAsia" w:ascii="宋体" w:hAnsi="宋体" w:cs="宋体"/>
                      <w:b/>
                      <w:bCs/>
                      <w:i w:val="0"/>
                      <w:iCs w:val="0"/>
                      <w:color w:val="000000"/>
                      <w:sz w:val="21"/>
                      <w:szCs w:val="21"/>
                      <w:u w:val="none"/>
                      <w:lang w:val="en-US" w:eastAsia="zh-CN"/>
                    </w:rPr>
                    <w:t>利用/处置量</w:t>
                  </w:r>
                </w:p>
              </w:tc>
            </w:tr>
            <w:tr w14:paraId="07FE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20" w:type="dxa"/>
                  <w:vAlign w:val="center"/>
                </w:tcPr>
                <w:p w14:paraId="1884011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w:t>
                  </w:r>
                </w:p>
              </w:tc>
              <w:tc>
                <w:tcPr>
                  <w:tcW w:w="1332" w:type="dxa"/>
                  <w:shd w:val="clear" w:color="auto" w:fill="auto"/>
                  <w:vAlign w:val="center"/>
                </w:tcPr>
                <w:p w14:paraId="0844C85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生活垃圾</w:t>
                  </w:r>
                </w:p>
              </w:tc>
              <w:tc>
                <w:tcPr>
                  <w:tcW w:w="1502" w:type="dxa"/>
                  <w:shd w:val="clear" w:color="auto" w:fill="auto"/>
                  <w:vAlign w:val="center"/>
                </w:tcPr>
                <w:p w14:paraId="54056B5D">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日常办公</w:t>
                  </w:r>
                </w:p>
              </w:tc>
              <w:tc>
                <w:tcPr>
                  <w:tcW w:w="1152" w:type="dxa"/>
                  <w:vAlign w:val="center"/>
                </w:tcPr>
                <w:p w14:paraId="6857A832">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生活垃圾</w:t>
                  </w:r>
                </w:p>
              </w:tc>
              <w:tc>
                <w:tcPr>
                  <w:tcW w:w="1572" w:type="dxa"/>
                  <w:shd w:val="clear" w:color="auto" w:fill="auto"/>
                  <w:vAlign w:val="center"/>
                </w:tcPr>
                <w:p w14:paraId="1692B9B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900-099-S64</w:t>
                  </w:r>
                </w:p>
              </w:tc>
              <w:tc>
                <w:tcPr>
                  <w:tcW w:w="719" w:type="dxa"/>
                  <w:shd w:val="clear" w:color="auto" w:fill="auto"/>
                  <w:vAlign w:val="center"/>
                </w:tcPr>
                <w:p w14:paraId="1C36ECDC">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固态</w:t>
                  </w:r>
                </w:p>
              </w:tc>
              <w:tc>
                <w:tcPr>
                  <w:tcW w:w="942" w:type="dxa"/>
                  <w:shd w:val="clear" w:color="auto" w:fill="auto"/>
                  <w:vAlign w:val="center"/>
                </w:tcPr>
                <w:p w14:paraId="528E295C">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w:t>
                  </w:r>
                </w:p>
              </w:tc>
              <w:tc>
                <w:tcPr>
                  <w:tcW w:w="888" w:type="dxa"/>
                  <w:vAlign w:val="center"/>
                </w:tcPr>
                <w:p w14:paraId="08A6D116">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15</w:t>
                  </w:r>
                </w:p>
              </w:tc>
              <w:tc>
                <w:tcPr>
                  <w:tcW w:w="1459" w:type="dxa"/>
                  <w:vAlign w:val="center"/>
                </w:tcPr>
                <w:p w14:paraId="31177DBD">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产区内生活垃圾桶暂存</w:t>
                  </w:r>
                </w:p>
              </w:tc>
              <w:tc>
                <w:tcPr>
                  <w:tcW w:w="1620" w:type="dxa"/>
                  <w:vAlign w:val="center"/>
                </w:tcPr>
                <w:p w14:paraId="62FCB2D0">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环卫部门清运</w:t>
                  </w:r>
                </w:p>
              </w:tc>
              <w:tc>
                <w:tcPr>
                  <w:tcW w:w="1019" w:type="dxa"/>
                  <w:shd w:val="clear" w:color="auto" w:fill="auto"/>
                  <w:vAlign w:val="center"/>
                </w:tcPr>
                <w:p w14:paraId="247B33E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15</w:t>
                  </w:r>
                </w:p>
              </w:tc>
            </w:tr>
            <w:tr w14:paraId="71F5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20" w:type="dxa"/>
                  <w:vAlign w:val="center"/>
                </w:tcPr>
                <w:p w14:paraId="62BA20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w:t>
                  </w:r>
                </w:p>
              </w:tc>
              <w:tc>
                <w:tcPr>
                  <w:tcW w:w="1332" w:type="dxa"/>
                  <w:shd w:val="clear" w:color="auto" w:fill="auto"/>
                  <w:vAlign w:val="center"/>
                </w:tcPr>
                <w:p w14:paraId="7B1F43D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金属边角料</w:t>
                  </w:r>
                </w:p>
              </w:tc>
              <w:tc>
                <w:tcPr>
                  <w:tcW w:w="1502" w:type="dxa"/>
                  <w:shd w:val="clear" w:color="auto" w:fill="auto"/>
                  <w:vAlign w:val="center"/>
                </w:tcPr>
                <w:p w14:paraId="239A6275">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切割、机加工</w:t>
                  </w:r>
                </w:p>
              </w:tc>
              <w:tc>
                <w:tcPr>
                  <w:tcW w:w="1152" w:type="dxa"/>
                  <w:vMerge w:val="restart"/>
                  <w:vAlign w:val="center"/>
                </w:tcPr>
                <w:p w14:paraId="2F7E2F4F">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一般固体废物</w:t>
                  </w:r>
                </w:p>
              </w:tc>
              <w:tc>
                <w:tcPr>
                  <w:tcW w:w="1572" w:type="dxa"/>
                  <w:shd w:val="clear" w:color="auto" w:fill="auto"/>
                  <w:vAlign w:val="center"/>
                </w:tcPr>
                <w:p w14:paraId="7C7625D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900-001-S17</w:t>
                  </w:r>
                </w:p>
              </w:tc>
              <w:tc>
                <w:tcPr>
                  <w:tcW w:w="719" w:type="dxa"/>
                  <w:shd w:val="clear" w:color="auto" w:fill="auto"/>
                  <w:vAlign w:val="center"/>
                </w:tcPr>
                <w:p w14:paraId="6C38ED7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固态</w:t>
                  </w:r>
                </w:p>
              </w:tc>
              <w:tc>
                <w:tcPr>
                  <w:tcW w:w="942" w:type="dxa"/>
                  <w:shd w:val="clear" w:color="auto" w:fill="auto"/>
                  <w:vAlign w:val="center"/>
                </w:tcPr>
                <w:p w14:paraId="51ED14B3">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w:t>
                  </w:r>
                </w:p>
              </w:tc>
              <w:tc>
                <w:tcPr>
                  <w:tcW w:w="888" w:type="dxa"/>
                  <w:shd w:val="clear" w:color="auto" w:fill="auto"/>
                  <w:vAlign w:val="center"/>
                </w:tcPr>
                <w:p w14:paraId="22B6EB6B">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433</w:t>
                  </w:r>
                </w:p>
              </w:tc>
              <w:tc>
                <w:tcPr>
                  <w:tcW w:w="1459" w:type="dxa"/>
                  <w:vMerge w:val="restart"/>
                  <w:vAlign w:val="center"/>
                </w:tcPr>
                <w:p w14:paraId="21D839BF">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一般工业固体废物暂存处暂存</w:t>
                  </w:r>
                </w:p>
              </w:tc>
              <w:tc>
                <w:tcPr>
                  <w:tcW w:w="1620" w:type="dxa"/>
                  <w:vMerge w:val="restart"/>
                  <w:vAlign w:val="center"/>
                </w:tcPr>
                <w:p w14:paraId="553A01A4">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定期外售</w:t>
                  </w:r>
                </w:p>
              </w:tc>
              <w:tc>
                <w:tcPr>
                  <w:tcW w:w="1019" w:type="dxa"/>
                  <w:shd w:val="clear" w:color="auto" w:fill="auto"/>
                  <w:vAlign w:val="center"/>
                </w:tcPr>
                <w:p w14:paraId="3A59AD0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433</w:t>
                  </w:r>
                </w:p>
              </w:tc>
            </w:tr>
            <w:tr w14:paraId="18D1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20" w:type="dxa"/>
                  <w:vAlign w:val="center"/>
                </w:tcPr>
                <w:p w14:paraId="0AD1821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3</w:t>
                  </w:r>
                </w:p>
              </w:tc>
              <w:tc>
                <w:tcPr>
                  <w:tcW w:w="1332" w:type="dxa"/>
                  <w:shd w:val="clear" w:color="auto" w:fill="auto"/>
                  <w:vAlign w:val="center"/>
                </w:tcPr>
                <w:p w14:paraId="6CEF3CE9">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焊渣</w:t>
                  </w:r>
                </w:p>
              </w:tc>
              <w:tc>
                <w:tcPr>
                  <w:tcW w:w="1502" w:type="dxa"/>
                  <w:shd w:val="clear" w:color="auto" w:fill="auto"/>
                  <w:vAlign w:val="center"/>
                </w:tcPr>
                <w:p w14:paraId="6D737E8E">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焊接</w:t>
                  </w:r>
                </w:p>
              </w:tc>
              <w:tc>
                <w:tcPr>
                  <w:tcW w:w="1152" w:type="dxa"/>
                  <w:vMerge w:val="continue"/>
                  <w:vAlign w:val="center"/>
                </w:tcPr>
                <w:p w14:paraId="62ECBCA6">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p>
              </w:tc>
              <w:tc>
                <w:tcPr>
                  <w:tcW w:w="1572" w:type="dxa"/>
                  <w:shd w:val="clear" w:color="auto" w:fill="auto"/>
                  <w:vAlign w:val="center"/>
                </w:tcPr>
                <w:p w14:paraId="75B08FF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900-099-S59</w:t>
                  </w:r>
                </w:p>
              </w:tc>
              <w:tc>
                <w:tcPr>
                  <w:tcW w:w="719" w:type="dxa"/>
                  <w:shd w:val="clear" w:color="auto" w:fill="auto"/>
                  <w:vAlign w:val="center"/>
                </w:tcPr>
                <w:p w14:paraId="41AE92E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固态</w:t>
                  </w:r>
                </w:p>
              </w:tc>
              <w:tc>
                <w:tcPr>
                  <w:tcW w:w="942" w:type="dxa"/>
                  <w:shd w:val="clear" w:color="auto" w:fill="auto"/>
                  <w:vAlign w:val="center"/>
                </w:tcPr>
                <w:p w14:paraId="6491F125">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w:t>
                  </w:r>
                </w:p>
              </w:tc>
              <w:tc>
                <w:tcPr>
                  <w:tcW w:w="888" w:type="dxa"/>
                  <w:shd w:val="clear" w:color="auto" w:fill="auto"/>
                  <w:vAlign w:val="center"/>
                </w:tcPr>
                <w:p w14:paraId="6240B72A">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2.4</w:t>
                  </w:r>
                </w:p>
              </w:tc>
              <w:tc>
                <w:tcPr>
                  <w:tcW w:w="1459" w:type="dxa"/>
                  <w:vMerge w:val="continue"/>
                  <w:vAlign w:val="center"/>
                </w:tcPr>
                <w:p w14:paraId="1C30E000">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620" w:type="dxa"/>
                  <w:vMerge w:val="continue"/>
                  <w:vAlign w:val="center"/>
                </w:tcPr>
                <w:p w14:paraId="0B620EAB">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19" w:type="dxa"/>
                  <w:shd w:val="clear" w:color="auto" w:fill="auto"/>
                  <w:vAlign w:val="center"/>
                </w:tcPr>
                <w:p w14:paraId="13BAC0F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2.4</w:t>
                  </w:r>
                </w:p>
              </w:tc>
            </w:tr>
            <w:tr w14:paraId="0D1B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20" w:type="dxa"/>
                  <w:vAlign w:val="center"/>
                </w:tcPr>
                <w:p w14:paraId="246509D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4</w:t>
                  </w:r>
                </w:p>
              </w:tc>
              <w:tc>
                <w:tcPr>
                  <w:tcW w:w="1332" w:type="dxa"/>
                  <w:shd w:val="clear" w:color="auto" w:fill="auto"/>
                  <w:vAlign w:val="center"/>
                </w:tcPr>
                <w:p w14:paraId="4DB77670">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废钢丸</w:t>
                  </w:r>
                </w:p>
              </w:tc>
              <w:tc>
                <w:tcPr>
                  <w:tcW w:w="1502" w:type="dxa"/>
                  <w:shd w:val="clear" w:color="auto" w:fill="auto"/>
                  <w:vAlign w:val="center"/>
                </w:tcPr>
                <w:p w14:paraId="49F1D308">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抛丸打磨</w:t>
                  </w:r>
                </w:p>
              </w:tc>
              <w:tc>
                <w:tcPr>
                  <w:tcW w:w="1152" w:type="dxa"/>
                  <w:vMerge w:val="continue"/>
                  <w:vAlign w:val="center"/>
                </w:tcPr>
                <w:p w14:paraId="1C404F34">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p>
              </w:tc>
              <w:tc>
                <w:tcPr>
                  <w:tcW w:w="1572" w:type="dxa"/>
                  <w:shd w:val="clear" w:color="auto" w:fill="auto"/>
                  <w:vAlign w:val="center"/>
                </w:tcPr>
                <w:p w14:paraId="100E940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900-001-S17</w:t>
                  </w:r>
                </w:p>
              </w:tc>
              <w:tc>
                <w:tcPr>
                  <w:tcW w:w="719" w:type="dxa"/>
                  <w:shd w:val="clear" w:color="auto" w:fill="auto"/>
                  <w:vAlign w:val="center"/>
                </w:tcPr>
                <w:p w14:paraId="38DDB05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固态</w:t>
                  </w:r>
                </w:p>
              </w:tc>
              <w:tc>
                <w:tcPr>
                  <w:tcW w:w="942" w:type="dxa"/>
                  <w:shd w:val="clear" w:color="auto" w:fill="auto"/>
                  <w:vAlign w:val="center"/>
                </w:tcPr>
                <w:p w14:paraId="1E5FB4A3">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w:t>
                  </w:r>
                </w:p>
              </w:tc>
              <w:tc>
                <w:tcPr>
                  <w:tcW w:w="888" w:type="dxa"/>
                  <w:shd w:val="clear" w:color="auto" w:fill="auto"/>
                  <w:vAlign w:val="center"/>
                </w:tcPr>
                <w:p w14:paraId="7E1105DB">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3</w:t>
                  </w:r>
                </w:p>
              </w:tc>
              <w:tc>
                <w:tcPr>
                  <w:tcW w:w="1459" w:type="dxa"/>
                  <w:vMerge w:val="continue"/>
                  <w:vAlign w:val="center"/>
                </w:tcPr>
                <w:p w14:paraId="21C79104">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620" w:type="dxa"/>
                  <w:vMerge w:val="continue"/>
                  <w:vAlign w:val="center"/>
                </w:tcPr>
                <w:p w14:paraId="1E3215C3">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19" w:type="dxa"/>
                  <w:shd w:val="clear" w:color="auto" w:fill="auto"/>
                  <w:vAlign w:val="center"/>
                </w:tcPr>
                <w:p w14:paraId="01E3B5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3</w:t>
                  </w:r>
                </w:p>
              </w:tc>
            </w:tr>
            <w:tr w14:paraId="137E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20" w:type="dxa"/>
                  <w:vAlign w:val="center"/>
                </w:tcPr>
                <w:p w14:paraId="6EE4FC1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5</w:t>
                  </w:r>
                </w:p>
              </w:tc>
              <w:tc>
                <w:tcPr>
                  <w:tcW w:w="1332" w:type="dxa"/>
                  <w:shd w:val="clear" w:color="auto" w:fill="auto"/>
                  <w:vAlign w:val="center"/>
                </w:tcPr>
                <w:p w14:paraId="1ED03BD9">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除尘器粉尘</w:t>
                  </w:r>
                </w:p>
              </w:tc>
              <w:tc>
                <w:tcPr>
                  <w:tcW w:w="1502" w:type="dxa"/>
                  <w:shd w:val="clear" w:color="auto" w:fill="auto"/>
                  <w:vAlign w:val="center"/>
                </w:tcPr>
                <w:p w14:paraId="7515CD72">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废气治理</w:t>
                  </w:r>
                </w:p>
              </w:tc>
              <w:tc>
                <w:tcPr>
                  <w:tcW w:w="1152" w:type="dxa"/>
                  <w:vMerge w:val="continue"/>
                  <w:vAlign w:val="center"/>
                </w:tcPr>
                <w:p w14:paraId="011AE366">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572" w:type="dxa"/>
                  <w:shd w:val="clear" w:color="auto" w:fill="auto"/>
                  <w:vAlign w:val="center"/>
                </w:tcPr>
                <w:p w14:paraId="763086E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900-099-S59</w:t>
                  </w:r>
                </w:p>
              </w:tc>
              <w:tc>
                <w:tcPr>
                  <w:tcW w:w="719" w:type="dxa"/>
                  <w:shd w:val="clear" w:color="auto" w:fill="auto"/>
                  <w:vAlign w:val="center"/>
                </w:tcPr>
                <w:p w14:paraId="58C1198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固态</w:t>
                  </w:r>
                </w:p>
              </w:tc>
              <w:tc>
                <w:tcPr>
                  <w:tcW w:w="942" w:type="dxa"/>
                  <w:shd w:val="clear" w:color="auto" w:fill="auto"/>
                  <w:vAlign w:val="center"/>
                </w:tcPr>
                <w:p w14:paraId="3EC6CBB6">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w:t>
                  </w:r>
                </w:p>
              </w:tc>
              <w:tc>
                <w:tcPr>
                  <w:tcW w:w="888" w:type="dxa"/>
                  <w:shd w:val="clear" w:color="auto" w:fill="auto"/>
                  <w:vAlign w:val="center"/>
                </w:tcPr>
                <w:p w14:paraId="10248713">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12.</w:t>
                  </w:r>
                  <w:r>
                    <w:rPr>
                      <w:rFonts w:hint="eastAsia" w:cs="Times New Roman"/>
                      <w:color w:val="000000"/>
                      <w:kern w:val="2"/>
                      <w:sz w:val="21"/>
                      <w:szCs w:val="21"/>
                      <w:highlight w:val="none"/>
                      <w:lang w:val="en-US" w:eastAsia="zh-CN"/>
                    </w:rPr>
                    <w:t>76</w:t>
                  </w:r>
                </w:p>
              </w:tc>
              <w:tc>
                <w:tcPr>
                  <w:tcW w:w="1459" w:type="dxa"/>
                  <w:vMerge w:val="continue"/>
                  <w:vAlign w:val="center"/>
                </w:tcPr>
                <w:p w14:paraId="7675F790">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620" w:type="dxa"/>
                  <w:vMerge w:val="continue"/>
                  <w:vAlign w:val="center"/>
                </w:tcPr>
                <w:p w14:paraId="21C88CF3">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19" w:type="dxa"/>
                  <w:shd w:val="clear" w:color="auto" w:fill="auto"/>
                  <w:vAlign w:val="center"/>
                </w:tcPr>
                <w:p w14:paraId="602802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12.76</w:t>
                  </w:r>
                </w:p>
              </w:tc>
            </w:tr>
            <w:tr w14:paraId="4B75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20" w:type="dxa"/>
                  <w:vAlign w:val="center"/>
                </w:tcPr>
                <w:p w14:paraId="3B5D501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6</w:t>
                  </w:r>
                </w:p>
              </w:tc>
              <w:tc>
                <w:tcPr>
                  <w:tcW w:w="1332" w:type="dxa"/>
                  <w:shd w:val="clear" w:color="auto" w:fill="auto"/>
                  <w:vAlign w:val="center"/>
                </w:tcPr>
                <w:p w14:paraId="115692C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废油漆桶</w:t>
                  </w:r>
                </w:p>
              </w:tc>
              <w:tc>
                <w:tcPr>
                  <w:tcW w:w="1502" w:type="dxa"/>
                  <w:shd w:val="clear" w:color="auto" w:fill="auto"/>
                  <w:vAlign w:val="center"/>
                </w:tcPr>
                <w:p w14:paraId="7F4141B3">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刷漆</w:t>
                  </w:r>
                </w:p>
              </w:tc>
              <w:tc>
                <w:tcPr>
                  <w:tcW w:w="1152" w:type="dxa"/>
                  <w:vMerge w:val="restart"/>
                  <w:shd w:val="clear" w:color="auto" w:fill="auto"/>
                  <w:vAlign w:val="center"/>
                </w:tcPr>
                <w:p w14:paraId="13F7B48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危险废物</w:t>
                  </w:r>
                </w:p>
              </w:tc>
              <w:tc>
                <w:tcPr>
                  <w:tcW w:w="1572" w:type="dxa"/>
                  <w:shd w:val="clear" w:color="auto" w:fill="auto"/>
                  <w:vAlign w:val="center"/>
                </w:tcPr>
                <w:p w14:paraId="230E10E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900-041-49</w:t>
                  </w:r>
                </w:p>
              </w:tc>
              <w:tc>
                <w:tcPr>
                  <w:tcW w:w="719" w:type="dxa"/>
                  <w:vAlign w:val="center"/>
                </w:tcPr>
                <w:p w14:paraId="42F302E2">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kern w:val="2"/>
                      <w:sz w:val="21"/>
                      <w:szCs w:val="21"/>
                      <w:u w:val="none"/>
                      <w:lang w:val="en-US" w:eastAsia="zh-CN" w:bidi="ar-SA"/>
                    </w:rPr>
                    <w:t>固态</w:t>
                  </w:r>
                </w:p>
              </w:tc>
              <w:tc>
                <w:tcPr>
                  <w:tcW w:w="942" w:type="dxa"/>
                  <w:vAlign w:val="center"/>
                </w:tcPr>
                <w:p w14:paraId="2D6A0C4E">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T/In</w:t>
                  </w:r>
                </w:p>
              </w:tc>
              <w:tc>
                <w:tcPr>
                  <w:tcW w:w="888" w:type="dxa"/>
                  <w:vAlign w:val="center"/>
                </w:tcPr>
                <w:p w14:paraId="76CA48FB">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0.19</w:t>
                  </w:r>
                </w:p>
              </w:tc>
              <w:tc>
                <w:tcPr>
                  <w:tcW w:w="1459" w:type="dxa"/>
                  <w:vMerge w:val="restart"/>
                  <w:vAlign w:val="center"/>
                </w:tcPr>
                <w:p w14:paraId="19C1EDB7">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危险废物暂存间暂存</w:t>
                  </w:r>
                </w:p>
              </w:tc>
              <w:tc>
                <w:tcPr>
                  <w:tcW w:w="1620" w:type="dxa"/>
                  <w:vMerge w:val="restart"/>
                  <w:vAlign w:val="center"/>
                </w:tcPr>
                <w:p w14:paraId="20958006">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定期交由有资质单位处置</w:t>
                  </w:r>
                </w:p>
              </w:tc>
              <w:tc>
                <w:tcPr>
                  <w:tcW w:w="1019" w:type="dxa"/>
                  <w:shd w:val="clear" w:color="auto" w:fill="auto"/>
                  <w:vAlign w:val="center"/>
                </w:tcPr>
                <w:p w14:paraId="698591C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0.19</w:t>
                  </w:r>
                </w:p>
              </w:tc>
            </w:tr>
            <w:tr w14:paraId="3037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20" w:type="dxa"/>
                  <w:shd w:val="clear" w:color="auto" w:fill="auto"/>
                  <w:vAlign w:val="center"/>
                </w:tcPr>
                <w:p w14:paraId="44C82D2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7</w:t>
                  </w:r>
                </w:p>
              </w:tc>
              <w:tc>
                <w:tcPr>
                  <w:tcW w:w="1332" w:type="dxa"/>
                  <w:shd w:val="clear" w:color="auto" w:fill="auto"/>
                  <w:vAlign w:val="center"/>
                </w:tcPr>
                <w:p w14:paraId="4DE5EB71">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废矿物油</w:t>
                  </w:r>
                </w:p>
              </w:tc>
              <w:tc>
                <w:tcPr>
                  <w:tcW w:w="1502" w:type="dxa"/>
                  <w:shd w:val="clear" w:color="auto" w:fill="auto"/>
                  <w:vAlign w:val="center"/>
                </w:tcPr>
                <w:p w14:paraId="63E94819">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机加工</w:t>
                  </w:r>
                </w:p>
              </w:tc>
              <w:tc>
                <w:tcPr>
                  <w:tcW w:w="1152" w:type="dxa"/>
                  <w:vMerge w:val="continue"/>
                  <w:shd w:val="clear" w:color="auto" w:fill="auto"/>
                  <w:vAlign w:val="center"/>
                </w:tcPr>
                <w:p w14:paraId="65FE938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1572" w:type="dxa"/>
                  <w:shd w:val="clear" w:color="auto" w:fill="auto"/>
                  <w:vAlign w:val="center"/>
                </w:tcPr>
                <w:p w14:paraId="40F7159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900-249-08</w:t>
                  </w:r>
                </w:p>
              </w:tc>
              <w:tc>
                <w:tcPr>
                  <w:tcW w:w="719" w:type="dxa"/>
                  <w:vAlign w:val="center"/>
                </w:tcPr>
                <w:p w14:paraId="111B313D">
                  <w:pPr>
                    <w:keepNext w:val="0"/>
                    <w:keepLines w:val="0"/>
                    <w:widowControl/>
                    <w:suppressLineNumbers w:val="0"/>
                    <w:jc w:val="center"/>
                    <w:textAlignment w:val="center"/>
                    <w:rPr>
                      <w:rFonts w:hint="default" w:ascii="宋体" w:hAnsi="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液态</w:t>
                  </w:r>
                </w:p>
              </w:tc>
              <w:tc>
                <w:tcPr>
                  <w:tcW w:w="942" w:type="dxa"/>
                  <w:vAlign w:val="center"/>
                </w:tcPr>
                <w:p w14:paraId="7A006877">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T，I</w:t>
                  </w:r>
                </w:p>
              </w:tc>
              <w:tc>
                <w:tcPr>
                  <w:tcW w:w="888" w:type="dxa"/>
                  <w:vAlign w:val="center"/>
                </w:tcPr>
                <w:p w14:paraId="7930ABDC">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w:t>
                  </w:r>
                </w:p>
              </w:tc>
              <w:tc>
                <w:tcPr>
                  <w:tcW w:w="1459" w:type="dxa"/>
                  <w:vMerge w:val="continue"/>
                  <w:vAlign w:val="center"/>
                </w:tcPr>
                <w:p w14:paraId="3FCDC974">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620" w:type="dxa"/>
                  <w:vMerge w:val="continue"/>
                  <w:vAlign w:val="center"/>
                </w:tcPr>
                <w:p w14:paraId="0300C549">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19" w:type="dxa"/>
                  <w:shd w:val="clear" w:color="auto" w:fill="auto"/>
                  <w:vAlign w:val="center"/>
                </w:tcPr>
                <w:p w14:paraId="4B90B0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w:t>
                  </w:r>
                </w:p>
              </w:tc>
            </w:tr>
            <w:tr w14:paraId="34CD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20" w:type="dxa"/>
                  <w:shd w:val="clear" w:color="auto" w:fill="auto"/>
                  <w:vAlign w:val="center"/>
                </w:tcPr>
                <w:p w14:paraId="4DD3CD5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8</w:t>
                  </w:r>
                </w:p>
              </w:tc>
              <w:tc>
                <w:tcPr>
                  <w:tcW w:w="1332" w:type="dxa"/>
                  <w:shd w:val="clear" w:color="auto" w:fill="auto"/>
                  <w:vAlign w:val="center"/>
                </w:tcPr>
                <w:p w14:paraId="4668F765">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废切削液</w:t>
                  </w:r>
                </w:p>
              </w:tc>
              <w:tc>
                <w:tcPr>
                  <w:tcW w:w="1502" w:type="dxa"/>
                  <w:shd w:val="clear" w:color="auto" w:fill="auto"/>
                  <w:vAlign w:val="center"/>
                </w:tcPr>
                <w:p w14:paraId="6E73433A">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机加工</w:t>
                  </w:r>
                </w:p>
              </w:tc>
              <w:tc>
                <w:tcPr>
                  <w:tcW w:w="1152" w:type="dxa"/>
                  <w:vMerge w:val="continue"/>
                  <w:shd w:val="clear" w:color="auto" w:fill="auto"/>
                  <w:vAlign w:val="center"/>
                </w:tcPr>
                <w:p w14:paraId="5308201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1572" w:type="dxa"/>
                  <w:shd w:val="clear" w:color="auto" w:fill="auto"/>
                  <w:vAlign w:val="center"/>
                </w:tcPr>
                <w:p w14:paraId="1594B7D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900-007-09</w:t>
                  </w:r>
                </w:p>
              </w:tc>
              <w:tc>
                <w:tcPr>
                  <w:tcW w:w="719" w:type="dxa"/>
                  <w:vAlign w:val="center"/>
                </w:tcPr>
                <w:p w14:paraId="5BC2162E">
                  <w:pPr>
                    <w:keepNext w:val="0"/>
                    <w:keepLines w:val="0"/>
                    <w:widowControl/>
                    <w:suppressLineNumbers w:val="0"/>
                    <w:jc w:val="center"/>
                    <w:textAlignment w:val="center"/>
                    <w:rPr>
                      <w:rFonts w:hint="eastAsia" w:ascii="宋体" w:hAnsi="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液态</w:t>
                  </w:r>
                </w:p>
              </w:tc>
              <w:tc>
                <w:tcPr>
                  <w:tcW w:w="942" w:type="dxa"/>
                  <w:vAlign w:val="center"/>
                </w:tcPr>
                <w:p w14:paraId="1637C6D1">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T</w:t>
                  </w:r>
                </w:p>
              </w:tc>
              <w:tc>
                <w:tcPr>
                  <w:tcW w:w="888" w:type="dxa"/>
                  <w:vAlign w:val="center"/>
                </w:tcPr>
                <w:p w14:paraId="41FFE8DB">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0.1</w:t>
                  </w:r>
                </w:p>
              </w:tc>
              <w:tc>
                <w:tcPr>
                  <w:tcW w:w="1459" w:type="dxa"/>
                  <w:vMerge w:val="continue"/>
                  <w:vAlign w:val="center"/>
                </w:tcPr>
                <w:p w14:paraId="7E69E82E">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620" w:type="dxa"/>
                  <w:vMerge w:val="continue"/>
                  <w:vAlign w:val="center"/>
                </w:tcPr>
                <w:p w14:paraId="79604A6F">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19" w:type="dxa"/>
                  <w:shd w:val="clear" w:color="auto" w:fill="auto"/>
                  <w:vAlign w:val="center"/>
                </w:tcPr>
                <w:p w14:paraId="31A3962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0.1</w:t>
                  </w:r>
                </w:p>
              </w:tc>
            </w:tr>
            <w:tr w14:paraId="2212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20" w:type="dxa"/>
                  <w:shd w:val="clear" w:color="auto" w:fill="auto"/>
                  <w:vAlign w:val="center"/>
                </w:tcPr>
                <w:p w14:paraId="3300CCD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9</w:t>
                  </w:r>
                </w:p>
              </w:tc>
              <w:tc>
                <w:tcPr>
                  <w:tcW w:w="1332" w:type="dxa"/>
                  <w:shd w:val="clear" w:color="auto" w:fill="auto"/>
                  <w:vAlign w:val="center"/>
                </w:tcPr>
                <w:p w14:paraId="315F53AA">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废过滤棉</w:t>
                  </w:r>
                </w:p>
              </w:tc>
              <w:tc>
                <w:tcPr>
                  <w:tcW w:w="1502" w:type="dxa"/>
                  <w:vMerge w:val="restart"/>
                  <w:shd w:val="clear" w:color="auto" w:fill="auto"/>
                  <w:vAlign w:val="center"/>
                </w:tcPr>
                <w:p w14:paraId="05CCD918">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废气治理</w:t>
                  </w:r>
                </w:p>
              </w:tc>
              <w:tc>
                <w:tcPr>
                  <w:tcW w:w="1152" w:type="dxa"/>
                  <w:vMerge w:val="continue"/>
                  <w:shd w:val="clear" w:color="auto" w:fill="auto"/>
                  <w:vAlign w:val="center"/>
                </w:tcPr>
                <w:p w14:paraId="7F23137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1572" w:type="dxa"/>
                  <w:shd w:val="clear" w:color="auto" w:fill="auto"/>
                  <w:vAlign w:val="center"/>
                </w:tcPr>
                <w:p w14:paraId="4494A7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900-041-49</w:t>
                  </w:r>
                </w:p>
              </w:tc>
              <w:tc>
                <w:tcPr>
                  <w:tcW w:w="719" w:type="dxa"/>
                  <w:vAlign w:val="center"/>
                </w:tcPr>
                <w:p w14:paraId="7BBCA099">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kern w:val="2"/>
                      <w:sz w:val="21"/>
                      <w:szCs w:val="21"/>
                      <w:u w:val="none"/>
                      <w:lang w:val="en-US" w:eastAsia="zh-CN" w:bidi="ar-SA"/>
                    </w:rPr>
                    <w:t>固态</w:t>
                  </w:r>
                </w:p>
              </w:tc>
              <w:tc>
                <w:tcPr>
                  <w:tcW w:w="942" w:type="dxa"/>
                  <w:vAlign w:val="center"/>
                </w:tcPr>
                <w:p w14:paraId="26A83BB6">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T/In</w:t>
                  </w:r>
                </w:p>
              </w:tc>
              <w:tc>
                <w:tcPr>
                  <w:tcW w:w="888" w:type="dxa"/>
                  <w:vAlign w:val="center"/>
                </w:tcPr>
                <w:p w14:paraId="60703380">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0.05</w:t>
                  </w:r>
                </w:p>
              </w:tc>
              <w:tc>
                <w:tcPr>
                  <w:tcW w:w="1459" w:type="dxa"/>
                  <w:vMerge w:val="continue"/>
                  <w:vAlign w:val="center"/>
                </w:tcPr>
                <w:p w14:paraId="09E26BB8">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620" w:type="dxa"/>
                  <w:vMerge w:val="continue"/>
                  <w:vAlign w:val="center"/>
                </w:tcPr>
                <w:p w14:paraId="4F2F0684">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19" w:type="dxa"/>
                  <w:shd w:val="clear" w:color="auto" w:fill="auto"/>
                  <w:vAlign w:val="center"/>
                </w:tcPr>
                <w:p w14:paraId="207CF0C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0.05</w:t>
                  </w:r>
                </w:p>
              </w:tc>
            </w:tr>
            <w:tr w14:paraId="1E27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720" w:type="dxa"/>
                  <w:vAlign w:val="center"/>
                </w:tcPr>
                <w:p w14:paraId="4204F83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10</w:t>
                  </w:r>
                </w:p>
              </w:tc>
              <w:tc>
                <w:tcPr>
                  <w:tcW w:w="1332" w:type="dxa"/>
                  <w:shd w:val="clear" w:color="auto" w:fill="auto"/>
                  <w:vAlign w:val="center"/>
                </w:tcPr>
                <w:p w14:paraId="166544D6">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废活性炭</w:t>
                  </w:r>
                </w:p>
              </w:tc>
              <w:tc>
                <w:tcPr>
                  <w:tcW w:w="1502" w:type="dxa"/>
                  <w:vMerge w:val="continue"/>
                  <w:shd w:val="clear" w:color="auto" w:fill="auto"/>
                  <w:vAlign w:val="center"/>
                </w:tcPr>
                <w:p w14:paraId="555683E9">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p>
              </w:tc>
              <w:tc>
                <w:tcPr>
                  <w:tcW w:w="1152" w:type="dxa"/>
                  <w:vMerge w:val="continue"/>
                  <w:shd w:val="clear" w:color="auto" w:fill="auto"/>
                  <w:vAlign w:val="center"/>
                </w:tcPr>
                <w:p w14:paraId="4CA37C2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1572" w:type="dxa"/>
                  <w:shd w:val="clear" w:color="auto" w:fill="auto"/>
                  <w:vAlign w:val="center"/>
                </w:tcPr>
                <w:p w14:paraId="2A9A8C4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900-039-49</w:t>
                  </w:r>
                </w:p>
              </w:tc>
              <w:tc>
                <w:tcPr>
                  <w:tcW w:w="719" w:type="dxa"/>
                  <w:vAlign w:val="center"/>
                </w:tcPr>
                <w:p w14:paraId="0B52C1B4">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kern w:val="2"/>
                      <w:sz w:val="21"/>
                      <w:szCs w:val="21"/>
                      <w:u w:val="none"/>
                      <w:lang w:val="en-US" w:eastAsia="zh-CN" w:bidi="ar-SA"/>
                    </w:rPr>
                    <w:t>固态</w:t>
                  </w:r>
                </w:p>
              </w:tc>
              <w:tc>
                <w:tcPr>
                  <w:tcW w:w="942" w:type="dxa"/>
                  <w:vAlign w:val="center"/>
                </w:tcPr>
                <w:p w14:paraId="196AA091">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T</w:t>
                  </w:r>
                </w:p>
              </w:tc>
              <w:tc>
                <w:tcPr>
                  <w:tcW w:w="888" w:type="dxa"/>
                  <w:vAlign w:val="center"/>
                </w:tcPr>
                <w:p w14:paraId="5E3CC0FE">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5.42</w:t>
                  </w:r>
                </w:p>
              </w:tc>
              <w:tc>
                <w:tcPr>
                  <w:tcW w:w="1459" w:type="dxa"/>
                  <w:vMerge w:val="continue"/>
                  <w:vAlign w:val="center"/>
                </w:tcPr>
                <w:p w14:paraId="6B2FE973">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620" w:type="dxa"/>
                  <w:vMerge w:val="continue"/>
                  <w:vAlign w:val="center"/>
                </w:tcPr>
                <w:p w14:paraId="3AF7517A">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19" w:type="dxa"/>
                  <w:shd w:val="clear" w:color="auto" w:fill="auto"/>
                  <w:vAlign w:val="center"/>
                </w:tcPr>
                <w:p w14:paraId="795F49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5.42</w:t>
                  </w:r>
                </w:p>
              </w:tc>
            </w:tr>
          </w:tbl>
          <w:p w14:paraId="3CB6EA7E">
            <w:pPr>
              <w:autoSpaceDE w:val="0"/>
              <w:autoSpaceDN w:val="0"/>
              <w:adjustRightInd w:val="0"/>
              <w:snapToGrid w:val="0"/>
              <w:jc w:val="left"/>
              <w:rPr>
                <w:rFonts w:hint="eastAsia" w:ascii="宋体" w:hAnsi="宋体" w:cs="宋体"/>
                <w:kern w:val="0"/>
                <w:sz w:val="24"/>
                <w:szCs w:val="24"/>
              </w:rPr>
            </w:pPr>
          </w:p>
        </w:tc>
      </w:tr>
    </w:tbl>
    <w:p w14:paraId="100F89D1">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2"/>
          <w:szCs w:val="32"/>
          <w:lang w:val="en-US" w:eastAsia="zh-CN"/>
        </w:rPr>
        <w:sectPr>
          <w:pgSz w:w="16838" w:h="11906" w:orient="landscape"/>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4"/>
        <w:gridCol w:w="8444"/>
      </w:tblGrid>
      <w:tr w14:paraId="34AFC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64" w:type="dxa"/>
            <w:noWrap w:val="0"/>
            <w:tcMar>
              <w:left w:w="28" w:type="dxa"/>
              <w:right w:w="28" w:type="dxa"/>
            </w:tcMar>
            <w:vAlign w:val="center"/>
          </w:tcPr>
          <w:p w14:paraId="39616B29">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运营</w:t>
            </w:r>
          </w:p>
          <w:p w14:paraId="6ABD4E76">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期环</w:t>
            </w:r>
          </w:p>
          <w:p w14:paraId="1D675493">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境影</w:t>
            </w:r>
          </w:p>
          <w:p w14:paraId="2E3C3EA3">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响和</w:t>
            </w:r>
          </w:p>
          <w:p w14:paraId="0693F60F">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保护</w:t>
            </w:r>
          </w:p>
          <w:p w14:paraId="5826BEB7">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措施</w:t>
            </w:r>
          </w:p>
        </w:tc>
        <w:tc>
          <w:tcPr>
            <w:tcW w:w="8444" w:type="dxa"/>
            <w:noWrap w:val="0"/>
            <w:vAlign w:val="center"/>
          </w:tcPr>
          <w:p w14:paraId="25E763A4">
            <w:pPr>
              <w:spacing w:line="360" w:lineRule="auto"/>
              <w:ind w:firstLine="482" w:firstLineChars="200"/>
              <w:jc w:val="left"/>
              <w:rPr>
                <w:rFonts w:hint="eastAsia"/>
                <w:b w:val="0"/>
                <w:bCs w:val="0"/>
                <w:sz w:val="24"/>
                <w:lang w:val="en-US" w:eastAsia="zh-CN"/>
              </w:rPr>
            </w:pPr>
            <w:r>
              <w:rPr>
                <w:rFonts w:hint="eastAsia"/>
                <w:b/>
                <w:bCs/>
                <w:sz w:val="24"/>
                <w:lang w:val="en-US" w:eastAsia="zh-CN"/>
              </w:rPr>
              <w:t>环境管理要求</w:t>
            </w:r>
          </w:p>
          <w:p w14:paraId="779AC5D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①一般工业固体废物暂存处的设置应符合《中华人民共和国固体废物污染环境防治法》和《一般工业固体废物贮存和填埋污染控制标准》（GB 18599-2020）中相关要求。</w:t>
            </w:r>
          </w:p>
          <w:p w14:paraId="789CF757">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a.设分区暂存，确保各类一般工业固体废物得到合理处置。</w:t>
            </w:r>
          </w:p>
          <w:p w14:paraId="46898CD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b.加强固体废物规范化管理，固体废物分类定点堆放，堆放场所远离办公区和周围环境敏感点。为了减少雨水侵蚀造成的二次污染，临时堆放场地要加盖顶棚。</w:t>
            </w:r>
          </w:p>
          <w:p w14:paraId="1226248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c.为加强监督管理，贮存、处置场应按GB15562.2设置环境保护图形标志。</w:t>
            </w:r>
          </w:p>
          <w:p w14:paraId="2000AD8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d.一般工业固体贮存、处置场禁止危险废物和生活垃圾混入。</w:t>
            </w:r>
          </w:p>
          <w:p w14:paraId="0803898D">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e.贮存、处置场的使用单位，应建立档案制度，应将入场的一般工业固体废物的种类和数量等资料详细记录在案，长期保存，供随时查阅。</w:t>
            </w:r>
          </w:p>
          <w:p w14:paraId="651C8976">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②危险废物：依托现有危险废物暂存间暂存，危废暂存间位于厂区内南侧，面积约为40m</w:t>
            </w:r>
            <w:r>
              <w:rPr>
                <w:rFonts w:hint="eastAsia"/>
                <w:color w:val="000000"/>
                <w:kern w:val="0"/>
                <w:sz w:val="24"/>
                <w:vertAlign w:val="superscript"/>
                <w:lang w:val="en-US" w:eastAsia="zh-CN"/>
              </w:rPr>
              <w:t>2</w:t>
            </w:r>
            <w:r>
              <w:rPr>
                <w:rFonts w:hint="eastAsia"/>
                <w:color w:val="000000"/>
                <w:kern w:val="0"/>
                <w:sz w:val="24"/>
                <w:lang w:val="en-US" w:eastAsia="zh-CN"/>
              </w:rPr>
              <w:t>，按照《危险废物贮存污染控制标准》（GB18597-2023）进行污染控制和管理。</w:t>
            </w:r>
          </w:p>
          <w:p w14:paraId="1265CBA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a.产生、收集、贮存、利用、处置危险废物的单位应建造危险废物贮存设施或设置贮存场所，并根据需要选择贮存设施类型。</w:t>
            </w:r>
          </w:p>
          <w:p w14:paraId="4706913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b.贮存危险废物应根据危险废物的类别、数量、形态、物理化学性质和环境风险等因素，确定贮存设施或场所类型和规模，</w:t>
            </w:r>
          </w:p>
          <w:p w14:paraId="4A52A0C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c.贮存危险废物应根据危险废物的类别、形态、物理化学性质和污染防治要求进行分类贮存，且应避免危险废物与不相容的物质或材料接触。</w:t>
            </w:r>
          </w:p>
          <w:p w14:paraId="4E2DE508">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d.贮存危险废物应根据危险废物的形态、物理化学性质、包装形式和污染物迁移途径，采取措施减少渗滤液及其衍生废物、渗漏的液态废物（简称渗漏液）、粉尘、VOCs、有毒有害大气污染物等污染物的产生，防止其污染环境。</w:t>
            </w:r>
          </w:p>
          <w:p w14:paraId="6AFFFD9F">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e.危险废物贮存过程产生的液态废物和固态废物应分类收集，按其环境管理要求妥善处理。</w:t>
            </w:r>
          </w:p>
          <w:p w14:paraId="5F90ED3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f.贮存设施或场所、容器和包装物应按 HJ1276 要求设置危险废物贮存设施或场所标志、危险废物贮存分区标志和危险废物标签等危险废物识别标志。</w:t>
            </w:r>
          </w:p>
          <w:p w14:paraId="1F9E91BA">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g.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14:paraId="2F84D164">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h.在常温常压下易爆、易燃及排出有毒气体的危险废物应进行预处理，使之稳定后贮存，否则应按易爆、易燃危险品贮存。</w:t>
            </w:r>
          </w:p>
          <w:p w14:paraId="503C532A">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i.危险废物贮存除应满足环境保护相关要求外，还应执行国家安全生产、职业健康、交通运输、消防等法律法规和标准的相关要求。</w:t>
            </w:r>
          </w:p>
          <w:p w14:paraId="57A10C9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综上，本项目在采取以上措施后，产生的固体废物对项目区外环境产生影响较小。</w:t>
            </w:r>
          </w:p>
          <w:p w14:paraId="3B2AE404">
            <w:pPr>
              <w:spacing w:line="360" w:lineRule="auto"/>
              <w:jc w:val="left"/>
              <w:rPr>
                <w:rFonts w:hint="eastAsia"/>
                <w:b/>
                <w:bCs/>
                <w:sz w:val="24"/>
                <w:lang w:val="en-US" w:eastAsia="zh-CN"/>
              </w:rPr>
            </w:pPr>
            <w:r>
              <w:rPr>
                <w:rFonts w:hint="eastAsia"/>
                <w:b/>
                <w:bCs/>
                <w:sz w:val="24"/>
                <w:lang w:val="en-US" w:eastAsia="zh-CN"/>
              </w:rPr>
              <w:t>5、地下水、土壤</w:t>
            </w:r>
          </w:p>
          <w:p w14:paraId="609EC0DA">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（1）污染源、污染物类型及污染途径</w:t>
            </w:r>
          </w:p>
          <w:p w14:paraId="57BE950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本项目主要为废气污染物中的颗粒物，可能通过大气沉降的方式污染土壤环境。</w:t>
            </w:r>
          </w:p>
          <w:p w14:paraId="4D6F1D0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排入化粪池处理的生活污水，如处理设施和管网发生破损，污水将发生泄漏进而污染土壤和地下水环境。</w:t>
            </w:r>
          </w:p>
          <w:p w14:paraId="274126E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若废过滤棉、废活性炭等危险废物流失，可能存在经雨水淋溶、地表径流侵蚀而渗入土壤，进而对土壤环境和地下水水质产生影响。</w:t>
            </w:r>
          </w:p>
          <w:p w14:paraId="42BE732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（2）污染防治措施</w:t>
            </w:r>
          </w:p>
          <w:p w14:paraId="0B2293F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为避免项目废气、废水、固废对地下水体及土壤造成影响，企业采取主动控制（源头控制措施）及被动控制（末端控制措施）相结合的措施。</w:t>
            </w:r>
          </w:p>
          <w:p w14:paraId="5A81E60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①主动控制（源头控制措施）</w:t>
            </w:r>
          </w:p>
          <w:p w14:paraId="20200C16">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对车间产生的各污染物进行集中收集处理后排放。严格按照国家相关规范要求，对厂区内污水收集设施采取相应措施，以防止和降低污染物的跑、冒、滴、漏，将污染物泄漏的环境风险事故降到最低程度。设备和管线尽量采用“可视化”原则，即尽可能地上敷设和放置，做到污染物“早发现、早处理”，以减少由于埋地泄漏而可能造成的地下水污染。严格固体废物管理，不接触外界降水，使其不产生淋溶液，严防污染物泄漏到地下水中。</w:t>
            </w:r>
          </w:p>
          <w:p w14:paraId="3936A4AC">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建设单位已制定严格的管理措施，设专人定时对生产区内管道进行巡检，要求巡检人员对发现的跑冒滴漏现象要及时上报，对出现的问题要求及时妥善处置。同时也要加强对管道、阀门采购的质量管理，如发现问题，应及时更换。</w:t>
            </w:r>
          </w:p>
          <w:p w14:paraId="2606EC96">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②被动控制（末端控制措施）</w:t>
            </w:r>
          </w:p>
          <w:p w14:paraId="39C977A3">
            <w:pPr>
              <w:autoSpaceDE w:val="0"/>
              <w:autoSpaceDN w:val="0"/>
              <w:adjustRightInd w:val="0"/>
              <w:snapToGrid w:val="0"/>
              <w:spacing w:line="360" w:lineRule="auto"/>
              <w:ind w:firstLine="480" w:firstLineChars="200"/>
              <w:jc w:val="both"/>
              <w:rPr>
                <w:rFonts w:hint="eastAsia"/>
                <w:b w:val="0"/>
                <w:bCs w:val="0"/>
                <w:sz w:val="24"/>
                <w:lang w:val="en-US" w:eastAsia="zh-CN"/>
              </w:rPr>
            </w:pPr>
            <w:r>
              <w:rPr>
                <w:rFonts w:hint="eastAsia"/>
                <w:color w:val="000000"/>
                <w:kern w:val="0"/>
                <w:sz w:val="24"/>
                <w:lang w:val="en-US" w:eastAsia="zh-CN"/>
              </w:rPr>
              <w:t>根据厂区污染控制难易程度、产生的污染物特性、生产装置和设施的性质及其风险，参照《环境影响评价技术导则 地下水环境》（HJ 610-2016）文件，同时参考《一般工业固体废物贮存和填埋场污染控制标准》（GB18599-2020）和《危险废物贮存污染控制标准》（GB18597-2023）等相关规范，对厂区进行防渗区划，详见下表。</w:t>
            </w:r>
          </w:p>
          <w:p w14:paraId="7AB80999">
            <w:pPr>
              <w:keepNext w:val="0"/>
              <w:keepLines w:val="0"/>
              <w:pageBreakBefore w:val="0"/>
              <w:widowControl/>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kern w:val="0"/>
                <w:sz w:val="22"/>
                <w:szCs w:val="22"/>
                <w:lang w:val="en-US" w:eastAsia="zh-CN"/>
              </w:rPr>
            </w:pPr>
            <w:r>
              <w:rPr>
                <w:rFonts w:hint="eastAsia" w:ascii="Times New Roman" w:hAnsi="Times New Roman" w:eastAsia="宋体" w:cs="Times New Roman"/>
                <w:b/>
                <w:kern w:val="0"/>
                <w:sz w:val="22"/>
                <w:szCs w:val="22"/>
                <w:lang w:val="en-US" w:eastAsia="zh-CN"/>
              </w:rPr>
              <w:t>表4-</w:t>
            </w:r>
            <w:r>
              <w:rPr>
                <w:rFonts w:hint="eastAsia" w:cs="Times New Roman"/>
                <w:b/>
                <w:kern w:val="0"/>
                <w:sz w:val="22"/>
                <w:szCs w:val="22"/>
                <w:lang w:val="en-US" w:eastAsia="zh-CN"/>
              </w:rPr>
              <w:t>9</w:t>
            </w:r>
            <w:r>
              <w:rPr>
                <w:rFonts w:hint="eastAsia" w:ascii="Times New Roman" w:hAnsi="Times New Roman" w:eastAsia="宋体" w:cs="Times New Roman"/>
                <w:b/>
                <w:kern w:val="0"/>
                <w:sz w:val="22"/>
                <w:szCs w:val="22"/>
                <w:lang w:val="en-US" w:eastAsia="zh-CN"/>
              </w:rPr>
              <w:t xml:space="preserve"> 厂区分区防渗参照表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26"/>
              <w:gridCol w:w="2016"/>
              <w:gridCol w:w="1176"/>
              <w:gridCol w:w="4297"/>
            </w:tblGrid>
            <w:tr w14:paraId="3144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41" w:type="pct"/>
                  <w:noWrap w:val="0"/>
                  <w:vAlign w:val="center"/>
                </w:tcPr>
                <w:p w14:paraId="76BAEA6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eastAsia" w:ascii="Times New Roman" w:hAnsi="Times New Roman" w:eastAsia="宋体" w:cs="Times New Roman"/>
                      <w:b/>
                      <w:bCs/>
                      <w:color w:val="000000"/>
                      <w:kern w:val="2"/>
                      <w:sz w:val="21"/>
                      <w:szCs w:val="21"/>
                      <w:highlight w:val="none"/>
                      <w:lang w:val="en-US" w:eastAsia="zh-CN"/>
                    </w:rPr>
                    <w:t>防渗分区</w:t>
                  </w:r>
                </w:p>
              </w:tc>
              <w:tc>
                <w:tcPr>
                  <w:tcW w:w="1227" w:type="pct"/>
                  <w:noWrap w:val="0"/>
                  <w:vAlign w:val="center"/>
                </w:tcPr>
                <w:p w14:paraId="617B841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eastAsia" w:ascii="Times New Roman" w:hAnsi="Times New Roman" w:eastAsia="宋体" w:cs="Times New Roman"/>
                      <w:b/>
                      <w:bCs/>
                      <w:color w:val="000000"/>
                      <w:kern w:val="2"/>
                      <w:sz w:val="21"/>
                      <w:szCs w:val="21"/>
                      <w:highlight w:val="none"/>
                      <w:lang w:val="en-US" w:eastAsia="zh-CN"/>
                    </w:rPr>
                    <w:t>防渗单元</w:t>
                  </w:r>
                </w:p>
              </w:tc>
              <w:tc>
                <w:tcPr>
                  <w:tcW w:w="715" w:type="pct"/>
                  <w:noWrap w:val="0"/>
                  <w:vAlign w:val="center"/>
                </w:tcPr>
                <w:p w14:paraId="631562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eastAsia" w:ascii="Times New Roman" w:hAnsi="Times New Roman" w:eastAsia="宋体" w:cs="Times New Roman"/>
                      <w:b/>
                      <w:bCs/>
                      <w:color w:val="000000"/>
                      <w:kern w:val="2"/>
                      <w:sz w:val="21"/>
                      <w:szCs w:val="21"/>
                      <w:highlight w:val="none"/>
                      <w:lang w:val="en-US" w:eastAsia="zh-CN"/>
                    </w:rPr>
                    <w:t>防渗区域或部位</w:t>
                  </w:r>
                </w:p>
              </w:tc>
              <w:tc>
                <w:tcPr>
                  <w:tcW w:w="2615" w:type="pct"/>
                  <w:noWrap w:val="0"/>
                  <w:vAlign w:val="center"/>
                </w:tcPr>
                <w:p w14:paraId="461012C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eastAsia" w:ascii="Times New Roman" w:hAnsi="Times New Roman" w:eastAsia="宋体" w:cs="Times New Roman"/>
                      <w:b/>
                      <w:bCs/>
                      <w:color w:val="000000"/>
                      <w:kern w:val="2"/>
                      <w:sz w:val="21"/>
                      <w:szCs w:val="21"/>
                      <w:highlight w:val="none"/>
                      <w:lang w:val="en-US" w:eastAsia="zh-CN"/>
                    </w:rPr>
                    <w:t>防渗技术要求</w:t>
                  </w:r>
                </w:p>
              </w:tc>
            </w:tr>
            <w:tr w14:paraId="0241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41" w:type="pct"/>
                  <w:vMerge w:val="restart"/>
                  <w:noWrap w:val="0"/>
                  <w:vAlign w:val="center"/>
                </w:tcPr>
                <w:p w14:paraId="45CDAB9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重点防渗区</w:t>
                  </w:r>
                </w:p>
              </w:tc>
              <w:tc>
                <w:tcPr>
                  <w:tcW w:w="1227" w:type="pct"/>
                  <w:noWrap w:val="0"/>
                  <w:vAlign w:val="center"/>
                </w:tcPr>
                <w:p w14:paraId="200AC63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化粪池、</w:t>
                  </w:r>
                  <w:r>
                    <w:rPr>
                      <w:rFonts w:hint="eastAsia" w:cs="Times New Roman"/>
                      <w:color w:val="000000"/>
                      <w:kern w:val="2"/>
                      <w:sz w:val="21"/>
                      <w:szCs w:val="21"/>
                      <w:highlight w:val="none"/>
                      <w:lang w:val="en-US" w:eastAsia="zh-CN"/>
                    </w:rPr>
                    <w:t>化学品暂存处、</w:t>
                  </w:r>
                  <w:r>
                    <w:rPr>
                      <w:rFonts w:hint="eastAsia" w:ascii="Times New Roman" w:hAnsi="Times New Roman" w:eastAsia="宋体" w:cs="Times New Roman"/>
                      <w:color w:val="000000"/>
                      <w:kern w:val="2"/>
                      <w:sz w:val="21"/>
                      <w:szCs w:val="21"/>
                      <w:highlight w:val="none"/>
                      <w:lang w:val="en-US" w:eastAsia="zh-CN"/>
                    </w:rPr>
                    <w:t>应急事故池</w:t>
                  </w:r>
                </w:p>
              </w:tc>
              <w:tc>
                <w:tcPr>
                  <w:tcW w:w="715" w:type="pct"/>
                  <w:vMerge w:val="restart"/>
                  <w:noWrap w:val="0"/>
                  <w:vAlign w:val="center"/>
                </w:tcPr>
                <w:p w14:paraId="6587FF2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建筑物底部，池体底部和四周</w:t>
                  </w:r>
                </w:p>
              </w:tc>
              <w:tc>
                <w:tcPr>
                  <w:tcW w:w="2615" w:type="pct"/>
                  <w:noWrap w:val="0"/>
                  <w:vAlign w:val="center"/>
                </w:tcPr>
                <w:p w14:paraId="677AF94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等效粘土防渗层Mb≥6.0m，K≤10</w:t>
                  </w:r>
                  <w:r>
                    <w:rPr>
                      <w:rFonts w:hint="eastAsia" w:ascii="Times New Roman" w:hAnsi="Times New Roman" w:eastAsia="宋体" w:cs="Times New Roman"/>
                      <w:color w:val="000000"/>
                      <w:kern w:val="2"/>
                      <w:sz w:val="21"/>
                      <w:szCs w:val="21"/>
                      <w:highlight w:val="none"/>
                      <w:vertAlign w:val="superscript"/>
                      <w:lang w:val="en-US" w:eastAsia="zh-CN"/>
                    </w:rPr>
                    <w:t>-7</w:t>
                  </w:r>
                  <w:r>
                    <w:rPr>
                      <w:rFonts w:hint="eastAsia" w:ascii="Times New Roman" w:hAnsi="Times New Roman" w:eastAsia="宋体" w:cs="Times New Roman"/>
                      <w:color w:val="000000"/>
                      <w:kern w:val="2"/>
                      <w:sz w:val="21"/>
                      <w:szCs w:val="21"/>
                      <w:highlight w:val="none"/>
                      <w:lang w:val="en-US" w:eastAsia="zh-CN"/>
                    </w:rPr>
                    <w:t>cm/s</w:t>
                  </w:r>
                </w:p>
              </w:tc>
            </w:tr>
            <w:tr w14:paraId="5D32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41" w:type="pct"/>
                  <w:vMerge w:val="continue"/>
                  <w:noWrap w:val="0"/>
                  <w:vAlign w:val="center"/>
                </w:tcPr>
                <w:p w14:paraId="0201596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27" w:type="pct"/>
                  <w:noWrap w:val="0"/>
                  <w:vAlign w:val="center"/>
                </w:tcPr>
                <w:p w14:paraId="1158ADD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危废暂存间</w:t>
                  </w:r>
                </w:p>
              </w:tc>
              <w:tc>
                <w:tcPr>
                  <w:tcW w:w="715" w:type="pct"/>
                  <w:vMerge w:val="continue"/>
                  <w:noWrap w:val="0"/>
                  <w:vAlign w:val="center"/>
                </w:tcPr>
                <w:p w14:paraId="7B67B24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p>
              </w:tc>
              <w:tc>
                <w:tcPr>
                  <w:tcW w:w="2615" w:type="pct"/>
                  <w:noWrap w:val="0"/>
                  <w:vAlign w:val="center"/>
                </w:tcPr>
                <w:p w14:paraId="106BA0B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执行《危险废物贮存污染控制标准》（GB18597-2023），基础防渗，防渗层为至少1m厚黏土层（渗透系数不大于10</w:t>
                  </w:r>
                  <w:r>
                    <w:rPr>
                      <w:rFonts w:hint="eastAsia" w:ascii="Times New Roman" w:hAnsi="Times New Roman" w:eastAsia="宋体" w:cs="Times New Roman"/>
                      <w:color w:val="000000"/>
                      <w:kern w:val="2"/>
                      <w:sz w:val="21"/>
                      <w:szCs w:val="21"/>
                      <w:highlight w:val="none"/>
                      <w:vertAlign w:val="superscript"/>
                      <w:lang w:val="en-US" w:eastAsia="zh-CN"/>
                    </w:rPr>
                    <w:t>-7</w:t>
                  </w:r>
                  <w:r>
                    <w:rPr>
                      <w:rFonts w:hint="eastAsia" w:ascii="Times New Roman" w:hAnsi="Times New Roman" w:eastAsia="宋体" w:cs="Times New Roman"/>
                      <w:color w:val="000000"/>
                      <w:kern w:val="2"/>
                      <w:sz w:val="21"/>
                      <w:szCs w:val="21"/>
                      <w:highlight w:val="none"/>
                      <w:lang w:val="en-US" w:eastAsia="zh-CN"/>
                    </w:rPr>
                    <w:t>cm/s），或至少2mm厚高密度聚乙烯膜等人工防渗材料（渗透系数不大于10</w:t>
                  </w:r>
                  <w:r>
                    <w:rPr>
                      <w:rFonts w:hint="eastAsia" w:ascii="Times New Roman" w:hAnsi="Times New Roman" w:eastAsia="宋体" w:cs="Times New Roman"/>
                      <w:color w:val="000000"/>
                      <w:kern w:val="2"/>
                      <w:sz w:val="21"/>
                      <w:szCs w:val="21"/>
                      <w:highlight w:val="none"/>
                      <w:vertAlign w:val="superscript"/>
                      <w:lang w:val="en-US" w:eastAsia="zh-CN"/>
                    </w:rPr>
                    <w:t>-10</w:t>
                  </w:r>
                  <w:r>
                    <w:rPr>
                      <w:rFonts w:hint="eastAsia" w:ascii="Times New Roman" w:hAnsi="Times New Roman" w:eastAsia="宋体" w:cs="Times New Roman"/>
                      <w:color w:val="000000"/>
                      <w:kern w:val="2"/>
                      <w:sz w:val="21"/>
                      <w:szCs w:val="21"/>
                      <w:highlight w:val="none"/>
                      <w:lang w:val="en-US" w:eastAsia="zh-CN"/>
                    </w:rPr>
                    <w:t>cm/s），或其他</w:t>
                  </w:r>
                </w:p>
                <w:p w14:paraId="6785E0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防渗性能等效的材料</w:t>
                  </w:r>
                </w:p>
              </w:tc>
            </w:tr>
            <w:tr w14:paraId="579C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41" w:type="pct"/>
                  <w:vMerge w:val="restart"/>
                  <w:noWrap w:val="0"/>
                  <w:vAlign w:val="center"/>
                </w:tcPr>
                <w:p w14:paraId="4EEC1E2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一般防渗区</w:t>
                  </w:r>
                </w:p>
              </w:tc>
              <w:tc>
                <w:tcPr>
                  <w:tcW w:w="1227" w:type="pct"/>
                  <w:noWrap w:val="0"/>
                  <w:vAlign w:val="center"/>
                </w:tcPr>
                <w:p w14:paraId="2F031F6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生产车间</w:t>
                  </w:r>
                </w:p>
              </w:tc>
              <w:tc>
                <w:tcPr>
                  <w:tcW w:w="715" w:type="pct"/>
                  <w:vMerge w:val="restart"/>
                  <w:noWrap w:val="0"/>
                  <w:vAlign w:val="center"/>
                </w:tcPr>
                <w:p w14:paraId="63A9EF9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底部</w:t>
                  </w:r>
                </w:p>
              </w:tc>
              <w:tc>
                <w:tcPr>
                  <w:tcW w:w="2615" w:type="pct"/>
                  <w:noWrap w:val="0"/>
                  <w:vAlign w:val="center"/>
                </w:tcPr>
                <w:p w14:paraId="78C73B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等效粘土防渗层Mb≥1.5m，K≤10</w:t>
                  </w:r>
                  <w:r>
                    <w:rPr>
                      <w:rFonts w:hint="eastAsia" w:ascii="Times New Roman" w:hAnsi="Times New Roman" w:eastAsia="宋体" w:cs="Times New Roman"/>
                      <w:color w:val="000000"/>
                      <w:kern w:val="2"/>
                      <w:sz w:val="21"/>
                      <w:szCs w:val="21"/>
                      <w:highlight w:val="none"/>
                      <w:vertAlign w:val="superscript"/>
                      <w:lang w:val="en-US" w:eastAsia="zh-CN"/>
                    </w:rPr>
                    <w:t>-7</w:t>
                  </w:r>
                  <w:r>
                    <w:rPr>
                      <w:rFonts w:hint="eastAsia" w:ascii="Times New Roman" w:hAnsi="Times New Roman" w:eastAsia="宋体" w:cs="Times New Roman"/>
                      <w:color w:val="000000"/>
                      <w:kern w:val="2"/>
                      <w:sz w:val="21"/>
                      <w:szCs w:val="21"/>
                      <w:highlight w:val="none"/>
                      <w:lang w:val="en-US" w:eastAsia="zh-CN"/>
                    </w:rPr>
                    <w:t>cm/s</w:t>
                  </w:r>
                </w:p>
              </w:tc>
            </w:tr>
            <w:tr w14:paraId="2EEA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41" w:type="pct"/>
                  <w:vMerge w:val="continue"/>
                  <w:noWrap w:val="0"/>
                  <w:vAlign w:val="center"/>
                </w:tcPr>
                <w:p w14:paraId="2D3685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227" w:type="pct"/>
                  <w:noWrap w:val="0"/>
                  <w:vAlign w:val="center"/>
                </w:tcPr>
                <w:p w14:paraId="6A8CF98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一般固废暂存处</w:t>
                  </w:r>
                </w:p>
              </w:tc>
              <w:tc>
                <w:tcPr>
                  <w:tcW w:w="715" w:type="pct"/>
                  <w:vMerge w:val="continue"/>
                  <w:noWrap w:val="0"/>
                  <w:vAlign w:val="center"/>
                </w:tcPr>
                <w:p w14:paraId="7E66556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p>
              </w:tc>
              <w:tc>
                <w:tcPr>
                  <w:tcW w:w="2615" w:type="pct"/>
                  <w:noWrap w:val="0"/>
                  <w:vAlign w:val="center"/>
                </w:tcPr>
                <w:p w14:paraId="00FACB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参照执行《一般工业固体废物贮存和填埋污染控制标准》（GB18599-2020），当天然基础层饱和渗透系数不大于1.0×10</w:t>
                  </w:r>
                  <w:r>
                    <w:rPr>
                      <w:rFonts w:hint="eastAsia" w:ascii="Times New Roman" w:hAnsi="Times New Roman" w:eastAsia="宋体" w:cs="Times New Roman"/>
                      <w:color w:val="000000"/>
                      <w:kern w:val="2"/>
                      <w:sz w:val="21"/>
                      <w:szCs w:val="21"/>
                      <w:highlight w:val="none"/>
                      <w:vertAlign w:val="superscript"/>
                      <w:lang w:val="en-US" w:eastAsia="zh-CN"/>
                    </w:rPr>
                    <w:t>-5</w:t>
                  </w:r>
                  <w:r>
                    <w:rPr>
                      <w:rFonts w:hint="eastAsia" w:ascii="Times New Roman" w:hAnsi="Times New Roman" w:eastAsia="宋体" w:cs="Times New Roman"/>
                      <w:color w:val="000000"/>
                      <w:kern w:val="2"/>
                      <w:sz w:val="21"/>
                      <w:szCs w:val="21"/>
                      <w:highlight w:val="none"/>
                      <w:lang w:val="en-US" w:eastAsia="zh-CN"/>
                    </w:rPr>
                    <w:t>cm/s，且厚度不小于0.75m时，可以采用天然基础层作为防渗衬层。当天然基础层不能满足上述防渗要求时，可采用改性压实粘土类衬层或具有同等以上隔水效力的其他材料防渗衬层，其防渗性能应至少相当于渗透系数为1.0×10</w:t>
                  </w:r>
                  <w:r>
                    <w:rPr>
                      <w:rFonts w:hint="eastAsia" w:ascii="Times New Roman" w:hAnsi="Times New Roman" w:eastAsia="宋体" w:cs="Times New Roman"/>
                      <w:color w:val="000000"/>
                      <w:kern w:val="2"/>
                      <w:sz w:val="21"/>
                      <w:szCs w:val="21"/>
                      <w:highlight w:val="none"/>
                      <w:vertAlign w:val="superscript"/>
                      <w:lang w:val="en-US" w:eastAsia="zh-CN"/>
                    </w:rPr>
                    <w:t>-5</w:t>
                  </w:r>
                  <w:r>
                    <w:rPr>
                      <w:rFonts w:hint="eastAsia" w:ascii="Times New Roman" w:hAnsi="Times New Roman" w:eastAsia="宋体" w:cs="Times New Roman"/>
                      <w:color w:val="000000"/>
                      <w:kern w:val="2"/>
                      <w:sz w:val="21"/>
                      <w:szCs w:val="21"/>
                      <w:highlight w:val="none"/>
                      <w:lang w:val="en-US" w:eastAsia="zh-CN"/>
                    </w:rPr>
                    <w:t>cm/s且厚度为0.75m的天然基础层。</w:t>
                  </w:r>
                </w:p>
              </w:tc>
            </w:tr>
            <w:tr w14:paraId="2B30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41" w:type="pct"/>
                  <w:noWrap w:val="0"/>
                  <w:vAlign w:val="center"/>
                </w:tcPr>
                <w:p w14:paraId="7493230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简单防渗区</w:t>
                  </w:r>
                </w:p>
              </w:tc>
              <w:tc>
                <w:tcPr>
                  <w:tcW w:w="1227" w:type="pct"/>
                  <w:noWrap w:val="0"/>
                  <w:vAlign w:val="center"/>
                </w:tcPr>
                <w:p w14:paraId="6070F9A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办公楼、厂区道路</w:t>
                  </w:r>
                </w:p>
              </w:tc>
              <w:tc>
                <w:tcPr>
                  <w:tcW w:w="715" w:type="pct"/>
                  <w:noWrap w:val="0"/>
                  <w:vAlign w:val="center"/>
                </w:tcPr>
                <w:p w14:paraId="16AC0C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底部</w:t>
                  </w:r>
                </w:p>
              </w:tc>
              <w:tc>
                <w:tcPr>
                  <w:tcW w:w="2615" w:type="pct"/>
                  <w:noWrap w:val="0"/>
                  <w:vAlign w:val="center"/>
                </w:tcPr>
                <w:p w14:paraId="73D9455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一般地面硬化</w:t>
                  </w:r>
                </w:p>
              </w:tc>
            </w:tr>
          </w:tbl>
          <w:p w14:paraId="2F6734A0">
            <w:pPr>
              <w:bidi w:val="0"/>
              <w:rPr>
                <w:rFonts w:hint="eastAsia"/>
                <w:lang w:val="en-US" w:eastAsia="zh-CN"/>
              </w:rPr>
            </w:pPr>
          </w:p>
          <w:p w14:paraId="3C25E207">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在采取以上分区防渗措施后，可有效预防项目对地下水和土壤污染的发生。加强土壤和地下水环境保护队伍建设，由专人负责土壤和地下水污染防治的管理工作，制定土壤和地下水污染事故应急处理处置预案，一旦发生污染事故，立即启动环境风险应急预案，采取应急措施，控制土壤和地下水污染，并使污染得到治理。</w:t>
            </w:r>
          </w:p>
          <w:p w14:paraId="5C3346DF">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综上所述，本项目各区域做好分区防渗措施，对厂房产生的各污染物进行集中收集处理，基本不会产生泄露导致土壤和地下水污染，对土壤和地下水环境影响较小。</w:t>
            </w:r>
          </w:p>
          <w:p w14:paraId="23133356">
            <w:pPr>
              <w:spacing w:line="360" w:lineRule="auto"/>
              <w:jc w:val="left"/>
              <w:rPr>
                <w:rFonts w:hint="eastAsia"/>
                <w:b/>
                <w:bCs/>
                <w:sz w:val="24"/>
                <w:lang w:val="en-US" w:eastAsia="zh-CN"/>
              </w:rPr>
            </w:pPr>
            <w:r>
              <w:rPr>
                <w:rFonts w:hint="eastAsia"/>
                <w:b/>
                <w:bCs/>
                <w:sz w:val="24"/>
                <w:lang w:val="en-US" w:eastAsia="zh-CN"/>
              </w:rPr>
              <w:t>6、生态</w:t>
            </w:r>
          </w:p>
          <w:p w14:paraId="58D51DF6">
            <w:pPr>
              <w:spacing w:line="360" w:lineRule="auto"/>
              <w:ind w:firstLine="480" w:firstLineChars="200"/>
              <w:jc w:val="left"/>
              <w:rPr>
                <w:rFonts w:hint="default"/>
                <w:b w:val="0"/>
                <w:bCs w:val="0"/>
                <w:sz w:val="24"/>
                <w:lang w:val="en-US" w:eastAsia="zh-CN"/>
              </w:rPr>
            </w:pPr>
            <w:r>
              <w:rPr>
                <w:rFonts w:hint="eastAsia"/>
                <w:b w:val="0"/>
                <w:bCs w:val="0"/>
                <w:sz w:val="24"/>
                <w:lang w:val="en-US" w:eastAsia="zh-CN"/>
              </w:rPr>
              <w:t>本项目不涉及。</w:t>
            </w:r>
          </w:p>
          <w:p w14:paraId="15BEE709">
            <w:pPr>
              <w:spacing w:line="360" w:lineRule="auto"/>
              <w:jc w:val="left"/>
              <w:rPr>
                <w:rFonts w:hint="eastAsia"/>
                <w:b/>
                <w:bCs/>
                <w:sz w:val="24"/>
                <w:lang w:val="en-US" w:eastAsia="zh-CN"/>
              </w:rPr>
            </w:pPr>
            <w:r>
              <w:rPr>
                <w:rFonts w:hint="eastAsia"/>
                <w:b/>
                <w:bCs/>
                <w:sz w:val="24"/>
                <w:lang w:val="en-US" w:eastAsia="zh-CN"/>
              </w:rPr>
              <w:t>7、环境风险</w:t>
            </w:r>
          </w:p>
          <w:p w14:paraId="52BA2D27">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根据《建设项目环境影响报告表编制技术指南（污染影响类）（试行）》文件要求，需明确有毒有害和易燃易爆等危险物质和风险源分布情况及可能影响途径，并提出相应环境风险防范措施。</w:t>
            </w:r>
          </w:p>
          <w:p w14:paraId="17009578">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（1）危险物质和风险源分布情况</w:t>
            </w:r>
          </w:p>
          <w:p w14:paraId="5A1C088B">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根据《建设项目环境风险评价技术导则》（HJ169-2018）及《企业突发环境事件风险分级方法》（HJ 941-2018）文件，本项目涉及的主要危险物质为油漆和稀释剂中的二甲苯、油类物质以及液化气中的丙烷，风险源为油漆稀释剂存储间及废气处理设施。具体分布情况见下表。</w:t>
            </w:r>
          </w:p>
          <w:p w14:paraId="3939297E">
            <w:pPr>
              <w:keepNext w:val="0"/>
              <w:keepLines w:val="0"/>
              <w:pageBreakBefore w:val="0"/>
              <w:widowControl/>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kern w:val="0"/>
                <w:sz w:val="22"/>
                <w:szCs w:val="22"/>
                <w:lang w:val="en-US" w:eastAsia="zh-CN"/>
              </w:rPr>
            </w:pPr>
            <w:r>
              <w:rPr>
                <w:rFonts w:hint="eastAsia" w:ascii="Times New Roman" w:hAnsi="Times New Roman" w:eastAsia="宋体" w:cs="Times New Roman"/>
                <w:b/>
                <w:kern w:val="0"/>
                <w:sz w:val="22"/>
                <w:szCs w:val="22"/>
                <w:lang w:val="en-US" w:eastAsia="zh-CN"/>
              </w:rPr>
              <w:t>表4-1</w:t>
            </w:r>
            <w:r>
              <w:rPr>
                <w:rFonts w:hint="eastAsia" w:cs="Times New Roman"/>
                <w:b/>
                <w:kern w:val="0"/>
                <w:sz w:val="22"/>
                <w:szCs w:val="22"/>
                <w:lang w:val="en-US" w:eastAsia="zh-CN"/>
              </w:rPr>
              <w:t>0</w:t>
            </w:r>
            <w:r>
              <w:rPr>
                <w:rFonts w:hint="eastAsia" w:ascii="Times New Roman" w:hAnsi="Times New Roman" w:eastAsia="宋体" w:cs="Times New Roman"/>
                <w:b/>
                <w:kern w:val="0"/>
                <w:sz w:val="22"/>
                <w:szCs w:val="22"/>
                <w:lang w:val="en-US" w:eastAsia="zh-CN"/>
              </w:rPr>
              <w:t xml:space="preserve"> 危险物质分布及存储情况一览表</w:t>
            </w:r>
          </w:p>
          <w:tbl>
            <w:tblPr>
              <w:tblStyle w:val="15"/>
              <w:tblW w:w="49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73"/>
              <w:gridCol w:w="930"/>
              <w:gridCol w:w="1038"/>
              <w:gridCol w:w="1427"/>
              <w:gridCol w:w="1589"/>
              <w:gridCol w:w="1284"/>
              <w:gridCol w:w="1284"/>
            </w:tblGrid>
            <w:tr w14:paraId="32F4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352" w:type="pct"/>
                  <w:noWrap w:val="0"/>
                  <w:vAlign w:val="center"/>
                </w:tcPr>
                <w:p w14:paraId="6F9DB4E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default" w:ascii="Times New Roman" w:hAnsi="Times New Roman" w:eastAsia="宋体" w:cs="Times New Roman"/>
                      <w:b/>
                      <w:bCs/>
                      <w:color w:val="000000"/>
                      <w:kern w:val="2"/>
                      <w:sz w:val="21"/>
                      <w:szCs w:val="21"/>
                      <w:highlight w:val="none"/>
                      <w:lang w:val="en-US" w:eastAsia="zh-CN"/>
                    </w:rPr>
                    <w:t>序号</w:t>
                  </w:r>
                </w:p>
              </w:tc>
              <w:tc>
                <w:tcPr>
                  <w:tcW w:w="1211" w:type="pct"/>
                  <w:gridSpan w:val="2"/>
                  <w:noWrap w:val="0"/>
                  <w:vAlign w:val="center"/>
                </w:tcPr>
                <w:p w14:paraId="662A2A6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default" w:ascii="Times New Roman" w:hAnsi="Times New Roman" w:eastAsia="宋体" w:cs="Times New Roman"/>
                      <w:b/>
                      <w:bCs/>
                      <w:color w:val="000000"/>
                      <w:kern w:val="2"/>
                      <w:sz w:val="21"/>
                      <w:szCs w:val="21"/>
                      <w:highlight w:val="none"/>
                      <w:lang w:val="en-US" w:eastAsia="zh-CN"/>
                    </w:rPr>
                    <w:t>危险物质</w:t>
                  </w:r>
                </w:p>
              </w:tc>
              <w:tc>
                <w:tcPr>
                  <w:tcW w:w="878" w:type="pct"/>
                  <w:noWrap w:val="0"/>
                  <w:vAlign w:val="center"/>
                </w:tcPr>
                <w:p w14:paraId="09AE27A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eastAsia" w:ascii="Times New Roman" w:hAnsi="Times New Roman" w:eastAsia="宋体" w:cs="Times New Roman"/>
                      <w:b/>
                      <w:bCs/>
                      <w:color w:val="000000"/>
                      <w:kern w:val="2"/>
                      <w:sz w:val="21"/>
                      <w:szCs w:val="21"/>
                      <w:highlight w:val="none"/>
                      <w:lang w:val="en-US" w:eastAsia="zh-CN"/>
                    </w:rPr>
                    <w:t>暂存处</w:t>
                  </w:r>
                </w:p>
              </w:tc>
              <w:tc>
                <w:tcPr>
                  <w:tcW w:w="977" w:type="pct"/>
                  <w:noWrap w:val="0"/>
                  <w:vAlign w:val="center"/>
                </w:tcPr>
                <w:p w14:paraId="7EF702F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default" w:ascii="Times New Roman" w:hAnsi="Times New Roman" w:eastAsia="宋体" w:cs="Times New Roman"/>
                      <w:b/>
                      <w:bCs/>
                      <w:color w:val="000000"/>
                      <w:kern w:val="2"/>
                      <w:sz w:val="21"/>
                      <w:szCs w:val="21"/>
                      <w:highlight w:val="none"/>
                      <w:lang w:val="en-US" w:eastAsia="zh-CN"/>
                    </w:rPr>
                    <w:t>最大暂存量（t）</w:t>
                  </w:r>
                </w:p>
              </w:tc>
              <w:tc>
                <w:tcPr>
                  <w:tcW w:w="790" w:type="pct"/>
                  <w:noWrap w:val="0"/>
                  <w:vAlign w:val="center"/>
                </w:tcPr>
                <w:p w14:paraId="1A72B88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default" w:ascii="Times New Roman" w:hAnsi="Times New Roman" w:eastAsia="宋体" w:cs="Times New Roman"/>
                      <w:b/>
                      <w:bCs/>
                      <w:color w:val="000000"/>
                      <w:kern w:val="2"/>
                      <w:sz w:val="21"/>
                      <w:szCs w:val="21"/>
                      <w:highlight w:val="none"/>
                      <w:lang w:val="en-US" w:eastAsia="zh-CN"/>
                    </w:rPr>
                    <w:t>临界量（t）</w:t>
                  </w:r>
                </w:p>
              </w:tc>
              <w:tc>
                <w:tcPr>
                  <w:tcW w:w="790" w:type="pct"/>
                  <w:noWrap w:val="0"/>
                  <w:vAlign w:val="center"/>
                </w:tcPr>
                <w:p w14:paraId="101F411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default" w:ascii="Times New Roman" w:hAnsi="Times New Roman" w:eastAsia="宋体" w:cs="Times New Roman"/>
                      <w:b/>
                      <w:bCs/>
                      <w:color w:val="000000"/>
                      <w:kern w:val="2"/>
                      <w:sz w:val="21"/>
                      <w:szCs w:val="21"/>
                      <w:highlight w:val="none"/>
                      <w:lang w:val="en-US" w:eastAsia="zh-CN"/>
                    </w:rPr>
                    <w:t>Q值</w:t>
                  </w:r>
                </w:p>
              </w:tc>
            </w:tr>
            <w:tr w14:paraId="1BAE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352" w:type="pct"/>
                  <w:shd w:val="clear" w:color="auto" w:fill="auto"/>
                  <w:noWrap w:val="0"/>
                  <w:vAlign w:val="center"/>
                </w:tcPr>
                <w:p w14:paraId="49AB8D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rPr>
                    <w:t>1</w:t>
                  </w:r>
                </w:p>
              </w:tc>
              <w:tc>
                <w:tcPr>
                  <w:tcW w:w="1211" w:type="pct"/>
                  <w:gridSpan w:val="2"/>
                  <w:shd w:val="clear" w:color="auto" w:fill="auto"/>
                  <w:noWrap w:val="0"/>
                  <w:vAlign w:val="center"/>
                </w:tcPr>
                <w:p w14:paraId="617E46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机油</w:t>
                  </w:r>
                </w:p>
              </w:tc>
              <w:tc>
                <w:tcPr>
                  <w:tcW w:w="878" w:type="pct"/>
                  <w:vMerge w:val="restart"/>
                  <w:shd w:val="clear" w:color="auto" w:fill="auto"/>
                  <w:noWrap w:val="0"/>
                  <w:vAlign w:val="center"/>
                </w:tcPr>
                <w:p w14:paraId="1C3AEF0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生产机器内</w:t>
                  </w:r>
                </w:p>
              </w:tc>
              <w:tc>
                <w:tcPr>
                  <w:tcW w:w="977" w:type="pct"/>
                  <w:shd w:val="clear" w:color="auto" w:fill="auto"/>
                  <w:noWrap w:val="0"/>
                  <w:vAlign w:val="center"/>
                </w:tcPr>
                <w:p w14:paraId="1E2B3DF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0.8</w:t>
                  </w:r>
                </w:p>
              </w:tc>
              <w:tc>
                <w:tcPr>
                  <w:tcW w:w="790" w:type="pct"/>
                  <w:shd w:val="clear" w:color="auto" w:fill="auto"/>
                  <w:noWrap w:val="0"/>
                  <w:vAlign w:val="center"/>
                </w:tcPr>
                <w:p w14:paraId="26C3888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2500</w:t>
                  </w:r>
                </w:p>
              </w:tc>
              <w:tc>
                <w:tcPr>
                  <w:tcW w:w="790" w:type="pct"/>
                  <w:shd w:val="clear" w:color="auto" w:fill="auto"/>
                  <w:noWrap w:val="0"/>
                  <w:vAlign w:val="center"/>
                </w:tcPr>
                <w:p w14:paraId="4150C45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3.2×10</w:t>
                  </w:r>
                  <w:r>
                    <w:rPr>
                      <w:rFonts w:hint="eastAsia" w:cs="Times New Roman"/>
                      <w:color w:val="000000"/>
                      <w:kern w:val="2"/>
                      <w:sz w:val="21"/>
                      <w:szCs w:val="21"/>
                      <w:highlight w:val="none"/>
                      <w:vertAlign w:val="superscript"/>
                      <w:lang w:val="en-US" w:eastAsia="zh-CN" w:bidi="ar-SA"/>
                    </w:rPr>
                    <w:t>-4</w:t>
                  </w:r>
                </w:p>
              </w:tc>
            </w:tr>
            <w:tr w14:paraId="3121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352" w:type="pct"/>
                  <w:shd w:val="clear" w:color="auto" w:fill="auto"/>
                  <w:noWrap w:val="0"/>
                  <w:vAlign w:val="center"/>
                </w:tcPr>
                <w:p w14:paraId="185B06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rPr>
                    <w:t>2</w:t>
                  </w:r>
                </w:p>
              </w:tc>
              <w:tc>
                <w:tcPr>
                  <w:tcW w:w="1211" w:type="pct"/>
                  <w:gridSpan w:val="2"/>
                  <w:shd w:val="clear" w:color="auto" w:fill="auto"/>
                  <w:noWrap w:val="0"/>
                  <w:vAlign w:val="center"/>
                </w:tcPr>
                <w:p w14:paraId="4E47DB6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液压油</w:t>
                  </w:r>
                </w:p>
              </w:tc>
              <w:tc>
                <w:tcPr>
                  <w:tcW w:w="878" w:type="pct"/>
                  <w:vMerge w:val="continue"/>
                  <w:shd w:val="clear" w:color="auto" w:fill="auto"/>
                  <w:noWrap w:val="0"/>
                  <w:vAlign w:val="center"/>
                </w:tcPr>
                <w:p w14:paraId="2BFF8D3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977" w:type="pct"/>
                  <w:shd w:val="clear" w:color="auto" w:fill="auto"/>
                  <w:noWrap w:val="0"/>
                  <w:vAlign w:val="center"/>
                </w:tcPr>
                <w:p w14:paraId="279B1EE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2.5</w:t>
                  </w:r>
                </w:p>
              </w:tc>
              <w:tc>
                <w:tcPr>
                  <w:tcW w:w="790" w:type="pct"/>
                  <w:shd w:val="clear" w:color="auto" w:fill="auto"/>
                  <w:noWrap w:val="0"/>
                  <w:vAlign w:val="center"/>
                </w:tcPr>
                <w:p w14:paraId="601649C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2500</w:t>
                  </w:r>
                </w:p>
              </w:tc>
              <w:tc>
                <w:tcPr>
                  <w:tcW w:w="790" w:type="pct"/>
                  <w:shd w:val="clear" w:color="auto" w:fill="auto"/>
                  <w:noWrap w:val="0"/>
                  <w:vAlign w:val="center"/>
                </w:tcPr>
                <w:p w14:paraId="3FC31DB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0.001</w:t>
                  </w:r>
                </w:p>
              </w:tc>
            </w:tr>
            <w:tr w14:paraId="10A6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352" w:type="pct"/>
                  <w:shd w:val="clear" w:color="auto" w:fill="auto"/>
                  <w:noWrap w:val="0"/>
                  <w:vAlign w:val="center"/>
                </w:tcPr>
                <w:p w14:paraId="34862C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rPr>
                    <w:t>3</w:t>
                  </w:r>
                </w:p>
              </w:tc>
              <w:tc>
                <w:tcPr>
                  <w:tcW w:w="1211" w:type="pct"/>
                  <w:gridSpan w:val="2"/>
                  <w:shd w:val="clear" w:color="auto" w:fill="auto"/>
                  <w:noWrap w:val="0"/>
                  <w:vAlign w:val="center"/>
                </w:tcPr>
                <w:p w14:paraId="464366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切削液</w:t>
                  </w:r>
                </w:p>
              </w:tc>
              <w:tc>
                <w:tcPr>
                  <w:tcW w:w="878" w:type="pct"/>
                  <w:vMerge w:val="continue"/>
                  <w:shd w:val="clear" w:color="auto" w:fill="auto"/>
                  <w:noWrap w:val="0"/>
                  <w:vAlign w:val="center"/>
                </w:tcPr>
                <w:p w14:paraId="659663E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977" w:type="pct"/>
                  <w:shd w:val="clear" w:color="auto" w:fill="auto"/>
                  <w:noWrap w:val="0"/>
                  <w:vAlign w:val="center"/>
                </w:tcPr>
                <w:p w14:paraId="63ED07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0.2</w:t>
                  </w:r>
                </w:p>
              </w:tc>
              <w:tc>
                <w:tcPr>
                  <w:tcW w:w="790" w:type="pct"/>
                  <w:shd w:val="clear" w:color="auto" w:fill="auto"/>
                  <w:noWrap w:val="0"/>
                  <w:vAlign w:val="center"/>
                </w:tcPr>
                <w:p w14:paraId="47F40F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2500</w:t>
                  </w:r>
                </w:p>
              </w:tc>
              <w:tc>
                <w:tcPr>
                  <w:tcW w:w="790" w:type="pct"/>
                  <w:shd w:val="clear" w:color="auto" w:fill="auto"/>
                  <w:noWrap w:val="0"/>
                  <w:vAlign w:val="center"/>
                </w:tcPr>
                <w:p w14:paraId="0B0AE98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8×10</w:t>
                  </w:r>
                  <w:r>
                    <w:rPr>
                      <w:rFonts w:hint="eastAsia" w:cs="Times New Roman"/>
                      <w:color w:val="000000"/>
                      <w:kern w:val="2"/>
                      <w:sz w:val="21"/>
                      <w:szCs w:val="21"/>
                      <w:highlight w:val="none"/>
                      <w:vertAlign w:val="superscript"/>
                      <w:lang w:val="en-US" w:eastAsia="zh-CN" w:bidi="ar-SA"/>
                    </w:rPr>
                    <w:t>-5</w:t>
                  </w:r>
                </w:p>
              </w:tc>
            </w:tr>
            <w:tr w14:paraId="6BC0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352" w:type="pct"/>
                  <w:shd w:val="clear" w:color="auto" w:fill="auto"/>
                  <w:noWrap w:val="0"/>
                  <w:vAlign w:val="center"/>
                </w:tcPr>
                <w:p w14:paraId="5F6490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4</w:t>
                  </w:r>
                </w:p>
              </w:tc>
              <w:tc>
                <w:tcPr>
                  <w:tcW w:w="1211" w:type="pct"/>
                  <w:gridSpan w:val="2"/>
                  <w:shd w:val="clear" w:color="auto" w:fill="auto"/>
                  <w:noWrap w:val="0"/>
                  <w:vAlign w:val="center"/>
                </w:tcPr>
                <w:p w14:paraId="287C5A2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废矿物油</w:t>
                  </w:r>
                </w:p>
              </w:tc>
              <w:tc>
                <w:tcPr>
                  <w:tcW w:w="878" w:type="pct"/>
                  <w:vMerge w:val="restart"/>
                  <w:shd w:val="clear" w:color="auto" w:fill="auto"/>
                  <w:noWrap w:val="0"/>
                  <w:vAlign w:val="center"/>
                </w:tcPr>
                <w:p w14:paraId="779D69A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危废暂存间</w:t>
                  </w:r>
                </w:p>
              </w:tc>
              <w:tc>
                <w:tcPr>
                  <w:tcW w:w="977" w:type="pct"/>
                  <w:shd w:val="clear" w:color="auto" w:fill="auto"/>
                  <w:noWrap w:val="0"/>
                  <w:vAlign w:val="center"/>
                </w:tcPr>
                <w:p w14:paraId="4DDBB0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w:t>
                  </w:r>
                </w:p>
              </w:tc>
              <w:tc>
                <w:tcPr>
                  <w:tcW w:w="790" w:type="pct"/>
                  <w:shd w:val="clear" w:color="auto" w:fill="auto"/>
                  <w:noWrap w:val="0"/>
                  <w:vAlign w:val="center"/>
                </w:tcPr>
                <w:p w14:paraId="4EC484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2500</w:t>
                  </w:r>
                </w:p>
              </w:tc>
              <w:tc>
                <w:tcPr>
                  <w:tcW w:w="790" w:type="pct"/>
                  <w:shd w:val="clear" w:color="auto" w:fill="auto"/>
                  <w:noWrap w:val="0"/>
                  <w:vAlign w:val="center"/>
                </w:tcPr>
                <w:p w14:paraId="635F4A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8×10</w:t>
                  </w:r>
                  <w:r>
                    <w:rPr>
                      <w:rFonts w:hint="eastAsia" w:cs="Times New Roman"/>
                      <w:color w:val="000000"/>
                      <w:kern w:val="2"/>
                      <w:sz w:val="21"/>
                      <w:szCs w:val="21"/>
                      <w:highlight w:val="none"/>
                      <w:vertAlign w:val="superscript"/>
                      <w:lang w:val="en-US" w:eastAsia="zh-CN" w:bidi="ar-SA"/>
                    </w:rPr>
                    <w:t>-4</w:t>
                  </w:r>
                </w:p>
              </w:tc>
            </w:tr>
            <w:tr w14:paraId="0F51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352" w:type="pct"/>
                  <w:noWrap w:val="0"/>
                  <w:vAlign w:val="center"/>
                </w:tcPr>
                <w:p w14:paraId="33FF85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5</w:t>
                  </w:r>
                </w:p>
              </w:tc>
              <w:tc>
                <w:tcPr>
                  <w:tcW w:w="1211" w:type="pct"/>
                  <w:gridSpan w:val="2"/>
                  <w:shd w:val="clear" w:color="auto" w:fill="auto"/>
                  <w:noWrap w:val="0"/>
                  <w:vAlign w:val="center"/>
                </w:tcPr>
                <w:p w14:paraId="72938AD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废切削液</w:t>
                  </w:r>
                </w:p>
              </w:tc>
              <w:tc>
                <w:tcPr>
                  <w:tcW w:w="878" w:type="pct"/>
                  <w:vMerge w:val="continue"/>
                  <w:shd w:val="clear" w:color="auto" w:fill="auto"/>
                  <w:noWrap w:val="0"/>
                  <w:vAlign w:val="center"/>
                </w:tcPr>
                <w:p w14:paraId="438B2C4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977" w:type="pct"/>
                  <w:shd w:val="clear" w:color="auto" w:fill="auto"/>
                  <w:noWrap w:val="0"/>
                  <w:vAlign w:val="center"/>
                </w:tcPr>
                <w:p w14:paraId="6908E55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0.1</w:t>
                  </w:r>
                </w:p>
              </w:tc>
              <w:tc>
                <w:tcPr>
                  <w:tcW w:w="790" w:type="pct"/>
                  <w:shd w:val="clear" w:color="auto" w:fill="auto"/>
                  <w:noWrap w:val="0"/>
                  <w:vAlign w:val="center"/>
                </w:tcPr>
                <w:p w14:paraId="7561B3E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2500</w:t>
                  </w:r>
                </w:p>
              </w:tc>
              <w:tc>
                <w:tcPr>
                  <w:tcW w:w="790" w:type="pct"/>
                  <w:shd w:val="clear" w:color="auto" w:fill="auto"/>
                  <w:noWrap w:val="0"/>
                  <w:vAlign w:val="center"/>
                </w:tcPr>
                <w:p w14:paraId="6EB878F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4×10</w:t>
                  </w:r>
                  <w:r>
                    <w:rPr>
                      <w:rFonts w:hint="eastAsia" w:cs="Times New Roman"/>
                      <w:color w:val="000000"/>
                      <w:kern w:val="2"/>
                      <w:sz w:val="21"/>
                      <w:szCs w:val="21"/>
                      <w:highlight w:val="none"/>
                      <w:vertAlign w:val="superscript"/>
                      <w:lang w:val="en-US" w:eastAsia="zh-CN" w:bidi="ar-SA"/>
                    </w:rPr>
                    <w:t>-5</w:t>
                  </w:r>
                </w:p>
              </w:tc>
            </w:tr>
            <w:tr w14:paraId="19AF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352" w:type="pct"/>
                  <w:shd w:val="clear" w:color="auto" w:fill="auto"/>
                  <w:noWrap w:val="0"/>
                  <w:vAlign w:val="center"/>
                </w:tcPr>
                <w:p w14:paraId="754449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6</w:t>
                  </w:r>
                </w:p>
              </w:tc>
              <w:tc>
                <w:tcPr>
                  <w:tcW w:w="572" w:type="pct"/>
                  <w:shd w:val="clear" w:color="auto" w:fill="auto"/>
                  <w:noWrap w:val="0"/>
                  <w:vAlign w:val="center"/>
                </w:tcPr>
                <w:p w14:paraId="2914DC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液化气</w:t>
                  </w:r>
                </w:p>
              </w:tc>
              <w:tc>
                <w:tcPr>
                  <w:tcW w:w="638" w:type="pct"/>
                  <w:shd w:val="clear" w:color="auto" w:fill="auto"/>
                  <w:noWrap w:val="0"/>
                  <w:vAlign w:val="center"/>
                </w:tcPr>
                <w:p w14:paraId="43EFF60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丙烷</w:t>
                  </w:r>
                </w:p>
              </w:tc>
              <w:tc>
                <w:tcPr>
                  <w:tcW w:w="878" w:type="pct"/>
                  <w:shd w:val="clear" w:color="auto" w:fill="auto"/>
                  <w:noWrap w:val="0"/>
                  <w:vAlign w:val="center"/>
                </w:tcPr>
                <w:p w14:paraId="7F2D4FA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生产车间</w:t>
                  </w:r>
                </w:p>
              </w:tc>
              <w:tc>
                <w:tcPr>
                  <w:tcW w:w="977" w:type="pct"/>
                  <w:shd w:val="clear" w:color="auto" w:fill="auto"/>
                  <w:noWrap w:val="0"/>
                  <w:vAlign w:val="center"/>
                </w:tcPr>
                <w:p w14:paraId="3CAEEC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rPr>
                    <w:t>0.0</w:t>
                  </w:r>
                  <w:r>
                    <w:rPr>
                      <w:rFonts w:hint="eastAsia" w:cs="Times New Roman"/>
                      <w:color w:val="000000"/>
                      <w:kern w:val="2"/>
                      <w:sz w:val="21"/>
                      <w:szCs w:val="21"/>
                      <w:highlight w:val="none"/>
                      <w:lang w:val="en-US" w:eastAsia="zh-CN"/>
                    </w:rPr>
                    <w:t>2</w:t>
                  </w:r>
                </w:p>
              </w:tc>
              <w:tc>
                <w:tcPr>
                  <w:tcW w:w="790" w:type="pct"/>
                  <w:shd w:val="clear" w:color="auto" w:fill="auto"/>
                  <w:noWrap w:val="0"/>
                  <w:vAlign w:val="center"/>
                </w:tcPr>
                <w:p w14:paraId="361202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w:t>
                  </w:r>
                  <w:r>
                    <w:rPr>
                      <w:rFonts w:hint="default" w:ascii="Times New Roman" w:hAnsi="Times New Roman" w:eastAsia="宋体" w:cs="Times New Roman"/>
                      <w:color w:val="000000"/>
                      <w:kern w:val="2"/>
                      <w:sz w:val="21"/>
                      <w:szCs w:val="21"/>
                      <w:highlight w:val="none"/>
                      <w:lang w:val="en-US" w:eastAsia="zh-CN"/>
                    </w:rPr>
                    <w:t>0</w:t>
                  </w:r>
                </w:p>
              </w:tc>
              <w:tc>
                <w:tcPr>
                  <w:tcW w:w="790" w:type="pct"/>
                  <w:shd w:val="clear" w:color="auto" w:fill="auto"/>
                  <w:noWrap w:val="0"/>
                  <w:vAlign w:val="center"/>
                </w:tcPr>
                <w:p w14:paraId="094BCF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rPr>
                    <w:t>0.00</w:t>
                  </w:r>
                  <w:r>
                    <w:rPr>
                      <w:rFonts w:hint="eastAsia" w:cs="Times New Roman"/>
                      <w:color w:val="000000"/>
                      <w:kern w:val="2"/>
                      <w:sz w:val="21"/>
                      <w:szCs w:val="21"/>
                      <w:highlight w:val="none"/>
                      <w:lang w:val="en-US" w:eastAsia="zh-CN"/>
                    </w:rPr>
                    <w:t>2</w:t>
                  </w:r>
                </w:p>
              </w:tc>
            </w:tr>
            <w:tr w14:paraId="5C93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352" w:type="pct"/>
                  <w:shd w:val="clear" w:color="auto" w:fill="auto"/>
                  <w:noWrap w:val="0"/>
                  <w:vAlign w:val="center"/>
                </w:tcPr>
                <w:p w14:paraId="3E4BD4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7</w:t>
                  </w:r>
                </w:p>
              </w:tc>
              <w:tc>
                <w:tcPr>
                  <w:tcW w:w="1211" w:type="pct"/>
                  <w:gridSpan w:val="2"/>
                  <w:noWrap w:val="0"/>
                  <w:vAlign w:val="center"/>
                </w:tcPr>
                <w:p w14:paraId="496209E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二甲苯（油漆）</w:t>
                  </w:r>
                </w:p>
              </w:tc>
              <w:tc>
                <w:tcPr>
                  <w:tcW w:w="878" w:type="pct"/>
                  <w:vMerge w:val="restart"/>
                  <w:noWrap w:val="0"/>
                  <w:vAlign w:val="center"/>
                </w:tcPr>
                <w:p w14:paraId="00A457F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原料库</w:t>
                  </w:r>
                </w:p>
              </w:tc>
              <w:tc>
                <w:tcPr>
                  <w:tcW w:w="977" w:type="pct"/>
                  <w:noWrap w:val="0"/>
                  <w:vAlign w:val="center"/>
                </w:tcPr>
                <w:p w14:paraId="7AAD28B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0.07</w:t>
                  </w:r>
                </w:p>
              </w:tc>
              <w:tc>
                <w:tcPr>
                  <w:tcW w:w="790" w:type="pct"/>
                  <w:noWrap w:val="0"/>
                  <w:vAlign w:val="center"/>
                </w:tcPr>
                <w:p w14:paraId="5D868E0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10</w:t>
                  </w:r>
                </w:p>
              </w:tc>
              <w:tc>
                <w:tcPr>
                  <w:tcW w:w="790" w:type="pct"/>
                  <w:noWrap w:val="0"/>
                  <w:vAlign w:val="center"/>
                </w:tcPr>
                <w:p w14:paraId="068DFC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0.0</w:t>
                  </w:r>
                  <w:r>
                    <w:rPr>
                      <w:rFonts w:hint="eastAsia" w:cs="Times New Roman"/>
                      <w:color w:val="000000"/>
                      <w:kern w:val="2"/>
                      <w:sz w:val="21"/>
                      <w:szCs w:val="21"/>
                      <w:highlight w:val="none"/>
                      <w:lang w:val="en-US" w:eastAsia="zh-CN"/>
                    </w:rPr>
                    <w:t>07</w:t>
                  </w:r>
                </w:p>
              </w:tc>
            </w:tr>
            <w:tr w14:paraId="568A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352" w:type="pct"/>
                  <w:noWrap w:val="0"/>
                  <w:vAlign w:val="center"/>
                </w:tcPr>
                <w:p w14:paraId="0D6B3A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8</w:t>
                  </w:r>
                </w:p>
              </w:tc>
              <w:tc>
                <w:tcPr>
                  <w:tcW w:w="1211" w:type="pct"/>
                  <w:gridSpan w:val="2"/>
                  <w:noWrap w:val="0"/>
                  <w:vAlign w:val="center"/>
                </w:tcPr>
                <w:p w14:paraId="58946F1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二甲苯（稀释剂）</w:t>
                  </w:r>
                </w:p>
              </w:tc>
              <w:tc>
                <w:tcPr>
                  <w:tcW w:w="878" w:type="pct"/>
                  <w:vMerge w:val="continue"/>
                  <w:noWrap w:val="0"/>
                  <w:vAlign w:val="center"/>
                </w:tcPr>
                <w:p w14:paraId="4546F9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p>
              </w:tc>
              <w:tc>
                <w:tcPr>
                  <w:tcW w:w="977" w:type="pct"/>
                  <w:noWrap w:val="0"/>
                  <w:vAlign w:val="center"/>
                </w:tcPr>
                <w:p w14:paraId="506EDA2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0.04</w:t>
                  </w:r>
                </w:p>
              </w:tc>
              <w:tc>
                <w:tcPr>
                  <w:tcW w:w="790" w:type="pct"/>
                  <w:noWrap w:val="0"/>
                  <w:vAlign w:val="center"/>
                </w:tcPr>
                <w:p w14:paraId="33FABD9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10</w:t>
                  </w:r>
                </w:p>
              </w:tc>
              <w:tc>
                <w:tcPr>
                  <w:tcW w:w="790" w:type="pct"/>
                  <w:noWrap w:val="0"/>
                  <w:vAlign w:val="center"/>
                </w:tcPr>
                <w:p w14:paraId="033BAA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0.00</w:t>
                  </w:r>
                  <w:r>
                    <w:rPr>
                      <w:rFonts w:hint="eastAsia" w:cs="Times New Roman"/>
                      <w:color w:val="000000"/>
                      <w:kern w:val="2"/>
                      <w:sz w:val="21"/>
                      <w:szCs w:val="21"/>
                      <w:highlight w:val="none"/>
                      <w:lang w:val="en-US" w:eastAsia="zh-CN"/>
                    </w:rPr>
                    <w:t>4</w:t>
                  </w:r>
                </w:p>
              </w:tc>
            </w:tr>
            <w:tr w14:paraId="1DB9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4209" w:type="pct"/>
                  <w:gridSpan w:val="6"/>
                  <w:noWrap w:val="0"/>
                  <w:vAlign w:val="center"/>
                </w:tcPr>
                <w:p w14:paraId="04D3CD1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合计</w:t>
                  </w:r>
                </w:p>
              </w:tc>
              <w:tc>
                <w:tcPr>
                  <w:tcW w:w="790" w:type="pct"/>
                  <w:noWrap w:val="0"/>
                  <w:vAlign w:val="center"/>
                </w:tcPr>
                <w:p w14:paraId="02265B0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0.</w:t>
                  </w:r>
                  <w:r>
                    <w:rPr>
                      <w:rFonts w:hint="eastAsia" w:cs="Times New Roman"/>
                      <w:color w:val="000000"/>
                      <w:kern w:val="2"/>
                      <w:sz w:val="21"/>
                      <w:szCs w:val="21"/>
                      <w:highlight w:val="none"/>
                      <w:lang w:val="en-US" w:eastAsia="zh-CN"/>
                    </w:rPr>
                    <w:t>01524</w:t>
                  </w:r>
                </w:p>
              </w:tc>
            </w:tr>
          </w:tbl>
          <w:p w14:paraId="7A264E04">
            <w:pPr>
              <w:bidi w:val="0"/>
              <w:rPr>
                <w:rFonts w:hint="eastAsia"/>
                <w:lang w:val="en-US" w:eastAsia="zh-CN"/>
              </w:rPr>
            </w:pPr>
          </w:p>
          <w:p w14:paraId="40118968">
            <w:pPr>
              <w:keepNext w:val="0"/>
              <w:keepLines w:val="0"/>
              <w:pageBreakBefore w:val="0"/>
              <w:widowControl/>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kern w:val="0"/>
                <w:sz w:val="22"/>
                <w:szCs w:val="22"/>
                <w:lang w:val="en-US" w:eastAsia="zh-CN"/>
              </w:rPr>
            </w:pPr>
            <w:r>
              <w:rPr>
                <w:rFonts w:hint="eastAsia" w:ascii="Times New Roman" w:hAnsi="Times New Roman" w:eastAsia="宋体" w:cs="Times New Roman"/>
                <w:b/>
                <w:kern w:val="0"/>
                <w:sz w:val="22"/>
                <w:szCs w:val="22"/>
                <w:lang w:val="en-US" w:eastAsia="zh-CN"/>
              </w:rPr>
              <w:t>表4-1</w:t>
            </w:r>
            <w:r>
              <w:rPr>
                <w:rFonts w:hint="eastAsia" w:cs="Times New Roman"/>
                <w:b/>
                <w:kern w:val="0"/>
                <w:sz w:val="22"/>
                <w:szCs w:val="22"/>
                <w:lang w:val="en-US" w:eastAsia="zh-CN"/>
              </w:rPr>
              <w:t>1</w:t>
            </w:r>
            <w:r>
              <w:rPr>
                <w:rFonts w:hint="eastAsia" w:ascii="Times New Roman" w:hAnsi="Times New Roman" w:eastAsia="宋体" w:cs="Times New Roman"/>
                <w:b/>
                <w:kern w:val="0"/>
                <w:sz w:val="22"/>
                <w:szCs w:val="22"/>
                <w:lang w:val="en-US" w:eastAsia="zh-CN"/>
              </w:rPr>
              <w:t xml:space="preserve"> 项目存在的环境风险类别</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035"/>
              <w:gridCol w:w="2172"/>
              <w:gridCol w:w="2244"/>
              <w:gridCol w:w="1767"/>
            </w:tblGrid>
            <w:tr w14:paraId="0C64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1238" w:type="pct"/>
                  <w:noWrap w:val="0"/>
                  <w:vAlign w:val="center"/>
                </w:tcPr>
                <w:p w14:paraId="4B35561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1"/>
                      <w:szCs w:val="21"/>
                      <w:highlight w:val="none"/>
                      <w:lang w:val="en-US" w:eastAsia="zh-CN"/>
                    </w:rPr>
                  </w:pPr>
                  <w:r>
                    <w:rPr>
                      <w:rFonts w:hint="eastAsia" w:ascii="Times New Roman" w:hAnsi="Times New Roman" w:eastAsia="宋体" w:cs="Times New Roman"/>
                      <w:b/>
                      <w:bCs/>
                      <w:color w:val="000000"/>
                      <w:kern w:val="2"/>
                      <w:sz w:val="21"/>
                      <w:szCs w:val="21"/>
                      <w:highlight w:val="none"/>
                      <w:lang w:val="en-US" w:eastAsia="zh-CN"/>
                    </w:rPr>
                    <w:t>风险源分布情况</w:t>
                  </w:r>
                </w:p>
              </w:tc>
              <w:tc>
                <w:tcPr>
                  <w:tcW w:w="1321" w:type="pct"/>
                  <w:noWrap w:val="0"/>
                  <w:vAlign w:val="center"/>
                </w:tcPr>
                <w:p w14:paraId="375F34C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1"/>
                      <w:szCs w:val="21"/>
                      <w:highlight w:val="none"/>
                      <w:lang w:val="en-US" w:eastAsia="zh-CN"/>
                    </w:rPr>
                  </w:pPr>
                  <w:r>
                    <w:rPr>
                      <w:rFonts w:hint="eastAsia" w:ascii="Times New Roman" w:hAnsi="Times New Roman" w:eastAsia="宋体" w:cs="Times New Roman"/>
                      <w:b/>
                      <w:bCs/>
                      <w:color w:val="000000"/>
                      <w:kern w:val="2"/>
                      <w:sz w:val="21"/>
                      <w:szCs w:val="21"/>
                      <w:highlight w:val="none"/>
                      <w:lang w:val="en-US" w:eastAsia="zh-CN"/>
                    </w:rPr>
                    <w:t>风险物质</w:t>
                  </w:r>
                </w:p>
              </w:tc>
              <w:tc>
                <w:tcPr>
                  <w:tcW w:w="1365" w:type="pct"/>
                  <w:noWrap w:val="0"/>
                  <w:vAlign w:val="center"/>
                </w:tcPr>
                <w:p w14:paraId="4C34D72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1"/>
                      <w:szCs w:val="21"/>
                      <w:highlight w:val="none"/>
                      <w:lang w:val="en-US" w:eastAsia="zh-CN"/>
                    </w:rPr>
                  </w:pPr>
                  <w:r>
                    <w:rPr>
                      <w:rFonts w:hint="eastAsia" w:ascii="Times New Roman" w:hAnsi="Times New Roman" w:eastAsia="宋体" w:cs="Times New Roman"/>
                      <w:b/>
                      <w:bCs/>
                      <w:color w:val="000000"/>
                      <w:kern w:val="2"/>
                      <w:sz w:val="21"/>
                      <w:szCs w:val="21"/>
                      <w:highlight w:val="none"/>
                      <w:lang w:val="en-US" w:eastAsia="zh-CN"/>
                    </w:rPr>
                    <w:t>风险事故</w:t>
                  </w:r>
                </w:p>
              </w:tc>
              <w:tc>
                <w:tcPr>
                  <w:tcW w:w="1075" w:type="pct"/>
                  <w:noWrap w:val="0"/>
                  <w:vAlign w:val="center"/>
                </w:tcPr>
                <w:p w14:paraId="5DB9CFE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1"/>
                      <w:szCs w:val="21"/>
                      <w:highlight w:val="none"/>
                      <w:lang w:val="en-US" w:eastAsia="zh-CN"/>
                    </w:rPr>
                  </w:pPr>
                  <w:r>
                    <w:rPr>
                      <w:rFonts w:hint="eastAsia" w:ascii="Times New Roman" w:hAnsi="Times New Roman" w:eastAsia="宋体" w:cs="Times New Roman"/>
                      <w:b/>
                      <w:bCs/>
                      <w:color w:val="000000"/>
                      <w:kern w:val="2"/>
                      <w:sz w:val="21"/>
                      <w:szCs w:val="21"/>
                      <w:highlight w:val="none"/>
                      <w:lang w:val="en-US" w:eastAsia="zh-CN"/>
                    </w:rPr>
                    <w:t>物质类型</w:t>
                  </w:r>
                </w:p>
              </w:tc>
            </w:tr>
            <w:tr w14:paraId="795A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1238" w:type="pct"/>
                  <w:noWrap w:val="0"/>
                  <w:vAlign w:val="center"/>
                </w:tcPr>
                <w:p w14:paraId="2E2902A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原料库</w:t>
                  </w:r>
                </w:p>
              </w:tc>
              <w:tc>
                <w:tcPr>
                  <w:tcW w:w="1321" w:type="pct"/>
                  <w:noWrap w:val="0"/>
                  <w:vAlign w:val="center"/>
                </w:tcPr>
                <w:p w14:paraId="18757DF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油漆、稀释剂</w:t>
                  </w:r>
                </w:p>
              </w:tc>
              <w:tc>
                <w:tcPr>
                  <w:tcW w:w="1365" w:type="pct"/>
                  <w:noWrap w:val="0"/>
                  <w:vAlign w:val="center"/>
                </w:tcPr>
                <w:p w14:paraId="673EFA7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火灾、爆炸</w:t>
                  </w:r>
                </w:p>
              </w:tc>
              <w:tc>
                <w:tcPr>
                  <w:tcW w:w="1075" w:type="pct"/>
                  <w:noWrap w:val="0"/>
                  <w:vAlign w:val="center"/>
                </w:tcPr>
                <w:p w14:paraId="2ACE636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易燃易爆性</w:t>
                  </w:r>
                </w:p>
              </w:tc>
            </w:tr>
            <w:tr w14:paraId="5705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1238" w:type="pct"/>
                  <w:noWrap w:val="0"/>
                  <w:vAlign w:val="center"/>
                </w:tcPr>
                <w:p w14:paraId="563E44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废气处理装置</w:t>
                  </w:r>
                </w:p>
              </w:tc>
              <w:tc>
                <w:tcPr>
                  <w:tcW w:w="1321" w:type="pct"/>
                  <w:noWrap w:val="0"/>
                  <w:vAlign w:val="center"/>
                </w:tcPr>
                <w:p w14:paraId="72AB46F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有机废气</w:t>
                  </w:r>
                </w:p>
              </w:tc>
              <w:tc>
                <w:tcPr>
                  <w:tcW w:w="1365" w:type="pct"/>
                  <w:noWrap w:val="0"/>
                  <w:vAlign w:val="center"/>
                </w:tcPr>
                <w:p w14:paraId="012FC3C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事故异常排放</w:t>
                  </w:r>
                </w:p>
              </w:tc>
              <w:tc>
                <w:tcPr>
                  <w:tcW w:w="1075" w:type="pct"/>
                  <w:noWrap w:val="0"/>
                  <w:vAlign w:val="center"/>
                </w:tcPr>
                <w:p w14:paraId="3239F10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w:t>
                  </w:r>
                </w:p>
              </w:tc>
            </w:tr>
            <w:tr w14:paraId="46AE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3" w:hRule="atLeast"/>
                <w:jc w:val="center"/>
              </w:trPr>
              <w:tc>
                <w:tcPr>
                  <w:tcW w:w="1238" w:type="pct"/>
                  <w:noWrap w:val="0"/>
                  <w:vAlign w:val="center"/>
                </w:tcPr>
                <w:p w14:paraId="5F1C86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危废暂存间</w:t>
                  </w:r>
                </w:p>
              </w:tc>
              <w:tc>
                <w:tcPr>
                  <w:tcW w:w="1321" w:type="pct"/>
                  <w:noWrap w:val="0"/>
                  <w:vAlign w:val="center"/>
                </w:tcPr>
                <w:p w14:paraId="13CA60A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废矿物油、废切削液</w:t>
                  </w:r>
                </w:p>
              </w:tc>
              <w:tc>
                <w:tcPr>
                  <w:tcW w:w="1365" w:type="pct"/>
                  <w:noWrap w:val="0"/>
                  <w:vAlign w:val="center"/>
                </w:tcPr>
                <w:p w14:paraId="2B2F89B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火灾、泄漏</w:t>
                  </w:r>
                </w:p>
              </w:tc>
              <w:tc>
                <w:tcPr>
                  <w:tcW w:w="1075" w:type="pct"/>
                  <w:noWrap w:val="0"/>
                  <w:vAlign w:val="center"/>
                </w:tcPr>
                <w:p w14:paraId="3186C61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易燃易爆性</w:t>
                  </w:r>
                </w:p>
              </w:tc>
            </w:tr>
          </w:tbl>
          <w:p w14:paraId="0E9523C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（2）影响途径</w:t>
            </w:r>
          </w:p>
          <w:p w14:paraId="5E16478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根据对项目风险事故的识别可知，本项目存在的环境风险类型主要为危险物质泄漏、火灾爆炸等引发的伴生/次生污染物排放。危险物质向环境转移的途径主要是油漆和稀释剂泄漏渗透进入土壤和地下水，废气处理设施故障造成挥发性有机物超标进入大气环境，发生火灾和爆炸事故后消防废水随雨水排放等。</w:t>
            </w:r>
          </w:p>
          <w:p w14:paraId="3A742B6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（3）环境风险防范措施</w:t>
            </w:r>
          </w:p>
          <w:p w14:paraId="5CCE74B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①泄漏预防措施</w:t>
            </w:r>
          </w:p>
          <w:p w14:paraId="20A6A6C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泄漏事故的预防是生产和储运过程中最重要的环节，发生泄漏事故可能引起火灾和爆炸等一系列重大事故，经分析表明：管道老化、设备失灵和人为的操作失误是引发泄漏的主要原因。因此选用较好的设备、精心设计、认真的管理和操作人员的责任心是减少泄漏事故的关键。本环评建议采取以下预防措施：</w:t>
            </w:r>
          </w:p>
          <w:p w14:paraId="057F79B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a.原料库、危废暂存间、污水处理站等地面需做防渗材料处理，铺设防渗漏的材料。防止液态污染物漏外流或渗入地下影响周围环境。</w:t>
            </w:r>
          </w:p>
          <w:p w14:paraId="10809B8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b.严格执行安全和消防规范以利于消防和疏散。</w:t>
            </w:r>
          </w:p>
          <w:p w14:paraId="43E6A9AC">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c.加强车间通风，避免造成泄漏气体的聚集。</w:t>
            </w:r>
          </w:p>
          <w:p w14:paraId="53410B48">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d.应定期对各类阀门进行检查和维修，以保证其严密性和灵活性。</w:t>
            </w:r>
          </w:p>
          <w:p w14:paraId="7BC9C658">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e.对压力计、温度计及各种调节器进行定期检查。</w:t>
            </w:r>
          </w:p>
          <w:p w14:paraId="39967E21">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f.设置可移动的泵送装置，一旦发生大规模泄漏事故，能及时抽吸泄漏物料至事故池内，防止消防废水等溢出。</w:t>
            </w:r>
          </w:p>
          <w:p w14:paraId="18DDCF5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g.加强作业时巡视检查，禁止无关人员进入生产区等重要场所。</w:t>
            </w:r>
          </w:p>
          <w:p w14:paraId="6E9B7BE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②火灾风险防范措施</w:t>
            </w:r>
          </w:p>
          <w:p w14:paraId="5C130BF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a.防止摩擦、撞击、生热</w:t>
            </w:r>
          </w:p>
          <w:p w14:paraId="1CDDC3B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注意检查和维修设备，防止机械零部件松脱。注意润滑机械转动部位，经常检查轴承的温度，滑动轴承温度不得超过室温45℃，滚动轴承温度不得超过60℃；如发现轴承过热，应立即停车检修。加料应保持满料，供料流量要均匀正常，防止断料，空转而摩擦生热。排尘系统应采用不产生火花的除尘器。</w:t>
            </w:r>
          </w:p>
          <w:p w14:paraId="11B4691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b.防止电火花和静电放电</w:t>
            </w:r>
          </w:p>
          <w:p w14:paraId="20C37F0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生产场所的电气设备要按规定选择相应的防爆型设备，整个电气线路应经常维护和检查。设备接地是最基本的防静电措施。对于能产生可燃粉尘的破碎和研磨设备，要安装可靠的接地装置。接地线必须连接牢固，有足够的机械强度，否则在松断处可能产生静电火花。要定期检查接地线路，避免发生故障。互相间距较近的设备、管道、器具应用导体使之联成一体，进行接地。增加湿度以防止静电积累，并选取不易产生静电的材料，减少静电的产生。</w:t>
            </w:r>
          </w:p>
          <w:p w14:paraId="76FD55C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c.火灾事故处理措施</w:t>
            </w:r>
          </w:p>
          <w:p w14:paraId="2C6BA8B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当生产设备出现故障时，操作人员必须立即停车处理。当发现系统的粉末阴燃或燃烧时，必须立即停止输送物料，消除空气进入系统的一切可能性，发现着火的地方要用蒸汽或二氧化碳熄灭。不宜用强水流进行施救，以免粉尘飞扬，发生二次爆炸。</w:t>
            </w:r>
          </w:p>
          <w:p w14:paraId="5E7F0954">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d.加强消防安全教育</w:t>
            </w:r>
          </w:p>
          <w:p w14:paraId="06E0005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提高对消防安全工作重要性的认识，建立健全防火责任制度，加强安全教育。对职工进行上岗前培训时，必须将消防培训纳入日程，未受过安全规程教育的人员不得上岗。</w:t>
            </w:r>
          </w:p>
          <w:p w14:paraId="00EF61CF">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③废气非正常排放防范措施</w:t>
            </w:r>
          </w:p>
          <w:p w14:paraId="1B8AB0A1">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废气治理风险防范措施主要在于对污染治理装置的日常运行维护，定期检查污染治理装置的运行情况，保证各污染处理系统处于良好的工作状态，最大程度减少废气治理风险事故发生的可能性。如发现人为原因不开启废气治理设施，责任人应受行政和经济处罚，并承担事故排放责任。若污染治理措施因故不能运行，则必须停止生产、及时检修。</w:t>
            </w:r>
          </w:p>
          <w:p w14:paraId="620DD6D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④危废流失风险防范措施</w:t>
            </w:r>
          </w:p>
          <w:p w14:paraId="4A47182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危废流失可能性有委托不具有相应资质单位处置，混入一般工业固废，被抛洒或倾倒等，可能对地表水、地下水、土壤环境造成严重污染。项目危险废物分区存放，液态危废设托盘防泄漏，集中贮存于危废暂存间。危废设专人全程管理，从产生、收集，到库内暂存，最后到委托处置。项目危废产生后立即收集送入危废暂存间集中暂存，不得随意委托不具有相应资质的单位处置。加强全程监管，杜绝危废被混入一般工业固废，被人员有意或无意抛洒倾倒。危废暂存，必须分类暂存。建立危废管理台账。危废暂存间设有防渗、防雨、防风、防晒等措施，综上，项目危废流失风险较小。</w:t>
            </w:r>
          </w:p>
          <w:p w14:paraId="74C3746A">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⑤合理设置事故池</w:t>
            </w:r>
          </w:p>
          <w:p w14:paraId="11C7028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default"/>
                <w:color w:val="000000"/>
                <w:kern w:val="0"/>
                <w:sz w:val="24"/>
                <w:lang w:val="en-US" w:eastAsia="zh-CN"/>
              </w:rPr>
              <w:t>为确保消</w:t>
            </w:r>
            <w:r>
              <w:rPr>
                <w:rFonts w:hint="eastAsia"/>
                <w:color w:val="000000"/>
                <w:kern w:val="0"/>
                <w:sz w:val="24"/>
                <w:lang w:val="en-US" w:eastAsia="zh-CN"/>
              </w:rPr>
              <w:t>防</w:t>
            </w:r>
            <w:r>
              <w:rPr>
                <w:rFonts w:hint="default"/>
                <w:color w:val="000000"/>
                <w:kern w:val="0"/>
                <w:sz w:val="24"/>
                <w:lang w:val="en-US" w:eastAsia="zh-CN"/>
              </w:rPr>
              <w:t>废水、物料泄漏等不排入外环境</w:t>
            </w:r>
            <w:r>
              <w:rPr>
                <w:rFonts w:hint="eastAsia"/>
                <w:color w:val="000000"/>
                <w:kern w:val="0"/>
                <w:sz w:val="24"/>
                <w:lang w:val="en-US" w:eastAsia="zh-CN"/>
              </w:rPr>
              <w:t>，根据建设单位提供的信息，厂区内已建设120m</w:t>
            </w:r>
            <w:r>
              <w:rPr>
                <w:rFonts w:hint="eastAsia"/>
                <w:color w:val="000000"/>
                <w:kern w:val="0"/>
                <w:sz w:val="24"/>
                <w:vertAlign w:val="superscript"/>
                <w:lang w:val="en-US" w:eastAsia="zh-CN"/>
              </w:rPr>
              <w:t>3</w:t>
            </w:r>
            <w:r>
              <w:rPr>
                <w:rFonts w:hint="eastAsia"/>
                <w:color w:val="000000"/>
                <w:kern w:val="0"/>
                <w:sz w:val="24"/>
                <w:lang w:val="en-US" w:eastAsia="zh-CN"/>
              </w:rPr>
              <w:t>的事故应急池，用以确保厂区事故废水不外排。</w:t>
            </w:r>
          </w:p>
          <w:p w14:paraId="7D8A1F8A">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default"/>
                <w:color w:val="000000"/>
                <w:kern w:val="0"/>
                <w:sz w:val="24"/>
                <w:lang w:val="en-US" w:eastAsia="zh-CN"/>
              </w:rPr>
              <w:t>根据《事故状态下水体污染的</w:t>
            </w:r>
            <w:r>
              <w:rPr>
                <w:rFonts w:hint="eastAsia"/>
                <w:color w:val="000000"/>
                <w:kern w:val="0"/>
                <w:sz w:val="24"/>
                <w:lang w:val="en-US" w:eastAsia="zh-CN"/>
              </w:rPr>
              <w:t>预防</w:t>
            </w:r>
            <w:r>
              <w:rPr>
                <w:rFonts w:hint="default"/>
                <w:color w:val="000000"/>
                <w:kern w:val="0"/>
                <w:sz w:val="24"/>
                <w:lang w:val="en-US" w:eastAsia="zh-CN"/>
              </w:rPr>
              <w:t>与控制技术</w:t>
            </w:r>
            <w:r>
              <w:rPr>
                <w:rFonts w:hint="eastAsia"/>
                <w:color w:val="000000"/>
                <w:kern w:val="0"/>
                <w:sz w:val="24"/>
                <w:lang w:val="en-US" w:eastAsia="zh-CN"/>
              </w:rPr>
              <w:t>要</w:t>
            </w:r>
            <w:r>
              <w:rPr>
                <w:rFonts w:hint="default"/>
                <w:color w:val="000000"/>
                <w:kern w:val="0"/>
                <w:sz w:val="24"/>
                <w:lang w:val="en-US" w:eastAsia="zh-CN"/>
              </w:rPr>
              <w:t>求》</w:t>
            </w:r>
            <w:r>
              <w:rPr>
                <w:rFonts w:hint="eastAsia"/>
                <w:color w:val="000000"/>
                <w:kern w:val="0"/>
                <w:sz w:val="24"/>
                <w:lang w:val="en-US" w:eastAsia="zh-CN"/>
              </w:rPr>
              <w:t>（</w:t>
            </w:r>
            <w:r>
              <w:rPr>
                <w:rFonts w:hint="default"/>
                <w:color w:val="000000"/>
                <w:kern w:val="0"/>
                <w:sz w:val="24"/>
                <w:lang w:val="en-US" w:eastAsia="zh-CN"/>
              </w:rPr>
              <w:t>Q</w:t>
            </w:r>
            <w:r>
              <w:rPr>
                <w:rFonts w:hint="eastAsia"/>
                <w:color w:val="000000"/>
                <w:kern w:val="0"/>
                <w:sz w:val="24"/>
                <w:lang w:val="en-US" w:eastAsia="zh-CN"/>
              </w:rPr>
              <w:t>/</w:t>
            </w:r>
            <w:r>
              <w:rPr>
                <w:rFonts w:hint="default"/>
                <w:color w:val="000000"/>
                <w:kern w:val="0"/>
                <w:sz w:val="24"/>
                <w:lang w:val="en-US" w:eastAsia="zh-CN"/>
              </w:rPr>
              <w:t>SY1190</w:t>
            </w:r>
            <w:r>
              <w:rPr>
                <w:rFonts w:hint="eastAsia"/>
                <w:color w:val="000000"/>
                <w:kern w:val="0"/>
                <w:sz w:val="24"/>
                <w:lang w:val="en-US" w:eastAsia="zh-CN"/>
              </w:rPr>
              <w:t>-</w:t>
            </w:r>
            <w:r>
              <w:rPr>
                <w:rFonts w:hint="default"/>
                <w:color w:val="000000"/>
                <w:kern w:val="0"/>
                <w:sz w:val="24"/>
                <w:lang w:val="en-US" w:eastAsia="zh-CN"/>
              </w:rPr>
              <w:t>2013</w:t>
            </w:r>
            <w:r>
              <w:rPr>
                <w:rFonts w:hint="eastAsia"/>
                <w:color w:val="000000"/>
                <w:kern w:val="0"/>
                <w:sz w:val="24"/>
                <w:lang w:val="en-US" w:eastAsia="zh-CN"/>
              </w:rPr>
              <w:t>），</w:t>
            </w:r>
            <w:r>
              <w:rPr>
                <w:rFonts w:hint="default"/>
                <w:color w:val="000000"/>
                <w:kern w:val="0"/>
                <w:sz w:val="24"/>
                <w:lang w:val="en-US" w:eastAsia="zh-CN"/>
              </w:rPr>
              <w:t>事故储存</w:t>
            </w:r>
            <w:r>
              <w:rPr>
                <w:rFonts w:hint="eastAsia"/>
                <w:color w:val="000000"/>
                <w:kern w:val="0"/>
                <w:sz w:val="24"/>
                <w:lang w:val="en-US" w:eastAsia="zh-CN"/>
              </w:rPr>
              <w:t>设</w:t>
            </w:r>
            <w:r>
              <w:rPr>
                <w:rFonts w:hint="default"/>
                <w:color w:val="000000"/>
                <w:kern w:val="0"/>
                <w:sz w:val="24"/>
                <w:lang w:val="en-US" w:eastAsia="zh-CN"/>
              </w:rPr>
              <w:t>施总有效容积</w:t>
            </w:r>
            <w:r>
              <w:rPr>
                <w:rFonts w:hint="eastAsia"/>
                <w:color w:val="000000"/>
                <w:kern w:val="0"/>
                <w:sz w:val="24"/>
                <w:lang w:val="en-US" w:eastAsia="zh-CN"/>
              </w:rPr>
              <w:t>计</w:t>
            </w:r>
            <w:r>
              <w:rPr>
                <w:rFonts w:hint="default"/>
                <w:color w:val="000000"/>
                <w:kern w:val="0"/>
                <w:sz w:val="24"/>
                <w:lang w:val="en-US" w:eastAsia="zh-CN"/>
              </w:rPr>
              <w:t>算依据</w:t>
            </w:r>
            <w:r>
              <w:rPr>
                <w:rFonts w:hint="eastAsia"/>
                <w:color w:val="000000"/>
                <w:kern w:val="0"/>
                <w:sz w:val="24"/>
                <w:lang w:val="en-US" w:eastAsia="zh-CN"/>
              </w:rPr>
              <w:t>：</w:t>
            </w:r>
          </w:p>
          <w:p w14:paraId="7E9413CB">
            <w:pPr>
              <w:bidi w:val="0"/>
              <w:jc w:val="center"/>
              <w:rPr>
                <w:rFonts w:hint="eastAsia" w:ascii="宋体" w:hAnsi="宋体" w:eastAsia="宋体" w:cs="宋体"/>
                <w:lang w:val="en-US" w:eastAsia="zh-CN"/>
              </w:rPr>
            </w:pPr>
            <w:r>
              <w:rPr>
                <w:rFonts w:hint="default" w:ascii="Times New Roman" w:hAnsi="Times New Roman" w:eastAsia="宋体" w:cs="Times New Roman"/>
                <w:color w:val="auto"/>
                <w:sz w:val="28"/>
                <w:szCs w:val="28"/>
                <w:lang w:val="en-US" w:eastAsia="zh-CN"/>
              </w:rPr>
              <w:t>V</w:t>
            </w:r>
            <w:r>
              <w:rPr>
                <w:rFonts w:hint="default" w:ascii="Times New Roman" w:hAnsi="Times New Roman" w:eastAsia="宋体" w:cs="Times New Roman"/>
                <w:color w:val="auto"/>
                <w:sz w:val="28"/>
                <w:szCs w:val="28"/>
                <w:vertAlign w:val="subscript"/>
                <w:lang w:val="en-US" w:eastAsia="zh-CN"/>
              </w:rPr>
              <w:t>总</w:t>
            </w:r>
            <w:r>
              <w:rPr>
                <w:rFonts w:hint="eastAsia" w:ascii="宋体" w:hAnsi="宋体" w:eastAsia="宋体" w:cs="宋体"/>
                <w:color w:val="auto"/>
                <w:sz w:val="28"/>
                <w:szCs w:val="28"/>
                <w:lang w:val="en-US" w:eastAsia="zh-CN"/>
              </w:rPr>
              <w:t>=（</w:t>
            </w:r>
            <w:r>
              <w:rPr>
                <w:rFonts w:hint="default" w:ascii="Times New Roman" w:hAnsi="Times New Roman" w:eastAsia="宋体" w:cs="Times New Roman"/>
                <w:b w:val="0"/>
                <w:bCs w:val="0"/>
                <w:color w:val="auto"/>
                <w:kern w:val="2"/>
                <w:sz w:val="28"/>
                <w:szCs w:val="28"/>
                <w:lang w:val="en-US" w:eastAsia="zh-CN" w:bidi="ar-SA"/>
              </w:rPr>
              <w:t>V</w:t>
            </w:r>
            <w:r>
              <w:rPr>
                <w:rFonts w:hint="default" w:ascii="Times New Roman" w:hAnsi="Times New Roman" w:eastAsia="宋体" w:cs="Times New Roman"/>
                <w:b w:val="0"/>
                <w:bCs w:val="0"/>
                <w:color w:val="auto"/>
                <w:kern w:val="2"/>
                <w:sz w:val="28"/>
                <w:szCs w:val="28"/>
                <w:vertAlign w:val="subscript"/>
                <w:lang w:val="en-US" w:eastAsia="zh-CN" w:bidi="ar-SA"/>
              </w:rPr>
              <w:t>1</w:t>
            </w:r>
            <w:r>
              <w:rPr>
                <w:rFonts w:hint="eastAsia" w:ascii="宋体" w:hAnsi="宋体" w:eastAsia="宋体" w:cs="宋体"/>
                <w:b w:val="0"/>
                <w:bCs w:val="0"/>
                <w:color w:val="auto"/>
                <w:kern w:val="2"/>
                <w:sz w:val="28"/>
                <w:szCs w:val="28"/>
                <w:lang w:val="en-US" w:eastAsia="zh-CN" w:bidi="ar-SA"/>
              </w:rPr>
              <w:t>+</w:t>
            </w:r>
            <w:r>
              <w:rPr>
                <w:rFonts w:hint="default" w:ascii="Times New Roman" w:hAnsi="Times New Roman" w:eastAsia="宋体" w:cs="Times New Roman"/>
                <w:b w:val="0"/>
                <w:bCs w:val="0"/>
                <w:color w:val="auto"/>
                <w:kern w:val="2"/>
                <w:sz w:val="28"/>
                <w:szCs w:val="28"/>
                <w:lang w:val="en-US" w:eastAsia="zh-CN" w:bidi="ar-SA"/>
              </w:rPr>
              <w:t>V</w:t>
            </w:r>
            <w:r>
              <w:rPr>
                <w:rFonts w:hint="default" w:ascii="Times New Roman" w:hAnsi="Times New Roman" w:eastAsia="宋体" w:cs="Times New Roman"/>
                <w:b w:val="0"/>
                <w:bCs w:val="0"/>
                <w:color w:val="auto"/>
                <w:kern w:val="2"/>
                <w:sz w:val="28"/>
                <w:szCs w:val="28"/>
                <w:vertAlign w:val="subscript"/>
                <w:lang w:val="en-US" w:eastAsia="zh-CN" w:bidi="ar-SA"/>
              </w:rPr>
              <w:t>2</w:t>
            </w:r>
            <w:r>
              <w:rPr>
                <w:rFonts w:hint="eastAsia" w:ascii="宋体" w:hAnsi="宋体" w:eastAsia="宋体" w:cs="宋体"/>
                <w:b w:val="0"/>
                <w:bCs w:val="0"/>
                <w:color w:val="auto"/>
                <w:kern w:val="2"/>
                <w:sz w:val="28"/>
                <w:szCs w:val="28"/>
                <w:lang w:val="en-US" w:eastAsia="zh-CN" w:bidi="ar-SA"/>
              </w:rPr>
              <w:t>-</w:t>
            </w:r>
            <w:r>
              <w:rPr>
                <w:rFonts w:hint="default" w:ascii="Times New Roman" w:hAnsi="Times New Roman" w:eastAsia="宋体" w:cs="Times New Roman"/>
                <w:b w:val="0"/>
                <w:bCs w:val="0"/>
                <w:color w:val="auto"/>
                <w:kern w:val="2"/>
                <w:sz w:val="28"/>
                <w:szCs w:val="28"/>
                <w:lang w:val="en-US" w:eastAsia="zh-CN" w:bidi="ar-SA"/>
              </w:rPr>
              <w:t>V</w:t>
            </w:r>
            <w:r>
              <w:rPr>
                <w:rFonts w:hint="default" w:ascii="Times New Roman" w:hAnsi="Times New Roman" w:eastAsia="宋体" w:cs="Times New Roman"/>
                <w:b w:val="0"/>
                <w:bCs w:val="0"/>
                <w:color w:val="auto"/>
                <w:kern w:val="2"/>
                <w:sz w:val="28"/>
                <w:szCs w:val="28"/>
                <w:vertAlign w:val="subscript"/>
                <w:lang w:val="en-US" w:eastAsia="zh-CN" w:bidi="ar-SA"/>
              </w:rPr>
              <w:t>3</w:t>
            </w:r>
            <w:r>
              <w:rPr>
                <w:rFonts w:hint="eastAsia" w:ascii="宋体" w:hAnsi="宋体" w:eastAsia="宋体" w:cs="宋体"/>
                <w:color w:val="auto"/>
                <w:sz w:val="28"/>
                <w:szCs w:val="28"/>
                <w:lang w:val="en-US" w:eastAsia="zh-CN"/>
              </w:rPr>
              <w:t>）</w:t>
            </w:r>
            <w:r>
              <w:rPr>
                <w:rFonts w:hint="default" w:ascii="Times New Roman" w:hAnsi="Times New Roman" w:eastAsia="宋体" w:cs="Times New Roman"/>
                <w:color w:val="auto"/>
                <w:sz w:val="28"/>
                <w:szCs w:val="28"/>
                <w:vertAlign w:val="subscript"/>
                <w:lang w:val="en-US" w:eastAsia="zh-CN"/>
              </w:rPr>
              <w:t>max</w:t>
            </w:r>
            <w:r>
              <w:rPr>
                <w:rFonts w:hint="eastAsia" w:ascii="宋体" w:hAnsi="宋体" w:eastAsia="宋体" w:cs="宋体"/>
                <w:color w:val="auto"/>
                <w:sz w:val="28"/>
                <w:szCs w:val="28"/>
                <w:lang w:val="en-US" w:eastAsia="zh-CN"/>
              </w:rPr>
              <w:t>+</w:t>
            </w:r>
            <w:r>
              <w:rPr>
                <w:rFonts w:hint="default" w:ascii="Times New Roman" w:hAnsi="Times New Roman" w:eastAsia="宋体" w:cs="Times New Roman"/>
                <w:color w:val="auto"/>
                <w:sz w:val="28"/>
                <w:szCs w:val="28"/>
                <w:lang w:val="en-US" w:eastAsia="zh-CN"/>
              </w:rPr>
              <w:t>V</w:t>
            </w:r>
            <w:r>
              <w:rPr>
                <w:rFonts w:hint="default" w:ascii="Times New Roman" w:hAnsi="Times New Roman" w:eastAsia="宋体" w:cs="Times New Roman"/>
                <w:color w:val="auto"/>
                <w:sz w:val="28"/>
                <w:szCs w:val="28"/>
                <w:vertAlign w:val="subscript"/>
                <w:lang w:val="en-US" w:eastAsia="zh-CN"/>
              </w:rPr>
              <w:t>4</w:t>
            </w:r>
            <w:r>
              <w:rPr>
                <w:rFonts w:hint="eastAsia" w:ascii="宋体" w:hAnsi="宋体" w:eastAsia="宋体" w:cs="宋体"/>
                <w:color w:val="auto"/>
                <w:sz w:val="28"/>
                <w:szCs w:val="28"/>
                <w:lang w:val="en-US" w:eastAsia="zh-CN"/>
              </w:rPr>
              <w:t>+</w:t>
            </w:r>
            <w:r>
              <w:rPr>
                <w:rFonts w:hint="default" w:ascii="Times New Roman" w:hAnsi="Times New Roman" w:eastAsia="宋体" w:cs="Times New Roman"/>
                <w:color w:val="auto"/>
                <w:sz w:val="28"/>
                <w:szCs w:val="28"/>
                <w:lang w:val="en-US" w:eastAsia="zh-CN"/>
              </w:rPr>
              <w:t>V</w:t>
            </w:r>
            <w:r>
              <w:rPr>
                <w:rFonts w:hint="default" w:ascii="Times New Roman" w:hAnsi="Times New Roman" w:eastAsia="宋体" w:cs="Times New Roman"/>
                <w:color w:val="auto"/>
                <w:sz w:val="28"/>
                <w:szCs w:val="28"/>
                <w:vertAlign w:val="subscript"/>
                <w:lang w:val="en-US" w:eastAsia="zh-CN"/>
              </w:rPr>
              <w:t>5</w:t>
            </w:r>
          </w:p>
          <w:p w14:paraId="74F7B5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式中</w:t>
            </w:r>
            <w:r>
              <w:rPr>
                <w:rFonts w:hint="eastAsia" w:ascii="宋体" w:hAnsi="宋体" w:eastAsia="宋体" w:cs="宋体"/>
                <w:lang w:val="en-US" w:eastAsia="zh-CN"/>
              </w:rPr>
              <w:t>：（</w:t>
            </w: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1</w:t>
            </w:r>
            <w:r>
              <w:rPr>
                <w:rFonts w:hint="eastAsia" w:ascii="宋体" w:hAnsi="宋体" w:eastAsia="宋体" w:cs="宋体"/>
                <w:lang w:val="en-US" w:eastAsia="zh-CN"/>
              </w:rPr>
              <w:t>+</w:t>
            </w: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2</w:t>
            </w:r>
            <w:r>
              <w:rPr>
                <w:rFonts w:hint="eastAsia" w:ascii="宋体" w:hAnsi="宋体" w:eastAsia="宋体" w:cs="宋体"/>
                <w:lang w:val="en-US" w:eastAsia="zh-CN"/>
              </w:rPr>
              <w:t>-</w:t>
            </w: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3</w:t>
            </w:r>
            <w:r>
              <w:rPr>
                <w:rFonts w:hint="eastAsia" w:ascii="宋体" w:hAnsi="宋体" w:eastAsia="宋体" w:cs="宋体"/>
                <w:lang w:val="en-US" w:eastAsia="zh-CN"/>
              </w:rPr>
              <w:t>）</w:t>
            </w:r>
            <w:r>
              <w:rPr>
                <w:rFonts w:hint="default" w:ascii="Times New Roman" w:hAnsi="Times New Roman" w:eastAsia="宋体" w:cs="Times New Roman"/>
                <w:vertAlign w:val="subscript"/>
                <w:lang w:val="en-US" w:eastAsia="zh-CN"/>
              </w:rPr>
              <w:t>max</w:t>
            </w:r>
            <w:r>
              <w:rPr>
                <w:rFonts w:hint="default" w:ascii="Times New Roman" w:hAnsi="Times New Roman" w:eastAsia="宋体" w:cs="Times New Roman"/>
                <w:lang w:val="en-US" w:eastAsia="zh-CN"/>
              </w:rPr>
              <w:t>—对收</w:t>
            </w:r>
            <w:r>
              <w:rPr>
                <w:rFonts w:hint="eastAsia" w:ascii="宋体" w:hAnsi="宋体" w:eastAsia="宋体" w:cs="宋体"/>
                <w:lang w:val="en-US" w:eastAsia="zh-CN"/>
              </w:rPr>
              <w:t>集</w:t>
            </w:r>
            <w:r>
              <w:rPr>
                <w:rFonts w:hint="default" w:ascii="Times New Roman" w:hAnsi="Times New Roman" w:eastAsia="宋体" w:cs="Times New Roman"/>
                <w:lang w:val="en-US" w:eastAsia="zh-CN"/>
              </w:rPr>
              <w:t>系统</w:t>
            </w:r>
            <w:r>
              <w:rPr>
                <w:rFonts w:hint="eastAsia" w:ascii="宋体" w:hAnsi="宋体" w:eastAsia="宋体" w:cs="宋体"/>
                <w:lang w:val="en-US" w:eastAsia="zh-CN"/>
              </w:rPr>
              <w:t>范</w:t>
            </w:r>
            <w:r>
              <w:rPr>
                <w:rFonts w:hint="default" w:ascii="Times New Roman" w:hAnsi="Times New Roman" w:eastAsia="宋体" w:cs="Times New Roman"/>
                <w:lang w:val="en-US" w:eastAsia="zh-CN"/>
              </w:rPr>
              <w:t>围内不同罐组或</w:t>
            </w:r>
            <w:r>
              <w:rPr>
                <w:rFonts w:hint="eastAsia" w:ascii="宋体" w:hAnsi="宋体" w:eastAsia="宋体" w:cs="宋体"/>
                <w:lang w:val="en-US" w:eastAsia="zh-CN"/>
              </w:rPr>
              <w:t>装</w:t>
            </w:r>
            <w:r>
              <w:rPr>
                <w:rFonts w:hint="default" w:ascii="Times New Roman" w:hAnsi="Times New Roman" w:eastAsia="宋体" w:cs="Times New Roman"/>
                <w:lang w:val="en-US" w:eastAsia="zh-CN"/>
              </w:rPr>
              <w:t>置分别</w:t>
            </w:r>
            <w:r>
              <w:rPr>
                <w:rFonts w:hint="eastAsia" w:ascii="宋体" w:hAnsi="宋体" w:eastAsia="宋体" w:cs="宋体"/>
                <w:lang w:val="en-US" w:eastAsia="zh-CN"/>
              </w:rPr>
              <w:t>计</w:t>
            </w:r>
            <w:r>
              <w:rPr>
                <w:rFonts w:hint="default" w:ascii="Times New Roman" w:hAnsi="Times New Roman" w:eastAsia="宋体" w:cs="Times New Roman"/>
                <w:lang w:val="en-US" w:eastAsia="zh-CN"/>
              </w:rPr>
              <w:t>算V</w:t>
            </w:r>
            <w:r>
              <w:rPr>
                <w:rFonts w:hint="default" w:ascii="Times New Roman" w:hAnsi="Times New Roman" w:eastAsia="宋体" w:cs="Times New Roman"/>
                <w:vertAlign w:val="subscript"/>
                <w:lang w:val="en-US" w:eastAsia="zh-CN"/>
              </w:rPr>
              <w:t>1</w:t>
            </w:r>
            <w:r>
              <w:rPr>
                <w:rFonts w:hint="eastAsia" w:ascii="宋体" w:hAnsi="宋体" w:eastAsia="宋体" w:cs="宋体"/>
                <w:lang w:val="en-US" w:eastAsia="zh-CN"/>
              </w:rPr>
              <w:t>+</w:t>
            </w: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2</w:t>
            </w:r>
            <w:r>
              <w:rPr>
                <w:rFonts w:hint="eastAsia" w:ascii="宋体" w:hAnsi="宋体" w:eastAsia="宋体" w:cs="宋体"/>
                <w:lang w:val="en-US" w:eastAsia="zh-CN"/>
              </w:rPr>
              <w:t>-</w:t>
            </w: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3</w:t>
            </w:r>
            <w:r>
              <w:rPr>
                <w:rFonts w:hint="eastAsia" w:ascii="宋体" w:hAnsi="宋体" w:eastAsia="宋体" w:cs="宋体"/>
                <w:lang w:val="en-US" w:eastAsia="zh-CN"/>
              </w:rPr>
              <w:t>，</w:t>
            </w:r>
            <w:r>
              <w:rPr>
                <w:rFonts w:hint="default" w:ascii="Times New Roman" w:hAnsi="Times New Roman" w:eastAsia="宋体" w:cs="Times New Roman"/>
                <w:lang w:val="en-US" w:eastAsia="zh-CN"/>
              </w:rPr>
              <w:t>取其中最大值</w:t>
            </w:r>
            <w:r>
              <w:rPr>
                <w:rFonts w:hint="eastAsia" w:ascii="宋体" w:hAnsi="宋体" w:eastAsia="宋体" w:cs="宋体"/>
                <w:lang w:val="en-US" w:eastAsia="zh-CN"/>
              </w:rPr>
              <w:t>；</w:t>
            </w:r>
          </w:p>
          <w:p w14:paraId="324800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1</w:t>
            </w:r>
            <w:r>
              <w:rPr>
                <w:rFonts w:hint="default" w:ascii="Times New Roman" w:hAnsi="Times New Roman" w:eastAsia="宋体" w:cs="Times New Roman"/>
                <w:lang w:val="en-US" w:eastAsia="zh-CN"/>
              </w:rPr>
              <w:t>—收</w:t>
            </w:r>
            <w:r>
              <w:rPr>
                <w:rFonts w:hint="eastAsia" w:ascii="宋体" w:hAnsi="宋体" w:eastAsia="宋体" w:cs="宋体"/>
                <w:lang w:val="en-US" w:eastAsia="zh-CN"/>
              </w:rPr>
              <w:t>集</w:t>
            </w:r>
            <w:r>
              <w:rPr>
                <w:rFonts w:hint="default" w:ascii="Times New Roman" w:hAnsi="Times New Roman" w:eastAsia="宋体" w:cs="Times New Roman"/>
                <w:lang w:val="en-US" w:eastAsia="zh-CN"/>
              </w:rPr>
              <w:t>系统</w:t>
            </w:r>
            <w:r>
              <w:rPr>
                <w:rFonts w:hint="eastAsia" w:ascii="宋体" w:hAnsi="宋体" w:eastAsia="宋体" w:cs="宋体"/>
                <w:lang w:val="en-US" w:eastAsia="zh-CN"/>
              </w:rPr>
              <w:t>范</w:t>
            </w:r>
            <w:r>
              <w:rPr>
                <w:rFonts w:hint="default" w:ascii="Times New Roman" w:hAnsi="Times New Roman" w:eastAsia="宋体" w:cs="Times New Roman"/>
                <w:lang w:val="en-US" w:eastAsia="zh-CN"/>
              </w:rPr>
              <w:t>围内发生事故的一个罐组或一套</w:t>
            </w:r>
            <w:r>
              <w:rPr>
                <w:rFonts w:hint="eastAsia" w:ascii="宋体" w:hAnsi="宋体" w:eastAsia="宋体" w:cs="宋体"/>
                <w:lang w:val="en-US" w:eastAsia="zh-CN"/>
              </w:rPr>
              <w:t>装</w:t>
            </w:r>
            <w:r>
              <w:rPr>
                <w:rFonts w:hint="default" w:ascii="Times New Roman" w:hAnsi="Times New Roman" w:eastAsia="宋体" w:cs="Times New Roman"/>
                <w:lang w:val="en-US" w:eastAsia="zh-CN"/>
              </w:rPr>
              <w:t>置的物料</w:t>
            </w:r>
            <w:r>
              <w:rPr>
                <w:rFonts w:hint="eastAsia" w:ascii="宋体" w:hAnsi="宋体" w:eastAsia="宋体" w:cs="宋体"/>
                <w:lang w:val="en-US" w:eastAsia="zh-CN"/>
              </w:rPr>
              <w:t>量（</w:t>
            </w:r>
            <w:r>
              <w:rPr>
                <w:rFonts w:hint="default" w:ascii="Times New Roman" w:hAnsi="Times New Roman" w:eastAsia="宋体" w:cs="Times New Roman"/>
                <w:lang w:val="en-US" w:eastAsia="zh-CN"/>
              </w:rPr>
              <w:t>注</w:t>
            </w:r>
            <w:r>
              <w:rPr>
                <w:rFonts w:hint="eastAsia" w:ascii="宋体" w:hAnsi="宋体" w:eastAsia="宋体" w:cs="宋体"/>
                <w:lang w:val="en-US" w:eastAsia="zh-CN"/>
              </w:rPr>
              <w:t>：</w:t>
            </w:r>
            <w:r>
              <w:rPr>
                <w:rFonts w:hint="default" w:ascii="Times New Roman" w:hAnsi="Times New Roman" w:eastAsia="宋体" w:cs="Times New Roman"/>
                <w:lang w:val="en-US" w:eastAsia="zh-CN"/>
              </w:rPr>
              <w:t>储存相同物料的罐组按一个最大储罐</w:t>
            </w:r>
            <w:r>
              <w:rPr>
                <w:rFonts w:hint="eastAsia" w:ascii="宋体" w:hAnsi="宋体" w:eastAsia="宋体" w:cs="宋体"/>
                <w:lang w:val="en-US" w:eastAsia="zh-CN"/>
              </w:rPr>
              <w:t>计，装</w:t>
            </w:r>
            <w:r>
              <w:rPr>
                <w:rFonts w:hint="default" w:ascii="Times New Roman" w:hAnsi="Times New Roman" w:eastAsia="宋体" w:cs="Times New Roman"/>
                <w:lang w:val="en-US" w:eastAsia="zh-CN"/>
              </w:rPr>
              <w:t>置物料</w:t>
            </w:r>
            <w:r>
              <w:rPr>
                <w:rFonts w:hint="eastAsia" w:ascii="宋体" w:hAnsi="宋体" w:eastAsia="宋体" w:cs="宋体"/>
                <w:lang w:val="en-US" w:eastAsia="zh-CN"/>
              </w:rPr>
              <w:t>量</w:t>
            </w:r>
            <w:r>
              <w:rPr>
                <w:rFonts w:hint="default" w:ascii="Times New Roman" w:hAnsi="Times New Roman" w:eastAsia="宋体" w:cs="Times New Roman"/>
                <w:lang w:val="en-US" w:eastAsia="zh-CN"/>
              </w:rPr>
              <w:t>按存留最大物料</w:t>
            </w:r>
            <w:r>
              <w:rPr>
                <w:rFonts w:hint="eastAsia" w:ascii="宋体" w:hAnsi="宋体" w:eastAsia="宋体" w:cs="宋体"/>
                <w:lang w:val="en-US" w:eastAsia="zh-CN"/>
              </w:rPr>
              <w:t>量</w:t>
            </w:r>
            <w:r>
              <w:rPr>
                <w:rFonts w:hint="default" w:ascii="Times New Roman" w:hAnsi="Times New Roman" w:eastAsia="宋体" w:cs="Times New Roman"/>
                <w:lang w:val="en-US" w:eastAsia="zh-CN"/>
              </w:rPr>
              <w:t>的一台反应器或中</w:t>
            </w:r>
            <w:r>
              <w:rPr>
                <w:rFonts w:hint="eastAsia" w:ascii="宋体" w:hAnsi="宋体" w:eastAsia="宋体" w:cs="宋体"/>
                <w:lang w:val="en-US" w:eastAsia="zh-CN"/>
              </w:rPr>
              <w:t>间</w:t>
            </w:r>
            <w:r>
              <w:rPr>
                <w:rFonts w:hint="default" w:ascii="Times New Roman" w:hAnsi="Times New Roman" w:eastAsia="宋体" w:cs="Times New Roman"/>
                <w:lang w:val="en-US" w:eastAsia="zh-CN"/>
              </w:rPr>
              <w:t>储罐</w:t>
            </w:r>
            <w:r>
              <w:rPr>
                <w:rFonts w:hint="eastAsia" w:ascii="宋体" w:hAnsi="宋体" w:eastAsia="宋体" w:cs="宋体"/>
                <w:lang w:val="en-US" w:eastAsia="zh-CN"/>
              </w:rPr>
              <w:t>计），</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eastAsia" w:ascii="宋体" w:hAnsi="宋体" w:eastAsia="宋体" w:cs="宋体"/>
                <w:lang w:val="en-US" w:eastAsia="zh-CN"/>
              </w:rPr>
              <w:t>；</w:t>
            </w:r>
          </w:p>
          <w:p w14:paraId="458015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—发生事故的储罐或</w:t>
            </w:r>
            <w:r>
              <w:rPr>
                <w:rFonts w:hint="eastAsia" w:ascii="宋体" w:hAnsi="宋体" w:eastAsia="宋体" w:cs="宋体"/>
                <w:lang w:val="en-US" w:eastAsia="zh-CN"/>
              </w:rPr>
              <w:t>装</w:t>
            </w:r>
            <w:r>
              <w:rPr>
                <w:rFonts w:hint="default" w:ascii="Times New Roman" w:hAnsi="Times New Roman" w:eastAsia="宋体" w:cs="Times New Roman"/>
                <w:lang w:val="en-US" w:eastAsia="zh-CN"/>
              </w:rPr>
              <w:t>置的消</w:t>
            </w:r>
            <w:r>
              <w:rPr>
                <w:rFonts w:hint="eastAsia" w:ascii="宋体" w:hAnsi="宋体" w:eastAsia="宋体" w:cs="宋体"/>
                <w:lang w:val="en-US" w:eastAsia="zh-CN"/>
              </w:rPr>
              <w:t>防</w:t>
            </w:r>
            <w:r>
              <w:rPr>
                <w:rFonts w:hint="default" w:ascii="Times New Roman" w:hAnsi="Times New Roman" w:eastAsia="宋体" w:cs="Times New Roman"/>
                <w:lang w:val="en-US" w:eastAsia="zh-CN"/>
              </w:rPr>
              <w:t>水</w:t>
            </w:r>
            <w:r>
              <w:rPr>
                <w:rFonts w:hint="eastAsia" w:ascii="宋体" w:hAnsi="宋体" w:eastAsia="宋体" w:cs="宋体"/>
                <w:lang w:val="en-US" w:eastAsia="zh-CN"/>
              </w:rPr>
              <w:t>量，</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eastAsia" w:ascii="宋体" w:hAnsi="宋体" w:eastAsia="宋体" w:cs="宋体"/>
                <w:lang w:val="en-US" w:eastAsia="zh-CN"/>
              </w:rPr>
              <w:t>；</w:t>
            </w:r>
          </w:p>
          <w:p w14:paraId="383CAC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3</w:t>
            </w:r>
            <w:r>
              <w:rPr>
                <w:rFonts w:hint="default" w:ascii="Times New Roman" w:hAnsi="Times New Roman" w:eastAsia="宋体" w:cs="Times New Roman"/>
                <w:lang w:val="en-US" w:eastAsia="zh-CN"/>
              </w:rPr>
              <w:t>—发生事故时可以</w:t>
            </w:r>
            <w:r>
              <w:rPr>
                <w:rFonts w:hint="eastAsia" w:ascii="宋体" w:hAnsi="宋体" w:eastAsia="宋体" w:cs="宋体"/>
                <w:lang w:val="en-US" w:eastAsia="zh-CN"/>
              </w:rPr>
              <w:t>转输</w:t>
            </w:r>
            <w:r>
              <w:rPr>
                <w:rFonts w:hint="default" w:ascii="Times New Roman" w:hAnsi="Times New Roman" w:eastAsia="宋体" w:cs="Times New Roman"/>
                <w:lang w:val="en-US" w:eastAsia="zh-CN"/>
              </w:rPr>
              <w:t>到其他储存或处理</w:t>
            </w:r>
            <w:r>
              <w:rPr>
                <w:rFonts w:hint="eastAsia" w:ascii="宋体" w:hAnsi="宋体" w:eastAsia="宋体" w:cs="宋体"/>
                <w:lang w:val="en-US" w:eastAsia="zh-CN"/>
              </w:rPr>
              <w:t>设</w:t>
            </w:r>
            <w:r>
              <w:rPr>
                <w:rFonts w:hint="default" w:ascii="Times New Roman" w:hAnsi="Times New Roman" w:eastAsia="宋体" w:cs="Times New Roman"/>
                <w:lang w:val="en-US" w:eastAsia="zh-CN"/>
              </w:rPr>
              <w:t>施的物料</w:t>
            </w:r>
            <w:r>
              <w:rPr>
                <w:rFonts w:hint="eastAsia" w:ascii="宋体" w:hAnsi="宋体" w:eastAsia="宋体" w:cs="宋体"/>
                <w:lang w:val="en-US" w:eastAsia="zh-CN"/>
              </w:rPr>
              <w:t>量，</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eastAsia" w:ascii="宋体" w:hAnsi="宋体" w:eastAsia="宋体" w:cs="宋体"/>
                <w:lang w:val="en-US" w:eastAsia="zh-CN"/>
              </w:rPr>
              <w:t>；</w:t>
            </w:r>
          </w:p>
          <w:p w14:paraId="519E51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4</w:t>
            </w:r>
            <w:r>
              <w:rPr>
                <w:rFonts w:hint="default" w:ascii="Times New Roman" w:hAnsi="Times New Roman" w:eastAsia="宋体" w:cs="Times New Roman"/>
                <w:lang w:val="en-US" w:eastAsia="zh-CN"/>
              </w:rPr>
              <w:t>—发生事故时仍必</w:t>
            </w:r>
            <w:r>
              <w:rPr>
                <w:rFonts w:hint="eastAsia" w:ascii="宋体" w:hAnsi="宋体" w:eastAsia="宋体" w:cs="宋体"/>
                <w:lang w:val="en-US" w:eastAsia="zh-CN"/>
              </w:rPr>
              <w:t>须进</w:t>
            </w:r>
            <w:r>
              <w:rPr>
                <w:rFonts w:hint="default" w:ascii="Times New Roman" w:hAnsi="Times New Roman" w:eastAsia="宋体" w:cs="Times New Roman"/>
                <w:lang w:val="en-US" w:eastAsia="zh-CN"/>
              </w:rPr>
              <w:t>入</w:t>
            </w:r>
            <w:r>
              <w:rPr>
                <w:rFonts w:hint="eastAsia" w:ascii="宋体" w:hAnsi="宋体" w:eastAsia="宋体" w:cs="宋体"/>
                <w:lang w:val="en-US" w:eastAsia="zh-CN"/>
              </w:rPr>
              <w:t>该</w:t>
            </w:r>
            <w:r>
              <w:rPr>
                <w:rFonts w:hint="default" w:ascii="Times New Roman" w:hAnsi="Times New Roman" w:eastAsia="宋体" w:cs="Times New Roman"/>
                <w:lang w:val="en-US" w:eastAsia="zh-CN"/>
              </w:rPr>
              <w:t>收</w:t>
            </w:r>
            <w:r>
              <w:rPr>
                <w:rFonts w:hint="eastAsia" w:ascii="宋体" w:hAnsi="宋体" w:eastAsia="宋体" w:cs="宋体"/>
                <w:lang w:val="en-US" w:eastAsia="zh-CN"/>
              </w:rPr>
              <w:t>集</w:t>
            </w:r>
            <w:r>
              <w:rPr>
                <w:rFonts w:hint="default" w:ascii="Times New Roman" w:hAnsi="Times New Roman" w:eastAsia="宋体" w:cs="Times New Roman"/>
                <w:lang w:val="en-US" w:eastAsia="zh-CN"/>
              </w:rPr>
              <w:t>系统的生产废水</w:t>
            </w:r>
            <w:r>
              <w:rPr>
                <w:rFonts w:hint="eastAsia" w:ascii="宋体" w:hAnsi="宋体" w:eastAsia="宋体" w:cs="宋体"/>
                <w:lang w:val="en-US" w:eastAsia="zh-CN"/>
              </w:rPr>
              <w:t>量，</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eastAsia" w:ascii="宋体" w:hAnsi="宋体" w:eastAsia="宋体" w:cs="宋体"/>
                <w:lang w:val="en-US" w:eastAsia="zh-CN"/>
              </w:rPr>
              <w:t>；</w:t>
            </w:r>
          </w:p>
          <w:p w14:paraId="5616AE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5</w:t>
            </w:r>
            <w:r>
              <w:rPr>
                <w:rFonts w:hint="default" w:ascii="Times New Roman" w:hAnsi="Times New Roman" w:eastAsia="宋体" w:cs="Times New Roman"/>
                <w:lang w:val="en-US" w:eastAsia="zh-CN"/>
              </w:rPr>
              <w:t>—发生事故时可</w:t>
            </w:r>
            <w:r>
              <w:rPr>
                <w:rFonts w:hint="eastAsia" w:ascii="宋体" w:hAnsi="宋体" w:eastAsia="宋体" w:cs="宋体"/>
                <w:lang w:val="en-US" w:eastAsia="zh-CN"/>
              </w:rPr>
              <w:t>能进</w:t>
            </w:r>
            <w:r>
              <w:rPr>
                <w:rFonts w:hint="default" w:ascii="Times New Roman" w:hAnsi="Times New Roman" w:eastAsia="宋体" w:cs="Times New Roman"/>
                <w:lang w:val="en-US" w:eastAsia="zh-CN"/>
              </w:rPr>
              <w:t>入</w:t>
            </w:r>
            <w:r>
              <w:rPr>
                <w:rFonts w:hint="eastAsia" w:ascii="宋体" w:hAnsi="宋体" w:eastAsia="宋体" w:cs="宋体"/>
                <w:lang w:val="en-US" w:eastAsia="zh-CN"/>
              </w:rPr>
              <w:t>该</w:t>
            </w:r>
            <w:r>
              <w:rPr>
                <w:rFonts w:hint="default" w:ascii="Times New Roman" w:hAnsi="Times New Roman" w:eastAsia="宋体" w:cs="Times New Roman"/>
                <w:lang w:val="en-US" w:eastAsia="zh-CN"/>
              </w:rPr>
              <w:t>收</w:t>
            </w:r>
            <w:r>
              <w:rPr>
                <w:rFonts w:hint="eastAsia" w:ascii="宋体" w:hAnsi="宋体" w:eastAsia="宋体" w:cs="宋体"/>
                <w:lang w:val="en-US" w:eastAsia="zh-CN"/>
              </w:rPr>
              <w:t>集</w:t>
            </w:r>
            <w:r>
              <w:rPr>
                <w:rFonts w:hint="default" w:ascii="Times New Roman" w:hAnsi="Times New Roman" w:eastAsia="宋体" w:cs="Times New Roman"/>
                <w:lang w:val="en-US" w:eastAsia="zh-CN"/>
              </w:rPr>
              <w:t>系统的</w:t>
            </w:r>
            <w:r>
              <w:rPr>
                <w:rFonts w:hint="eastAsia" w:ascii="宋体" w:hAnsi="宋体" w:eastAsia="宋体" w:cs="宋体"/>
                <w:lang w:val="en-US" w:eastAsia="zh-CN"/>
              </w:rPr>
              <w:t>降雨量，</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eastAsia" w:ascii="宋体" w:hAnsi="宋体" w:eastAsia="宋体" w:cs="宋体"/>
                <w:lang w:val="en-US" w:eastAsia="zh-CN"/>
              </w:rPr>
              <w:t>；</w:t>
            </w:r>
          </w:p>
          <w:p w14:paraId="739517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a</w:t>
            </w:r>
            <w:r>
              <w:rPr>
                <w:rFonts w:hint="eastAsia" w:ascii="宋体" w:hAnsi="宋体" w:eastAsia="宋体" w:cs="宋体"/>
                <w:lang w:val="en-US" w:eastAsia="zh-CN"/>
              </w:rPr>
              <w:t>.</w:t>
            </w:r>
            <w:r>
              <w:rPr>
                <w:rFonts w:hint="default" w:ascii="Times New Roman" w:hAnsi="Times New Roman" w:eastAsia="宋体" w:cs="Times New Roman"/>
                <w:lang w:val="en-US" w:eastAsia="zh-CN"/>
              </w:rPr>
              <w:t>泄漏物料</w:t>
            </w:r>
            <w:r>
              <w:rPr>
                <w:rFonts w:hint="eastAsia" w:ascii="宋体" w:hAnsi="宋体" w:eastAsia="宋体" w:cs="宋体"/>
                <w:lang w:val="en-US" w:eastAsia="zh-CN"/>
              </w:rPr>
              <w:t>（</w:t>
            </w: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1</w:t>
            </w:r>
            <w:r>
              <w:rPr>
                <w:rFonts w:hint="eastAsia" w:ascii="宋体" w:hAnsi="宋体" w:eastAsia="宋体" w:cs="宋体"/>
                <w:lang w:val="en-US" w:eastAsia="zh-CN"/>
              </w:rPr>
              <w:t>）</w:t>
            </w:r>
          </w:p>
          <w:p w14:paraId="11D1A0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物料泄漏</w:t>
            </w:r>
            <w:r>
              <w:rPr>
                <w:rFonts w:hint="eastAsia" w:ascii="宋体" w:hAnsi="宋体" w:eastAsia="宋体" w:cs="宋体"/>
                <w:lang w:val="en-US" w:eastAsia="zh-CN"/>
              </w:rPr>
              <w:t>考虑</w:t>
            </w:r>
            <w:r>
              <w:rPr>
                <w:rFonts w:hint="default" w:ascii="Times New Roman" w:hAnsi="Times New Roman" w:eastAsia="宋体" w:cs="Times New Roman"/>
                <w:lang w:val="en-US" w:eastAsia="zh-CN"/>
              </w:rPr>
              <w:t>储罐区最大一个</w:t>
            </w:r>
            <w:r>
              <w:rPr>
                <w:rFonts w:hint="eastAsia" w:ascii="宋体" w:hAnsi="宋体" w:eastAsia="宋体" w:cs="宋体"/>
                <w:lang w:val="en-US" w:eastAsia="zh-CN"/>
              </w:rPr>
              <w:t>装</w:t>
            </w:r>
            <w:r>
              <w:rPr>
                <w:rFonts w:hint="default" w:ascii="Times New Roman" w:hAnsi="Times New Roman" w:eastAsia="宋体" w:cs="Times New Roman"/>
                <w:lang w:val="en-US" w:eastAsia="zh-CN"/>
              </w:rPr>
              <w:t>置的泄漏</w:t>
            </w:r>
            <w:r>
              <w:rPr>
                <w:rFonts w:hint="eastAsia" w:ascii="宋体" w:hAnsi="宋体" w:eastAsia="宋体" w:cs="宋体"/>
                <w:lang w:val="en-US" w:eastAsia="zh-CN"/>
              </w:rPr>
              <w:t>量，</w:t>
            </w:r>
            <w:r>
              <w:rPr>
                <w:rFonts w:hint="eastAsia" w:ascii="宋体" w:hAnsi="宋体" w:cs="宋体"/>
                <w:lang w:val="en-US" w:eastAsia="zh-CN"/>
              </w:rPr>
              <w:t>本项目不设储罐，故</w:t>
            </w: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1</w:t>
            </w:r>
            <w:r>
              <w:rPr>
                <w:rFonts w:hint="eastAsia" w:cs="Times New Roman"/>
                <w:lang w:val="en-US" w:eastAsia="zh-CN"/>
              </w:rPr>
              <w:t>取</w:t>
            </w:r>
            <w:r>
              <w:rPr>
                <w:rFonts w:hint="default" w:ascii="Times New Roman" w:hAnsi="Times New Roman" w:eastAsia="宋体" w:cs="Times New Roman"/>
                <w:lang w:val="en-US" w:eastAsia="zh-CN"/>
              </w:rPr>
              <w:t>0。</w:t>
            </w:r>
          </w:p>
          <w:p w14:paraId="026305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b</w:t>
            </w:r>
            <w:r>
              <w:rPr>
                <w:rFonts w:hint="eastAsia" w:ascii="宋体" w:hAnsi="宋体" w:eastAsia="宋体" w:cs="宋体"/>
                <w:lang w:val="en-US" w:eastAsia="zh-CN"/>
              </w:rPr>
              <w:t>.</w:t>
            </w:r>
            <w:r>
              <w:rPr>
                <w:rFonts w:hint="default" w:ascii="Times New Roman" w:hAnsi="Times New Roman" w:eastAsia="宋体" w:cs="Times New Roman"/>
                <w:lang w:val="en-US" w:eastAsia="zh-CN"/>
              </w:rPr>
              <w:t>消</w:t>
            </w:r>
            <w:r>
              <w:rPr>
                <w:rFonts w:hint="eastAsia" w:ascii="宋体" w:hAnsi="宋体" w:eastAsia="宋体" w:cs="宋体"/>
                <w:lang w:val="en-US" w:eastAsia="zh-CN"/>
              </w:rPr>
              <w:t>防</w:t>
            </w:r>
            <w:r>
              <w:rPr>
                <w:rFonts w:hint="default" w:ascii="Times New Roman" w:hAnsi="Times New Roman" w:eastAsia="宋体" w:cs="Times New Roman"/>
                <w:lang w:val="en-US" w:eastAsia="zh-CN"/>
              </w:rPr>
              <w:t>废水</w:t>
            </w:r>
            <w:r>
              <w:rPr>
                <w:rFonts w:hint="eastAsia" w:ascii="宋体" w:hAnsi="宋体" w:eastAsia="宋体" w:cs="宋体"/>
                <w:lang w:val="en-US" w:eastAsia="zh-CN"/>
              </w:rPr>
              <w:t>（</w:t>
            </w: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2</w:t>
            </w:r>
            <w:r>
              <w:rPr>
                <w:rFonts w:hint="eastAsia" w:ascii="宋体" w:hAnsi="宋体" w:eastAsia="宋体" w:cs="宋体"/>
                <w:lang w:val="en-US" w:eastAsia="zh-CN"/>
              </w:rPr>
              <w:t>）</w:t>
            </w:r>
          </w:p>
          <w:p w14:paraId="7E9635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lang w:val="en-US" w:eastAsia="zh-CN"/>
              </w:rPr>
            </w:pPr>
            <w:r>
              <w:rPr>
                <w:rFonts w:hint="default" w:ascii="Times New Roman" w:hAnsi="Times New Roman" w:eastAsia="宋体" w:cs="Times New Roman"/>
                <w:lang w:val="en-US" w:eastAsia="zh-CN"/>
              </w:rPr>
              <w:t>根据工厂、仓库、民用建筑一次灭火的室外消火栓用水</w:t>
            </w:r>
            <w:r>
              <w:rPr>
                <w:rFonts w:hint="eastAsia" w:ascii="宋体" w:hAnsi="宋体" w:eastAsia="宋体" w:cs="宋体"/>
                <w:lang w:val="en-US" w:eastAsia="zh-CN"/>
              </w:rPr>
              <w:t>量</w:t>
            </w:r>
            <w:r>
              <w:rPr>
                <w:rFonts w:hint="default" w:ascii="Times New Roman" w:hAnsi="Times New Roman" w:eastAsia="宋体" w:cs="Times New Roman"/>
                <w:lang w:val="en-US" w:eastAsia="zh-CN"/>
              </w:rPr>
              <w:t>以及室内消火栓用水</w:t>
            </w:r>
            <w:r>
              <w:rPr>
                <w:rFonts w:hint="eastAsia" w:ascii="宋体" w:hAnsi="宋体" w:eastAsia="宋体" w:cs="宋体"/>
                <w:lang w:val="en-US" w:eastAsia="zh-CN"/>
              </w:rPr>
              <w:t>量，</w:t>
            </w:r>
            <w:r>
              <w:rPr>
                <w:rFonts w:hint="default" w:ascii="Times New Roman" w:hAnsi="Times New Roman" w:eastAsia="宋体" w:cs="Times New Roman"/>
                <w:lang w:val="en-US" w:eastAsia="zh-CN"/>
              </w:rPr>
              <w:t>确定厂房建筑一次灭火的室外消火栓用水</w:t>
            </w:r>
            <w:r>
              <w:rPr>
                <w:rFonts w:hint="eastAsia" w:ascii="宋体" w:hAnsi="宋体" w:eastAsia="宋体" w:cs="宋体"/>
                <w:lang w:val="en-US" w:eastAsia="zh-CN"/>
              </w:rPr>
              <w:t>量</w:t>
            </w:r>
            <w:r>
              <w:rPr>
                <w:rFonts w:hint="default" w:ascii="Times New Roman" w:hAnsi="Times New Roman" w:eastAsia="宋体" w:cs="Times New Roman"/>
                <w:lang w:val="en-US" w:eastAsia="zh-CN"/>
              </w:rPr>
              <w:t>10L</w:t>
            </w:r>
            <w:r>
              <w:rPr>
                <w:rFonts w:hint="eastAsia" w:ascii="宋体" w:hAnsi="宋体" w:eastAsia="宋体" w:cs="宋体"/>
                <w:lang w:val="en-US" w:eastAsia="zh-CN"/>
              </w:rPr>
              <w:t>/</w:t>
            </w:r>
            <w:r>
              <w:rPr>
                <w:rFonts w:hint="default" w:ascii="Times New Roman" w:hAnsi="Times New Roman" w:eastAsia="宋体" w:cs="Times New Roman"/>
                <w:lang w:val="en-US" w:eastAsia="zh-CN"/>
              </w:rPr>
              <w:t>s。消</w:t>
            </w:r>
            <w:r>
              <w:rPr>
                <w:rFonts w:hint="eastAsia" w:ascii="宋体" w:hAnsi="宋体" w:eastAsia="宋体" w:cs="宋体"/>
                <w:lang w:val="en-US" w:eastAsia="zh-CN"/>
              </w:rPr>
              <w:t>防</w:t>
            </w:r>
            <w:r>
              <w:rPr>
                <w:rFonts w:hint="default" w:ascii="Times New Roman" w:hAnsi="Times New Roman" w:eastAsia="宋体" w:cs="Times New Roman"/>
                <w:lang w:val="en-US" w:eastAsia="zh-CN"/>
              </w:rPr>
              <w:t>持续时</w:t>
            </w:r>
            <w:r>
              <w:rPr>
                <w:rFonts w:hint="eastAsia" w:ascii="宋体" w:hAnsi="宋体" w:eastAsia="宋体" w:cs="宋体"/>
                <w:lang w:val="en-US" w:eastAsia="zh-CN"/>
              </w:rPr>
              <w:t>间</w:t>
            </w:r>
            <w:r>
              <w:rPr>
                <w:rFonts w:hint="eastAsia" w:cs="Times New Roman"/>
                <w:lang w:val="en-US" w:eastAsia="zh-CN"/>
              </w:rPr>
              <w:t>以1h计</w:t>
            </w:r>
            <w:r>
              <w:rPr>
                <w:rFonts w:hint="eastAsia" w:ascii="宋体" w:hAnsi="宋体" w:eastAsia="宋体" w:cs="宋体"/>
                <w:lang w:val="en-US" w:eastAsia="zh-CN"/>
              </w:rPr>
              <w:t>，</w:t>
            </w:r>
            <w:r>
              <w:rPr>
                <w:rFonts w:hint="default" w:ascii="Times New Roman" w:hAnsi="Times New Roman" w:eastAsia="宋体" w:cs="Times New Roman"/>
                <w:lang w:val="en-US" w:eastAsia="zh-CN"/>
              </w:rPr>
              <w:t>一次消</w:t>
            </w:r>
            <w:r>
              <w:rPr>
                <w:rFonts w:hint="eastAsia" w:ascii="宋体" w:hAnsi="宋体" w:eastAsia="宋体" w:cs="宋体"/>
                <w:lang w:val="en-US" w:eastAsia="zh-CN"/>
              </w:rPr>
              <w:t>防</w:t>
            </w:r>
            <w:r>
              <w:rPr>
                <w:rFonts w:hint="default" w:ascii="Times New Roman" w:hAnsi="Times New Roman" w:eastAsia="宋体" w:cs="Times New Roman"/>
                <w:lang w:val="en-US" w:eastAsia="zh-CN"/>
              </w:rPr>
              <w:t>水</w:t>
            </w:r>
            <w:r>
              <w:rPr>
                <w:rFonts w:hint="eastAsia" w:ascii="宋体" w:hAnsi="宋体" w:eastAsia="宋体" w:cs="宋体"/>
                <w:lang w:val="en-US" w:eastAsia="zh-CN"/>
              </w:rPr>
              <w:t>量</w:t>
            </w:r>
            <w:r>
              <w:rPr>
                <w:rFonts w:hint="default" w:ascii="Times New Roman" w:hAnsi="Times New Roman" w:eastAsia="宋体" w:cs="Times New Roman"/>
                <w:lang w:val="en-US" w:eastAsia="zh-CN"/>
              </w:rPr>
              <w:t>为</w:t>
            </w:r>
            <w:r>
              <w:rPr>
                <w:rFonts w:hint="eastAsia" w:cs="Times New Roman"/>
                <w:lang w:val="en-US" w:eastAsia="zh-CN"/>
              </w:rPr>
              <w:t>36</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eastAsia" w:cs="Times New Roman"/>
                <w:lang w:val="en-US" w:eastAsia="zh-CN"/>
              </w:rPr>
              <w:t>，故</w:t>
            </w:r>
            <w:r>
              <w:rPr>
                <w:rFonts w:hint="default" w:ascii="Times New Roman" w:hAnsi="Times New Roman" w:eastAsia="宋体" w:cs="Times New Roman"/>
                <w:lang w:val="en-US" w:eastAsia="zh-CN"/>
              </w:rPr>
              <w:t>V</w:t>
            </w:r>
            <w:r>
              <w:rPr>
                <w:rFonts w:hint="eastAsia" w:cs="Times New Roman"/>
                <w:vertAlign w:val="subscript"/>
                <w:lang w:val="en-US" w:eastAsia="zh-CN"/>
              </w:rPr>
              <w:t>2</w:t>
            </w:r>
            <w:r>
              <w:rPr>
                <w:rFonts w:hint="eastAsia" w:cs="Times New Roman"/>
                <w:lang w:val="en-US" w:eastAsia="zh-CN"/>
              </w:rPr>
              <w:t>取36</w:t>
            </w:r>
            <w:r>
              <w:rPr>
                <w:rFonts w:hint="default" w:ascii="Times New Roman" w:hAnsi="Times New Roman" w:eastAsia="宋体" w:cs="Times New Roman"/>
                <w:lang w:val="en-US" w:eastAsia="zh-CN"/>
              </w:rPr>
              <w:t>。</w:t>
            </w:r>
          </w:p>
          <w:p w14:paraId="2402703F">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default"/>
                <w:color w:val="000000"/>
                <w:kern w:val="0"/>
                <w:sz w:val="24"/>
                <w:lang w:val="en-US" w:eastAsia="zh-CN"/>
              </w:rPr>
              <w:t>c</w:t>
            </w:r>
            <w:r>
              <w:rPr>
                <w:rFonts w:hint="eastAsia"/>
                <w:color w:val="000000"/>
                <w:kern w:val="0"/>
                <w:sz w:val="24"/>
                <w:lang w:val="en-US" w:eastAsia="zh-CN"/>
              </w:rPr>
              <w:t>.</w:t>
            </w:r>
            <w:r>
              <w:rPr>
                <w:rFonts w:hint="default"/>
                <w:color w:val="000000"/>
                <w:kern w:val="0"/>
                <w:sz w:val="24"/>
                <w:lang w:val="en-US" w:eastAsia="zh-CN"/>
              </w:rPr>
              <w:t>发生事故时可以</w:t>
            </w:r>
            <w:r>
              <w:rPr>
                <w:rFonts w:hint="eastAsia"/>
                <w:color w:val="000000"/>
                <w:kern w:val="0"/>
                <w:sz w:val="24"/>
                <w:lang w:val="en-US" w:eastAsia="zh-CN"/>
              </w:rPr>
              <w:t>转输</w:t>
            </w:r>
            <w:r>
              <w:rPr>
                <w:rFonts w:hint="default"/>
                <w:color w:val="000000"/>
                <w:kern w:val="0"/>
                <w:sz w:val="24"/>
                <w:lang w:val="en-US" w:eastAsia="zh-CN"/>
              </w:rPr>
              <w:t>的其他储存或处理</w:t>
            </w:r>
            <w:r>
              <w:rPr>
                <w:rFonts w:hint="eastAsia"/>
                <w:color w:val="000000"/>
                <w:kern w:val="0"/>
                <w:sz w:val="24"/>
                <w:lang w:val="en-US" w:eastAsia="zh-CN"/>
              </w:rPr>
              <w:t>设</w:t>
            </w:r>
            <w:r>
              <w:rPr>
                <w:rFonts w:hint="default"/>
                <w:color w:val="000000"/>
                <w:kern w:val="0"/>
                <w:sz w:val="24"/>
                <w:lang w:val="en-US" w:eastAsia="zh-CN"/>
              </w:rPr>
              <w:t>施容积</w:t>
            </w:r>
            <w:r>
              <w:rPr>
                <w:rFonts w:hint="eastAsia"/>
                <w:color w:val="000000"/>
                <w:kern w:val="0"/>
                <w:sz w:val="24"/>
                <w:lang w:val="en-US" w:eastAsia="zh-CN"/>
              </w:rPr>
              <w:t>（</w:t>
            </w:r>
            <w:r>
              <w:rPr>
                <w:rFonts w:hint="default"/>
                <w:color w:val="000000"/>
                <w:kern w:val="0"/>
                <w:sz w:val="24"/>
                <w:lang w:val="en-US" w:eastAsia="zh-CN"/>
              </w:rPr>
              <w:t>V</w:t>
            </w:r>
            <w:r>
              <w:rPr>
                <w:rFonts w:hint="default"/>
                <w:color w:val="000000"/>
                <w:kern w:val="0"/>
                <w:sz w:val="24"/>
                <w:vertAlign w:val="subscript"/>
                <w:lang w:val="en-US" w:eastAsia="zh-CN"/>
              </w:rPr>
              <w:t>3</w:t>
            </w:r>
            <w:r>
              <w:rPr>
                <w:rFonts w:hint="eastAsia"/>
                <w:color w:val="000000"/>
                <w:kern w:val="0"/>
                <w:sz w:val="24"/>
                <w:lang w:val="en-US" w:eastAsia="zh-CN"/>
              </w:rPr>
              <w:t>）</w:t>
            </w:r>
          </w:p>
          <w:p w14:paraId="1672CB34">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厂区内暂未设置</w:t>
            </w:r>
            <w:r>
              <w:rPr>
                <w:rFonts w:hint="default"/>
                <w:color w:val="000000"/>
                <w:kern w:val="0"/>
                <w:sz w:val="24"/>
                <w:lang w:val="en-US" w:eastAsia="zh-CN"/>
              </w:rPr>
              <w:t>发生事故时可以</w:t>
            </w:r>
            <w:r>
              <w:rPr>
                <w:rFonts w:hint="eastAsia"/>
                <w:color w:val="000000"/>
                <w:kern w:val="0"/>
                <w:sz w:val="24"/>
                <w:lang w:val="en-US" w:eastAsia="zh-CN"/>
              </w:rPr>
              <w:t>转输</w:t>
            </w:r>
            <w:r>
              <w:rPr>
                <w:rFonts w:hint="default"/>
                <w:color w:val="000000"/>
                <w:kern w:val="0"/>
                <w:sz w:val="24"/>
                <w:lang w:val="en-US" w:eastAsia="zh-CN"/>
              </w:rPr>
              <w:t>的其他储存或处理</w:t>
            </w:r>
            <w:r>
              <w:rPr>
                <w:rFonts w:hint="eastAsia"/>
                <w:color w:val="000000"/>
                <w:kern w:val="0"/>
                <w:sz w:val="24"/>
                <w:lang w:val="en-US" w:eastAsia="zh-CN"/>
              </w:rPr>
              <w:t>设</w:t>
            </w:r>
            <w:r>
              <w:rPr>
                <w:rFonts w:hint="default"/>
                <w:color w:val="000000"/>
                <w:kern w:val="0"/>
                <w:sz w:val="24"/>
                <w:lang w:val="en-US" w:eastAsia="zh-CN"/>
              </w:rPr>
              <w:t>施</w:t>
            </w:r>
            <w:r>
              <w:rPr>
                <w:rFonts w:hint="eastAsia"/>
                <w:color w:val="000000"/>
                <w:kern w:val="0"/>
                <w:sz w:val="24"/>
                <w:lang w:val="en-US" w:eastAsia="zh-CN"/>
              </w:rPr>
              <w:t>，</w:t>
            </w:r>
            <w:r>
              <w:rPr>
                <w:rFonts w:hint="default"/>
                <w:color w:val="000000"/>
                <w:kern w:val="0"/>
                <w:sz w:val="24"/>
                <w:lang w:val="en-US" w:eastAsia="zh-CN"/>
              </w:rPr>
              <w:t>因此V</w:t>
            </w:r>
            <w:r>
              <w:rPr>
                <w:rFonts w:hint="eastAsia"/>
                <w:color w:val="000000"/>
                <w:kern w:val="0"/>
                <w:sz w:val="24"/>
                <w:vertAlign w:val="subscript"/>
                <w:lang w:val="en-US" w:eastAsia="zh-CN"/>
              </w:rPr>
              <w:t>3</w:t>
            </w:r>
            <w:r>
              <w:rPr>
                <w:rFonts w:hint="default"/>
                <w:color w:val="000000"/>
                <w:kern w:val="0"/>
                <w:sz w:val="24"/>
                <w:lang w:val="en-US" w:eastAsia="zh-CN"/>
              </w:rPr>
              <w:t>取0。</w:t>
            </w:r>
          </w:p>
          <w:p w14:paraId="6E2A504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default"/>
                <w:color w:val="000000"/>
                <w:kern w:val="0"/>
                <w:sz w:val="24"/>
                <w:lang w:val="en-US" w:eastAsia="zh-CN"/>
              </w:rPr>
              <w:t>d</w:t>
            </w:r>
            <w:r>
              <w:rPr>
                <w:rFonts w:hint="eastAsia"/>
                <w:color w:val="000000"/>
                <w:kern w:val="0"/>
                <w:sz w:val="24"/>
                <w:lang w:val="en-US" w:eastAsia="zh-CN"/>
              </w:rPr>
              <w:t>.须进</w:t>
            </w:r>
            <w:r>
              <w:rPr>
                <w:rFonts w:hint="default"/>
                <w:color w:val="000000"/>
                <w:kern w:val="0"/>
                <w:sz w:val="24"/>
                <w:lang w:val="en-US" w:eastAsia="zh-CN"/>
              </w:rPr>
              <w:t>收</w:t>
            </w:r>
            <w:r>
              <w:rPr>
                <w:rFonts w:hint="eastAsia"/>
                <w:color w:val="000000"/>
                <w:kern w:val="0"/>
                <w:sz w:val="24"/>
                <w:lang w:val="en-US" w:eastAsia="zh-CN"/>
              </w:rPr>
              <w:t>集</w:t>
            </w:r>
            <w:r>
              <w:rPr>
                <w:rFonts w:hint="default"/>
                <w:color w:val="000000"/>
                <w:kern w:val="0"/>
                <w:sz w:val="24"/>
                <w:lang w:val="en-US" w:eastAsia="zh-CN"/>
              </w:rPr>
              <w:t>系统的废水</w:t>
            </w:r>
            <w:r>
              <w:rPr>
                <w:rFonts w:hint="eastAsia"/>
                <w:color w:val="000000"/>
                <w:kern w:val="0"/>
                <w:sz w:val="24"/>
                <w:lang w:val="en-US" w:eastAsia="zh-CN"/>
              </w:rPr>
              <w:t>量（</w:t>
            </w:r>
            <w:r>
              <w:rPr>
                <w:rFonts w:hint="default"/>
                <w:color w:val="000000"/>
                <w:kern w:val="0"/>
                <w:sz w:val="24"/>
                <w:lang w:val="en-US" w:eastAsia="zh-CN"/>
              </w:rPr>
              <w:t>V</w:t>
            </w:r>
            <w:r>
              <w:rPr>
                <w:rFonts w:hint="default"/>
                <w:color w:val="000000"/>
                <w:kern w:val="0"/>
                <w:sz w:val="24"/>
                <w:vertAlign w:val="subscript"/>
                <w:lang w:val="en-US" w:eastAsia="zh-CN"/>
              </w:rPr>
              <w:t>4</w:t>
            </w:r>
            <w:r>
              <w:rPr>
                <w:rFonts w:hint="eastAsia"/>
                <w:color w:val="000000"/>
                <w:kern w:val="0"/>
                <w:sz w:val="24"/>
                <w:lang w:val="en-US" w:eastAsia="zh-CN"/>
              </w:rPr>
              <w:t>）</w:t>
            </w:r>
          </w:p>
          <w:p w14:paraId="298326DA">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本项</w:t>
            </w:r>
            <w:r>
              <w:rPr>
                <w:rFonts w:hint="default"/>
                <w:color w:val="000000"/>
                <w:kern w:val="0"/>
                <w:sz w:val="24"/>
                <w:lang w:val="en-US" w:eastAsia="zh-CN"/>
              </w:rPr>
              <w:t>目</w:t>
            </w:r>
            <w:r>
              <w:rPr>
                <w:rFonts w:hint="eastAsia"/>
                <w:color w:val="000000"/>
                <w:kern w:val="0"/>
                <w:sz w:val="24"/>
                <w:lang w:val="en-US" w:eastAsia="zh-CN"/>
              </w:rPr>
              <w:t>不存在须进</w:t>
            </w:r>
            <w:r>
              <w:rPr>
                <w:rFonts w:hint="default"/>
                <w:color w:val="000000"/>
                <w:kern w:val="0"/>
                <w:sz w:val="24"/>
                <w:lang w:val="en-US" w:eastAsia="zh-CN"/>
              </w:rPr>
              <w:t>收</w:t>
            </w:r>
            <w:r>
              <w:rPr>
                <w:rFonts w:hint="eastAsia"/>
                <w:color w:val="000000"/>
                <w:kern w:val="0"/>
                <w:sz w:val="24"/>
                <w:lang w:val="en-US" w:eastAsia="zh-CN"/>
              </w:rPr>
              <w:t>集</w:t>
            </w:r>
            <w:r>
              <w:rPr>
                <w:rFonts w:hint="default"/>
                <w:color w:val="000000"/>
                <w:kern w:val="0"/>
                <w:sz w:val="24"/>
                <w:lang w:val="en-US" w:eastAsia="zh-CN"/>
              </w:rPr>
              <w:t>系统的废水</w:t>
            </w:r>
            <w:r>
              <w:rPr>
                <w:rFonts w:hint="eastAsia"/>
                <w:color w:val="000000"/>
                <w:kern w:val="0"/>
                <w:sz w:val="24"/>
                <w:lang w:val="en-US" w:eastAsia="zh-CN"/>
              </w:rPr>
              <w:t>，</w:t>
            </w:r>
            <w:r>
              <w:rPr>
                <w:rFonts w:hint="default"/>
                <w:color w:val="000000"/>
                <w:kern w:val="0"/>
                <w:sz w:val="24"/>
                <w:lang w:val="en-US" w:eastAsia="zh-CN"/>
              </w:rPr>
              <w:t>因此V</w:t>
            </w:r>
            <w:r>
              <w:rPr>
                <w:rFonts w:hint="default"/>
                <w:color w:val="000000"/>
                <w:kern w:val="0"/>
                <w:sz w:val="24"/>
                <w:vertAlign w:val="subscript"/>
                <w:lang w:val="en-US" w:eastAsia="zh-CN"/>
              </w:rPr>
              <w:t>4</w:t>
            </w:r>
            <w:r>
              <w:rPr>
                <w:rFonts w:hint="default"/>
                <w:color w:val="000000"/>
                <w:kern w:val="0"/>
                <w:sz w:val="24"/>
                <w:lang w:val="en-US" w:eastAsia="zh-CN"/>
              </w:rPr>
              <w:t>取0</w:t>
            </w:r>
            <w:r>
              <w:rPr>
                <w:rFonts w:hint="eastAsia"/>
                <w:color w:val="000000"/>
                <w:kern w:val="0"/>
                <w:sz w:val="24"/>
                <w:lang w:val="en-US" w:eastAsia="zh-CN"/>
              </w:rPr>
              <w:t>；</w:t>
            </w:r>
          </w:p>
          <w:p w14:paraId="6137197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default"/>
                <w:color w:val="000000"/>
                <w:kern w:val="0"/>
                <w:sz w:val="24"/>
                <w:lang w:val="en-US" w:eastAsia="zh-CN"/>
              </w:rPr>
              <w:t>e</w:t>
            </w:r>
            <w:r>
              <w:rPr>
                <w:rFonts w:hint="eastAsia"/>
                <w:color w:val="000000"/>
                <w:kern w:val="0"/>
                <w:sz w:val="24"/>
                <w:lang w:val="en-US" w:eastAsia="zh-CN"/>
              </w:rPr>
              <w:t>.</w:t>
            </w:r>
            <w:r>
              <w:rPr>
                <w:rFonts w:hint="default"/>
                <w:color w:val="000000"/>
                <w:kern w:val="0"/>
                <w:sz w:val="24"/>
                <w:lang w:val="en-US" w:eastAsia="zh-CN"/>
              </w:rPr>
              <w:t>事故</w:t>
            </w:r>
            <w:r>
              <w:rPr>
                <w:rFonts w:hint="eastAsia"/>
                <w:color w:val="000000"/>
                <w:kern w:val="0"/>
                <w:sz w:val="24"/>
                <w:lang w:val="en-US" w:eastAsia="zh-CN"/>
              </w:rPr>
              <w:t>雨</w:t>
            </w:r>
            <w:r>
              <w:rPr>
                <w:rFonts w:hint="default"/>
                <w:color w:val="000000"/>
                <w:kern w:val="0"/>
                <w:sz w:val="24"/>
                <w:lang w:val="en-US" w:eastAsia="zh-CN"/>
              </w:rPr>
              <w:t>水</w:t>
            </w:r>
            <w:r>
              <w:rPr>
                <w:rFonts w:hint="eastAsia"/>
                <w:color w:val="000000"/>
                <w:kern w:val="0"/>
                <w:sz w:val="24"/>
                <w:lang w:val="en-US" w:eastAsia="zh-CN"/>
              </w:rPr>
              <w:t>量（</w:t>
            </w:r>
            <w:r>
              <w:rPr>
                <w:rFonts w:hint="default"/>
                <w:color w:val="000000"/>
                <w:kern w:val="0"/>
                <w:sz w:val="24"/>
                <w:lang w:val="en-US" w:eastAsia="zh-CN"/>
              </w:rPr>
              <w:t>V</w:t>
            </w:r>
            <w:r>
              <w:rPr>
                <w:rFonts w:hint="default"/>
                <w:color w:val="000000"/>
                <w:kern w:val="0"/>
                <w:sz w:val="24"/>
                <w:vertAlign w:val="subscript"/>
                <w:lang w:val="en-US" w:eastAsia="zh-CN"/>
              </w:rPr>
              <w:t>5</w:t>
            </w:r>
            <w:r>
              <w:rPr>
                <w:rFonts w:hint="eastAsia"/>
                <w:color w:val="000000"/>
                <w:kern w:val="0"/>
                <w:sz w:val="24"/>
                <w:lang w:val="en-US" w:eastAsia="zh-CN"/>
              </w:rPr>
              <w:t>）</w:t>
            </w:r>
          </w:p>
          <w:p w14:paraId="2008004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8"/>
                <w:szCs w:val="28"/>
                <w:lang w:val="en-US" w:eastAsia="zh-CN"/>
              </w:rPr>
            </w:pPr>
            <w:r>
              <w:rPr>
                <w:rFonts w:hint="default" w:ascii="Times New Roman" w:hAnsi="Times New Roman" w:eastAsia="宋体" w:cs="Times New Roman"/>
                <w:b w:val="0"/>
                <w:bCs w:val="0"/>
                <w:color w:val="auto"/>
                <w:kern w:val="2"/>
                <w:sz w:val="28"/>
                <w:szCs w:val="28"/>
                <w:lang w:val="en-US" w:eastAsia="zh-CN" w:bidi="ar-SA"/>
              </w:rPr>
              <w:t>V</w:t>
            </w:r>
            <w:r>
              <w:rPr>
                <w:rFonts w:hint="default" w:ascii="Times New Roman" w:hAnsi="Times New Roman" w:eastAsia="宋体" w:cs="Times New Roman"/>
                <w:b w:val="0"/>
                <w:bCs w:val="0"/>
                <w:color w:val="auto"/>
                <w:kern w:val="2"/>
                <w:sz w:val="28"/>
                <w:szCs w:val="28"/>
                <w:vertAlign w:val="subscript"/>
                <w:lang w:val="en-US" w:eastAsia="zh-CN" w:bidi="ar-SA"/>
              </w:rPr>
              <w:t>5</w:t>
            </w:r>
            <w:r>
              <w:rPr>
                <w:rFonts w:hint="eastAsia" w:ascii="宋体" w:hAnsi="宋体" w:eastAsia="宋体" w:cs="宋体"/>
                <w:b w:val="0"/>
                <w:bCs w:val="0"/>
                <w:color w:val="auto"/>
                <w:kern w:val="2"/>
                <w:sz w:val="28"/>
                <w:szCs w:val="28"/>
                <w:lang w:val="en-US" w:eastAsia="zh-CN" w:bidi="ar-SA"/>
              </w:rPr>
              <w:t>=</w:t>
            </w:r>
            <w:r>
              <w:rPr>
                <w:rFonts w:hint="default" w:ascii="Times New Roman" w:hAnsi="Times New Roman" w:eastAsia="宋体" w:cs="Times New Roman"/>
                <w:b w:val="0"/>
                <w:bCs w:val="0"/>
                <w:color w:val="auto"/>
                <w:kern w:val="2"/>
                <w:sz w:val="28"/>
                <w:szCs w:val="28"/>
                <w:lang w:val="en-US" w:eastAsia="zh-CN" w:bidi="ar-SA"/>
              </w:rPr>
              <w:t>10qF</w:t>
            </w:r>
          </w:p>
          <w:p w14:paraId="29AF3E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q—</w:t>
            </w:r>
            <w:r>
              <w:rPr>
                <w:rFonts w:hint="eastAsia" w:ascii="宋体" w:hAnsi="宋体" w:eastAsia="宋体" w:cs="宋体"/>
                <w:lang w:val="en-US" w:eastAsia="zh-CN"/>
              </w:rPr>
              <w:t>降雨</w:t>
            </w:r>
            <w:r>
              <w:rPr>
                <w:rFonts w:hint="default" w:ascii="Times New Roman" w:hAnsi="Times New Roman" w:eastAsia="宋体" w:cs="Times New Roman"/>
                <w:lang w:val="en-US" w:eastAsia="zh-CN"/>
              </w:rPr>
              <w:t>强度</w:t>
            </w:r>
            <w:r>
              <w:rPr>
                <w:rFonts w:hint="eastAsia" w:ascii="宋体" w:hAnsi="宋体" w:eastAsia="宋体" w:cs="宋体"/>
                <w:lang w:val="en-US" w:eastAsia="zh-CN"/>
              </w:rPr>
              <w:t>，</w:t>
            </w:r>
            <w:r>
              <w:rPr>
                <w:rFonts w:hint="default" w:ascii="Times New Roman" w:hAnsi="Times New Roman" w:eastAsia="宋体" w:cs="Times New Roman"/>
                <w:lang w:val="en-US" w:eastAsia="zh-CN"/>
              </w:rPr>
              <w:t>mm</w:t>
            </w:r>
            <w:r>
              <w:rPr>
                <w:rFonts w:hint="eastAsia" w:ascii="宋体" w:hAnsi="宋体" w:eastAsia="宋体" w:cs="宋体"/>
                <w:lang w:val="en-US" w:eastAsia="zh-CN"/>
              </w:rPr>
              <w:t>；</w:t>
            </w:r>
            <w:r>
              <w:rPr>
                <w:rFonts w:hint="default" w:ascii="Times New Roman" w:hAnsi="Times New Roman" w:eastAsia="宋体" w:cs="Times New Roman"/>
                <w:lang w:val="en-US" w:eastAsia="zh-CN"/>
              </w:rPr>
              <w:t>按平均日</w:t>
            </w:r>
            <w:r>
              <w:rPr>
                <w:rFonts w:hint="eastAsia" w:ascii="宋体" w:hAnsi="宋体" w:eastAsia="宋体" w:cs="宋体"/>
                <w:lang w:val="en-US" w:eastAsia="zh-CN"/>
              </w:rPr>
              <w:t>降雨量；</w:t>
            </w:r>
          </w:p>
          <w:p w14:paraId="0BF809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F—必</w:t>
            </w:r>
            <w:r>
              <w:rPr>
                <w:rFonts w:hint="eastAsia" w:ascii="宋体" w:hAnsi="宋体" w:eastAsia="宋体" w:cs="宋体"/>
                <w:lang w:val="en-US" w:eastAsia="zh-CN"/>
              </w:rPr>
              <w:t>须进</w:t>
            </w:r>
            <w:r>
              <w:rPr>
                <w:rFonts w:hint="default" w:ascii="Times New Roman" w:hAnsi="Times New Roman" w:eastAsia="宋体" w:cs="Times New Roman"/>
                <w:lang w:val="en-US" w:eastAsia="zh-CN"/>
              </w:rPr>
              <w:t>入事故废水收</w:t>
            </w:r>
            <w:r>
              <w:rPr>
                <w:rFonts w:hint="eastAsia" w:ascii="宋体" w:hAnsi="宋体" w:eastAsia="宋体" w:cs="宋体"/>
                <w:lang w:val="en-US" w:eastAsia="zh-CN"/>
              </w:rPr>
              <w:t>集</w:t>
            </w:r>
            <w:r>
              <w:rPr>
                <w:rFonts w:hint="default" w:ascii="Times New Roman" w:hAnsi="Times New Roman" w:eastAsia="宋体" w:cs="Times New Roman"/>
                <w:lang w:val="en-US" w:eastAsia="zh-CN"/>
              </w:rPr>
              <w:t>系统的</w:t>
            </w:r>
            <w:r>
              <w:rPr>
                <w:rFonts w:hint="eastAsia" w:ascii="宋体" w:hAnsi="宋体" w:eastAsia="宋体" w:cs="宋体"/>
                <w:lang w:val="en-US" w:eastAsia="zh-CN"/>
              </w:rPr>
              <w:t>雨</w:t>
            </w:r>
            <w:r>
              <w:rPr>
                <w:rFonts w:hint="default" w:ascii="Times New Roman" w:hAnsi="Times New Roman" w:eastAsia="宋体" w:cs="Times New Roman"/>
                <w:lang w:val="en-US" w:eastAsia="zh-CN"/>
              </w:rPr>
              <w:t>水汇水</w:t>
            </w:r>
            <w:r>
              <w:rPr>
                <w:rFonts w:hint="eastAsia" w:ascii="宋体" w:hAnsi="宋体" w:eastAsia="宋体" w:cs="宋体"/>
                <w:lang w:val="en-US" w:eastAsia="zh-CN"/>
              </w:rPr>
              <w:t>面</w:t>
            </w:r>
            <w:r>
              <w:rPr>
                <w:rFonts w:hint="default" w:ascii="Times New Roman" w:hAnsi="Times New Roman" w:eastAsia="宋体" w:cs="Times New Roman"/>
                <w:lang w:val="en-US" w:eastAsia="zh-CN"/>
              </w:rPr>
              <w:t>积</w:t>
            </w:r>
            <w:r>
              <w:rPr>
                <w:rFonts w:hint="eastAsia" w:ascii="宋体" w:hAnsi="宋体" w:eastAsia="宋体" w:cs="宋体"/>
                <w:lang w:val="en-US" w:eastAsia="zh-CN"/>
              </w:rPr>
              <w:t>，</w:t>
            </w:r>
            <w:r>
              <w:rPr>
                <w:rFonts w:hint="eastAsia" w:ascii="宋体" w:hAnsi="宋体" w:cs="宋体"/>
                <w:lang w:val="en-US" w:eastAsia="zh-CN"/>
              </w:rPr>
              <w:t>本</w:t>
            </w:r>
            <w:r>
              <w:rPr>
                <w:rFonts w:hint="eastAsia" w:cs="Times New Roman"/>
                <w:lang w:val="en-US" w:eastAsia="zh-CN"/>
              </w:rPr>
              <w:t>厂区最大南厂房</w:t>
            </w:r>
            <w:r>
              <w:rPr>
                <w:rFonts w:hint="eastAsia" w:ascii="宋体" w:hAnsi="宋体" w:eastAsia="宋体" w:cs="宋体"/>
                <w:lang w:val="en-US" w:eastAsia="zh-CN"/>
              </w:rPr>
              <w:t>面</w:t>
            </w:r>
            <w:r>
              <w:rPr>
                <w:rFonts w:hint="default" w:ascii="Times New Roman" w:hAnsi="Times New Roman" w:eastAsia="宋体" w:cs="Times New Roman"/>
                <w:lang w:val="en-US" w:eastAsia="zh-CN"/>
              </w:rPr>
              <w:t>积约</w:t>
            </w:r>
            <w:r>
              <w:rPr>
                <w:rFonts w:hint="eastAsia" w:cs="Times New Roman"/>
                <w:lang w:val="en-US" w:eastAsia="zh-CN"/>
              </w:rPr>
              <w:t>10000</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2</w:t>
            </w:r>
            <w:r>
              <w:rPr>
                <w:rFonts w:hint="eastAsia" w:ascii="宋体" w:hAnsi="宋体" w:eastAsia="宋体" w:cs="宋体"/>
                <w:lang w:val="en-US" w:eastAsia="zh-CN"/>
              </w:rPr>
              <w:t>，</w:t>
            </w:r>
            <w:r>
              <w:rPr>
                <w:rFonts w:hint="default" w:ascii="Times New Roman" w:hAnsi="Times New Roman" w:eastAsia="宋体" w:cs="Times New Roman"/>
                <w:lang w:val="en-US" w:eastAsia="zh-CN"/>
              </w:rPr>
              <w:t>取</w:t>
            </w:r>
            <w:r>
              <w:rPr>
                <w:rFonts w:hint="eastAsia" w:cs="Times New Roman"/>
                <w:lang w:val="en-US" w:eastAsia="zh-CN"/>
              </w:rPr>
              <w:t>1.0</w:t>
            </w:r>
            <w:r>
              <w:rPr>
                <w:rFonts w:hint="default" w:ascii="Times New Roman" w:hAnsi="Times New Roman" w:eastAsia="宋体" w:cs="Times New Roman"/>
                <w:lang w:val="en-US" w:eastAsia="zh-CN"/>
              </w:rPr>
              <w:t>hm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w:t>
            </w:r>
          </w:p>
          <w:p w14:paraId="3A99ACD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8"/>
                <w:szCs w:val="28"/>
                <w:lang w:val="en-US" w:eastAsia="zh-CN"/>
              </w:rPr>
            </w:pPr>
            <w:r>
              <w:rPr>
                <w:rFonts w:hint="default" w:ascii="Times New Roman" w:hAnsi="Times New Roman" w:eastAsia="宋体" w:cs="Times New Roman"/>
                <w:sz w:val="28"/>
                <w:szCs w:val="28"/>
                <w:lang w:val="en-US" w:eastAsia="zh-CN"/>
              </w:rPr>
              <w:t>q</w:t>
            </w:r>
            <w:r>
              <w:rPr>
                <w:rFonts w:hint="eastAsia" w:ascii="宋体" w:hAnsi="宋体" w:eastAsia="宋体" w:cs="宋体"/>
                <w:sz w:val="28"/>
                <w:szCs w:val="28"/>
                <w:lang w:val="en-US" w:eastAsia="zh-CN"/>
              </w:rPr>
              <w:t>=</w:t>
            </w:r>
            <w:r>
              <w:rPr>
                <w:rFonts w:hint="default" w:ascii="Times New Roman" w:hAnsi="Times New Roman" w:eastAsia="宋体" w:cs="Times New Roman"/>
                <w:sz w:val="28"/>
                <w:szCs w:val="28"/>
                <w:lang w:val="en-US" w:eastAsia="zh-CN"/>
              </w:rPr>
              <w:t>q</w:t>
            </w:r>
            <w:r>
              <w:rPr>
                <w:rFonts w:hint="default" w:ascii="Times New Roman" w:hAnsi="Times New Roman" w:eastAsia="宋体" w:cs="Times New Roman"/>
                <w:sz w:val="28"/>
                <w:szCs w:val="28"/>
                <w:vertAlign w:val="subscript"/>
                <w:lang w:val="en-US" w:eastAsia="zh-CN"/>
              </w:rPr>
              <w:t>n</w:t>
            </w:r>
            <w:r>
              <w:rPr>
                <w:rFonts w:hint="eastAsia" w:ascii="宋体" w:hAnsi="宋体" w:eastAsia="宋体" w:cs="宋体"/>
                <w:sz w:val="28"/>
                <w:szCs w:val="28"/>
                <w:lang w:val="en-US" w:eastAsia="zh-CN"/>
              </w:rPr>
              <w:t>/</w:t>
            </w:r>
            <w:r>
              <w:rPr>
                <w:rFonts w:hint="default" w:ascii="Times New Roman" w:hAnsi="Times New Roman" w:eastAsia="宋体" w:cs="Times New Roman"/>
                <w:sz w:val="28"/>
                <w:szCs w:val="28"/>
                <w:lang w:val="en-US" w:eastAsia="zh-CN"/>
              </w:rPr>
              <w:t>n</w:t>
            </w:r>
          </w:p>
          <w:p w14:paraId="74E338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q</w:t>
            </w:r>
            <w:r>
              <w:rPr>
                <w:rFonts w:hint="default" w:ascii="Times New Roman" w:hAnsi="Times New Roman" w:eastAsia="宋体" w:cs="Times New Roman"/>
                <w:vertAlign w:val="subscript"/>
                <w:lang w:val="en-US" w:eastAsia="zh-CN"/>
              </w:rPr>
              <w:t>n</w:t>
            </w:r>
            <w:r>
              <w:rPr>
                <w:rFonts w:hint="default" w:ascii="Times New Roman" w:hAnsi="Times New Roman" w:eastAsia="宋体" w:cs="Times New Roman"/>
                <w:lang w:val="en-US" w:eastAsia="zh-CN"/>
              </w:rPr>
              <w:t>—年平均</w:t>
            </w:r>
            <w:r>
              <w:rPr>
                <w:rFonts w:hint="eastAsia" w:ascii="宋体" w:hAnsi="宋体" w:eastAsia="宋体" w:cs="宋体"/>
                <w:lang w:val="en-US" w:eastAsia="zh-CN"/>
              </w:rPr>
              <w:t>降雨量，</w:t>
            </w:r>
            <w:r>
              <w:rPr>
                <w:rFonts w:hint="default" w:ascii="Times New Roman" w:hAnsi="Times New Roman" w:eastAsia="宋体" w:cs="Times New Roman"/>
                <w:lang w:val="en-US" w:eastAsia="zh-CN"/>
              </w:rPr>
              <w:t>mm</w:t>
            </w:r>
            <w:r>
              <w:rPr>
                <w:rFonts w:hint="eastAsia" w:ascii="宋体" w:hAnsi="宋体" w:eastAsia="宋体" w:cs="宋体"/>
                <w:lang w:val="en-US" w:eastAsia="zh-CN"/>
              </w:rPr>
              <w:t>（</w:t>
            </w:r>
            <w:r>
              <w:rPr>
                <w:rFonts w:hint="default" w:ascii="Times New Roman" w:hAnsi="Times New Roman" w:eastAsia="宋体" w:cs="Times New Roman"/>
                <w:lang w:val="en-US" w:eastAsia="zh-CN"/>
              </w:rPr>
              <w:t>年均降</w:t>
            </w:r>
            <w:r>
              <w:rPr>
                <w:rFonts w:hint="eastAsia" w:cs="Times New Roman"/>
                <w:lang w:val="en-US" w:eastAsia="zh-CN"/>
              </w:rPr>
              <w:t>雨</w:t>
            </w:r>
            <w:r>
              <w:rPr>
                <w:rFonts w:hint="default" w:ascii="Times New Roman" w:hAnsi="Times New Roman" w:eastAsia="宋体" w:cs="Times New Roman"/>
                <w:lang w:val="en-US" w:eastAsia="zh-CN"/>
              </w:rPr>
              <w:t>量</w:t>
            </w:r>
            <w:r>
              <w:rPr>
                <w:rFonts w:hint="eastAsia" w:cs="Times New Roman"/>
                <w:lang w:val="en-US" w:eastAsia="zh-CN"/>
              </w:rPr>
              <w:t>取</w:t>
            </w:r>
            <w:r>
              <w:rPr>
                <w:rFonts w:hint="default" w:ascii="Times New Roman" w:hAnsi="Times New Roman" w:eastAsia="宋体" w:cs="Times New Roman"/>
                <w:lang w:val="en-US" w:eastAsia="zh-CN"/>
              </w:rPr>
              <w:t>823.4毫米</w:t>
            </w:r>
            <w:r>
              <w:rPr>
                <w:rFonts w:hint="eastAsia" w:ascii="宋体" w:hAnsi="宋体" w:eastAsia="宋体" w:cs="宋体"/>
                <w:lang w:val="en-US" w:eastAsia="zh-CN"/>
              </w:rPr>
              <w:t>）；</w:t>
            </w:r>
          </w:p>
          <w:p w14:paraId="69CD39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n—年平均</w:t>
            </w:r>
            <w:r>
              <w:rPr>
                <w:rFonts w:hint="eastAsia" w:ascii="宋体" w:hAnsi="宋体" w:eastAsia="宋体" w:cs="宋体"/>
                <w:lang w:val="en-US" w:eastAsia="zh-CN"/>
              </w:rPr>
              <w:t>降雨</w:t>
            </w:r>
            <w:r>
              <w:rPr>
                <w:rFonts w:hint="default" w:ascii="Times New Roman" w:hAnsi="Times New Roman" w:eastAsia="宋体" w:cs="Times New Roman"/>
                <w:lang w:val="en-US" w:eastAsia="zh-CN"/>
              </w:rPr>
              <w:t>日数</w:t>
            </w:r>
            <w:r>
              <w:rPr>
                <w:rFonts w:hint="eastAsia" w:ascii="宋体" w:hAnsi="宋体" w:eastAsia="宋体" w:cs="宋体"/>
                <w:lang w:val="en-US" w:eastAsia="zh-CN"/>
              </w:rPr>
              <w:t>，（降雨</w:t>
            </w:r>
            <w:r>
              <w:rPr>
                <w:rFonts w:hint="default" w:ascii="Times New Roman" w:hAnsi="Times New Roman" w:eastAsia="宋体" w:cs="Times New Roman"/>
                <w:lang w:val="en-US" w:eastAsia="zh-CN"/>
              </w:rPr>
              <w:t>天数取120天</w:t>
            </w:r>
            <w:r>
              <w:rPr>
                <w:rFonts w:hint="eastAsia" w:ascii="宋体" w:hAnsi="宋体" w:eastAsia="宋体" w:cs="宋体"/>
                <w:lang w:val="en-US" w:eastAsia="zh-CN"/>
              </w:rPr>
              <w:t>）；</w:t>
            </w:r>
          </w:p>
          <w:p w14:paraId="588B92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可以</w:t>
            </w:r>
            <w:r>
              <w:rPr>
                <w:rFonts w:hint="eastAsia" w:ascii="宋体" w:hAnsi="宋体" w:eastAsia="宋体" w:cs="宋体"/>
                <w:lang w:val="en-US" w:eastAsia="zh-CN"/>
              </w:rPr>
              <w:t>计</w:t>
            </w:r>
            <w:r>
              <w:rPr>
                <w:rFonts w:hint="default" w:ascii="Times New Roman" w:hAnsi="Times New Roman" w:eastAsia="宋体" w:cs="Times New Roman"/>
                <w:lang w:val="en-US" w:eastAsia="zh-CN"/>
              </w:rPr>
              <w:t>算得V</w:t>
            </w:r>
            <w:r>
              <w:rPr>
                <w:rFonts w:hint="default" w:ascii="Times New Roman" w:hAnsi="Times New Roman" w:eastAsia="宋体" w:cs="Times New Roman"/>
                <w:vertAlign w:val="subscript"/>
                <w:lang w:val="en-US" w:eastAsia="zh-CN"/>
              </w:rPr>
              <w:t>5</w:t>
            </w:r>
            <w:r>
              <w:rPr>
                <w:rFonts w:hint="eastAsia" w:ascii="宋体" w:hAnsi="宋体" w:eastAsia="宋体" w:cs="宋体"/>
                <w:lang w:val="en-US" w:eastAsia="zh-CN"/>
              </w:rPr>
              <w:t>=</w:t>
            </w:r>
            <w:r>
              <w:rPr>
                <w:rFonts w:hint="eastAsia" w:cs="Times New Roman"/>
                <w:lang w:val="en-US" w:eastAsia="zh-CN"/>
              </w:rPr>
              <w:t>68.62</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w:t>
            </w:r>
          </w:p>
          <w:p w14:paraId="120F8950">
            <w:pPr>
              <w:spacing w:line="360" w:lineRule="auto"/>
              <w:ind w:firstLine="480" w:firstLineChars="200"/>
              <w:jc w:val="both"/>
              <w:rPr>
                <w:rFonts w:hint="eastAsia"/>
                <w:b w:val="0"/>
                <w:bCs w:val="0"/>
                <w:sz w:val="24"/>
                <w:lang w:val="en-US" w:eastAsia="zh-CN"/>
              </w:rPr>
            </w:pP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总</w:t>
            </w:r>
            <w:r>
              <w:rPr>
                <w:rFonts w:hint="default" w:ascii="宋体" w:hAnsi="宋体" w:eastAsia="宋体" w:cs="宋体"/>
                <w:lang w:val="en-US" w:eastAsia="zh-CN"/>
              </w:rPr>
              <w:t>=（</w:t>
            </w: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1</w:t>
            </w:r>
            <w:r>
              <w:rPr>
                <w:rFonts w:hint="default" w:ascii="宋体" w:hAnsi="宋体" w:eastAsia="宋体" w:cs="宋体"/>
                <w:lang w:val="en-US" w:eastAsia="zh-CN"/>
              </w:rPr>
              <w:t>+</w:t>
            </w: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2</w:t>
            </w:r>
            <w:r>
              <w:rPr>
                <w:rFonts w:hint="default" w:ascii="宋体" w:hAnsi="宋体" w:eastAsia="宋体" w:cs="宋体"/>
                <w:lang w:val="en-US" w:eastAsia="zh-CN"/>
              </w:rPr>
              <w:t>-</w:t>
            </w: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3</w:t>
            </w:r>
            <w:r>
              <w:rPr>
                <w:rFonts w:hint="default" w:ascii="宋体" w:hAnsi="宋体" w:eastAsia="宋体" w:cs="宋体"/>
                <w:lang w:val="en-US" w:eastAsia="zh-CN"/>
              </w:rPr>
              <w:t>）</w:t>
            </w:r>
            <w:r>
              <w:rPr>
                <w:rFonts w:hint="default" w:ascii="Times New Roman" w:hAnsi="Times New Roman" w:eastAsia="宋体" w:cs="Times New Roman"/>
                <w:vertAlign w:val="subscript"/>
                <w:lang w:val="en-US" w:eastAsia="zh-CN"/>
              </w:rPr>
              <w:t>max</w:t>
            </w:r>
            <w:r>
              <w:rPr>
                <w:rFonts w:hint="default" w:ascii="宋体" w:hAnsi="宋体" w:eastAsia="宋体" w:cs="宋体"/>
                <w:lang w:val="en-US" w:eastAsia="zh-CN"/>
              </w:rPr>
              <w:t>+</w:t>
            </w: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4</w:t>
            </w:r>
            <w:r>
              <w:rPr>
                <w:rFonts w:hint="default" w:ascii="宋体" w:hAnsi="宋体" w:eastAsia="宋体" w:cs="宋体"/>
                <w:lang w:val="en-US" w:eastAsia="zh-CN"/>
              </w:rPr>
              <w:t>+</w:t>
            </w:r>
            <w:r>
              <w:rPr>
                <w:rFonts w:hint="default" w:ascii="Times New Roman" w:hAnsi="Times New Roman" w:eastAsia="宋体" w:cs="Times New Roman"/>
                <w:lang w:val="en-US" w:eastAsia="zh-CN"/>
              </w:rPr>
              <w:t>V</w:t>
            </w:r>
            <w:r>
              <w:rPr>
                <w:rFonts w:hint="default" w:ascii="Times New Roman" w:hAnsi="Times New Roman" w:eastAsia="宋体" w:cs="Times New Roman"/>
                <w:vertAlign w:val="subscript"/>
                <w:lang w:val="en-US" w:eastAsia="zh-CN"/>
              </w:rPr>
              <w:t>5</w:t>
            </w:r>
            <w:r>
              <w:rPr>
                <w:rFonts w:hint="default" w:ascii="宋体" w:hAnsi="宋体" w:eastAsia="宋体" w:cs="宋体"/>
                <w:lang w:val="en-US" w:eastAsia="zh-CN"/>
              </w:rPr>
              <w:t>=（</w:t>
            </w:r>
            <w:r>
              <w:rPr>
                <w:rFonts w:hint="default" w:ascii="Times New Roman" w:hAnsi="Times New Roman" w:eastAsia="宋体" w:cs="Times New Roman"/>
                <w:lang w:val="en-US" w:eastAsia="zh-CN"/>
              </w:rPr>
              <w:t>0</w:t>
            </w:r>
            <w:r>
              <w:rPr>
                <w:rFonts w:hint="default" w:ascii="宋体" w:hAnsi="宋体" w:eastAsia="宋体" w:cs="宋体"/>
                <w:lang w:val="en-US" w:eastAsia="zh-CN"/>
              </w:rPr>
              <w:t>+</w:t>
            </w:r>
            <w:r>
              <w:rPr>
                <w:rFonts w:hint="eastAsia" w:cs="Times New Roman"/>
                <w:lang w:val="en-US" w:eastAsia="zh-CN"/>
              </w:rPr>
              <w:t>36</w:t>
            </w:r>
            <w:r>
              <w:rPr>
                <w:rFonts w:hint="default" w:ascii="宋体" w:hAnsi="宋体" w:eastAsia="宋体" w:cs="宋体"/>
                <w:lang w:val="en-US" w:eastAsia="zh-CN"/>
              </w:rPr>
              <w:t>-</w:t>
            </w:r>
            <w:r>
              <w:rPr>
                <w:rFonts w:hint="default" w:ascii="Times New Roman" w:hAnsi="Times New Roman" w:eastAsia="宋体" w:cs="Times New Roman"/>
                <w:lang w:val="en-US" w:eastAsia="zh-CN"/>
              </w:rPr>
              <w:t>0</w:t>
            </w:r>
            <w:r>
              <w:rPr>
                <w:rFonts w:hint="default" w:ascii="宋体" w:hAnsi="宋体" w:eastAsia="宋体" w:cs="宋体"/>
                <w:lang w:val="en-US" w:eastAsia="zh-CN"/>
              </w:rPr>
              <w:t>）+</w:t>
            </w:r>
            <w:r>
              <w:rPr>
                <w:rFonts w:hint="default" w:ascii="Times New Roman" w:hAnsi="Times New Roman" w:eastAsia="宋体" w:cs="Times New Roman"/>
                <w:lang w:val="en-US" w:eastAsia="zh-CN"/>
              </w:rPr>
              <w:t>0</w:t>
            </w:r>
            <w:r>
              <w:rPr>
                <w:rFonts w:hint="default" w:ascii="宋体" w:hAnsi="宋体" w:eastAsia="宋体" w:cs="宋体"/>
                <w:lang w:val="en-US" w:eastAsia="zh-CN"/>
              </w:rPr>
              <w:t>+</w:t>
            </w:r>
            <w:r>
              <w:rPr>
                <w:rFonts w:hint="eastAsia" w:cs="Times New Roman"/>
                <w:lang w:val="en-US" w:eastAsia="zh-CN"/>
              </w:rPr>
              <w:t>68.62</w:t>
            </w:r>
            <w:r>
              <w:rPr>
                <w:rFonts w:hint="default" w:ascii="宋体" w:hAnsi="宋体" w:eastAsia="宋体" w:cs="宋体"/>
                <w:lang w:val="en-US" w:eastAsia="zh-CN"/>
              </w:rPr>
              <w:t>=</w:t>
            </w:r>
            <w:r>
              <w:rPr>
                <w:rFonts w:hint="eastAsia" w:cs="Times New Roman"/>
                <w:lang w:val="en-US" w:eastAsia="zh-CN"/>
              </w:rPr>
              <w:t>104.62</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w:t>
            </w:r>
          </w:p>
          <w:p w14:paraId="080C5690">
            <w:pPr>
              <w:autoSpaceDE w:val="0"/>
              <w:autoSpaceDN w:val="0"/>
              <w:adjustRightInd w:val="0"/>
              <w:snapToGrid w:val="0"/>
              <w:spacing w:line="360" w:lineRule="auto"/>
              <w:ind w:firstLine="480" w:firstLineChars="200"/>
              <w:jc w:val="both"/>
              <w:rPr>
                <w:rFonts w:hint="eastAsia"/>
                <w:b w:val="0"/>
                <w:bCs w:val="0"/>
                <w:sz w:val="24"/>
                <w:lang w:val="en-US" w:eastAsia="zh-CN"/>
              </w:rPr>
            </w:pPr>
            <w:r>
              <w:rPr>
                <w:rFonts w:hint="eastAsia"/>
                <w:b w:val="0"/>
                <w:bCs w:val="0"/>
                <w:sz w:val="24"/>
                <w:lang w:val="en-US" w:eastAsia="zh-CN"/>
              </w:rPr>
              <w:t>由上可知，厂区内已建成的120m</w:t>
            </w:r>
            <w:r>
              <w:rPr>
                <w:rFonts w:hint="eastAsia"/>
                <w:b w:val="0"/>
                <w:bCs w:val="0"/>
                <w:sz w:val="24"/>
                <w:vertAlign w:val="superscript"/>
                <w:lang w:val="en-US" w:eastAsia="zh-CN"/>
              </w:rPr>
              <w:t>3</w:t>
            </w:r>
            <w:r>
              <w:rPr>
                <w:rFonts w:hint="eastAsia"/>
                <w:b w:val="0"/>
                <w:bCs w:val="0"/>
                <w:sz w:val="24"/>
                <w:lang w:val="en-US" w:eastAsia="zh-CN"/>
              </w:rPr>
              <w:t>事故应急池可以容纳事故状态下最大废水产生量</w:t>
            </w:r>
            <w:r>
              <w:rPr>
                <w:rFonts w:hint="eastAsia"/>
                <w:color w:val="000000"/>
                <w:kern w:val="0"/>
                <w:sz w:val="24"/>
                <w:lang w:val="en-US" w:eastAsia="zh-CN"/>
              </w:rPr>
              <w:t>。</w:t>
            </w:r>
          </w:p>
          <w:p w14:paraId="64379BBE">
            <w:pPr>
              <w:spacing w:line="360" w:lineRule="auto"/>
              <w:jc w:val="left"/>
              <w:rPr>
                <w:rFonts w:hint="eastAsia"/>
                <w:b/>
                <w:bCs/>
                <w:sz w:val="24"/>
                <w:lang w:val="en-US" w:eastAsia="zh-CN"/>
              </w:rPr>
            </w:pPr>
            <w:r>
              <w:rPr>
                <w:rFonts w:hint="eastAsia"/>
                <w:b/>
                <w:bCs/>
                <w:sz w:val="24"/>
                <w:lang w:val="en-US" w:eastAsia="zh-CN"/>
              </w:rPr>
              <w:t>8、电磁辐射</w:t>
            </w:r>
          </w:p>
          <w:p w14:paraId="0912FA96">
            <w:pPr>
              <w:autoSpaceDE w:val="0"/>
              <w:autoSpaceDN w:val="0"/>
              <w:adjustRightInd w:val="0"/>
              <w:snapToGrid w:val="0"/>
              <w:ind w:firstLine="480" w:firstLineChars="200"/>
              <w:jc w:val="left"/>
              <w:rPr>
                <w:rFonts w:hint="eastAsia" w:ascii="宋体" w:hAnsi="宋体" w:cs="宋体"/>
                <w:kern w:val="0"/>
                <w:sz w:val="24"/>
                <w:szCs w:val="24"/>
              </w:rPr>
            </w:pPr>
            <w:r>
              <w:rPr>
                <w:rFonts w:hint="eastAsia" w:cs="Times New Roman"/>
                <w:lang w:val="en-US" w:eastAsia="zh-CN"/>
              </w:rPr>
              <w:t>本项目不涉及</w:t>
            </w:r>
            <w:r>
              <w:rPr>
                <w:rFonts w:hint="default" w:ascii="Times New Roman" w:hAnsi="Times New Roman" w:eastAsia="宋体" w:cs="Times New Roman"/>
                <w:lang w:val="en-US" w:eastAsia="zh-CN"/>
              </w:rPr>
              <w:t>。</w:t>
            </w:r>
          </w:p>
        </w:tc>
      </w:tr>
    </w:tbl>
    <w:p w14:paraId="003961DB">
      <w:pPr>
        <w:rPr>
          <w:rFonts w:hint="eastAsia"/>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74F53AA7">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2"/>
          <w:szCs w:val="32"/>
          <w:lang w:val="en-US" w:eastAsia="zh-CN"/>
        </w:rPr>
      </w:pPr>
      <w:r>
        <w:rPr>
          <w:rFonts w:hint="eastAsia"/>
          <w:b w:val="0"/>
          <w:bCs w:val="0"/>
          <w:snapToGrid w:val="0"/>
          <w:sz w:val="32"/>
          <w:szCs w:val="32"/>
          <w:lang w:val="en-US" w:eastAsia="zh-CN"/>
        </w:rPr>
        <w:t>五、</w:t>
      </w:r>
      <w:bookmarkStart w:id="2" w:name="_Hlk54167917"/>
      <w:r>
        <w:rPr>
          <w:rFonts w:hint="eastAsia"/>
          <w:b w:val="0"/>
          <w:bCs w:val="0"/>
          <w:snapToGrid w:val="0"/>
          <w:sz w:val="32"/>
          <w:szCs w:val="32"/>
          <w:lang w:val="en-US" w:eastAsia="zh-CN"/>
        </w:rPr>
        <w:t>环境保护措施监督检查清单</w:t>
      </w:r>
      <w:bookmarkEnd w:id="2"/>
    </w:p>
    <w:tbl>
      <w:tblPr>
        <w:tblStyle w:val="15"/>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
      <w:tblGrid>
        <w:gridCol w:w="1262"/>
        <w:gridCol w:w="1992"/>
        <w:gridCol w:w="1188"/>
        <w:gridCol w:w="2601"/>
        <w:gridCol w:w="1757"/>
      </w:tblGrid>
      <w:tr w14:paraId="07936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1262" w:type="dxa"/>
            <w:tcBorders>
              <w:tl2br w:val="single" w:color="auto" w:sz="4" w:space="0"/>
            </w:tcBorders>
            <w:noWrap w:val="0"/>
            <w:vAlign w:val="top"/>
          </w:tcPr>
          <w:p w14:paraId="3A88D821">
            <w:pPr>
              <w:adjustRightInd w:val="0"/>
              <w:snapToGrid w:val="0"/>
              <w:jc w:val="right"/>
              <w:rPr>
                <w:rFonts w:hint="eastAsia" w:ascii="宋体" w:hAnsi="宋体" w:cs="宋体"/>
                <w:sz w:val="24"/>
                <w:szCs w:val="24"/>
              </w:rPr>
            </w:pPr>
            <w:r>
              <w:rPr>
                <w:rFonts w:hint="eastAsia" w:ascii="宋体" w:hAnsi="宋体" w:cs="宋体"/>
                <w:sz w:val="24"/>
                <w:szCs w:val="24"/>
              </w:rPr>
              <w:t>内容</w:t>
            </w:r>
          </w:p>
          <w:p w14:paraId="3FE7E644">
            <w:pPr>
              <w:adjustRightInd w:val="0"/>
              <w:snapToGrid w:val="0"/>
              <w:rPr>
                <w:rFonts w:hint="eastAsia" w:ascii="宋体" w:hAnsi="宋体" w:cs="宋体"/>
                <w:sz w:val="24"/>
                <w:szCs w:val="24"/>
              </w:rPr>
            </w:pPr>
            <w:r>
              <w:rPr>
                <w:rFonts w:hint="eastAsia" w:ascii="宋体" w:hAnsi="宋体" w:cs="宋体"/>
                <w:sz w:val="24"/>
                <w:szCs w:val="24"/>
              </w:rPr>
              <w:t>要素</w:t>
            </w:r>
          </w:p>
        </w:tc>
        <w:tc>
          <w:tcPr>
            <w:tcW w:w="1992" w:type="dxa"/>
            <w:noWrap w:val="0"/>
            <w:vAlign w:val="center"/>
          </w:tcPr>
          <w:p w14:paraId="767A92FD">
            <w:pPr>
              <w:adjustRightInd w:val="0"/>
              <w:snapToGrid w:val="0"/>
              <w:jc w:val="center"/>
              <w:rPr>
                <w:rFonts w:hint="eastAsia" w:ascii="宋体" w:hAnsi="宋体" w:cs="宋体"/>
                <w:sz w:val="24"/>
                <w:szCs w:val="24"/>
              </w:rPr>
            </w:pPr>
            <w:r>
              <w:rPr>
                <w:rFonts w:hint="eastAsia" w:ascii="宋体" w:hAnsi="宋体" w:cs="宋体"/>
                <w:sz w:val="24"/>
                <w:szCs w:val="24"/>
              </w:rPr>
              <w:t>排放口</w:t>
            </w:r>
            <w:r>
              <w:rPr>
                <w:rFonts w:hint="eastAsia" w:ascii="宋体" w:hAnsi="宋体" w:cs="宋体"/>
                <w:sz w:val="24"/>
                <w:szCs w:val="24"/>
                <w:lang w:eastAsia="zh-CN"/>
              </w:rPr>
              <w:t>（</w:t>
            </w:r>
            <w:r>
              <w:rPr>
                <w:rFonts w:hint="eastAsia" w:ascii="宋体" w:hAnsi="宋体" w:cs="宋体"/>
                <w:sz w:val="24"/>
                <w:szCs w:val="24"/>
              </w:rPr>
              <w:t>编号、名称</w:t>
            </w:r>
            <w:r>
              <w:rPr>
                <w:rFonts w:hint="eastAsia" w:ascii="宋体" w:hAnsi="宋体" w:cs="宋体"/>
                <w:sz w:val="24"/>
                <w:szCs w:val="24"/>
                <w:lang w:eastAsia="zh-CN"/>
              </w:rPr>
              <w:t>）</w:t>
            </w:r>
            <w:r>
              <w:rPr>
                <w:rFonts w:hint="eastAsia" w:ascii="宋体" w:hAnsi="宋体" w:cs="宋体"/>
                <w:sz w:val="24"/>
                <w:szCs w:val="24"/>
              </w:rPr>
              <w:t>/污染源</w:t>
            </w:r>
          </w:p>
        </w:tc>
        <w:tc>
          <w:tcPr>
            <w:tcW w:w="1188" w:type="dxa"/>
            <w:noWrap w:val="0"/>
            <w:vAlign w:val="center"/>
          </w:tcPr>
          <w:p w14:paraId="43AC211D">
            <w:pPr>
              <w:adjustRightInd w:val="0"/>
              <w:snapToGrid w:val="0"/>
              <w:jc w:val="center"/>
              <w:rPr>
                <w:rFonts w:hint="eastAsia" w:ascii="宋体" w:hAnsi="宋体" w:cs="宋体"/>
                <w:sz w:val="24"/>
                <w:szCs w:val="24"/>
              </w:rPr>
            </w:pPr>
            <w:r>
              <w:rPr>
                <w:rFonts w:hint="eastAsia" w:ascii="宋体" w:hAnsi="宋体" w:cs="宋体"/>
                <w:sz w:val="24"/>
                <w:szCs w:val="24"/>
              </w:rPr>
              <w:t>污染物项目</w:t>
            </w:r>
          </w:p>
        </w:tc>
        <w:tc>
          <w:tcPr>
            <w:tcW w:w="2601" w:type="dxa"/>
            <w:noWrap w:val="0"/>
            <w:vAlign w:val="center"/>
          </w:tcPr>
          <w:p w14:paraId="0E890458">
            <w:pPr>
              <w:adjustRightInd w:val="0"/>
              <w:snapToGrid w:val="0"/>
              <w:jc w:val="center"/>
              <w:rPr>
                <w:rFonts w:hint="eastAsia" w:ascii="宋体" w:hAnsi="宋体" w:cs="宋体"/>
                <w:sz w:val="24"/>
                <w:szCs w:val="24"/>
              </w:rPr>
            </w:pPr>
            <w:r>
              <w:rPr>
                <w:rFonts w:hint="eastAsia" w:ascii="宋体" w:hAnsi="宋体" w:cs="宋体"/>
                <w:sz w:val="24"/>
                <w:szCs w:val="24"/>
              </w:rPr>
              <w:t>环境保护措施</w:t>
            </w:r>
          </w:p>
        </w:tc>
        <w:tc>
          <w:tcPr>
            <w:tcW w:w="1757" w:type="dxa"/>
            <w:noWrap w:val="0"/>
            <w:vAlign w:val="center"/>
          </w:tcPr>
          <w:p w14:paraId="63FC1E6C">
            <w:pPr>
              <w:adjustRightInd w:val="0"/>
              <w:snapToGrid w:val="0"/>
              <w:jc w:val="center"/>
              <w:rPr>
                <w:rFonts w:hint="eastAsia" w:ascii="宋体" w:hAnsi="宋体" w:cs="宋体"/>
                <w:sz w:val="24"/>
                <w:szCs w:val="24"/>
              </w:rPr>
            </w:pPr>
            <w:r>
              <w:rPr>
                <w:rFonts w:hint="eastAsia" w:ascii="宋体" w:hAnsi="宋体" w:cs="宋体"/>
                <w:sz w:val="24"/>
                <w:szCs w:val="24"/>
              </w:rPr>
              <w:t>执行标准</w:t>
            </w:r>
          </w:p>
        </w:tc>
      </w:tr>
      <w:tr w14:paraId="01FF5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1262" w:type="dxa"/>
            <w:vMerge w:val="restart"/>
            <w:noWrap w:val="0"/>
            <w:vAlign w:val="center"/>
          </w:tcPr>
          <w:p w14:paraId="4FE45B70">
            <w:pPr>
              <w:adjustRightInd w:val="0"/>
              <w:snapToGrid w:val="0"/>
              <w:jc w:val="center"/>
              <w:rPr>
                <w:rFonts w:hint="eastAsia" w:ascii="宋体" w:hAnsi="宋体" w:cs="宋体"/>
                <w:sz w:val="24"/>
                <w:szCs w:val="24"/>
              </w:rPr>
            </w:pPr>
            <w:r>
              <w:rPr>
                <w:rFonts w:hint="eastAsia" w:ascii="宋体" w:hAnsi="宋体" w:cs="宋体"/>
                <w:sz w:val="24"/>
                <w:szCs w:val="24"/>
              </w:rPr>
              <w:t>大气环境</w:t>
            </w:r>
          </w:p>
        </w:tc>
        <w:tc>
          <w:tcPr>
            <w:tcW w:w="1992" w:type="dxa"/>
            <w:shd w:val="clear" w:color="auto" w:fill="auto"/>
            <w:noWrap w:val="0"/>
            <w:vAlign w:val="center"/>
          </w:tcPr>
          <w:p w14:paraId="3C54AF27">
            <w:pPr>
              <w:adjustRightInd w:val="0"/>
              <w:snapToGrid w:val="0"/>
              <w:jc w:val="center"/>
              <w:rPr>
                <w:rFonts w:hint="eastAsia" w:ascii="宋体" w:hAnsi="宋体" w:eastAsia="宋体" w:cs="宋体"/>
                <w:kern w:val="2"/>
                <w:sz w:val="24"/>
                <w:szCs w:val="24"/>
                <w:lang w:val="en-US" w:eastAsia="zh-CN" w:bidi="ar-SA"/>
              </w:rPr>
            </w:pPr>
            <w:r>
              <w:rPr>
                <w:rFonts w:hint="eastAsia" w:cs="Times New Roman"/>
                <w:color w:val="000000"/>
                <w:kern w:val="2"/>
                <w:sz w:val="24"/>
                <w:szCs w:val="24"/>
                <w:highlight w:val="none"/>
                <w:lang w:val="en-US" w:eastAsia="zh-CN"/>
              </w:rPr>
              <w:t>刷漆晾干间排气筒（DA0</w:t>
            </w:r>
            <w:r>
              <w:rPr>
                <w:rFonts w:hint="default" w:ascii="Times New Roman" w:hAnsi="Times New Roman" w:eastAsia="宋体" w:cs="Times New Roman"/>
                <w:color w:val="000000"/>
                <w:kern w:val="2"/>
                <w:sz w:val="24"/>
                <w:szCs w:val="24"/>
                <w:highlight w:val="none"/>
                <w:lang w:val="en-US" w:eastAsia="zh-CN"/>
              </w:rPr>
              <w:t>0</w:t>
            </w:r>
            <w:r>
              <w:rPr>
                <w:rFonts w:hint="eastAsia" w:cs="Times New Roman"/>
                <w:color w:val="000000"/>
                <w:kern w:val="2"/>
                <w:sz w:val="24"/>
                <w:szCs w:val="24"/>
                <w:highlight w:val="none"/>
                <w:lang w:val="en-US" w:eastAsia="zh-CN"/>
              </w:rPr>
              <w:t>1）</w:t>
            </w:r>
          </w:p>
        </w:tc>
        <w:tc>
          <w:tcPr>
            <w:tcW w:w="1188" w:type="dxa"/>
            <w:shd w:val="clear" w:color="auto" w:fill="auto"/>
            <w:noWrap w:val="0"/>
            <w:vAlign w:val="center"/>
          </w:tcPr>
          <w:p w14:paraId="70C5F07D">
            <w:pPr>
              <w:adjustRightInd w:val="0"/>
              <w:snapToGrid w:val="0"/>
              <w:jc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VOCs、二甲苯</w:t>
            </w:r>
          </w:p>
        </w:tc>
        <w:tc>
          <w:tcPr>
            <w:tcW w:w="2601" w:type="dxa"/>
            <w:shd w:val="clear" w:color="auto" w:fill="auto"/>
            <w:noWrap w:val="0"/>
            <w:vAlign w:val="center"/>
          </w:tcPr>
          <w:p w14:paraId="2398189C">
            <w:pPr>
              <w:adjustRightInd w:val="0"/>
              <w:snapToGrid w:val="0"/>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空间密闭+管道负压收集，然后经过滤棉+二级活性炭吸附处理，最后通过</w:t>
            </w:r>
            <w:r>
              <w:rPr>
                <w:rFonts w:hint="eastAsia" w:cs="Times New Roman"/>
                <w:color w:val="000000"/>
                <w:kern w:val="2"/>
                <w:sz w:val="24"/>
                <w:szCs w:val="24"/>
                <w:highlight w:val="none"/>
                <w:lang w:val="en-US" w:eastAsia="zh-CN"/>
              </w:rPr>
              <w:t>15m高</w:t>
            </w:r>
            <w:r>
              <w:rPr>
                <w:rFonts w:hint="eastAsia" w:ascii="宋体" w:hAnsi="宋体" w:cs="宋体"/>
                <w:sz w:val="24"/>
                <w:szCs w:val="24"/>
                <w:lang w:val="en-US" w:eastAsia="zh-CN"/>
              </w:rPr>
              <w:t>排气筒排放</w:t>
            </w:r>
          </w:p>
        </w:tc>
        <w:tc>
          <w:tcPr>
            <w:tcW w:w="1757" w:type="dxa"/>
            <w:shd w:val="clear" w:color="auto" w:fill="auto"/>
            <w:noWrap w:val="0"/>
            <w:vAlign w:val="center"/>
          </w:tcPr>
          <w:p w14:paraId="67F97F0E">
            <w:pPr>
              <w:adjustRightInd w:val="0"/>
              <w:snapToGrid w:val="0"/>
              <w:jc w:val="center"/>
              <w:rPr>
                <w:rFonts w:hint="eastAsia" w:ascii="宋体" w:hAnsi="宋体" w:eastAsia="宋体" w:cs="宋体"/>
                <w:kern w:val="2"/>
                <w:sz w:val="24"/>
                <w:szCs w:val="24"/>
                <w:lang w:val="en-US" w:eastAsia="zh-CN" w:bidi="ar-SA"/>
              </w:rPr>
            </w:pPr>
            <w:r>
              <w:rPr>
                <w:rFonts w:hint="eastAsia" w:cs="Times New Roman"/>
                <w:color w:val="000000"/>
                <w:kern w:val="2"/>
                <w:sz w:val="24"/>
                <w:szCs w:val="24"/>
                <w:highlight w:val="none"/>
                <w:lang w:val="en-US" w:eastAsia="zh-CN"/>
              </w:rPr>
              <w:t>DB 34/4812.6-2024</w:t>
            </w:r>
          </w:p>
        </w:tc>
      </w:tr>
      <w:tr w14:paraId="231A64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1262" w:type="dxa"/>
            <w:vMerge w:val="continue"/>
            <w:noWrap w:val="0"/>
            <w:vAlign w:val="center"/>
          </w:tcPr>
          <w:p w14:paraId="5D542BA6">
            <w:pPr>
              <w:adjustRightInd w:val="0"/>
              <w:snapToGrid w:val="0"/>
              <w:jc w:val="center"/>
              <w:rPr>
                <w:rFonts w:hint="eastAsia" w:ascii="宋体" w:hAnsi="宋体" w:cs="宋体"/>
                <w:sz w:val="24"/>
                <w:szCs w:val="24"/>
              </w:rPr>
            </w:pPr>
          </w:p>
        </w:tc>
        <w:tc>
          <w:tcPr>
            <w:tcW w:w="1992" w:type="dxa"/>
            <w:shd w:val="clear" w:color="auto" w:fill="auto"/>
            <w:noWrap w:val="0"/>
            <w:vAlign w:val="center"/>
          </w:tcPr>
          <w:p w14:paraId="13580109">
            <w:pPr>
              <w:adjustRightInd w:val="0"/>
              <w:snapToGrid w:val="0"/>
              <w:jc w:val="center"/>
              <w:rPr>
                <w:rFonts w:hint="eastAsia" w:ascii="宋体" w:hAnsi="宋体" w:eastAsia="宋体" w:cs="宋体"/>
                <w:kern w:val="2"/>
                <w:sz w:val="24"/>
                <w:szCs w:val="24"/>
                <w:lang w:val="en-US" w:eastAsia="zh-CN" w:bidi="ar-SA"/>
              </w:rPr>
            </w:pPr>
            <w:r>
              <w:rPr>
                <w:rFonts w:hint="eastAsia" w:cs="Times New Roman"/>
                <w:color w:val="000000"/>
                <w:kern w:val="2"/>
                <w:sz w:val="24"/>
                <w:szCs w:val="24"/>
                <w:highlight w:val="none"/>
                <w:lang w:val="en-US" w:eastAsia="zh-CN"/>
              </w:rPr>
              <w:t>抛丸废气排气筒（DA0</w:t>
            </w:r>
            <w:r>
              <w:rPr>
                <w:rFonts w:hint="default" w:ascii="Times New Roman" w:hAnsi="Times New Roman" w:eastAsia="宋体" w:cs="Times New Roman"/>
                <w:color w:val="000000"/>
                <w:kern w:val="2"/>
                <w:sz w:val="24"/>
                <w:szCs w:val="24"/>
                <w:highlight w:val="none"/>
                <w:lang w:val="en-US" w:eastAsia="zh-CN"/>
              </w:rPr>
              <w:t>0</w:t>
            </w:r>
            <w:r>
              <w:rPr>
                <w:rFonts w:hint="eastAsia" w:cs="Times New Roman"/>
                <w:color w:val="000000"/>
                <w:kern w:val="2"/>
                <w:sz w:val="24"/>
                <w:szCs w:val="24"/>
                <w:highlight w:val="none"/>
                <w:lang w:val="en-US" w:eastAsia="zh-CN"/>
              </w:rPr>
              <w:t>2）</w:t>
            </w:r>
          </w:p>
        </w:tc>
        <w:tc>
          <w:tcPr>
            <w:tcW w:w="1188" w:type="dxa"/>
            <w:shd w:val="clear" w:color="auto" w:fill="auto"/>
            <w:noWrap w:val="0"/>
            <w:vAlign w:val="center"/>
          </w:tcPr>
          <w:p w14:paraId="52DE4D18">
            <w:pPr>
              <w:adjustRightInd w:val="0"/>
              <w:snapToGrid w:val="0"/>
              <w:jc w:val="center"/>
              <w:rPr>
                <w:rFonts w:hint="default" w:ascii="宋体" w:hAnsi="宋体" w:eastAsia="宋体" w:cs="宋体"/>
                <w:kern w:val="2"/>
                <w:sz w:val="24"/>
                <w:szCs w:val="24"/>
                <w:lang w:val="en-US" w:eastAsia="zh-CN" w:bidi="ar-SA"/>
              </w:rPr>
            </w:pPr>
            <w:r>
              <w:rPr>
                <w:rFonts w:hint="eastAsia" w:cs="Times New Roman"/>
                <w:i w:val="0"/>
                <w:iCs w:val="0"/>
                <w:color w:val="000000"/>
                <w:kern w:val="0"/>
                <w:sz w:val="24"/>
                <w:szCs w:val="24"/>
                <w:u w:val="none"/>
                <w:lang w:val="en-US" w:eastAsia="zh-CN" w:bidi="ar"/>
              </w:rPr>
              <w:t>颗粒物</w:t>
            </w:r>
          </w:p>
        </w:tc>
        <w:tc>
          <w:tcPr>
            <w:tcW w:w="2601" w:type="dxa"/>
            <w:shd w:val="clear" w:color="auto" w:fill="auto"/>
            <w:noWrap w:val="0"/>
            <w:vAlign w:val="center"/>
          </w:tcPr>
          <w:p w14:paraId="64BCEB61">
            <w:pPr>
              <w:adjustRightInd w:val="0"/>
              <w:snapToGrid w:val="0"/>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管道负压收集，然后经旋风滤筒组合式除尘器处理，最后</w:t>
            </w:r>
            <w:r>
              <w:rPr>
                <w:rFonts w:hint="eastAsia" w:cs="Times New Roman"/>
                <w:color w:val="000000"/>
                <w:kern w:val="2"/>
                <w:sz w:val="24"/>
                <w:szCs w:val="24"/>
                <w:highlight w:val="none"/>
                <w:lang w:val="en-US" w:eastAsia="zh-CN"/>
              </w:rPr>
              <w:t>通过15m</w:t>
            </w:r>
            <w:r>
              <w:rPr>
                <w:rFonts w:hint="eastAsia" w:ascii="宋体" w:hAnsi="宋体" w:cs="宋体"/>
                <w:sz w:val="24"/>
                <w:szCs w:val="24"/>
                <w:lang w:val="en-US" w:eastAsia="zh-CN"/>
              </w:rPr>
              <w:t>高排气筒排放</w:t>
            </w:r>
          </w:p>
        </w:tc>
        <w:tc>
          <w:tcPr>
            <w:tcW w:w="1757" w:type="dxa"/>
            <w:shd w:val="clear" w:color="auto" w:fill="auto"/>
            <w:noWrap w:val="0"/>
            <w:vAlign w:val="center"/>
          </w:tcPr>
          <w:p w14:paraId="67CDBB9B">
            <w:pPr>
              <w:adjustRightInd w:val="0"/>
              <w:snapToGrid w:val="0"/>
              <w:jc w:val="center"/>
              <w:rPr>
                <w:rFonts w:hint="eastAsia" w:ascii="宋体" w:hAnsi="宋体" w:eastAsia="宋体" w:cs="宋体"/>
                <w:kern w:val="2"/>
                <w:sz w:val="24"/>
                <w:szCs w:val="24"/>
                <w:lang w:val="en-US" w:eastAsia="zh-CN" w:bidi="ar-SA"/>
              </w:rPr>
            </w:pPr>
            <w:r>
              <w:rPr>
                <w:rFonts w:hint="eastAsia" w:cs="Times New Roman"/>
                <w:color w:val="000000"/>
                <w:kern w:val="2"/>
                <w:sz w:val="24"/>
                <w:szCs w:val="24"/>
                <w:highlight w:val="none"/>
                <w:lang w:val="en-US" w:eastAsia="zh-CN"/>
              </w:rPr>
              <w:t>GB16297-1996</w:t>
            </w:r>
          </w:p>
        </w:tc>
      </w:tr>
      <w:tr w14:paraId="33A60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1262" w:type="dxa"/>
            <w:vMerge w:val="continue"/>
            <w:noWrap w:val="0"/>
            <w:vAlign w:val="center"/>
          </w:tcPr>
          <w:p w14:paraId="76CBDF4B">
            <w:pPr>
              <w:adjustRightInd w:val="0"/>
              <w:snapToGrid w:val="0"/>
              <w:jc w:val="center"/>
              <w:rPr>
                <w:rFonts w:hint="eastAsia" w:ascii="宋体" w:hAnsi="宋体" w:cs="宋体"/>
                <w:sz w:val="24"/>
                <w:szCs w:val="24"/>
              </w:rPr>
            </w:pPr>
          </w:p>
        </w:tc>
        <w:tc>
          <w:tcPr>
            <w:tcW w:w="1992" w:type="dxa"/>
            <w:shd w:val="clear" w:color="auto" w:fill="auto"/>
            <w:noWrap w:val="0"/>
            <w:vAlign w:val="center"/>
          </w:tcPr>
          <w:p w14:paraId="0979FA2A">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切割废气排气筒</w:t>
            </w:r>
            <w:r>
              <w:rPr>
                <w:rFonts w:hint="eastAsia" w:cs="Times New Roman"/>
                <w:color w:val="000000"/>
                <w:kern w:val="2"/>
                <w:sz w:val="24"/>
                <w:szCs w:val="24"/>
                <w:highlight w:val="none"/>
                <w:lang w:val="en-US" w:eastAsia="zh-CN"/>
              </w:rPr>
              <w:t>（DA0</w:t>
            </w:r>
            <w:r>
              <w:rPr>
                <w:rFonts w:hint="default" w:ascii="Times New Roman" w:hAnsi="Times New Roman" w:eastAsia="宋体" w:cs="Times New Roman"/>
                <w:color w:val="000000"/>
                <w:kern w:val="2"/>
                <w:sz w:val="24"/>
                <w:szCs w:val="24"/>
                <w:highlight w:val="none"/>
                <w:lang w:val="en-US" w:eastAsia="zh-CN"/>
              </w:rPr>
              <w:t>0</w:t>
            </w:r>
            <w:r>
              <w:rPr>
                <w:rFonts w:hint="eastAsia" w:cs="Times New Roman"/>
                <w:color w:val="000000"/>
                <w:kern w:val="2"/>
                <w:sz w:val="24"/>
                <w:szCs w:val="24"/>
                <w:highlight w:val="none"/>
                <w:lang w:val="en-US" w:eastAsia="zh-CN"/>
              </w:rPr>
              <w:t>3）</w:t>
            </w:r>
          </w:p>
        </w:tc>
        <w:tc>
          <w:tcPr>
            <w:tcW w:w="1188" w:type="dxa"/>
            <w:shd w:val="clear" w:color="auto" w:fill="auto"/>
            <w:noWrap w:val="0"/>
            <w:vAlign w:val="center"/>
          </w:tcPr>
          <w:p w14:paraId="54B90C9B">
            <w:pPr>
              <w:adjustRightInd w:val="0"/>
              <w:snapToGrid w:val="0"/>
              <w:jc w:val="center"/>
              <w:rPr>
                <w:rFonts w:hint="eastAsia" w:ascii="宋体" w:hAnsi="宋体" w:eastAsia="宋体" w:cs="宋体"/>
                <w:kern w:val="2"/>
                <w:sz w:val="24"/>
                <w:szCs w:val="24"/>
                <w:lang w:val="en-US" w:eastAsia="zh-CN" w:bidi="ar-SA"/>
              </w:rPr>
            </w:pPr>
            <w:r>
              <w:rPr>
                <w:rFonts w:hint="eastAsia" w:cs="Times New Roman"/>
                <w:i w:val="0"/>
                <w:iCs w:val="0"/>
                <w:color w:val="000000"/>
                <w:kern w:val="0"/>
                <w:sz w:val="24"/>
                <w:szCs w:val="24"/>
                <w:u w:val="none"/>
                <w:lang w:val="en-US" w:eastAsia="zh-CN" w:bidi="ar"/>
              </w:rPr>
              <w:t>颗粒物</w:t>
            </w:r>
          </w:p>
        </w:tc>
        <w:tc>
          <w:tcPr>
            <w:tcW w:w="2601" w:type="dxa"/>
            <w:shd w:val="clear" w:color="auto" w:fill="auto"/>
            <w:noWrap w:val="0"/>
            <w:vAlign w:val="center"/>
          </w:tcPr>
          <w:p w14:paraId="61C8D01C">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管道负压收集，然后经袋式除尘设施处理，最后通</w:t>
            </w:r>
            <w:r>
              <w:rPr>
                <w:rFonts w:hint="eastAsia" w:cs="Times New Roman"/>
                <w:color w:val="000000"/>
                <w:kern w:val="2"/>
                <w:sz w:val="24"/>
                <w:szCs w:val="24"/>
                <w:highlight w:val="none"/>
                <w:lang w:val="en-US" w:eastAsia="zh-CN"/>
              </w:rPr>
              <w:t>过15m高</w:t>
            </w:r>
            <w:r>
              <w:rPr>
                <w:rFonts w:hint="eastAsia" w:ascii="宋体" w:hAnsi="宋体" w:cs="宋体"/>
                <w:sz w:val="24"/>
                <w:szCs w:val="24"/>
                <w:lang w:val="en-US" w:eastAsia="zh-CN"/>
              </w:rPr>
              <w:t>排气筒排放</w:t>
            </w:r>
          </w:p>
        </w:tc>
        <w:tc>
          <w:tcPr>
            <w:tcW w:w="1757" w:type="dxa"/>
            <w:shd w:val="clear" w:color="auto" w:fill="auto"/>
            <w:noWrap w:val="0"/>
            <w:vAlign w:val="center"/>
          </w:tcPr>
          <w:p w14:paraId="7CD16482">
            <w:pPr>
              <w:adjustRightInd w:val="0"/>
              <w:snapToGrid w:val="0"/>
              <w:jc w:val="center"/>
              <w:rPr>
                <w:rFonts w:hint="eastAsia" w:ascii="宋体" w:hAnsi="宋体" w:eastAsia="宋体" w:cs="宋体"/>
                <w:kern w:val="2"/>
                <w:sz w:val="24"/>
                <w:szCs w:val="24"/>
                <w:lang w:val="en-US" w:eastAsia="zh-CN" w:bidi="ar-SA"/>
              </w:rPr>
            </w:pPr>
            <w:r>
              <w:rPr>
                <w:rFonts w:hint="eastAsia" w:cs="Times New Roman"/>
                <w:color w:val="000000"/>
                <w:kern w:val="2"/>
                <w:sz w:val="24"/>
                <w:szCs w:val="24"/>
                <w:highlight w:val="none"/>
                <w:lang w:val="en-US" w:eastAsia="zh-CN"/>
              </w:rPr>
              <w:t>GB16297-1996</w:t>
            </w:r>
          </w:p>
        </w:tc>
      </w:tr>
      <w:tr w14:paraId="50B078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1262" w:type="dxa"/>
            <w:vMerge w:val="continue"/>
            <w:noWrap w:val="0"/>
            <w:vAlign w:val="center"/>
          </w:tcPr>
          <w:p w14:paraId="2DF2D015">
            <w:pPr>
              <w:adjustRightInd w:val="0"/>
              <w:snapToGrid w:val="0"/>
              <w:jc w:val="center"/>
              <w:rPr>
                <w:rFonts w:hint="eastAsia" w:ascii="宋体" w:hAnsi="宋体" w:cs="宋体"/>
                <w:sz w:val="24"/>
                <w:szCs w:val="24"/>
              </w:rPr>
            </w:pPr>
          </w:p>
        </w:tc>
        <w:tc>
          <w:tcPr>
            <w:tcW w:w="1992" w:type="dxa"/>
            <w:noWrap w:val="0"/>
            <w:vAlign w:val="center"/>
          </w:tcPr>
          <w:p w14:paraId="3240A82C">
            <w:pPr>
              <w:adjustRightInd w:val="0"/>
              <w:snapToGrid w:val="0"/>
              <w:jc w:val="center"/>
              <w:rPr>
                <w:rFonts w:hint="eastAsia" w:ascii="宋体" w:hAnsi="宋体" w:cs="宋体"/>
                <w:sz w:val="24"/>
                <w:szCs w:val="24"/>
                <w:lang w:val="en-US" w:eastAsia="zh-CN"/>
              </w:rPr>
            </w:pPr>
            <w:r>
              <w:rPr>
                <w:rFonts w:hint="eastAsia" w:ascii="宋体" w:hAnsi="宋体" w:cs="宋体"/>
                <w:sz w:val="24"/>
                <w:szCs w:val="24"/>
                <w:lang w:val="en-US" w:eastAsia="zh-CN"/>
              </w:rPr>
              <w:t>食堂油烟排放口</w:t>
            </w:r>
            <w:r>
              <w:rPr>
                <w:rFonts w:hint="eastAsia" w:cs="Times New Roman"/>
                <w:color w:val="000000"/>
                <w:kern w:val="2"/>
                <w:sz w:val="24"/>
                <w:szCs w:val="24"/>
                <w:highlight w:val="none"/>
                <w:lang w:val="en-US" w:eastAsia="zh-CN"/>
              </w:rPr>
              <w:t>（DA0</w:t>
            </w:r>
            <w:r>
              <w:rPr>
                <w:rFonts w:hint="default" w:ascii="Times New Roman" w:hAnsi="Times New Roman" w:eastAsia="宋体" w:cs="Times New Roman"/>
                <w:color w:val="000000"/>
                <w:kern w:val="2"/>
                <w:sz w:val="24"/>
                <w:szCs w:val="24"/>
                <w:highlight w:val="none"/>
                <w:lang w:val="en-US" w:eastAsia="zh-CN"/>
              </w:rPr>
              <w:t>0</w:t>
            </w:r>
            <w:r>
              <w:rPr>
                <w:rFonts w:hint="eastAsia" w:cs="Times New Roman"/>
                <w:color w:val="000000"/>
                <w:kern w:val="2"/>
                <w:sz w:val="24"/>
                <w:szCs w:val="24"/>
                <w:highlight w:val="none"/>
                <w:lang w:val="en-US" w:eastAsia="zh-CN"/>
              </w:rPr>
              <w:t>4）</w:t>
            </w:r>
          </w:p>
        </w:tc>
        <w:tc>
          <w:tcPr>
            <w:tcW w:w="1188" w:type="dxa"/>
            <w:noWrap w:val="0"/>
            <w:vAlign w:val="center"/>
          </w:tcPr>
          <w:p w14:paraId="1CD3705A">
            <w:pPr>
              <w:adjustRightInd w:val="0"/>
              <w:snapToGrid w:val="0"/>
              <w:jc w:val="center"/>
              <w:rPr>
                <w:rFonts w:hint="default" w:ascii="宋体" w:hAnsi="宋体" w:cs="宋体"/>
                <w:sz w:val="24"/>
                <w:szCs w:val="24"/>
                <w:lang w:val="en-US" w:eastAsia="zh-CN"/>
              </w:rPr>
            </w:pPr>
            <w:r>
              <w:rPr>
                <w:rFonts w:hint="eastAsia" w:ascii="宋体" w:hAnsi="宋体" w:cs="宋体"/>
                <w:sz w:val="24"/>
                <w:szCs w:val="24"/>
                <w:lang w:val="en-US" w:eastAsia="zh-CN"/>
              </w:rPr>
              <w:t>油烟</w:t>
            </w:r>
          </w:p>
        </w:tc>
        <w:tc>
          <w:tcPr>
            <w:tcW w:w="2601" w:type="dxa"/>
            <w:noWrap w:val="0"/>
            <w:vAlign w:val="center"/>
          </w:tcPr>
          <w:p w14:paraId="63098368">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油烟经油烟机处理后通过食堂油烟排放口排放</w:t>
            </w:r>
          </w:p>
        </w:tc>
        <w:tc>
          <w:tcPr>
            <w:tcW w:w="1757" w:type="dxa"/>
            <w:noWrap w:val="0"/>
            <w:vAlign w:val="center"/>
          </w:tcPr>
          <w:p w14:paraId="48561203">
            <w:pPr>
              <w:adjustRightInd w:val="0"/>
              <w:snapToGrid w:val="0"/>
              <w:jc w:val="center"/>
              <w:rPr>
                <w:rFonts w:hint="default" w:cs="Times New Roman"/>
                <w:color w:val="000000"/>
                <w:kern w:val="2"/>
                <w:sz w:val="24"/>
                <w:szCs w:val="24"/>
                <w:highlight w:val="none"/>
                <w:lang w:val="en-US" w:eastAsia="zh-CN"/>
              </w:rPr>
            </w:pPr>
            <w:r>
              <w:rPr>
                <w:rFonts w:hint="eastAsia" w:cs="Times New Roman"/>
                <w:color w:val="000000"/>
                <w:kern w:val="2"/>
                <w:sz w:val="24"/>
                <w:szCs w:val="24"/>
                <w:highlight w:val="none"/>
                <w:lang w:val="en-US" w:eastAsia="zh-CN"/>
              </w:rPr>
              <w:t>GB18483-2001</w:t>
            </w:r>
          </w:p>
        </w:tc>
      </w:tr>
      <w:tr w14:paraId="34257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1262" w:type="dxa"/>
            <w:vMerge w:val="continue"/>
            <w:noWrap w:val="0"/>
            <w:vAlign w:val="center"/>
          </w:tcPr>
          <w:p w14:paraId="377AC7F8">
            <w:pPr>
              <w:adjustRightInd w:val="0"/>
              <w:snapToGrid w:val="0"/>
              <w:jc w:val="center"/>
              <w:rPr>
                <w:rFonts w:hint="eastAsia" w:ascii="宋体" w:hAnsi="宋体" w:cs="宋体"/>
                <w:sz w:val="24"/>
                <w:szCs w:val="24"/>
              </w:rPr>
            </w:pPr>
          </w:p>
        </w:tc>
        <w:tc>
          <w:tcPr>
            <w:tcW w:w="1992" w:type="dxa"/>
            <w:noWrap w:val="0"/>
            <w:vAlign w:val="center"/>
          </w:tcPr>
          <w:p w14:paraId="79C44F84">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生产运营产生的无组织废气</w:t>
            </w:r>
          </w:p>
        </w:tc>
        <w:tc>
          <w:tcPr>
            <w:tcW w:w="1188" w:type="dxa"/>
            <w:noWrap w:val="0"/>
            <w:vAlign w:val="center"/>
          </w:tcPr>
          <w:p w14:paraId="3E4F8888">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颗粒物、</w:t>
            </w:r>
            <w:r>
              <w:rPr>
                <w:rFonts w:hint="eastAsia" w:cs="Times New Roman"/>
                <w:i w:val="0"/>
                <w:iCs w:val="0"/>
                <w:color w:val="000000"/>
                <w:kern w:val="0"/>
                <w:sz w:val="24"/>
                <w:szCs w:val="24"/>
                <w:u w:val="none"/>
                <w:lang w:val="en-US" w:eastAsia="zh-CN" w:bidi="ar"/>
              </w:rPr>
              <w:t>VOCs、二甲苯</w:t>
            </w:r>
          </w:p>
        </w:tc>
        <w:tc>
          <w:tcPr>
            <w:tcW w:w="2601" w:type="dxa"/>
            <w:noWrap w:val="0"/>
            <w:vAlign w:val="center"/>
          </w:tcPr>
          <w:p w14:paraId="32D8F024">
            <w:pPr>
              <w:adjustRightInd w:val="0"/>
              <w:snapToGrid w:val="0"/>
              <w:jc w:val="center"/>
              <w:rPr>
                <w:rFonts w:hint="eastAsia" w:ascii="宋体" w:hAnsi="宋体" w:eastAsia="宋体" w:cs="宋体"/>
                <w:sz w:val="24"/>
                <w:szCs w:val="24"/>
                <w:lang w:eastAsia="zh-CN"/>
              </w:rPr>
            </w:pPr>
            <w:r>
              <w:rPr>
                <w:rFonts w:hint="eastAsia" w:ascii="宋体" w:hAnsi="宋体" w:cs="宋体"/>
                <w:sz w:val="24"/>
                <w:szCs w:val="24"/>
                <w:lang w:val="en-US" w:eastAsia="zh-CN"/>
              </w:rPr>
              <w:t>加强通风</w:t>
            </w:r>
          </w:p>
        </w:tc>
        <w:tc>
          <w:tcPr>
            <w:tcW w:w="1757" w:type="dxa"/>
            <w:noWrap w:val="0"/>
            <w:vAlign w:val="center"/>
          </w:tcPr>
          <w:p w14:paraId="31BEB20F">
            <w:pPr>
              <w:adjustRightInd w:val="0"/>
              <w:snapToGrid w:val="0"/>
              <w:jc w:val="center"/>
              <w:rPr>
                <w:rFonts w:hint="eastAsia" w:ascii="宋体" w:hAnsi="宋体" w:cs="宋体"/>
                <w:sz w:val="24"/>
                <w:szCs w:val="24"/>
              </w:rPr>
            </w:pPr>
            <w:r>
              <w:rPr>
                <w:rFonts w:hint="eastAsia" w:cs="Times New Roman"/>
                <w:color w:val="000000"/>
                <w:kern w:val="2"/>
                <w:sz w:val="24"/>
                <w:szCs w:val="24"/>
                <w:highlight w:val="none"/>
                <w:lang w:val="en-US" w:eastAsia="zh-CN"/>
              </w:rPr>
              <w:t>GB16297-1996、GB37822-2019、DB 34/4812.6-2024</w:t>
            </w:r>
          </w:p>
        </w:tc>
      </w:tr>
      <w:tr w14:paraId="576BBD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1262" w:type="dxa"/>
            <w:noWrap w:val="0"/>
            <w:vAlign w:val="center"/>
          </w:tcPr>
          <w:p w14:paraId="051CA02C">
            <w:pPr>
              <w:adjustRightInd w:val="0"/>
              <w:snapToGrid w:val="0"/>
              <w:jc w:val="center"/>
              <w:rPr>
                <w:rFonts w:hint="eastAsia" w:ascii="宋体" w:hAnsi="宋体" w:cs="宋体"/>
                <w:sz w:val="24"/>
                <w:szCs w:val="24"/>
              </w:rPr>
            </w:pPr>
            <w:r>
              <w:rPr>
                <w:rFonts w:hint="eastAsia" w:ascii="宋体" w:hAnsi="宋体" w:cs="宋体"/>
                <w:sz w:val="24"/>
                <w:szCs w:val="24"/>
              </w:rPr>
              <w:t>地表水环境</w:t>
            </w:r>
          </w:p>
        </w:tc>
        <w:tc>
          <w:tcPr>
            <w:tcW w:w="1992" w:type="dxa"/>
            <w:noWrap w:val="0"/>
            <w:vAlign w:val="center"/>
          </w:tcPr>
          <w:p w14:paraId="4091C75D">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生活污水排放口</w:t>
            </w:r>
            <w:r>
              <w:rPr>
                <w:rFonts w:hint="eastAsia" w:ascii="Times New Roman" w:hAnsi="Times New Roman" w:eastAsia="宋体" w:cs="Times New Roman"/>
                <w:color w:val="000000"/>
                <w:kern w:val="2"/>
                <w:sz w:val="24"/>
                <w:szCs w:val="24"/>
                <w:highlight w:val="none"/>
                <w:lang w:val="en-US" w:eastAsia="zh-CN"/>
              </w:rPr>
              <w:t>（DW001）</w:t>
            </w:r>
          </w:p>
        </w:tc>
        <w:tc>
          <w:tcPr>
            <w:tcW w:w="1188" w:type="dxa"/>
            <w:noWrap w:val="0"/>
            <w:vAlign w:val="center"/>
          </w:tcPr>
          <w:p w14:paraId="036A9467">
            <w:pPr>
              <w:adjustRightInd w:val="0"/>
              <w:snapToGrid w:val="0"/>
              <w:jc w:val="center"/>
              <w:rPr>
                <w:rFonts w:hint="default" w:ascii="宋体" w:hAnsi="宋体" w:eastAsia="宋体" w:cs="宋体"/>
                <w:sz w:val="24"/>
                <w:szCs w:val="24"/>
                <w:lang w:val="en-US" w:eastAsia="zh-CN"/>
              </w:rPr>
            </w:pPr>
            <w:r>
              <w:rPr>
                <w:rFonts w:hint="eastAsia"/>
                <w:color w:val="auto"/>
                <w:sz w:val="24"/>
                <w:szCs w:val="24"/>
              </w:rPr>
              <w:t>pH、</w:t>
            </w:r>
            <w:r>
              <w:rPr>
                <w:rFonts w:hint="eastAsia"/>
                <w:color w:val="auto"/>
                <w:sz w:val="24"/>
                <w:szCs w:val="24"/>
                <w:lang w:val="en-US" w:eastAsia="zh-CN"/>
              </w:rPr>
              <w:t>SS、</w:t>
            </w:r>
            <w:r>
              <w:rPr>
                <w:rFonts w:hint="eastAsia"/>
                <w:color w:val="auto"/>
                <w:sz w:val="24"/>
                <w:szCs w:val="24"/>
              </w:rPr>
              <w:t>COD、BOD</w:t>
            </w:r>
            <w:r>
              <w:rPr>
                <w:rFonts w:hint="eastAsia"/>
                <w:color w:val="auto"/>
                <w:sz w:val="24"/>
                <w:szCs w:val="24"/>
                <w:vertAlign w:val="subscript"/>
              </w:rPr>
              <w:t>5</w:t>
            </w:r>
            <w:r>
              <w:rPr>
                <w:rFonts w:hint="eastAsia"/>
                <w:color w:val="auto"/>
                <w:sz w:val="24"/>
                <w:szCs w:val="24"/>
              </w:rPr>
              <w:t>、</w:t>
            </w:r>
            <w:r>
              <w:rPr>
                <w:rFonts w:hint="eastAsia"/>
                <w:color w:val="auto"/>
                <w:sz w:val="24"/>
                <w:szCs w:val="24"/>
                <w:lang w:val="en-US" w:eastAsia="zh-CN"/>
              </w:rPr>
              <w:t>NH</w:t>
            </w:r>
            <w:r>
              <w:rPr>
                <w:rFonts w:hint="eastAsia"/>
                <w:color w:val="auto"/>
                <w:sz w:val="24"/>
                <w:szCs w:val="24"/>
                <w:vertAlign w:val="subscript"/>
                <w:lang w:val="en-US" w:eastAsia="zh-CN"/>
              </w:rPr>
              <w:t>3</w:t>
            </w:r>
            <w:r>
              <w:rPr>
                <w:rFonts w:hint="eastAsia"/>
                <w:color w:val="auto"/>
                <w:sz w:val="24"/>
                <w:szCs w:val="24"/>
                <w:lang w:val="en-US" w:eastAsia="zh-CN"/>
              </w:rPr>
              <w:t>-N、动植物油</w:t>
            </w:r>
          </w:p>
        </w:tc>
        <w:tc>
          <w:tcPr>
            <w:tcW w:w="2601" w:type="dxa"/>
            <w:noWrap w:val="0"/>
            <w:vAlign w:val="center"/>
          </w:tcPr>
          <w:p w14:paraId="735C5126">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食堂废水经隔油池处理后与生活污水一同进入</w:t>
            </w:r>
            <w:r>
              <w:rPr>
                <w:rFonts w:hint="eastAsia" w:ascii="宋体" w:hAnsi="宋体" w:cs="宋体"/>
                <w:sz w:val="24"/>
                <w:szCs w:val="24"/>
              </w:rPr>
              <w:t>化粪池</w:t>
            </w:r>
            <w:r>
              <w:rPr>
                <w:rFonts w:hint="eastAsia" w:ascii="宋体" w:hAnsi="宋体" w:cs="宋体"/>
                <w:sz w:val="24"/>
                <w:szCs w:val="24"/>
                <w:lang w:val="en-US" w:eastAsia="zh-CN"/>
              </w:rPr>
              <w:t>预处理，然后经污水管网排入淮北经济开发区新区污水处理厂深度处理</w:t>
            </w:r>
          </w:p>
        </w:tc>
        <w:tc>
          <w:tcPr>
            <w:tcW w:w="1757" w:type="dxa"/>
            <w:noWrap w:val="0"/>
            <w:vAlign w:val="center"/>
          </w:tcPr>
          <w:p w14:paraId="15F7EDD3">
            <w:pPr>
              <w:adjustRightInd w:val="0"/>
              <w:snapToGrid w:val="0"/>
              <w:jc w:val="center"/>
              <w:rPr>
                <w:rFonts w:hint="default" w:ascii="宋体" w:hAnsi="宋体" w:cs="宋体"/>
                <w:sz w:val="24"/>
                <w:szCs w:val="24"/>
                <w:lang w:val="en-US"/>
              </w:rPr>
            </w:pPr>
            <w:r>
              <w:rPr>
                <w:rFonts w:hint="eastAsia" w:cs="Times New Roman"/>
                <w:color w:val="000000"/>
                <w:kern w:val="2"/>
                <w:sz w:val="24"/>
                <w:szCs w:val="24"/>
                <w:highlight w:val="none"/>
                <w:lang w:val="en-US" w:eastAsia="zh-CN"/>
              </w:rPr>
              <w:t>GB 8978-1996</w:t>
            </w:r>
          </w:p>
        </w:tc>
      </w:tr>
      <w:tr w14:paraId="2E22CC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1262" w:type="dxa"/>
            <w:noWrap w:val="0"/>
            <w:vAlign w:val="center"/>
          </w:tcPr>
          <w:p w14:paraId="045D430F">
            <w:pPr>
              <w:adjustRightInd w:val="0"/>
              <w:snapToGrid w:val="0"/>
              <w:jc w:val="center"/>
              <w:rPr>
                <w:rFonts w:hint="eastAsia" w:ascii="宋体" w:hAnsi="宋体" w:cs="宋体"/>
                <w:sz w:val="24"/>
                <w:szCs w:val="24"/>
              </w:rPr>
            </w:pPr>
            <w:r>
              <w:rPr>
                <w:rFonts w:hint="eastAsia" w:ascii="宋体" w:hAnsi="宋体" w:cs="宋体"/>
                <w:sz w:val="24"/>
                <w:szCs w:val="24"/>
              </w:rPr>
              <w:t>声环境</w:t>
            </w:r>
          </w:p>
        </w:tc>
        <w:tc>
          <w:tcPr>
            <w:tcW w:w="1992" w:type="dxa"/>
            <w:noWrap w:val="0"/>
            <w:vAlign w:val="center"/>
          </w:tcPr>
          <w:p w14:paraId="73B14B24">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生产设备</w:t>
            </w:r>
          </w:p>
        </w:tc>
        <w:tc>
          <w:tcPr>
            <w:tcW w:w="1188" w:type="dxa"/>
            <w:noWrap w:val="0"/>
            <w:vAlign w:val="center"/>
          </w:tcPr>
          <w:p w14:paraId="6409E1E1">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噪声</w:t>
            </w:r>
          </w:p>
        </w:tc>
        <w:tc>
          <w:tcPr>
            <w:tcW w:w="2601" w:type="dxa"/>
            <w:noWrap w:val="0"/>
            <w:vAlign w:val="center"/>
          </w:tcPr>
          <w:p w14:paraId="66C469DD">
            <w:pPr>
              <w:adjustRightInd w:val="0"/>
              <w:snapToGrid w:val="0"/>
              <w:jc w:val="center"/>
              <w:rPr>
                <w:rFonts w:hint="eastAsia" w:ascii="宋体" w:hAnsi="宋体" w:eastAsia="宋体" w:cs="宋体"/>
                <w:sz w:val="24"/>
                <w:szCs w:val="24"/>
                <w:lang w:eastAsia="zh-CN"/>
              </w:rPr>
            </w:pPr>
            <w:r>
              <w:rPr>
                <w:rFonts w:hint="eastAsia" w:ascii="宋体" w:hAnsi="宋体" w:cs="宋体"/>
                <w:sz w:val="24"/>
                <w:szCs w:val="24"/>
              </w:rPr>
              <w:t>合理布局；</w:t>
            </w:r>
            <w:r>
              <w:rPr>
                <w:rFonts w:hint="eastAsia" w:ascii="宋体" w:hAnsi="宋体" w:cs="宋体"/>
                <w:sz w:val="24"/>
                <w:szCs w:val="24"/>
                <w:lang w:val="en-US" w:eastAsia="zh-CN"/>
              </w:rPr>
              <w:t>优先选取低噪设备</w:t>
            </w:r>
            <w:r>
              <w:rPr>
                <w:rFonts w:hint="eastAsia" w:ascii="宋体" w:hAnsi="宋体" w:cs="宋体"/>
                <w:sz w:val="24"/>
                <w:szCs w:val="24"/>
              </w:rPr>
              <w:t>；车间隔声；</w:t>
            </w:r>
            <w:r>
              <w:rPr>
                <w:rFonts w:hint="eastAsia" w:ascii="宋体" w:hAnsi="宋体" w:cs="宋体"/>
                <w:sz w:val="24"/>
                <w:szCs w:val="24"/>
                <w:lang w:val="en-US" w:eastAsia="zh-CN"/>
              </w:rPr>
              <w:t>距离衰减</w:t>
            </w:r>
          </w:p>
        </w:tc>
        <w:tc>
          <w:tcPr>
            <w:tcW w:w="1757" w:type="dxa"/>
            <w:noWrap w:val="0"/>
            <w:vAlign w:val="center"/>
          </w:tcPr>
          <w:p w14:paraId="740C1BDA">
            <w:pPr>
              <w:adjustRightInd w:val="0"/>
              <w:snapToGrid w:val="0"/>
              <w:jc w:val="center"/>
              <w:rPr>
                <w:rFonts w:hint="eastAsia" w:ascii="宋体" w:hAnsi="宋体" w:cs="宋体"/>
                <w:sz w:val="24"/>
                <w:szCs w:val="24"/>
              </w:rPr>
            </w:pPr>
            <w:r>
              <w:rPr>
                <w:rFonts w:hint="eastAsia" w:cs="Times New Roman"/>
                <w:color w:val="000000"/>
                <w:kern w:val="2"/>
                <w:sz w:val="24"/>
                <w:szCs w:val="24"/>
                <w:highlight w:val="none"/>
                <w:lang w:val="en-US" w:eastAsia="zh-CN"/>
              </w:rPr>
              <w:t>GB12348-2008中的3类标准</w:t>
            </w:r>
          </w:p>
        </w:tc>
      </w:tr>
      <w:tr w14:paraId="0D6AB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425" w:hRule="atLeast"/>
          <w:jc w:val="center"/>
        </w:trPr>
        <w:tc>
          <w:tcPr>
            <w:tcW w:w="1262" w:type="dxa"/>
            <w:noWrap w:val="0"/>
            <w:vAlign w:val="center"/>
          </w:tcPr>
          <w:p w14:paraId="103527B0">
            <w:pPr>
              <w:adjustRightInd w:val="0"/>
              <w:snapToGrid w:val="0"/>
              <w:jc w:val="center"/>
              <w:rPr>
                <w:rFonts w:hint="eastAsia" w:ascii="宋体" w:hAnsi="宋体" w:cs="宋体"/>
                <w:sz w:val="24"/>
                <w:szCs w:val="24"/>
              </w:rPr>
            </w:pPr>
            <w:r>
              <w:rPr>
                <w:rFonts w:hint="eastAsia" w:ascii="宋体" w:hAnsi="宋体" w:cs="宋体"/>
                <w:sz w:val="24"/>
                <w:szCs w:val="24"/>
              </w:rPr>
              <w:t>电磁辐射</w:t>
            </w:r>
          </w:p>
        </w:tc>
        <w:tc>
          <w:tcPr>
            <w:tcW w:w="7538" w:type="dxa"/>
            <w:gridSpan w:val="4"/>
            <w:noWrap w:val="0"/>
            <w:vAlign w:val="center"/>
          </w:tcPr>
          <w:p w14:paraId="29D2FF79">
            <w:pPr>
              <w:adjustRightInd w:val="0"/>
              <w:snapToGrid w:val="0"/>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r>
      <w:tr w14:paraId="101CC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1210" w:hRule="atLeast"/>
          <w:jc w:val="center"/>
        </w:trPr>
        <w:tc>
          <w:tcPr>
            <w:tcW w:w="1262" w:type="dxa"/>
            <w:noWrap w:val="0"/>
            <w:vAlign w:val="center"/>
          </w:tcPr>
          <w:p w14:paraId="3B089079">
            <w:pPr>
              <w:adjustRightInd w:val="0"/>
              <w:snapToGrid w:val="0"/>
              <w:jc w:val="center"/>
              <w:rPr>
                <w:rFonts w:hint="eastAsia" w:ascii="宋体" w:hAnsi="宋体" w:cs="宋体"/>
                <w:sz w:val="24"/>
                <w:szCs w:val="24"/>
              </w:rPr>
            </w:pPr>
            <w:r>
              <w:rPr>
                <w:rFonts w:hint="eastAsia" w:ascii="宋体" w:hAnsi="宋体" w:cs="宋体"/>
                <w:sz w:val="24"/>
                <w:szCs w:val="24"/>
              </w:rPr>
              <w:t>固体废物</w:t>
            </w:r>
          </w:p>
        </w:tc>
        <w:tc>
          <w:tcPr>
            <w:tcW w:w="7538" w:type="dxa"/>
            <w:gridSpan w:val="4"/>
            <w:noWrap w:val="0"/>
            <w:vAlign w:val="center"/>
          </w:tcPr>
          <w:p w14:paraId="0D7468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①项目产生的金属边角料、焊渣、废</w:t>
            </w:r>
            <w:r>
              <w:rPr>
                <w:rFonts w:hint="eastAsia" w:cs="Times New Roman"/>
                <w:lang w:val="en-US" w:eastAsia="zh-CN"/>
              </w:rPr>
              <w:t>钢丸</w:t>
            </w:r>
            <w:r>
              <w:rPr>
                <w:rFonts w:hint="eastAsia" w:ascii="Times New Roman" w:hAnsi="Times New Roman" w:eastAsia="宋体" w:cs="Times New Roman"/>
                <w:lang w:val="en-US" w:eastAsia="zh-CN"/>
              </w:rPr>
              <w:t>、除尘器粉尘收集后暂存于一般固废暂存</w:t>
            </w:r>
            <w:r>
              <w:rPr>
                <w:rFonts w:hint="eastAsia" w:cs="Times New Roman"/>
                <w:lang w:val="en-US" w:eastAsia="zh-CN"/>
              </w:rPr>
              <w:t>处</w:t>
            </w:r>
            <w:r>
              <w:rPr>
                <w:rFonts w:hint="eastAsia" w:ascii="Times New Roman" w:hAnsi="Times New Roman" w:eastAsia="宋体" w:cs="Times New Roman"/>
                <w:lang w:val="en-US" w:eastAsia="zh-CN"/>
              </w:rPr>
              <w:t>，</w:t>
            </w:r>
            <w:r>
              <w:rPr>
                <w:rFonts w:hint="eastAsia" w:cs="Times New Roman"/>
                <w:lang w:val="en-US" w:eastAsia="zh-CN"/>
              </w:rPr>
              <w:t>定期</w:t>
            </w:r>
            <w:r>
              <w:rPr>
                <w:rFonts w:hint="eastAsia" w:ascii="Times New Roman" w:hAnsi="Times New Roman" w:eastAsia="宋体" w:cs="Times New Roman"/>
                <w:lang w:val="en-US" w:eastAsia="zh-CN"/>
              </w:rPr>
              <w:t>外售处理。</w:t>
            </w:r>
          </w:p>
          <w:p w14:paraId="1314E5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②废</w:t>
            </w:r>
            <w:r>
              <w:rPr>
                <w:rFonts w:hint="eastAsia" w:cs="Times New Roman"/>
                <w:lang w:val="en-US" w:eastAsia="zh-CN"/>
              </w:rPr>
              <w:t>油漆桶</w:t>
            </w:r>
            <w:r>
              <w:rPr>
                <w:rFonts w:hint="eastAsia" w:ascii="Times New Roman" w:hAnsi="Times New Roman" w:eastAsia="宋体" w:cs="Times New Roman"/>
                <w:lang w:val="en-US" w:eastAsia="zh-CN"/>
              </w:rPr>
              <w:t>、废矿物油、废切削液、废</w:t>
            </w:r>
            <w:r>
              <w:rPr>
                <w:rFonts w:hint="eastAsia" w:cs="Times New Roman"/>
                <w:lang w:val="en-US" w:eastAsia="zh-CN"/>
              </w:rPr>
              <w:t>过滤棉</w:t>
            </w:r>
            <w:r>
              <w:rPr>
                <w:rFonts w:hint="eastAsia" w:ascii="Times New Roman" w:hAnsi="Times New Roman" w:eastAsia="宋体" w:cs="Times New Roman"/>
                <w:lang w:val="en-US" w:eastAsia="zh-CN"/>
              </w:rPr>
              <w:t>、废活性炭暂存于厂内危废暂存间，定期委托有资质单位处置。</w:t>
            </w:r>
          </w:p>
          <w:p w14:paraId="68237B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kern w:val="2"/>
                <w:sz w:val="24"/>
                <w:szCs w:val="24"/>
                <w:highlight w:val="none"/>
                <w:lang w:val="en-US" w:eastAsia="zh-CN"/>
              </w:rPr>
            </w:pPr>
            <w:r>
              <w:rPr>
                <w:rFonts w:hint="eastAsia" w:ascii="Times New Roman" w:hAnsi="Times New Roman" w:eastAsia="宋体" w:cs="Times New Roman"/>
                <w:lang w:val="en-US" w:eastAsia="zh-CN"/>
              </w:rPr>
              <w:t>③生活垃圾委托环卫部门统一处理。</w:t>
            </w:r>
          </w:p>
        </w:tc>
      </w:tr>
      <w:tr w14:paraId="6AD6F1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1276" w:hRule="atLeast"/>
          <w:jc w:val="center"/>
        </w:trPr>
        <w:tc>
          <w:tcPr>
            <w:tcW w:w="1262" w:type="dxa"/>
            <w:noWrap w:val="0"/>
            <w:vAlign w:val="center"/>
          </w:tcPr>
          <w:p w14:paraId="4D11586B">
            <w:pPr>
              <w:adjustRightInd w:val="0"/>
              <w:snapToGrid w:val="0"/>
              <w:jc w:val="center"/>
              <w:rPr>
                <w:rFonts w:hint="eastAsia" w:ascii="宋体" w:hAnsi="宋体" w:cs="宋体"/>
                <w:sz w:val="24"/>
                <w:szCs w:val="24"/>
              </w:rPr>
            </w:pPr>
            <w:r>
              <w:rPr>
                <w:rFonts w:hint="eastAsia" w:ascii="宋体" w:hAnsi="宋体" w:cs="宋体"/>
                <w:sz w:val="24"/>
                <w:szCs w:val="24"/>
              </w:rPr>
              <w:t>土壤及地下水污染防治措施</w:t>
            </w:r>
          </w:p>
        </w:tc>
        <w:tc>
          <w:tcPr>
            <w:tcW w:w="7538" w:type="dxa"/>
            <w:gridSpan w:val="4"/>
            <w:noWrap w:val="0"/>
            <w:vAlign w:val="center"/>
          </w:tcPr>
          <w:p w14:paraId="6B5875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kern w:val="2"/>
                <w:sz w:val="24"/>
                <w:szCs w:val="24"/>
                <w:highlight w:val="none"/>
                <w:lang w:val="en-US" w:eastAsia="zh-CN"/>
              </w:rPr>
            </w:pPr>
            <w:r>
              <w:rPr>
                <w:rFonts w:hint="eastAsia" w:ascii="Times New Roman" w:hAnsi="Times New Roman" w:eastAsia="宋体" w:cs="Times New Roman"/>
                <w:lang w:val="en-US" w:eastAsia="zh-CN"/>
              </w:rPr>
              <w:t>厂区进行分区防渗。化粪池、危废暂存间、应急事故池等进行重点防渗，危废暂存间执行《危险废物贮存污染控制标准》（GB18597-2023）中防渗层的要求，其他重点防渗区执行等效粘土防渗层Mb≥6.0m，K≤10</w:t>
            </w:r>
            <w:r>
              <w:rPr>
                <w:rFonts w:hint="eastAsia" w:ascii="Times New Roman" w:hAnsi="Times New Roman" w:eastAsia="宋体" w:cs="Times New Roman"/>
                <w:vertAlign w:val="superscript"/>
                <w:lang w:val="en-US" w:eastAsia="zh-CN"/>
              </w:rPr>
              <w:t>-7</w:t>
            </w:r>
            <w:r>
              <w:rPr>
                <w:rFonts w:hint="eastAsia" w:ascii="Times New Roman" w:hAnsi="Times New Roman" w:eastAsia="宋体" w:cs="Times New Roman"/>
                <w:lang w:val="en-US" w:eastAsia="zh-CN"/>
              </w:rPr>
              <w:t>cm/s；生产车间区域、一般固废暂存处等进行一般防渗，一般固废暂存处参照执行《一般工业固体废物贮存和填埋污染控制标准》（GB18599-2020）中防渗层的要求，其他一般防渗区执行等效粘土防渗层Mb≥1.5m，K≤10</w:t>
            </w:r>
            <w:r>
              <w:rPr>
                <w:rFonts w:hint="eastAsia" w:ascii="Times New Roman" w:hAnsi="Times New Roman" w:eastAsia="宋体" w:cs="Times New Roman"/>
                <w:vertAlign w:val="superscript"/>
                <w:lang w:val="en-US" w:eastAsia="zh-CN"/>
              </w:rPr>
              <w:t>-7</w:t>
            </w:r>
            <w:r>
              <w:rPr>
                <w:rFonts w:hint="eastAsia" w:ascii="Times New Roman" w:hAnsi="Times New Roman" w:eastAsia="宋体" w:cs="Times New Roman"/>
                <w:lang w:val="en-US" w:eastAsia="zh-CN"/>
              </w:rPr>
              <w:t>cm/s；办公楼、厂区道路进行简单防渗，一般地面硬化。</w:t>
            </w:r>
          </w:p>
        </w:tc>
      </w:tr>
      <w:tr w14:paraId="004B7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744" w:hRule="atLeast"/>
          <w:jc w:val="center"/>
        </w:trPr>
        <w:tc>
          <w:tcPr>
            <w:tcW w:w="1262" w:type="dxa"/>
            <w:noWrap w:val="0"/>
            <w:vAlign w:val="center"/>
          </w:tcPr>
          <w:p w14:paraId="51DDCCE3">
            <w:pPr>
              <w:adjustRightInd w:val="0"/>
              <w:snapToGrid w:val="0"/>
              <w:jc w:val="center"/>
              <w:rPr>
                <w:rFonts w:hint="eastAsia" w:ascii="宋体" w:hAnsi="宋体" w:cs="宋体"/>
                <w:sz w:val="24"/>
                <w:szCs w:val="24"/>
              </w:rPr>
            </w:pPr>
            <w:r>
              <w:rPr>
                <w:rFonts w:hint="eastAsia" w:ascii="宋体" w:hAnsi="宋体" w:cs="宋体"/>
                <w:sz w:val="24"/>
                <w:szCs w:val="24"/>
              </w:rPr>
              <w:t>生态保护措施</w:t>
            </w:r>
          </w:p>
        </w:tc>
        <w:tc>
          <w:tcPr>
            <w:tcW w:w="7538" w:type="dxa"/>
            <w:gridSpan w:val="4"/>
            <w:noWrap w:val="0"/>
            <w:vAlign w:val="center"/>
          </w:tcPr>
          <w:p w14:paraId="77A0BAC2">
            <w:pPr>
              <w:bidi w:val="0"/>
              <w:spacing w:line="360" w:lineRule="auto"/>
              <w:rPr>
                <w:rFonts w:hint="default"/>
                <w:sz w:val="24"/>
                <w:szCs w:val="24"/>
                <w:lang w:val="en-US" w:eastAsia="zh-CN"/>
              </w:rPr>
            </w:pPr>
            <w:r>
              <w:rPr>
                <w:rFonts w:hint="eastAsia"/>
                <w:sz w:val="24"/>
                <w:szCs w:val="24"/>
                <w:lang w:val="en-US" w:eastAsia="zh-CN"/>
              </w:rPr>
              <w:t>本项目不涉及</w:t>
            </w:r>
          </w:p>
        </w:tc>
      </w:tr>
      <w:tr w14:paraId="000AB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646" w:hRule="atLeast"/>
          <w:jc w:val="center"/>
        </w:trPr>
        <w:tc>
          <w:tcPr>
            <w:tcW w:w="1262" w:type="dxa"/>
            <w:noWrap w:val="0"/>
            <w:vAlign w:val="center"/>
          </w:tcPr>
          <w:p w14:paraId="1DCACB20">
            <w:pPr>
              <w:adjustRightInd w:val="0"/>
              <w:snapToGrid w:val="0"/>
              <w:jc w:val="center"/>
              <w:rPr>
                <w:rFonts w:ascii="宋体" w:hAnsi="宋体" w:cs="宋体"/>
                <w:spacing w:val="-8"/>
                <w:sz w:val="24"/>
                <w:szCs w:val="24"/>
              </w:rPr>
            </w:pPr>
            <w:r>
              <w:rPr>
                <w:rFonts w:hint="eastAsia" w:ascii="宋体" w:hAnsi="宋体" w:cs="宋体"/>
                <w:spacing w:val="-8"/>
                <w:sz w:val="24"/>
                <w:szCs w:val="24"/>
              </w:rPr>
              <w:t>环境风险</w:t>
            </w:r>
          </w:p>
          <w:p w14:paraId="153D5BBD">
            <w:pPr>
              <w:adjustRightInd w:val="0"/>
              <w:snapToGrid w:val="0"/>
              <w:jc w:val="center"/>
              <w:rPr>
                <w:rFonts w:hint="eastAsia" w:ascii="宋体" w:hAnsi="宋体" w:cs="宋体"/>
                <w:spacing w:val="-8"/>
                <w:sz w:val="24"/>
                <w:szCs w:val="24"/>
              </w:rPr>
            </w:pPr>
            <w:r>
              <w:rPr>
                <w:rFonts w:hint="eastAsia" w:ascii="宋体" w:hAnsi="宋体" w:cs="宋体"/>
                <w:spacing w:val="-8"/>
                <w:sz w:val="24"/>
                <w:szCs w:val="24"/>
              </w:rPr>
              <w:t>防范措施</w:t>
            </w:r>
          </w:p>
        </w:tc>
        <w:tc>
          <w:tcPr>
            <w:tcW w:w="7538" w:type="dxa"/>
            <w:gridSpan w:val="4"/>
            <w:noWrap w:val="0"/>
            <w:vAlign w:val="center"/>
          </w:tcPr>
          <w:p w14:paraId="1A1F120E">
            <w:pPr>
              <w:adjustRightInd w:val="0"/>
              <w:snapToGrid w:val="0"/>
              <w:spacing w:line="360" w:lineRule="auto"/>
              <w:ind w:firstLine="480" w:firstLineChars="200"/>
              <w:jc w:val="left"/>
              <w:rPr>
                <w:rFonts w:hint="eastAsia" w:cs="Times New Roman"/>
                <w:color w:val="000000"/>
                <w:kern w:val="2"/>
                <w:sz w:val="24"/>
                <w:szCs w:val="24"/>
                <w:highlight w:val="none"/>
                <w:lang w:val="en-US" w:eastAsia="zh-CN"/>
              </w:rPr>
            </w:pPr>
            <w:r>
              <w:rPr>
                <w:rFonts w:hint="eastAsia" w:cs="Times New Roman"/>
                <w:color w:val="000000"/>
                <w:kern w:val="2"/>
                <w:sz w:val="24"/>
                <w:szCs w:val="24"/>
                <w:highlight w:val="none"/>
                <w:lang w:val="en-US" w:eastAsia="zh-CN"/>
              </w:rPr>
              <w:t>①环境风险单元设置监控措施，厂区内设置灭火器、消防栓等应急物资。</w:t>
            </w:r>
          </w:p>
          <w:p w14:paraId="78CC31D2">
            <w:pPr>
              <w:adjustRightInd w:val="0"/>
              <w:snapToGrid w:val="0"/>
              <w:spacing w:line="360" w:lineRule="auto"/>
              <w:ind w:firstLine="480" w:firstLineChars="200"/>
              <w:jc w:val="left"/>
              <w:rPr>
                <w:rFonts w:hint="eastAsia" w:cs="Times New Roman"/>
                <w:color w:val="000000"/>
                <w:kern w:val="2"/>
                <w:sz w:val="24"/>
                <w:szCs w:val="24"/>
                <w:highlight w:val="none"/>
                <w:lang w:val="en-US" w:eastAsia="zh-CN"/>
              </w:rPr>
            </w:pPr>
            <w:r>
              <w:rPr>
                <w:rFonts w:hint="eastAsia" w:cs="Times New Roman"/>
                <w:color w:val="000000"/>
                <w:kern w:val="2"/>
                <w:sz w:val="24"/>
                <w:szCs w:val="24"/>
                <w:highlight w:val="none"/>
                <w:lang w:val="en-US" w:eastAsia="zh-CN"/>
              </w:rPr>
              <w:t>②依托已建成应急事故池，满足事故状态下收集泄漏物料、消防废水的需要，避免事故废水外排。</w:t>
            </w:r>
          </w:p>
          <w:p w14:paraId="3D6ABCCF">
            <w:pPr>
              <w:adjustRightInd w:val="0"/>
              <w:snapToGrid w:val="0"/>
              <w:spacing w:line="360" w:lineRule="auto"/>
              <w:ind w:firstLine="480" w:firstLineChars="200"/>
              <w:jc w:val="left"/>
              <w:rPr>
                <w:rFonts w:hint="eastAsia" w:cs="Times New Roman"/>
                <w:color w:val="000000"/>
                <w:kern w:val="2"/>
                <w:sz w:val="24"/>
                <w:szCs w:val="24"/>
                <w:highlight w:val="none"/>
                <w:lang w:val="en-US" w:eastAsia="zh-CN"/>
              </w:rPr>
            </w:pPr>
            <w:r>
              <w:rPr>
                <w:rFonts w:hint="eastAsia" w:cs="Times New Roman"/>
                <w:color w:val="000000"/>
                <w:kern w:val="2"/>
                <w:sz w:val="24"/>
                <w:szCs w:val="24"/>
                <w:highlight w:val="none"/>
                <w:lang w:val="en-US" w:eastAsia="zh-CN"/>
              </w:rPr>
              <w:t>③厂区进行分区防渗，避免环境风险物质渗漏。</w:t>
            </w:r>
          </w:p>
          <w:p w14:paraId="306E7C03">
            <w:pPr>
              <w:adjustRightInd w:val="0"/>
              <w:snapToGrid w:val="0"/>
              <w:spacing w:line="360" w:lineRule="auto"/>
              <w:ind w:firstLine="480" w:firstLineChars="200"/>
              <w:jc w:val="left"/>
              <w:rPr>
                <w:rFonts w:hint="eastAsia" w:cs="Times New Roman"/>
                <w:color w:val="000000"/>
                <w:kern w:val="2"/>
                <w:sz w:val="24"/>
                <w:szCs w:val="24"/>
                <w:highlight w:val="none"/>
                <w:lang w:val="en-US" w:eastAsia="zh-CN"/>
              </w:rPr>
            </w:pPr>
            <w:r>
              <w:rPr>
                <w:rFonts w:hint="eastAsia" w:cs="Times New Roman"/>
                <w:color w:val="000000"/>
                <w:kern w:val="2"/>
                <w:sz w:val="24"/>
                <w:szCs w:val="24"/>
                <w:highlight w:val="none"/>
                <w:lang w:val="en-US" w:eastAsia="zh-CN"/>
              </w:rPr>
              <w:t>④建设厂内环境事故应急救援队伍，加入开发区及烈山区环境风险防控体系，实现企业与区域环境风险防控设施及管理有效联动，有效防控环境风险。</w:t>
            </w:r>
          </w:p>
          <w:p w14:paraId="465CC40D">
            <w:pPr>
              <w:adjustRightInd w:val="0"/>
              <w:snapToGrid w:val="0"/>
              <w:spacing w:line="360" w:lineRule="auto"/>
              <w:ind w:firstLine="480" w:firstLineChars="200"/>
              <w:jc w:val="left"/>
              <w:rPr>
                <w:rFonts w:hint="eastAsia" w:cs="Times New Roman"/>
                <w:color w:val="000000"/>
                <w:kern w:val="2"/>
                <w:sz w:val="24"/>
                <w:szCs w:val="24"/>
                <w:highlight w:val="none"/>
                <w:lang w:val="en-US" w:eastAsia="zh-CN"/>
              </w:rPr>
            </w:pPr>
            <w:r>
              <w:rPr>
                <w:rFonts w:hint="eastAsia" w:cs="Times New Roman"/>
                <w:color w:val="000000"/>
                <w:kern w:val="2"/>
                <w:sz w:val="24"/>
                <w:szCs w:val="24"/>
                <w:highlight w:val="none"/>
                <w:lang w:val="en-US" w:eastAsia="zh-CN"/>
              </w:rPr>
              <w:t>⑤编制突发环境事件应急预案，并定期组织演练。</w:t>
            </w:r>
          </w:p>
        </w:tc>
      </w:tr>
      <w:tr w14:paraId="1F51A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1002" w:hRule="atLeast"/>
          <w:jc w:val="center"/>
        </w:trPr>
        <w:tc>
          <w:tcPr>
            <w:tcW w:w="1262" w:type="dxa"/>
            <w:noWrap w:val="0"/>
            <w:vAlign w:val="center"/>
          </w:tcPr>
          <w:p w14:paraId="067FC58A">
            <w:pPr>
              <w:adjustRightInd w:val="0"/>
              <w:snapToGrid w:val="0"/>
              <w:jc w:val="center"/>
              <w:rPr>
                <w:rFonts w:ascii="宋体" w:hAnsi="宋体" w:cs="宋体"/>
                <w:spacing w:val="-8"/>
                <w:sz w:val="24"/>
                <w:szCs w:val="24"/>
              </w:rPr>
            </w:pPr>
            <w:r>
              <w:rPr>
                <w:rFonts w:hint="eastAsia" w:ascii="宋体" w:hAnsi="宋体" w:cs="宋体"/>
                <w:spacing w:val="-8"/>
                <w:sz w:val="24"/>
                <w:szCs w:val="24"/>
              </w:rPr>
              <w:t>其他环境</w:t>
            </w:r>
          </w:p>
          <w:p w14:paraId="279135C9">
            <w:pPr>
              <w:adjustRightInd w:val="0"/>
              <w:snapToGrid w:val="0"/>
              <w:jc w:val="center"/>
              <w:rPr>
                <w:rFonts w:hint="eastAsia" w:ascii="宋体" w:hAnsi="宋体" w:cs="宋体"/>
                <w:spacing w:val="-8"/>
                <w:sz w:val="24"/>
                <w:szCs w:val="24"/>
              </w:rPr>
            </w:pPr>
            <w:r>
              <w:rPr>
                <w:rFonts w:hint="eastAsia" w:ascii="宋体" w:hAnsi="宋体" w:cs="宋体"/>
                <w:spacing w:val="-8"/>
                <w:sz w:val="24"/>
                <w:szCs w:val="24"/>
              </w:rPr>
              <w:t>管理要求</w:t>
            </w:r>
          </w:p>
        </w:tc>
        <w:tc>
          <w:tcPr>
            <w:tcW w:w="7538" w:type="dxa"/>
            <w:gridSpan w:val="4"/>
            <w:noWrap w:val="0"/>
            <w:vAlign w:val="center"/>
          </w:tcPr>
          <w:p w14:paraId="56FD2274">
            <w:pPr>
              <w:keepNext w:val="0"/>
              <w:keepLines w:val="0"/>
              <w:pageBreakBefore w:val="0"/>
              <w:kinsoku/>
              <w:wordWrap/>
              <w:overflowPunct/>
              <w:topLinePunct w:val="0"/>
              <w:autoSpaceDE/>
              <w:autoSpaceDN/>
              <w:bidi w:val="0"/>
              <w:adjustRightInd/>
              <w:snapToGrid/>
              <w:spacing w:line="360" w:lineRule="auto"/>
              <w:ind w:firstLine="482" w:firstLineChars="200"/>
              <w:jc w:val="left"/>
              <w:textAlignment w:val="auto"/>
              <w:rPr>
                <w:rFonts w:hint="eastAsia"/>
                <w:b/>
                <w:bCs/>
                <w:color w:val="auto"/>
                <w:sz w:val="24"/>
                <w:szCs w:val="24"/>
              </w:rPr>
            </w:pPr>
            <w:r>
              <w:rPr>
                <w:rFonts w:hint="eastAsia"/>
                <w:b/>
                <w:bCs/>
                <w:color w:val="auto"/>
                <w:sz w:val="24"/>
                <w:szCs w:val="24"/>
              </w:rPr>
              <w:t>1、环境管理要求</w:t>
            </w:r>
          </w:p>
          <w:p w14:paraId="7B4D9B55">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rPr>
            </w:pPr>
            <w:r>
              <w:rPr>
                <w:rFonts w:hint="eastAsia"/>
                <w:color w:val="auto"/>
                <w:sz w:val="24"/>
                <w:szCs w:val="24"/>
              </w:rPr>
              <w:t>①企业应做好环境教育和技术培训，提高员工的环保意识和技术水平，对员工定期进行环保培训，提高全员的安全和环境保护意识。</w:t>
            </w:r>
          </w:p>
          <w:p w14:paraId="0A13B986">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rPr>
            </w:pPr>
            <w:r>
              <w:rPr>
                <w:rFonts w:hint="eastAsia"/>
                <w:color w:val="auto"/>
                <w:sz w:val="24"/>
                <w:szCs w:val="24"/>
              </w:rPr>
              <w:t>②建设污染治理设施的管理、运行环境管理记录制度。建立健全岗位责任制，制定正确的操作规程、建立管理台帐，制定环境保护工作的长期规划。</w:t>
            </w:r>
          </w:p>
          <w:p w14:paraId="78F90144">
            <w:pPr>
              <w:adjustRightInd w:val="0"/>
              <w:snapToGrid w:val="0"/>
              <w:spacing w:line="360" w:lineRule="auto"/>
              <w:ind w:firstLine="480" w:firstLineChars="200"/>
              <w:rPr>
                <w:rFonts w:hint="eastAsia"/>
                <w:color w:val="auto"/>
                <w:sz w:val="24"/>
                <w:szCs w:val="24"/>
              </w:rPr>
            </w:pPr>
            <w:r>
              <w:rPr>
                <w:rFonts w:hint="eastAsia"/>
                <w:color w:val="auto"/>
                <w:sz w:val="24"/>
                <w:szCs w:val="24"/>
              </w:rPr>
              <w:t>③必须确保污染治理设施长期、稳定、有效地运行，不得擅自拆除或者闲置污染治理设施，不得故意不正常使用污染治理设施。定期对污染物处理排放设备进行维修、保养，严格控制污染物的排放。</w:t>
            </w:r>
          </w:p>
          <w:p w14:paraId="71155AC1">
            <w:pPr>
              <w:adjustRightInd w:val="0"/>
              <w:snapToGrid w:val="0"/>
              <w:spacing w:line="360" w:lineRule="auto"/>
              <w:ind w:firstLine="482" w:firstLineChars="200"/>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rPr>
              <w:t>2、排污</w:t>
            </w:r>
            <w:r>
              <w:rPr>
                <w:rFonts w:hint="eastAsia" w:ascii="Times New Roman" w:hAnsi="Times New Roman" w:eastAsia="宋体"/>
                <w:b/>
                <w:bCs/>
                <w:color w:val="auto"/>
                <w:sz w:val="24"/>
                <w:szCs w:val="24"/>
                <w:lang w:val="en-US" w:eastAsia="zh-CN"/>
              </w:rPr>
              <w:t>管理内容</w:t>
            </w:r>
          </w:p>
          <w:p w14:paraId="2074E2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依据《国民经济行业分类》（GB/T 4754-2017）及《2017国民经济行业分类注释》，本项目属于[C35</w:t>
            </w:r>
            <w:r>
              <w:rPr>
                <w:rFonts w:hint="eastAsia" w:cs="Times New Roman"/>
                <w:lang w:val="en-US" w:eastAsia="zh-CN"/>
              </w:rPr>
              <w:t>1</w:t>
            </w:r>
            <w:r>
              <w:rPr>
                <w:rFonts w:hint="eastAsia" w:ascii="Times New Roman" w:hAnsi="Times New Roman" w:eastAsia="宋体" w:cs="Times New Roman"/>
                <w:lang w:val="en-US" w:eastAsia="zh-CN"/>
              </w:rPr>
              <w:t>1]矿山机械制造。根据《固定污染源排污许可分类管理名录》（2019年版），属于“</w:t>
            </w:r>
            <w:r>
              <w:rPr>
                <w:rFonts w:hint="eastAsia" w:cs="Times New Roman"/>
                <w:lang w:val="en-US" w:eastAsia="zh-CN"/>
              </w:rPr>
              <w:t>三十</w:t>
            </w:r>
            <w:r>
              <w:rPr>
                <w:rFonts w:hint="eastAsia" w:ascii="Times New Roman" w:hAnsi="Times New Roman" w:eastAsia="宋体" w:cs="Times New Roman"/>
                <w:lang w:val="en-US" w:eastAsia="zh-CN"/>
              </w:rPr>
              <w:t>、</w:t>
            </w:r>
            <w:r>
              <w:rPr>
                <w:rFonts w:hint="eastAsia" w:cs="Times New Roman"/>
                <w:lang w:val="en-US" w:eastAsia="zh-CN"/>
              </w:rPr>
              <w:t>专用设备制造业</w:t>
            </w:r>
            <w:r>
              <w:rPr>
                <w:rFonts w:hint="eastAsia" w:ascii="Times New Roman" w:hAnsi="Times New Roman" w:eastAsia="宋体" w:cs="Times New Roman"/>
                <w:lang w:val="en-US" w:eastAsia="zh-CN"/>
              </w:rPr>
              <w:t xml:space="preserve"> </w:t>
            </w:r>
            <w:r>
              <w:rPr>
                <w:rFonts w:hint="eastAsia" w:cs="Times New Roman"/>
                <w:lang w:val="en-US" w:eastAsia="zh-CN"/>
              </w:rPr>
              <w:t>35</w:t>
            </w:r>
            <w:r>
              <w:rPr>
                <w:rFonts w:hint="eastAsia" w:ascii="Times New Roman" w:hAnsi="Times New Roman" w:eastAsia="宋体" w:cs="Times New Roman"/>
                <w:lang w:val="en-US" w:eastAsia="zh-CN"/>
              </w:rPr>
              <w:t>—</w:t>
            </w:r>
            <w:r>
              <w:rPr>
                <w:rFonts w:hint="eastAsia" w:cs="Times New Roman"/>
                <w:lang w:val="en-US" w:eastAsia="zh-CN"/>
              </w:rPr>
              <w:t>84</w:t>
            </w:r>
            <w:r>
              <w:rPr>
                <w:rFonts w:hint="eastAsia" w:ascii="Times New Roman" w:hAnsi="Times New Roman" w:eastAsia="宋体" w:cs="Times New Roman"/>
                <w:lang w:val="en-US" w:eastAsia="zh-CN"/>
              </w:rPr>
              <w:t xml:space="preserve"> 采矿、冶金、建筑专用设备制造  35</w:t>
            </w:r>
            <w:r>
              <w:rPr>
                <w:rFonts w:hint="eastAsia" w:cs="Times New Roman"/>
                <w:lang w:val="en-US" w:eastAsia="zh-CN"/>
              </w:rPr>
              <w:t>1</w:t>
            </w:r>
            <w:r>
              <w:rPr>
                <w:rFonts w:hint="eastAsia" w:ascii="Times New Roman" w:hAnsi="Times New Roman" w:eastAsia="宋体" w:cs="Times New Roman"/>
                <w:lang w:val="en-US" w:eastAsia="zh-CN"/>
              </w:rPr>
              <w:t>—其他”，为登记管理。排污单位应在实际投入生产或发生排污前完成排污许可登记管理相关手续。</w:t>
            </w:r>
          </w:p>
          <w:p w14:paraId="7D3442D4">
            <w:pPr>
              <w:adjustRightInd w:val="0"/>
              <w:snapToGrid w:val="0"/>
              <w:spacing w:line="360" w:lineRule="auto"/>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lang w:val="en-US" w:eastAsia="zh-CN"/>
              </w:rPr>
              <w:t>3</w:t>
            </w:r>
            <w:r>
              <w:rPr>
                <w:rFonts w:hint="eastAsia" w:ascii="Times New Roman" w:hAnsi="Times New Roman" w:eastAsia="宋体"/>
                <w:b/>
                <w:bCs/>
                <w:color w:val="auto"/>
                <w:sz w:val="24"/>
                <w:szCs w:val="24"/>
              </w:rPr>
              <w:t>、排污口规范化设置</w:t>
            </w:r>
          </w:p>
          <w:p w14:paraId="065D6B9B">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color w:val="auto"/>
                <w:sz w:val="24"/>
                <w:szCs w:val="24"/>
              </w:rPr>
              <w:t>各污染排放口应按规范实施，明确采样口位置，设立环保图形标志、废气污染治理设施进出口均设置采样孔及采样平台；一般工业固体废物暂存区及危废暂存区设置环保图形标志；设置噪声相关环保图形标志。</w:t>
            </w:r>
          </w:p>
          <w:p w14:paraId="0638672E">
            <w:pPr>
              <w:keepNext w:val="0"/>
              <w:keepLines w:val="0"/>
              <w:pageBreakBefore w:val="0"/>
              <w:widowControl/>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kern w:val="0"/>
                <w:sz w:val="22"/>
                <w:szCs w:val="22"/>
                <w:lang w:val="en-US" w:eastAsia="zh-CN"/>
              </w:rPr>
            </w:pPr>
            <w:r>
              <w:rPr>
                <w:rFonts w:hint="eastAsia" w:ascii="Times New Roman" w:hAnsi="Times New Roman" w:eastAsia="宋体" w:cs="Times New Roman"/>
                <w:b/>
                <w:kern w:val="0"/>
                <w:sz w:val="22"/>
                <w:szCs w:val="22"/>
                <w:lang w:val="en-US" w:eastAsia="zh-CN"/>
              </w:rPr>
              <w:t>表5</w:t>
            </w:r>
            <w:r>
              <w:rPr>
                <w:rFonts w:hint="eastAsia" w:ascii="宋体" w:hAnsi="宋体" w:eastAsia="宋体" w:cs="宋体"/>
                <w:b/>
                <w:bCs/>
                <w:sz w:val="22"/>
                <w:szCs w:val="22"/>
                <w:lang w:val="en-US" w:eastAsia="zh-CN"/>
              </w:rPr>
              <w:t>-</w:t>
            </w:r>
            <w:r>
              <w:rPr>
                <w:rFonts w:hint="eastAsia" w:ascii="Times New Roman" w:hAnsi="Times New Roman" w:eastAsia="宋体" w:cs="Times New Roman"/>
                <w:b/>
                <w:kern w:val="0"/>
                <w:sz w:val="22"/>
                <w:szCs w:val="22"/>
                <w:lang w:val="en-US" w:eastAsia="zh-CN"/>
              </w:rPr>
              <w:t>1  环境保护图形标志的形状及颜色表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2016"/>
              <w:gridCol w:w="1788"/>
              <w:gridCol w:w="1749"/>
            </w:tblGrid>
            <w:tr w14:paraId="5157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3" w:type="pct"/>
                  <w:vAlign w:val="center"/>
                </w:tcPr>
                <w:p w14:paraId="3CDB073C">
                  <w:pPr>
                    <w:adjustRightInd w:val="0"/>
                    <w:snapToGri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标志名称</w:t>
                  </w:r>
                </w:p>
              </w:tc>
              <w:tc>
                <w:tcPr>
                  <w:tcW w:w="1378" w:type="pct"/>
                  <w:vAlign w:val="center"/>
                </w:tcPr>
                <w:p w14:paraId="39B15320">
                  <w:pPr>
                    <w:adjustRightInd w:val="0"/>
                    <w:snapToGri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形状</w:t>
                  </w:r>
                </w:p>
              </w:tc>
              <w:tc>
                <w:tcPr>
                  <w:tcW w:w="1222" w:type="pct"/>
                  <w:vAlign w:val="center"/>
                </w:tcPr>
                <w:p w14:paraId="62CED3A8">
                  <w:pPr>
                    <w:adjustRightInd w:val="0"/>
                    <w:snapToGri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背景颜色</w:t>
                  </w:r>
                </w:p>
              </w:tc>
              <w:tc>
                <w:tcPr>
                  <w:tcW w:w="1195" w:type="pct"/>
                  <w:vAlign w:val="center"/>
                </w:tcPr>
                <w:p w14:paraId="339AB67D">
                  <w:pPr>
                    <w:adjustRightInd w:val="0"/>
                    <w:snapToGri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图形颜色</w:t>
                  </w:r>
                </w:p>
              </w:tc>
            </w:tr>
            <w:tr w14:paraId="3666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3" w:type="pct"/>
                  <w:vAlign w:val="center"/>
                </w:tcPr>
                <w:p w14:paraId="2AA74564">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警告标志</w:t>
                  </w:r>
                </w:p>
              </w:tc>
              <w:tc>
                <w:tcPr>
                  <w:tcW w:w="1378" w:type="pct"/>
                  <w:vAlign w:val="center"/>
                </w:tcPr>
                <w:p w14:paraId="6E1DE045">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三角形边框</w:t>
                  </w:r>
                </w:p>
              </w:tc>
              <w:tc>
                <w:tcPr>
                  <w:tcW w:w="1222" w:type="pct"/>
                  <w:vAlign w:val="center"/>
                </w:tcPr>
                <w:p w14:paraId="0B31BA32">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黄色</w:t>
                  </w:r>
                </w:p>
              </w:tc>
              <w:tc>
                <w:tcPr>
                  <w:tcW w:w="1195" w:type="pct"/>
                  <w:vAlign w:val="center"/>
                </w:tcPr>
                <w:p w14:paraId="0DC0BED9">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黑色</w:t>
                  </w:r>
                </w:p>
              </w:tc>
            </w:tr>
            <w:tr w14:paraId="319F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3" w:type="pct"/>
                  <w:vAlign w:val="center"/>
                </w:tcPr>
                <w:p w14:paraId="0C5FC3A4">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提示标志</w:t>
                  </w:r>
                </w:p>
              </w:tc>
              <w:tc>
                <w:tcPr>
                  <w:tcW w:w="1378" w:type="pct"/>
                  <w:vAlign w:val="center"/>
                </w:tcPr>
                <w:p w14:paraId="50E120D3">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正方形边框</w:t>
                  </w:r>
                </w:p>
              </w:tc>
              <w:tc>
                <w:tcPr>
                  <w:tcW w:w="1222" w:type="pct"/>
                  <w:vAlign w:val="center"/>
                </w:tcPr>
                <w:p w14:paraId="67B52BF8">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绿色</w:t>
                  </w:r>
                </w:p>
              </w:tc>
              <w:tc>
                <w:tcPr>
                  <w:tcW w:w="1195" w:type="pct"/>
                  <w:vAlign w:val="center"/>
                </w:tcPr>
                <w:p w14:paraId="2C64C9D2">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白色</w:t>
                  </w:r>
                </w:p>
              </w:tc>
            </w:tr>
          </w:tbl>
          <w:p w14:paraId="579C9E0A">
            <w:pPr>
              <w:bidi w:val="0"/>
              <w:rPr>
                <w:rFonts w:hint="eastAsia"/>
                <w:lang w:val="en-US" w:eastAsia="zh-CN"/>
              </w:rPr>
            </w:pPr>
          </w:p>
          <w:p w14:paraId="49349AC8">
            <w:pPr>
              <w:keepNext w:val="0"/>
              <w:keepLines w:val="0"/>
              <w:pageBreakBefore w:val="0"/>
              <w:widowControl/>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kern w:val="0"/>
                <w:sz w:val="22"/>
                <w:szCs w:val="22"/>
                <w:lang w:val="en-US" w:eastAsia="zh-CN"/>
              </w:rPr>
            </w:pPr>
            <w:r>
              <w:rPr>
                <w:rFonts w:hint="eastAsia" w:ascii="Times New Roman" w:hAnsi="Times New Roman" w:eastAsia="宋体" w:cs="Times New Roman"/>
                <w:b/>
                <w:kern w:val="0"/>
                <w:sz w:val="22"/>
                <w:szCs w:val="22"/>
                <w:lang w:val="en-US" w:eastAsia="zh-CN"/>
              </w:rPr>
              <w:t>表5</w:t>
            </w:r>
            <w:r>
              <w:rPr>
                <w:rFonts w:hint="eastAsia" w:ascii="宋体" w:hAnsi="宋体" w:eastAsia="宋体" w:cs="宋体"/>
                <w:b/>
                <w:bCs/>
                <w:sz w:val="22"/>
                <w:szCs w:val="22"/>
                <w:lang w:val="en-US" w:eastAsia="zh-CN"/>
              </w:rPr>
              <w:t>-</w:t>
            </w:r>
            <w:r>
              <w:rPr>
                <w:rFonts w:hint="eastAsia" w:ascii="Times New Roman" w:hAnsi="Times New Roman" w:eastAsia="宋体" w:cs="Times New Roman"/>
                <w:b/>
                <w:kern w:val="0"/>
                <w:sz w:val="22"/>
                <w:szCs w:val="22"/>
                <w:lang w:val="en-US" w:eastAsia="zh-CN"/>
              </w:rPr>
              <w:t>2  环境保护图形标志</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2172"/>
              <w:gridCol w:w="2064"/>
              <w:gridCol w:w="1308"/>
              <w:gridCol w:w="1245"/>
            </w:tblGrid>
            <w:tr w14:paraId="6DE4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57" w:type="pct"/>
                  <w:vAlign w:val="center"/>
                </w:tcPr>
                <w:p w14:paraId="0222BB82">
                  <w:pPr>
                    <w:adjustRightInd w:val="0"/>
                    <w:snapToGri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序号</w:t>
                  </w:r>
                </w:p>
              </w:tc>
              <w:tc>
                <w:tcPr>
                  <w:tcW w:w="1485" w:type="pct"/>
                  <w:vAlign w:val="center"/>
                </w:tcPr>
                <w:p w14:paraId="09801D55">
                  <w:pPr>
                    <w:adjustRightInd w:val="0"/>
                    <w:snapToGri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提示图形符号</w:t>
                  </w:r>
                </w:p>
              </w:tc>
              <w:tc>
                <w:tcPr>
                  <w:tcW w:w="1411" w:type="pct"/>
                  <w:vAlign w:val="center"/>
                </w:tcPr>
                <w:p w14:paraId="12F1F4B7">
                  <w:pPr>
                    <w:adjustRightInd w:val="0"/>
                    <w:snapToGri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警告图形符号</w:t>
                  </w:r>
                </w:p>
              </w:tc>
              <w:tc>
                <w:tcPr>
                  <w:tcW w:w="894" w:type="pct"/>
                  <w:vAlign w:val="center"/>
                </w:tcPr>
                <w:p w14:paraId="6745C8BD">
                  <w:pPr>
                    <w:adjustRightInd w:val="0"/>
                    <w:snapToGri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名称</w:t>
                  </w:r>
                </w:p>
              </w:tc>
              <w:tc>
                <w:tcPr>
                  <w:tcW w:w="851" w:type="pct"/>
                  <w:vAlign w:val="center"/>
                </w:tcPr>
                <w:p w14:paraId="7B32FB6C">
                  <w:pPr>
                    <w:adjustRightInd w:val="0"/>
                    <w:snapToGri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功能</w:t>
                  </w:r>
                </w:p>
              </w:tc>
            </w:tr>
            <w:tr w14:paraId="3E76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357" w:type="pct"/>
                  <w:vAlign w:val="center"/>
                </w:tcPr>
                <w:p w14:paraId="6B053782">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485" w:type="pct"/>
                  <w:vAlign w:val="center"/>
                </w:tcPr>
                <w:p w14:paraId="422F5875">
                  <w:pPr>
                    <w:adjustRightInd w:val="0"/>
                    <w:snapToGrid w:val="0"/>
                    <w:spacing w:line="240" w:lineRule="auto"/>
                    <w:jc w:val="center"/>
                    <w:rPr>
                      <w:rFonts w:ascii="Times New Roman" w:hAnsi="Times New Roman" w:eastAsia="宋体"/>
                      <w:color w:val="auto"/>
                      <w:sz w:val="24"/>
                      <w:szCs w:val="24"/>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INCLUDEPICTURE \d "C:\\Documents and Settings\\TEMP.PC-201412191049\\Application Data\\Tencent\\Users\\951550625\\TIM\\WinTemp\\RichOle\\(_8EE}YS5~]@N))[3U_{LFY.png" \* MERGEFORMATINET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drawing>
                      <wp:inline distT="0" distB="0" distL="114300" distR="114300">
                        <wp:extent cx="935355" cy="802640"/>
                        <wp:effectExtent l="0" t="0" r="9525" b="5080"/>
                        <wp:docPr id="9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descr="IMG_256"/>
                                <pic:cNvPicPr>
                                  <a:picLocks noChangeAspect="1"/>
                                </pic:cNvPicPr>
                              </pic:nvPicPr>
                              <pic:blipFill>
                                <a:blip r:embed="rId33"/>
                                <a:srcRect t="6667"/>
                                <a:stretch>
                                  <a:fillRect/>
                                </a:stretch>
                              </pic:blipFill>
                              <pic:spPr>
                                <a:xfrm>
                                  <a:off x="0" y="0"/>
                                  <a:ext cx="935355" cy="802640"/>
                                </a:xfrm>
                                <a:prstGeom prst="rect">
                                  <a:avLst/>
                                </a:prstGeom>
                                <a:noFill/>
                                <a:ln>
                                  <a:noFill/>
                                </a:ln>
                              </pic:spPr>
                            </pic:pic>
                          </a:graphicData>
                        </a:graphic>
                      </wp:inline>
                    </w:drawing>
                  </w:r>
                  <w:r>
                    <w:rPr>
                      <w:rFonts w:ascii="Times New Roman" w:hAnsi="Times New Roman" w:eastAsia="宋体"/>
                      <w:color w:val="auto"/>
                      <w:sz w:val="24"/>
                      <w:szCs w:val="24"/>
                    </w:rPr>
                    <w:fldChar w:fldCharType="end"/>
                  </w:r>
                </w:p>
              </w:tc>
              <w:tc>
                <w:tcPr>
                  <w:tcW w:w="1411" w:type="pct"/>
                  <w:vAlign w:val="center"/>
                </w:tcPr>
                <w:p w14:paraId="2D615F71">
                  <w:pPr>
                    <w:adjustRightInd w:val="0"/>
                    <w:snapToGrid w:val="0"/>
                    <w:spacing w:line="240" w:lineRule="auto"/>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955040" cy="780415"/>
                        <wp:effectExtent l="0" t="0" r="5080" b="12065"/>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34"/>
                                <a:stretch>
                                  <a:fillRect/>
                                </a:stretch>
                              </pic:blipFill>
                              <pic:spPr>
                                <a:xfrm>
                                  <a:off x="0" y="0"/>
                                  <a:ext cx="955040" cy="780415"/>
                                </a:xfrm>
                                <a:prstGeom prst="rect">
                                  <a:avLst/>
                                </a:prstGeom>
                                <a:noFill/>
                                <a:ln>
                                  <a:noFill/>
                                </a:ln>
                              </pic:spPr>
                            </pic:pic>
                          </a:graphicData>
                        </a:graphic>
                      </wp:inline>
                    </w:drawing>
                  </w:r>
                </w:p>
              </w:tc>
              <w:tc>
                <w:tcPr>
                  <w:tcW w:w="894" w:type="pct"/>
                  <w:vAlign w:val="center"/>
                </w:tcPr>
                <w:p w14:paraId="0B972ADA">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废水排放口</w:t>
                  </w:r>
                </w:p>
              </w:tc>
              <w:tc>
                <w:tcPr>
                  <w:tcW w:w="851" w:type="pct"/>
                  <w:vAlign w:val="center"/>
                </w:tcPr>
                <w:p w14:paraId="41539488">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表示废水向水体排放</w:t>
                  </w:r>
                </w:p>
              </w:tc>
            </w:tr>
            <w:tr w14:paraId="66760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357" w:type="pct"/>
                  <w:vAlign w:val="center"/>
                </w:tcPr>
                <w:p w14:paraId="51E1ADA2">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485" w:type="pct"/>
                  <w:vAlign w:val="center"/>
                </w:tcPr>
                <w:p w14:paraId="59CEFE1C">
                  <w:pPr>
                    <w:adjustRightInd w:val="0"/>
                    <w:snapToGrid w:val="0"/>
                    <w:spacing w:line="240" w:lineRule="auto"/>
                    <w:jc w:val="center"/>
                    <w:rPr>
                      <w:rFonts w:ascii="Times New Roman" w:hAnsi="Times New Roman" w:eastAsia="宋体"/>
                      <w:color w:val="auto"/>
                      <w:sz w:val="24"/>
                      <w:szCs w:val="24"/>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INCLUDEPICTURE \d "C:\\Documents and Settings\\TEMP.PC-201412191049\\Application Data\\Tencent\\Users\\951550625\\TIM\\WinTemp\\RichOle\\{)TXM3K6V@8VZXSSWVBI%[G.png" \* MERGEFORMATINET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drawing>
                      <wp:inline distT="0" distB="0" distL="114300" distR="114300">
                        <wp:extent cx="951865" cy="951865"/>
                        <wp:effectExtent l="0" t="0" r="8255" b="8255"/>
                        <wp:docPr id="9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descr="IMG_256"/>
                                <pic:cNvPicPr>
                                  <a:picLocks noChangeAspect="1"/>
                                </pic:cNvPicPr>
                              </pic:nvPicPr>
                              <pic:blipFill>
                                <a:blip r:embed="rId35"/>
                                <a:stretch>
                                  <a:fillRect/>
                                </a:stretch>
                              </pic:blipFill>
                              <pic:spPr>
                                <a:xfrm>
                                  <a:off x="0" y="0"/>
                                  <a:ext cx="951865" cy="951865"/>
                                </a:xfrm>
                                <a:prstGeom prst="rect">
                                  <a:avLst/>
                                </a:prstGeom>
                                <a:noFill/>
                                <a:ln>
                                  <a:noFill/>
                                </a:ln>
                              </pic:spPr>
                            </pic:pic>
                          </a:graphicData>
                        </a:graphic>
                      </wp:inline>
                    </w:drawing>
                  </w:r>
                  <w:r>
                    <w:rPr>
                      <w:rFonts w:ascii="Times New Roman" w:hAnsi="Times New Roman" w:eastAsia="宋体"/>
                      <w:color w:val="auto"/>
                      <w:sz w:val="24"/>
                      <w:szCs w:val="24"/>
                    </w:rPr>
                    <w:fldChar w:fldCharType="end"/>
                  </w:r>
                </w:p>
              </w:tc>
              <w:tc>
                <w:tcPr>
                  <w:tcW w:w="1411" w:type="pct"/>
                  <w:vAlign w:val="center"/>
                </w:tcPr>
                <w:p w14:paraId="74F76557">
                  <w:pPr>
                    <w:adjustRightInd w:val="0"/>
                    <w:snapToGrid w:val="0"/>
                    <w:spacing w:line="240" w:lineRule="auto"/>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040130" cy="852805"/>
                        <wp:effectExtent l="0" t="0" r="11430" b="635"/>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36"/>
                                <a:stretch>
                                  <a:fillRect/>
                                </a:stretch>
                              </pic:blipFill>
                              <pic:spPr>
                                <a:xfrm>
                                  <a:off x="0" y="0"/>
                                  <a:ext cx="1040130" cy="852805"/>
                                </a:xfrm>
                                <a:prstGeom prst="rect">
                                  <a:avLst/>
                                </a:prstGeom>
                                <a:noFill/>
                                <a:ln>
                                  <a:noFill/>
                                </a:ln>
                              </pic:spPr>
                            </pic:pic>
                          </a:graphicData>
                        </a:graphic>
                      </wp:inline>
                    </w:drawing>
                  </w:r>
                </w:p>
              </w:tc>
              <w:tc>
                <w:tcPr>
                  <w:tcW w:w="894" w:type="pct"/>
                  <w:vAlign w:val="center"/>
                </w:tcPr>
                <w:p w14:paraId="51F7AD65">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一般工业固体废物</w:t>
                  </w:r>
                </w:p>
              </w:tc>
              <w:tc>
                <w:tcPr>
                  <w:tcW w:w="851" w:type="pct"/>
                  <w:vAlign w:val="center"/>
                </w:tcPr>
                <w:p w14:paraId="25C3E006">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表示一般工业固体废物贮存、处置场</w:t>
                  </w:r>
                </w:p>
              </w:tc>
            </w:tr>
            <w:tr w14:paraId="7A78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357" w:type="pct"/>
                  <w:vAlign w:val="center"/>
                </w:tcPr>
                <w:p w14:paraId="58368559">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485" w:type="pct"/>
                  <w:vAlign w:val="center"/>
                </w:tcPr>
                <w:p w14:paraId="3EA683A5">
                  <w:pPr>
                    <w:adjustRightInd w:val="0"/>
                    <w:snapToGrid w:val="0"/>
                    <w:spacing w:line="240" w:lineRule="auto"/>
                    <w:jc w:val="center"/>
                    <w:rPr>
                      <w:rFonts w:ascii="Times New Roman" w:hAnsi="Times New Roman" w:eastAsia="宋体"/>
                      <w:color w:val="auto"/>
                      <w:sz w:val="24"/>
                      <w:szCs w:val="24"/>
                    </w:rPr>
                  </w:pPr>
                  <w:r>
                    <w:rPr>
                      <w:rFonts w:ascii="Times New Roman" w:hAnsi="Times New Roman" w:eastAsia="宋体"/>
                      <w:color w:val="auto"/>
                      <w:sz w:val="24"/>
                      <w:szCs w:val="24"/>
                    </w:rPr>
                    <w:t>—</w:t>
                  </w:r>
                </w:p>
              </w:tc>
              <w:tc>
                <w:tcPr>
                  <w:tcW w:w="1411" w:type="pct"/>
                  <w:vAlign w:val="center"/>
                </w:tcPr>
                <w:p w14:paraId="15152264">
                  <w:pPr>
                    <w:adjustRightInd w:val="0"/>
                    <w:snapToGrid w:val="0"/>
                    <w:spacing w:line="240" w:lineRule="auto"/>
                    <w:jc w:val="center"/>
                    <w:rPr>
                      <w:rFonts w:ascii="Times New Roman" w:hAnsi="Times New Roman" w:eastAsia="宋体"/>
                      <w:color w:val="auto"/>
                      <w:sz w:val="24"/>
                      <w:szCs w:val="24"/>
                    </w:rPr>
                  </w:pPr>
                  <w:r>
                    <w:rPr>
                      <w:rFonts w:hint="eastAsia" w:ascii="Times New Roman" w:hAnsi="Times New Roman" w:eastAsia="宋体"/>
                      <w:color w:val="auto"/>
                      <w:sz w:val="24"/>
                      <w:szCs w:val="24"/>
                    </w:rPr>
                    <w:drawing>
                      <wp:inline distT="0" distB="0" distL="114300" distR="114300">
                        <wp:extent cx="964565" cy="765810"/>
                        <wp:effectExtent l="0" t="0" r="10795" b="11430"/>
                        <wp:docPr id="94" name="图片 8" descr="168412901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descr="1684129014677"/>
                                <pic:cNvPicPr>
                                  <a:picLocks noChangeAspect="1"/>
                                </pic:cNvPicPr>
                              </pic:nvPicPr>
                              <pic:blipFill>
                                <a:blip r:embed="rId37"/>
                                <a:stretch>
                                  <a:fillRect/>
                                </a:stretch>
                              </pic:blipFill>
                              <pic:spPr>
                                <a:xfrm>
                                  <a:off x="0" y="0"/>
                                  <a:ext cx="964565" cy="765810"/>
                                </a:xfrm>
                                <a:prstGeom prst="rect">
                                  <a:avLst/>
                                </a:prstGeom>
                                <a:noFill/>
                                <a:ln>
                                  <a:noFill/>
                                </a:ln>
                              </pic:spPr>
                            </pic:pic>
                          </a:graphicData>
                        </a:graphic>
                      </wp:inline>
                    </w:drawing>
                  </w:r>
                </w:p>
              </w:tc>
              <w:tc>
                <w:tcPr>
                  <w:tcW w:w="894" w:type="pct"/>
                  <w:vAlign w:val="center"/>
                </w:tcPr>
                <w:p w14:paraId="66D51ACF">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危险废物</w:t>
                  </w:r>
                </w:p>
              </w:tc>
              <w:tc>
                <w:tcPr>
                  <w:tcW w:w="851" w:type="pct"/>
                  <w:vAlign w:val="center"/>
                </w:tcPr>
                <w:p w14:paraId="18727827">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表示危险废物贮存、处置场</w:t>
                  </w:r>
                </w:p>
              </w:tc>
            </w:tr>
            <w:tr w14:paraId="5936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357" w:type="pct"/>
                  <w:vAlign w:val="center"/>
                </w:tcPr>
                <w:p w14:paraId="71747AA6">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4</w:t>
                  </w:r>
                </w:p>
              </w:tc>
              <w:tc>
                <w:tcPr>
                  <w:tcW w:w="1485" w:type="pct"/>
                  <w:vAlign w:val="center"/>
                </w:tcPr>
                <w:p w14:paraId="1C922AB8">
                  <w:pPr>
                    <w:adjustRightInd w:val="0"/>
                    <w:snapToGrid w:val="0"/>
                    <w:spacing w:line="240" w:lineRule="auto"/>
                    <w:jc w:val="center"/>
                    <w:rPr>
                      <w:rFonts w:ascii="Times New Roman" w:hAnsi="Times New Roman" w:eastAsia="宋体"/>
                      <w:color w:val="auto"/>
                      <w:sz w:val="24"/>
                      <w:szCs w:val="24"/>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INCLUDEPICTURE \d "C:\\Documents and Settings\\TEMP.PC-201412191049\\Application Data\\Tencent\\Users\\951550625\\TIM\\WinTemp\\RichOle\\~U6SJ}OIYHL5QZ[34T_YA$K.png" \* MERGEFORMATINET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drawing>
                      <wp:inline distT="0" distB="0" distL="114300" distR="114300">
                        <wp:extent cx="944880" cy="935355"/>
                        <wp:effectExtent l="0" t="0" r="0" b="9525"/>
                        <wp:docPr id="95" name="图片 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256"/>
                                <pic:cNvPicPr>
                                  <a:picLocks noChangeAspect="1"/>
                                </pic:cNvPicPr>
                              </pic:nvPicPr>
                              <pic:blipFill>
                                <a:blip r:embed="rId38"/>
                                <a:stretch>
                                  <a:fillRect/>
                                </a:stretch>
                              </pic:blipFill>
                              <pic:spPr>
                                <a:xfrm>
                                  <a:off x="0" y="0"/>
                                  <a:ext cx="944880" cy="935355"/>
                                </a:xfrm>
                                <a:prstGeom prst="rect">
                                  <a:avLst/>
                                </a:prstGeom>
                                <a:noFill/>
                                <a:ln>
                                  <a:noFill/>
                                </a:ln>
                              </pic:spPr>
                            </pic:pic>
                          </a:graphicData>
                        </a:graphic>
                      </wp:inline>
                    </w:drawing>
                  </w:r>
                  <w:r>
                    <w:rPr>
                      <w:rFonts w:ascii="Times New Roman" w:hAnsi="Times New Roman" w:eastAsia="宋体"/>
                      <w:color w:val="auto"/>
                      <w:sz w:val="24"/>
                      <w:szCs w:val="24"/>
                    </w:rPr>
                    <w:fldChar w:fldCharType="end"/>
                  </w:r>
                </w:p>
              </w:tc>
              <w:tc>
                <w:tcPr>
                  <w:tcW w:w="1411" w:type="pct"/>
                  <w:vAlign w:val="center"/>
                </w:tcPr>
                <w:p w14:paraId="2E7D846D">
                  <w:pPr>
                    <w:adjustRightInd w:val="0"/>
                    <w:snapToGrid w:val="0"/>
                    <w:spacing w:line="240" w:lineRule="auto"/>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956310" cy="844550"/>
                        <wp:effectExtent l="0" t="0" r="3810" b="8890"/>
                        <wp:docPr id="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
                                <pic:cNvPicPr>
                                  <a:picLocks noChangeAspect="1"/>
                                </pic:cNvPicPr>
                              </pic:nvPicPr>
                              <pic:blipFill>
                                <a:blip r:embed="rId39"/>
                                <a:stretch>
                                  <a:fillRect/>
                                </a:stretch>
                              </pic:blipFill>
                              <pic:spPr>
                                <a:xfrm>
                                  <a:off x="0" y="0"/>
                                  <a:ext cx="956310" cy="844550"/>
                                </a:xfrm>
                                <a:prstGeom prst="rect">
                                  <a:avLst/>
                                </a:prstGeom>
                                <a:noFill/>
                                <a:ln>
                                  <a:noFill/>
                                </a:ln>
                              </pic:spPr>
                            </pic:pic>
                          </a:graphicData>
                        </a:graphic>
                      </wp:inline>
                    </w:drawing>
                  </w:r>
                </w:p>
              </w:tc>
              <w:tc>
                <w:tcPr>
                  <w:tcW w:w="894" w:type="pct"/>
                  <w:vAlign w:val="center"/>
                </w:tcPr>
                <w:p w14:paraId="204E0A30">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噪声排放源</w:t>
                  </w:r>
                </w:p>
              </w:tc>
              <w:tc>
                <w:tcPr>
                  <w:tcW w:w="851" w:type="pct"/>
                  <w:vAlign w:val="center"/>
                </w:tcPr>
                <w:p w14:paraId="6CE99CF1">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表示噪声向外环境排放</w:t>
                  </w:r>
                </w:p>
              </w:tc>
            </w:tr>
            <w:tr w14:paraId="7CBB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357" w:type="pct"/>
                  <w:vAlign w:val="center"/>
                </w:tcPr>
                <w:p w14:paraId="213DD875">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5</w:t>
                  </w:r>
                </w:p>
              </w:tc>
              <w:tc>
                <w:tcPr>
                  <w:tcW w:w="1485" w:type="pct"/>
                  <w:vAlign w:val="center"/>
                </w:tcPr>
                <w:p w14:paraId="5CA5C9C8">
                  <w:pPr>
                    <w:adjustRightInd w:val="0"/>
                    <w:snapToGrid w:val="0"/>
                    <w:spacing w:line="240" w:lineRule="auto"/>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898525" cy="879475"/>
                        <wp:effectExtent l="0" t="0" r="635" b="4445"/>
                        <wp:docPr id="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
                                <pic:cNvPicPr>
                                  <a:picLocks noChangeAspect="1"/>
                                </pic:cNvPicPr>
                              </pic:nvPicPr>
                              <pic:blipFill>
                                <a:blip r:embed="rId40"/>
                                <a:stretch>
                                  <a:fillRect/>
                                </a:stretch>
                              </pic:blipFill>
                              <pic:spPr>
                                <a:xfrm>
                                  <a:off x="0" y="0"/>
                                  <a:ext cx="898525" cy="879475"/>
                                </a:xfrm>
                                <a:prstGeom prst="rect">
                                  <a:avLst/>
                                </a:prstGeom>
                                <a:noFill/>
                                <a:ln>
                                  <a:noFill/>
                                </a:ln>
                              </pic:spPr>
                            </pic:pic>
                          </a:graphicData>
                        </a:graphic>
                      </wp:inline>
                    </w:drawing>
                  </w:r>
                </w:p>
              </w:tc>
              <w:tc>
                <w:tcPr>
                  <w:tcW w:w="1411" w:type="pct"/>
                  <w:vAlign w:val="center"/>
                </w:tcPr>
                <w:p w14:paraId="5F3AF038">
                  <w:pPr>
                    <w:adjustRightInd w:val="0"/>
                    <w:snapToGrid w:val="0"/>
                    <w:spacing w:line="240" w:lineRule="auto"/>
                    <w:jc w:val="center"/>
                    <w:rPr>
                      <w:rFonts w:ascii="Times New Roman" w:hAnsi="Times New Roman" w:eastAsia="宋体"/>
                      <w:color w:val="auto"/>
                      <w:sz w:val="24"/>
                      <w:szCs w:val="24"/>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INCLUDEPICTURE \d "C:\\Documents and Settings\\TEMP.PC-201412191049\\Application Data\\Tencent\\Users\\951550625\\TIM\\WinTemp\\RichOle\\`G8PE_[N%$21(%IEU[QH3[L.png" \* MERGEFORMATINET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drawing>
                      <wp:inline distT="0" distB="0" distL="114300" distR="114300">
                        <wp:extent cx="980440" cy="897255"/>
                        <wp:effectExtent l="0" t="0" r="10160" b="1905"/>
                        <wp:docPr id="9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descr="IMG_256"/>
                                <pic:cNvPicPr>
                                  <a:picLocks noChangeAspect="1"/>
                                </pic:cNvPicPr>
                              </pic:nvPicPr>
                              <pic:blipFill>
                                <a:blip r:embed="rId41"/>
                                <a:stretch>
                                  <a:fillRect/>
                                </a:stretch>
                              </pic:blipFill>
                              <pic:spPr>
                                <a:xfrm>
                                  <a:off x="0" y="0"/>
                                  <a:ext cx="980440" cy="897255"/>
                                </a:xfrm>
                                <a:prstGeom prst="rect">
                                  <a:avLst/>
                                </a:prstGeom>
                                <a:noFill/>
                                <a:ln>
                                  <a:noFill/>
                                </a:ln>
                              </pic:spPr>
                            </pic:pic>
                          </a:graphicData>
                        </a:graphic>
                      </wp:inline>
                    </w:drawing>
                  </w:r>
                  <w:r>
                    <w:rPr>
                      <w:rFonts w:ascii="Times New Roman" w:hAnsi="Times New Roman" w:eastAsia="宋体"/>
                      <w:color w:val="auto"/>
                      <w:sz w:val="24"/>
                      <w:szCs w:val="24"/>
                    </w:rPr>
                    <w:fldChar w:fldCharType="end"/>
                  </w:r>
                </w:p>
              </w:tc>
              <w:tc>
                <w:tcPr>
                  <w:tcW w:w="894" w:type="pct"/>
                  <w:vAlign w:val="center"/>
                </w:tcPr>
                <w:p w14:paraId="731E8A21">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废气排放口</w:t>
                  </w:r>
                </w:p>
              </w:tc>
              <w:tc>
                <w:tcPr>
                  <w:tcW w:w="851" w:type="pct"/>
                  <w:vAlign w:val="center"/>
                </w:tcPr>
                <w:p w14:paraId="75A60281">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表示废气向大气环境排放</w:t>
                  </w:r>
                </w:p>
              </w:tc>
            </w:tr>
          </w:tbl>
          <w:p w14:paraId="578643EA">
            <w:pPr>
              <w:bidi w:val="0"/>
              <w:rPr>
                <w:rFonts w:hint="eastAsia"/>
                <w:lang w:val="en-US" w:eastAsia="zh-CN"/>
              </w:rPr>
            </w:pPr>
          </w:p>
          <w:p w14:paraId="2ECAD619">
            <w:pPr>
              <w:adjustRightInd w:val="0"/>
              <w:snapToGrid w:val="0"/>
              <w:spacing w:line="360" w:lineRule="auto"/>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lang w:val="en-US" w:eastAsia="zh-CN"/>
              </w:rPr>
              <w:t>4</w:t>
            </w:r>
            <w:r>
              <w:rPr>
                <w:rFonts w:hint="eastAsia" w:ascii="Times New Roman" w:hAnsi="Times New Roman" w:eastAsia="宋体"/>
                <w:b/>
                <w:bCs/>
                <w:color w:val="auto"/>
                <w:sz w:val="24"/>
                <w:szCs w:val="24"/>
              </w:rPr>
              <w:t>、项目竣工环境保护验收</w:t>
            </w:r>
          </w:p>
          <w:p w14:paraId="12CE49F5">
            <w:pPr>
              <w:adjustRightInd w:val="0"/>
              <w:snapToGrid w:val="0"/>
              <w:spacing w:line="360" w:lineRule="auto"/>
              <w:ind w:firstLine="480" w:firstLineChars="200"/>
              <w:rPr>
                <w:rFonts w:hint="eastAsia" w:cs="Times New Roman"/>
                <w:color w:val="000000"/>
                <w:kern w:val="2"/>
                <w:sz w:val="24"/>
                <w:szCs w:val="24"/>
                <w:highlight w:val="none"/>
                <w:lang w:val="en-US" w:eastAsia="zh-CN"/>
              </w:rPr>
            </w:pPr>
            <w:r>
              <w:rPr>
                <w:rFonts w:hint="eastAsia" w:ascii="Times New Roman" w:hAnsi="Times New Roman" w:eastAsia="宋体"/>
                <w:color w:val="auto"/>
                <w:sz w:val="24"/>
                <w:szCs w:val="24"/>
              </w:rPr>
              <w:t>建设单位应</w:t>
            </w:r>
            <w:r>
              <w:rPr>
                <w:rFonts w:hint="eastAsia" w:ascii="Times New Roman" w:hAnsi="Times New Roman" w:eastAsia="宋体"/>
                <w:color w:val="auto"/>
                <w:sz w:val="24"/>
                <w:szCs w:val="24"/>
                <w:lang w:val="en-US" w:eastAsia="zh-CN"/>
              </w:rPr>
              <w:t>按照</w:t>
            </w:r>
            <w:r>
              <w:rPr>
                <w:rFonts w:hint="eastAsia" w:ascii="Times New Roman" w:hAnsi="Times New Roman" w:eastAsia="宋体"/>
                <w:color w:val="auto"/>
                <w:sz w:val="24"/>
                <w:szCs w:val="24"/>
              </w:rPr>
              <w:t>建设项目竣工环境保护验收技术规范、环评文件及其批复的要求</w:t>
            </w:r>
            <w:r>
              <w:rPr>
                <w:rFonts w:ascii="Times New Roman" w:hAnsi="Times New Roman" w:eastAsia="宋体"/>
                <w:color w:val="auto"/>
                <w:sz w:val="24"/>
                <w:szCs w:val="24"/>
              </w:rPr>
              <w:t>，开展相关</w:t>
            </w:r>
            <w:r>
              <w:rPr>
                <w:rFonts w:hint="eastAsia" w:ascii="Times New Roman" w:hAnsi="Times New Roman" w:eastAsia="宋体"/>
                <w:color w:val="auto"/>
                <w:sz w:val="24"/>
                <w:szCs w:val="24"/>
                <w:lang w:val="en-US" w:eastAsia="zh-CN"/>
              </w:rPr>
              <w:t>环保</w:t>
            </w:r>
            <w:r>
              <w:rPr>
                <w:rFonts w:ascii="Times New Roman" w:hAnsi="Times New Roman" w:eastAsia="宋体"/>
                <w:color w:val="auto"/>
                <w:sz w:val="24"/>
                <w:szCs w:val="24"/>
              </w:rPr>
              <w:t>验收工作。建设项目配套建设的环境保护设施经验收合格，方可投入生产或者使用</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未经验收或者验收不合格的，不得投入生产或者使用</w:t>
            </w:r>
            <w:r>
              <w:rPr>
                <w:rFonts w:hint="eastAsia" w:ascii="Times New Roman" w:hAnsi="Times New Roman" w:eastAsia="宋体"/>
                <w:color w:val="auto"/>
                <w:sz w:val="24"/>
                <w:szCs w:val="24"/>
              </w:rPr>
              <w:t>。</w:t>
            </w:r>
          </w:p>
        </w:tc>
      </w:tr>
    </w:tbl>
    <w:p w14:paraId="38063FCB">
      <w:pPr>
        <w:bidi w:val="0"/>
      </w:pPr>
      <w:r>
        <w:br w:type="page"/>
      </w:r>
    </w:p>
    <w:p w14:paraId="2C3503A7">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0"/>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35039A4A">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default"/>
          <w:b w:val="0"/>
          <w:bCs w:val="0"/>
          <w:snapToGrid w:val="0"/>
          <w:sz w:val="32"/>
          <w:szCs w:val="32"/>
          <w:lang w:val="en-US" w:eastAsia="zh-CN"/>
        </w:rPr>
      </w:pPr>
      <w:r>
        <w:rPr>
          <w:rFonts w:hint="eastAsia"/>
          <w:b w:val="0"/>
          <w:bCs w:val="0"/>
          <w:snapToGrid w:val="0"/>
          <w:sz w:val="32"/>
          <w:szCs w:val="32"/>
          <w:lang w:val="en-US" w:eastAsia="zh-CN"/>
        </w:rPr>
        <w:t>六、结论</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EF29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86" w:hRule="atLeast"/>
          <w:jc w:val="center"/>
        </w:trPr>
        <w:tc>
          <w:tcPr>
            <w:tcW w:w="8865" w:type="dxa"/>
            <w:noWrap w:val="0"/>
            <w:vAlign w:val="top"/>
          </w:tcPr>
          <w:p w14:paraId="3B716A75">
            <w:pPr>
              <w:bidi w:val="0"/>
              <w:rPr>
                <w:rFonts w:hint="eastAsia"/>
                <w:lang w:val="en-US" w:eastAsia="zh-CN"/>
              </w:rPr>
            </w:pPr>
          </w:p>
          <w:p w14:paraId="5B30DA6A">
            <w:pPr>
              <w:spacing w:line="360" w:lineRule="auto"/>
              <w:ind w:firstLine="480" w:firstLineChars="200"/>
              <w:jc w:val="left"/>
              <w:rPr>
                <w:rFonts w:hint="eastAsia" w:ascii="宋体" w:cs="宋体"/>
                <w:sz w:val="24"/>
              </w:rPr>
            </w:pPr>
            <w:r>
              <w:rPr>
                <w:rFonts w:hint="eastAsia" w:ascii="宋体" w:cs="宋体"/>
                <w:sz w:val="24"/>
                <w:lang w:val="en-US" w:eastAsia="zh-CN"/>
              </w:rPr>
              <w:t>本项目符合国家产业政策要求，项目选址可行，总平面图布置合理，采用的污染治理措施、风险防范措施技术可行。在严格落实本次报告提出的环保对策措施情况下，确保项目产生的污染物达标排放，不会降低评价区域原有环境质量功能级别</w:t>
            </w:r>
            <w:r>
              <w:rPr>
                <w:rFonts w:hint="eastAsia" w:ascii="宋体" w:cs="宋体"/>
                <w:sz w:val="24"/>
              </w:rPr>
              <w:t>。</w:t>
            </w:r>
          </w:p>
          <w:p w14:paraId="3BBB969A">
            <w:pPr>
              <w:spacing w:line="360" w:lineRule="auto"/>
              <w:ind w:firstLine="480" w:firstLineChars="200"/>
              <w:jc w:val="left"/>
              <w:rPr>
                <w:rFonts w:ascii="宋体" w:cs="宋体"/>
                <w:sz w:val="24"/>
              </w:rPr>
            </w:pPr>
            <w:r>
              <w:rPr>
                <w:rFonts w:hint="eastAsia" w:ascii="宋体" w:cs="宋体"/>
                <w:sz w:val="24"/>
              </w:rPr>
              <w:t>从环境影响的角度分析，本项目的建设是可行的。</w:t>
            </w:r>
          </w:p>
        </w:tc>
      </w:tr>
    </w:tbl>
    <w:p w14:paraId="3FB22F11">
      <w:pPr>
        <w:rPr>
          <w:rFonts w:ascii="宋体"/>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1BFE984C">
      <w:pPr>
        <w:pStyle w:val="2"/>
        <w:bidi w:val="0"/>
        <w:rPr>
          <w:rFonts w:hint="default"/>
          <w:lang w:val="en-US"/>
        </w:rPr>
      </w:pPr>
      <w:r>
        <w:rPr>
          <w:rFonts w:hint="eastAsia" w:ascii="仿宋" w:hAnsi="仿宋" w:eastAsia="仿宋" w:cs="仿宋"/>
          <w:lang w:val="en-US" w:eastAsia="zh-CN"/>
        </w:rPr>
        <w:t>附表1  建设项目污染物排放量汇总表</w:t>
      </w:r>
    </w:p>
    <w:p w14:paraId="73F63A39">
      <w:pPr>
        <w:bidi w:val="0"/>
        <w:jc w:val="center"/>
        <w:rPr>
          <w:rFonts w:hint="eastAsia"/>
          <w:sz w:val="32"/>
          <w:szCs w:val="40"/>
        </w:rPr>
      </w:pPr>
      <w:r>
        <w:rPr>
          <w:rFonts w:hint="eastAsia"/>
          <w:sz w:val="32"/>
          <w:szCs w:val="40"/>
        </w:rPr>
        <w:t>建设项目污染物排放量汇总表</w:t>
      </w:r>
    </w:p>
    <w:tbl>
      <w:tblPr>
        <w:tblStyle w:val="15"/>
        <w:tblW w:w="129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389"/>
        <w:gridCol w:w="1757"/>
        <w:gridCol w:w="1260"/>
        <w:gridCol w:w="1706"/>
        <w:gridCol w:w="1543"/>
        <w:gridCol w:w="1292"/>
        <w:gridCol w:w="1704"/>
        <w:gridCol w:w="1319"/>
      </w:tblGrid>
      <w:tr w14:paraId="595E8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28" w:type="dxa"/>
            <w:tcBorders>
              <w:tl2br w:val="single" w:color="auto" w:sz="4" w:space="0"/>
            </w:tcBorders>
            <w:noWrap w:val="0"/>
            <w:tcMar>
              <w:left w:w="28" w:type="dxa"/>
              <w:right w:w="28" w:type="dxa"/>
            </w:tcMar>
            <w:vAlign w:val="center"/>
          </w:tcPr>
          <w:p w14:paraId="2BF1798E">
            <w:pPr>
              <w:bidi w:val="0"/>
              <w:jc w:val="center"/>
              <w:rPr>
                <w:rFonts w:hint="eastAsia"/>
                <w:sz w:val="22"/>
                <w:szCs w:val="22"/>
              </w:rPr>
            </w:pPr>
            <w:r>
              <w:rPr>
                <w:rFonts w:hint="eastAsia"/>
                <w:sz w:val="22"/>
                <w:szCs w:val="22"/>
                <w:lang w:val="en-US" w:eastAsia="zh-CN"/>
              </w:rPr>
              <w:t xml:space="preserve">    </w:t>
            </w:r>
            <w:r>
              <w:rPr>
                <w:rFonts w:hint="eastAsia"/>
                <w:sz w:val="22"/>
                <w:szCs w:val="22"/>
              </w:rPr>
              <w:t>项目</w:t>
            </w:r>
          </w:p>
          <w:p w14:paraId="08DF4EFC">
            <w:pPr>
              <w:bidi w:val="0"/>
              <w:jc w:val="center"/>
              <w:rPr>
                <w:rFonts w:hint="eastAsia"/>
                <w:sz w:val="22"/>
                <w:szCs w:val="22"/>
              </w:rPr>
            </w:pPr>
          </w:p>
          <w:p w14:paraId="5A25D712">
            <w:pPr>
              <w:bidi w:val="0"/>
              <w:ind w:firstLine="220" w:firstLineChars="100"/>
              <w:jc w:val="both"/>
              <w:rPr>
                <w:rFonts w:hint="eastAsia"/>
                <w:sz w:val="22"/>
                <w:szCs w:val="22"/>
              </w:rPr>
            </w:pPr>
            <w:r>
              <w:rPr>
                <w:rFonts w:hint="eastAsia"/>
                <w:sz w:val="22"/>
                <w:szCs w:val="22"/>
              </w:rPr>
              <w:t>分类</w:t>
            </w:r>
          </w:p>
        </w:tc>
        <w:tc>
          <w:tcPr>
            <w:tcW w:w="1389" w:type="dxa"/>
            <w:noWrap w:val="0"/>
            <w:tcMar>
              <w:left w:w="28" w:type="dxa"/>
              <w:right w:w="28" w:type="dxa"/>
            </w:tcMar>
            <w:vAlign w:val="center"/>
          </w:tcPr>
          <w:p w14:paraId="3D64F47A">
            <w:pPr>
              <w:bidi w:val="0"/>
              <w:jc w:val="center"/>
              <w:rPr>
                <w:rFonts w:hint="eastAsia" w:ascii="黑体" w:hAnsi="黑体" w:eastAsia="黑体" w:cs="黑体"/>
                <w:sz w:val="22"/>
                <w:szCs w:val="22"/>
              </w:rPr>
            </w:pPr>
            <w:r>
              <w:rPr>
                <w:rFonts w:hint="eastAsia" w:ascii="黑体" w:hAnsi="黑体" w:eastAsia="黑体" w:cs="黑体"/>
                <w:sz w:val="22"/>
                <w:szCs w:val="22"/>
              </w:rPr>
              <w:t>污染物名称</w:t>
            </w:r>
          </w:p>
        </w:tc>
        <w:tc>
          <w:tcPr>
            <w:tcW w:w="1757" w:type="dxa"/>
            <w:noWrap w:val="0"/>
            <w:tcMar>
              <w:left w:w="28" w:type="dxa"/>
              <w:right w:w="28" w:type="dxa"/>
            </w:tcMar>
            <w:vAlign w:val="center"/>
          </w:tcPr>
          <w:p w14:paraId="14F5FE75">
            <w:pPr>
              <w:bidi w:val="0"/>
              <w:jc w:val="center"/>
              <w:rPr>
                <w:rFonts w:hint="eastAsia" w:ascii="黑体" w:hAnsi="黑体" w:eastAsia="黑体" w:cs="黑体"/>
                <w:sz w:val="22"/>
                <w:szCs w:val="22"/>
              </w:rPr>
            </w:pPr>
            <w:r>
              <w:rPr>
                <w:rFonts w:hint="eastAsia" w:ascii="黑体" w:hAnsi="黑体" w:eastAsia="黑体" w:cs="黑体"/>
                <w:sz w:val="22"/>
                <w:szCs w:val="22"/>
              </w:rPr>
              <w:t>现有工程排放量（固体废物产生量）</w:t>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 1 \* GB3 \* MERGEFORMAT </w:instrText>
            </w:r>
            <w:r>
              <w:rPr>
                <w:rFonts w:hint="eastAsia" w:ascii="黑体" w:hAnsi="黑体" w:eastAsia="黑体" w:cs="黑体"/>
                <w:sz w:val="22"/>
                <w:szCs w:val="22"/>
              </w:rPr>
              <w:fldChar w:fldCharType="separate"/>
            </w:r>
            <w:r>
              <w:rPr>
                <w:rFonts w:hint="eastAsia" w:ascii="黑体" w:hAnsi="黑体" w:eastAsia="黑体" w:cs="黑体"/>
                <w:sz w:val="22"/>
                <w:szCs w:val="22"/>
              </w:rPr>
              <w:t>①</w:t>
            </w:r>
            <w:r>
              <w:rPr>
                <w:rFonts w:hint="eastAsia" w:ascii="黑体" w:hAnsi="黑体" w:eastAsia="黑体" w:cs="黑体"/>
                <w:sz w:val="22"/>
                <w:szCs w:val="22"/>
              </w:rPr>
              <w:fldChar w:fldCharType="end"/>
            </w:r>
          </w:p>
        </w:tc>
        <w:tc>
          <w:tcPr>
            <w:tcW w:w="1260" w:type="dxa"/>
            <w:noWrap w:val="0"/>
            <w:tcMar>
              <w:left w:w="28" w:type="dxa"/>
              <w:right w:w="28" w:type="dxa"/>
            </w:tcMar>
            <w:vAlign w:val="center"/>
          </w:tcPr>
          <w:p w14:paraId="7434738A">
            <w:pPr>
              <w:bidi w:val="0"/>
              <w:jc w:val="center"/>
              <w:rPr>
                <w:rFonts w:hint="eastAsia" w:ascii="黑体" w:hAnsi="黑体" w:eastAsia="黑体" w:cs="黑体"/>
                <w:sz w:val="22"/>
                <w:szCs w:val="22"/>
              </w:rPr>
            </w:pPr>
            <w:r>
              <w:rPr>
                <w:rFonts w:hint="eastAsia" w:ascii="黑体" w:hAnsi="黑体" w:eastAsia="黑体" w:cs="黑体"/>
                <w:sz w:val="22"/>
                <w:szCs w:val="22"/>
              </w:rPr>
              <w:t>现有工程许可排放量</w:t>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 2 \* GB3 \* MERGEFORMAT </w:instrText>
            </w:r>
            <w:r>
              <w:rPr>
                <w:rFonts w:hint="eastAsia" w:ascii="黑体" w:hAnsi="黑体" w:eastAsia="黑体" w:cs="黑体"/>
                <w:sz w:val="22"/>
                <w:szCs w:val="22"/>
              </w:rPr>
              <w:fldChar w:fldCharType="separate"/>
            </w:r>
            <w:r>
              <w:rPr>
                <w:rFonts w:hint="eastAsia" w:ascii="黑体" w:hAnsi="黑体" w:eastAsia="黑体" w:cs="黑体"/>
                <w:sz w:val="22"/>
                <w:szCs w:val="22"/>
              </w:rPr>
              <w:t>②</w:t>
            </w:r>
            <w:r>
              <w:rPr>
                <w:rFonts w:hint="eastAsia" w:ascii="黑体" w:hAnsi="黑体" w:eastAsia="黑体" w:cs="黑体"/>
                <w:sz w:val="22"/>
                <w:szCs w:val="22"/>
              </w:rPr>
              <w:fldChar w:fldCharType="end"/>
            </w:r>
          </w:p>
        </w:tc>
        <w:tc>
          <w:tcPr>
            <w:tcW w:w="1706" w:type="dxa"/>
            <w:noWrap w:val="0"/>
            <w:tcMar>
              <w:left w:w="28" w:type="dxa"/>
              <w:right w:w="28" w:type="dxa"/>
            </w:tcMar>
            <w:vAlign w:val="center"/>
          </w:tcPr>
          <w:p w14:paraId="5D5C4887">
            <w:pPr>
              <w:bidi w:val="0"/>
              <w:jc w:val="center"/>
              <w:rPr>
                <w:rFonts w:hint="eastAsia" w:ascii="黑体" w:hAnsi="黑体" w:eastAsia="黑体" w:cs="黑体"/>
                <w:sz w:val="22"/>
                <w:szCs w:val="22"/>
              </w:rPr>
            </w:pPr>
            <w:r>
              <w:rPr>
                <w:rFonts w:hint="eastAsia" w:ascii="黑体" w:hAnsi="黑体" w:eastAsia="黑体" w:cs="黑体"/>
                <w:sz w:val="22"/>
                <w:szCs w:val="22"/>
              </w:rPr>
              <w:t>在建工程排放量（固体废物产生量）</w:t>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 3 \* GB3 \* MERGEFORMAT </w:instrText>
            </w:r>
            <w:r>
              <w:rPr>
                <w:rFonts w:hint="eastAsia" w:ascii="黑体" w:hAnsi="黑体" w:eastAsia="黑体" w:cs="黑体"/>
                <w:sz w:val="22"/>
                <w:szCs w:val="22"/>
              </w:rPr>
              <w:fldChar w:fldCharType="separate"/>
            </w:r>
            <w:r>
              <w:rPr>
                <w:rFonts w:hint="eastAsia" w:ascii="黑体" w:hAnsi="黑体" w:eastAsia="黑体" w:cs="黑体"/>
                <w:sz w:val="22"/>
                <w:szCs w:val="22"/>
              </w:rPr>
              <w:t>③</w:t>
            </w:r>
            <w:r>
              <w:rPr>
                <w:rFonts w:hint="eastAsia" w:ascii="黑体" w:hAnsi="黑体" w:eastAsia="黑体" w:cs="黑体"/>
                <w:sz w:val="22"/>
                <w:szCs w:val="22"/>
              </w:rPr>
              <w:fldChar w:fldCharType="end"/>
            </w:r>
          </w:p>
        </w:tc>
        <w:tc>
          <w:tcPr>
            <w:tcW w:w="1543" w:type="dxa"/>
            <w:noWrap w:val="0"/>
            <w:tcMar>
              <w:left w:w="28" w:type="dxa"/>
              <w:right w:w="28" w:type="dxa"/>
            </w:tcMar>
            <w:vAlign w:val="center"/>
          </w:tcPr>
          <w:p w14:paraId="0353DBF6">
            <w:pPr>
              <w:bidi w:val="0"/>
              <w:jc w:val="center"/>
              <w:rPr>
                <w:rFonts w:hint="eastAsia" w:ascii="黑体" w:hAnsi="黑体" w:eastAsia="黑体" w:cs="黑体"/>
                <w:sz w:val="22"/>
                <w:szCs w:val="22"/>
              </w:rPr>
            </w:pPr>
            <w:r>
              <w:rPr>
                <w:rFonts w:hint="eastAsia" w:ascii="黑体" w:hAnsi="黑体" w:eastAsia="黑体" w:cs="黑体"/>
                <w:sz w:val="22"/>
                <w:szCs w:val="22"/>
              </w:rPr>
              <w:t>本项目排放量（固体废物产生量）</w:t>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 4 \* GB3 \* MERGEFORMAT </w:instrText>
            </w:r>
            <w:r>
              <w:rPr>
                <w:rFonts w:hint="eastAsia" w:ascii="黑体" w:hAnsi="黑体" w:eastAsia="黑体" w:cs="黑体"/>
                <w:sz w:val="22"/>
                <w:szCs w:val="22"/>
              </w:rPr>
              <w:fldChar w:fldCharType="separate"/>
            </w:r>
            <w:r>
              <w:rPr>
                <w:rFonts w:hint="eastAsia" w:ascii="黑体" w:hAnsi="黑体" w:eastAsia="黑体" w:cs="黑体"/>
                <w:sz w:val="22"/>
                <w:szCs w:val="22"/>
              </w:rPr>
              <w:t>④</w:t>
            </w:r>
            <w:r>
              <w:rPr>
                <w:rFonts w:hint="eastAsia" w:ascii="黑体" w:hAnsi="黑体" w:eastAsia="黑体" w:cs="黑体"/>
                <w:sz w:val="22"/>
                <w:szCs w:val="22"/>
              </w:rPr>
              <w:fldChar w:fldCharType="end"/>
            </w:r>
          </w:p>
        </w:tc>
        <w:tc>
          <w:tcPr>
            <w:tcW w:w="1292" w:type="dxa"/>
            <w:noWrap w:val="0"/>
            <w:tcMar>
              <w:left w:w="28" w:type="dxa"/>
              <w:right w:w="28" w:type="dxa"/>
            </w:tcMar>
            <w:vAlign w:val="center"/>
          </w:tcPr>
          <w:p w14:paraId="5D2C66F3">
            <w:pPr>
              <w:bidi w:val="0"/>
              <w:jc w:val="center"/>
              <w:rPr>
                <w:rFonts w:hint="eastAsia" w:ascii="黑体" w:hAnsi="黑体" w:eastAsia="黑体" w:cs="黑体"/>
                <w:sz w:val="22"/>
                <w:szCs w:val="22"/>
              </w:rPr>
            </w:pPr>
            <w:r>
              <w:rPr>
                <w:rFonts w:hint="eastAsia" w:ascii="黑体" w:hAnsi="黑体" w:eastAsia="黑体" w:cs="黑体"/>
                <w:sz w:val="22"/>
                <w:szCs w:val="22"/>
              </w:rPr>
              <w:t>以新带老削减量（新建项目不填）</w:t>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 5 \* GB3 \* MERGEFORMAT </w:instrText>
            </w:r>
            <w:r>
              <w:rPr>
                <w:rFonts w:hint="eastAsia" w:ascii="黑体" w:hAnsi="黑体" w:eastAsia="黑体" w:cs="黑体"/>
                <w:sz w:val="22"/>
                <w:szCs w:val="22"/>
              </w:rPr>
              <w:fldChar w:fldCharType="separate"/>
            </w:r>
            <w:r>
              <w:rPr>
                <w:rFonts w:hint="eastAsia" w:ascii="黑体" w:hAnsi="黑体" w:eastAsia="黑体" w:cs="黑体"/>
                <w:sz w:val="22"/>
                <w:szCs w:val="22"/>
              </w:rPr>
              <w:t>⑤</w:t>
            </w:r>
            <w:r>
              <w:rPr>
                <w:rFonts w:hint="eastAsia" w:ascii="黑体" w:hAnsi="黑体" w:eastAsia="黑体" w:cs="黑体"/>
                <w:sz w:val="22"/>
                <w:szCs w:val="22"/>
              </w:rPr>
              <w:fldChar w:fldCharType="end"/>
            </w:r>
          </w:p>
        </w:tc>
        <w:tc>
          <w:tcPr>
            <w:tcW w:w="1704" w:type="dxa"/>
            <w:noWrap w:val="0"/>
            <w:tcMar>
              <w:left w:w="28" w:type="dxa"/>
              <w:right w:w="28" w:type="dxa"/>
            </w:tcMar>
            <w:vAlign w:val="center"/>
          </w:tcPr>
          <w:p w14:paraId="747998E7">
            <w:pPr>
              <w:bidi w:val="0"/>
              <w:jc w:val="center"/>
              <w:rPr>
                <w:rFonts w:hint="eastAsia" w:ascii="黑体" w:hAnsi="黑体" w:eastAsia="黑体" w:cs="黑体"/>
                <w:sz w:val="22"/>
                <w:szCs w:val="22"/>
              </w:rPr>
            </w:pPr>
            <w:r>
              <w:rPr>
                <w:rFonts w:hint="eastAsia" w:ascii="黑体" w:hAnsi="黑体" w:eastAsia="黑体" w:cs="黑体"/>
                <w:sz w:val="22"/>
                <w:szCs w:val="22"/>
              </w:rPr>
              <w:t>本项目建成后全厂排放量（固体废物产生量）</w:t>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 6 \* GB3 \* MERGEFORMAT </w:instrText>
            </w:r>
            <w:r>
              <w:rPr>
                <w:rFonts w:hint="eastAsia" w:ascii="黑体" w:hAnsi="黑体" w:eastAsia="黑体" w:cs="黑体"/>
                <w:sz w:val="22"/>
                <w:szCs w:val="22"/>
              </w:rPr>
              <w:fldChar w:fldCharType="separate"/>
            </w:r>
            <w:r>
              <w:rPr>
                <w:rFonts w:hint="eastAsia" w:ascii="黑体" w:hAnsi="黑体" w:eastAsia="黑体" w:cs="黑体"/>
                <w:sz w:val="22"/>
                <w:szCs w:val="22"/>
              </w:rPr>
              <w:t>⑥</w:t>
            </w:r>
            <w:r>
              <w:rPr>
                <w:rFonts w:hint="eastAsia" w:ascii="黑体" w:hAnsi="黑体" w:eastAsia="黑体" w:cs="黑体"/>
                <w:sz w:val="22"/>
                <w:szCs w:val="22"/>
              </w:rPr>
              <w:fldChar w:fldCharType="end"/>
            </w:r>
          </w:p>
        </w:tc>
        <w:tc>
          <w:tcPr>
            <w:tcW w:w="1319" w:type="dxa"/>
            <w:noWrap w:val="0"/>
            <w:tcMar>
              <w:left w:w="28" w:type="dxa"/>
              <w:right w:w="28" w:type="dxa"/>
            </w:tcMar>
            <w:vAlign w:val="center"/>
          </w:tcPr>
          <w:p w14:paraId="25C69680">
            <w:pPr>
              <w:bidi w:val="0"/>
              <w:jc w:val="center"/>
              <w:rPr>
                <w:rFonts w:hint="eastAsia" w:ascii="黑体" w:hAnsi="黑体" w:eastAsia="黑体" w:cs="黑体"/>
                <w:sz w:val="22"/>
                <w:szCs w:val="22"/>
              </w:rPr>
            </w:pPr>
            <w:r>
              <w:rPr>
                <w:rFonts w:hint="eastAsia" w:ascii="黑体" w:hAnsi="黑体" w:eastAsia="黑体" w:cs="黑体"/>
                <w:sz w:val="22"/>
                <w:szCs w:val="22"/>
              </w:rPr>
              <w:t>变化量</w:t>
            </w:r>
          </w:p>
          <w:p w14:paraId="4DFFBBBC">
            <w:pPr>
              <w:bidi w:val="0"/>
              <w:jc w:val="center"/>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 7 \* GB3 \* MERGEFORMAT </w:instrText>
            </w:r>
            <w:r>
              <w:rPr>
                <w:rFonts w:hint="eastAsia" w:ascii="黑体" w:hAnsi="黑体" w:eastAsia="黑体" w:cs="黑体"/>
                <w:sz w:val="22"/>
                <w:szCs w:val="22"/>
              </w:rPr>
              <w:fldChar w:fldCharType="separate"/>
            </w:r>
            <w:r>
              <w:rPr>
                <w:rFonts w:hint="eastAsia" w:ascii="黑体" w:hAnsi="黑体" w:eastAsia="黑体" w:cs="黑体"/>
                <w:sz w:val="22"/>
                <w:szCs w:val="22"/>
              </w:rPr>
              <w:t>⑦</w:t>
            </w:r>
            <w:r>
              <w:rPr>
                <w:rFonts w:hint="eastAsia" w:ascii="黑体" w:hAnsi="黑体" w:eastAsia="黑体" w:cs="黑体"/>
                <w:sz w:val="22"/>
                <w:szCs w:val="22"/>
              </w:rPr>
              <w:fldChar w:fldCharType="end"/>
            </w:r>
          </w:p>
        </w:tc>
      </w:tr>
      <w:tr w14:paraId="0EC5B8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restart"/>
            <w:noWrap w:val="0"/>
            <w:vAlign w:val="center"/>
          </w:tcPr>
          <w:p w14:paraId="7D7190D7">
            <w:pPr>
              <w:bidi w:val="0"/>
              <w:jc w:val="center"/>
              <w:rPr>
                <w:rFonts w:hint="eastAsia"/>
                <w:sz w:val="21"/>
                <w:szCs w:val="21"/>
              </w:rPr>
            </w:pPr>
            <w:r>
              <w:rPr>
                <w:rFonts w:hint="eastAsia"/>
                <w:sz w:val="21"/>
                <w:szCs w:val="21"/>
              </w:rPr>
              <w:t>废气</w:t>
            </w:r>
          </w:p>
        </w:tc>
        <w:tc>
          <w:tcPr>
            <w:tcW w:w="1389" w:type="dxa"/>
            <w:noWrap w:val="0"/>
            <w:vAlign w:val="center"/>
          </w:tcPr>
          <w:p w14:paraId="14B20490">
            <w:pPr>
              <w:bidi w:val="0"/>
              <w:jc w:val="center"/>
              <w:rPr>
                <w:rFonts w:hint="eastAsia" w:eastAsia="宋体"/>
                <w:sz w:val="21"/>
                <w:szCs w:val="21"/>
                <w:lang w:val="en-US" w:eastAsia="zh-CN"/>
              </w:rPr>
            </w:pPr>
            <w:r>
              <w:rPr>
                <w:rFonts w:hint="eastAsia"/>
                <w:sz w:val="21"/>
                <w:szCs w:val="21"/>
                <w:lang w:val="en-US" w:eastAsia="zh-CN"/>
              </w:rPr>
              <w:t>颗粒物</w:t>
            </w:r>
          </w:p>
        </w:tc>
        <w:tc>
          <w:tcPr>
            <w:tcW w:w="1757" w:type="dxa"/>
            <w:noWrap w:val="0"/>
            <w:vAlign w:val="center"/>
          </w:tcPr>
          <w:p w14:paraId="228CDB5D">
            <w:pPr>
              <w:bidi w:val="0"/>
              <w:jc w:val="center"/>
              <w:rPr>
                <w:rFonts w:hint="default" w:eastAsia="宋体"/>
                <w:sz w:val="21"/>
                <w:szCs w:val="21"/>
                <w:lang w:val="en-US" w:eastAsia="zh-CN"/>
              </w:rPr>
            </w:pPr>
            <w:r>
              <w:rPr>
                <w:rFonts w:hint="eastAsia"/>
                <w:sz w:val="21"/>
                <w:szCs w:val="21"/>
                <w:lang w:val="en-US" w:eastAsia="zh-CN"/>
              </w:rPr>
              <w:t>/</w:t>
            </w:r>
          </w:p>
        </w:tc>
        <w:tc>
          <w:tcPr>
            <w:tcW w:w="1260" w:type="dxa"/>
            <w:shd w:val="clear" w:color="auto" w:fill="auto"/>
            <w:noWrap w:val="0"/>
            <w:vAlign w:val="center"/>
          </w:tcPr>
          <w:p w14:paraId="05BF088B">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6" w:type="dxa"/>
            <w:noWrap w:val="0"/>
            <w:vAlign w:val="center"/>
          </w:tcPr>
          <w:p w14:paraId="6845B44F">
            <w:pPr>
              <w:bidi w:val="0"/>
              <w:jc w:val="center"/>
              <w:rPr>
                <w:rFonts w:hint="eastAsia" w:eastAsia="宋体"/>
                <w:sz w:val="21"/>
                <w:szCs w:val="21"/>
                <w:lang w:val="en-US" w:eastAsia="zh-CN"/>
              </w:rPr>
            </w:pPr>
            <w:r>
              <w:rPr>
                <w:rFonts w:hint="eastAsia"/>
                <w:sz w:val="21"/>
                <w:szCs w:val="21"/>
                <w:lang w:val="en-US" w:eastAsia="zh-CN"/>
              </w:rPr>
              <w:t>/</w:t>
            </w:r>
          </w:p>
        </w:tc>
        <w:tc>
          <w:tcPr>
            <w:tcW w:w="1543" w:type="dxa"/>
            <w:noWrap w:val="0"/>
            <w:vAlign w:val="center"/>
          </w:tcPr>
          <w:p w14:paraId="4003DB0A">
            <w:pPr>
              <w:bidi w:val="0"/>
              <w:jc w:val="center"/>
              <w:rPr>
                <w:rFonts w:hint="default" w:eastAsia="宋体"/>
                <w:sz w:val="21"/>
                <w:szCs w:val="21"/>
                <w:lang w:val="en-US" w:eastAsia="zh-CN"/>
              </w:rPr>
            </w:pPr>
            <w:r>
              <w:rPr>
                <w:rFonts w:hint="eastAsia"/>
                <w:sz w:val="21"/>
                <w:szCs w:val="21"/>
                <w:lang w:val="en-US" w:eastAsia="zh-CN"/>
              </w:rPr>
              <w:t>0.66</w:t>
            </w:r>
          </w:p>
        </w:tc>
        <w:tc>
          <w:tcPr>
            <w:tcW w:w="1292" w:type="dxa"/>
            <w:shd w:val="clear" w:color="auto" w:fill="auto"/>
            <w:noWrap w:val="0"/>
            <w:vAlign w:val="center"/>
          </w:tcPr>
          <w:p w14:paraId="0F838E77">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noWrap w:val="0"/>
            <w:vAlign w:val="center"/>
          </w:tcPr>
          <w:p w14:paraId="5C7FCDD9">
            <w:pPr>
              <w:bidi w:val="0"/>
              <w:jc w:val="center"/>
              <w:rPr>
                <w:rFonts w:hint="default" w:eastAsia="宋体"/>
                <w:sz w:val="21"/>
                <w:szCs w:val="21"/>
                <w:lang w:val="en-US" w:eastAsia="zh-CN"/>
              </w:rPr>
            </w:pPr>
            <w:r>
              <w:rPr>
                <w:rFonts w:hint="eastAsia"/>
                <w:sz w:val="21"/>
                <w:szCs w:val="21"/>
                <w:lang w:val="en-US" w:eastAsia="zh-CN"/>
              </w:rPr>
              <w:t>0.66</w:t>
            </w:r>
          </w:p>
        </w:tc>
        <w:tc>
          <w:tcPr>
            <w:tcW w:w="1319" w:type="dxa"/>
            <w:shd w:val="clear" w:color="auto" w:fill="auto"/>
            <w:noWrap w:val="0"/>
            <w:vAlign w:val="center"/>
          </w:tcPr>
          <w:p w14:paraId="031A90EF">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+0.66</w:t>
            </w:r>
          </w:p>
        </w:tc>
      </w:tr>
      <w:tr w14:paraId="47123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continue"/>
            <w:noWrap w:val="0"/>
            <w:vAlign w:val="center"/>
          </w:tcPr>
          <w:p w14:paraId="6AE490F3">
            <w:pPr>
              <w:bidi w:val="0"/>
              <w:jc w:val="center"/>
              <w:rPr>
                <w:rFonts w:hint="eastAsia"/>
                <w:sz w:val="21"/>
                <w:szCs w:val="21"/>
              </w:rPr>
            </w:pPr>
          </w:p>
        </w:tc>
        <w:tc>
          <w:tcPr>
            <w:tcW w:w="1389" w:type="dxa"/>
            <w:noWrap w:val="0"/>
            <w:vAlign w:val="center"/>
          </w:tcPr>
          <w:p w14:paraId="12CFC6DE">
            <w:pPr>
              <w:bidi w:val="0"/>
              <w:jc w:val="center"/>
              <w:rPr>
                <w:rFonts w:hint="default" w:eastAsia="宋体"/>
                <w:sz w:val="21"/>
                <w:szCs w:val="21"/>
                <w:lang w:val="en-US" w:eastAsia="zh-CN"/>
              </w:rPr>
            </w:pPr>
            <w:r>
              <w:rPr>
                <w:rFonts w:hint="eastAsia"/>
                <w:sz w:val="21"/>
                <w:szCs w:val="21"/>
                <w:lang w:val="en-US" w:eastAsia="zh-CN"/>
              </w:rPr>
              <w:t>VOCs</w:t>
            </w:r>
          </w:p>
        </w:tc>
        <w:tc>
          <w:tcPr>
            <w:tcW w:w="1757" w:type="dxa"/>
            <w:noWrap w:val="0"/>
            <w:vAlign w:val="center"/>
          </w:tcPr>
          <w:p w14:paraId="3C350B0B">
            <w:pPr>
              <w:bidi w:val="0"/>
              <w:jc w:val="center"/>
              <w:rPr>
                <w:rFonts w:hint="default" w:eastAsia="宋体"/>
                <w:sz w:val="21"/>
                <w:szCs w:val="21"/>
                <w:lang w:val="en-US" w:eastAsia="zh-CN"/>
              </w:rPr>
            </w:pPr>
            <w:r>
              <w:rPr>
                <w:rFonts w:hint="eastAsia"/>
                <w:sz w:val="21"/>
                <w:szCs w:val="21"/>
                <w:lang w:val="en-US" w:eastAsia="zh-CN"/>
              </w:rPr>
              <w:t>0.14</w:t>
            </w:r>
          </w:p>
        </w:tc>
        <w:tc>
          <w:tcPr>
            <w:tcW w:w="1260" w:type="dxa"/>
            <w:shd w:val="clear" w:color="auto" w:fill="auto"/>
            <w:noWrap w:val="0"/>
            <w:vAlign w:val="center"/>
          </w:tcPr>
          <w:p w14:paraId="592ABBB6">
            <w:pPr>
              <w:bidi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1706" w:type="dxa"/>
            <w:noWrap w:val="0"/>
            <w:vAlign w:val="center"/>
          </w:tcPr>
          <w:p w14:paraId="1C302550">
            <w:pPr>
              <w:bidi w:val="0"/>
              <w:jc w:val="center"/>
              <w:rPr>
                <w:rFonts w:hint="eastAsia" w:eastAsia="宋体"/>
                <w:sz w:val="21"/>
                <w:szCs w:val="21"/>
                <w:lang w:val="en-US" w:eastAsia="zh-CN"/>
              </w:rPr>
            </w:pPr>
            <w:r>
              <w:rPr>
                <w:rFonts w:hint="eastAsia"/>
                <w:sz w:val="21"/>
                <w:szCs w:val="21"/>
                <w:lang w:val="en-US" w:eastAsia="zh-CN"/>
              </w:rPr>
              <w:t>/</w:t>
            </w:r>
          </w:p>
        </w:tc>
        <w:tc>
          <w:tcPr>
            <w:tcW w:w="1543" w:type="dxa"/>
            <w:noWrap w:val="0"/>
            <w:vAlign w:val="center"/>
          </w:tcPr>
          <w:p w14:paraId="453F3E2D">
            <w:pPr>
              <w:bidi w:val="0"/>
              <w:jc w:val="center"/>
              <w:rPr>
                <w:rFonts w:hint="default" w:eastAsia="宋体"/>
                <w:sz w:val="21"/>
                <w:szCs w:val="21"/>
                <w:lang w:val="en-US" w:eastAsia="zh-CN"/>
              </w:rPr>
            </w:pPr>
            <w:r>
              <w:rPr>
                <w:rFonts w:hint="eastAsia"/>
                <w:sz w:val="21"/>
                <w:szCs w:val="21"/>
                <w:lang w:val="en-US" w:eastAsia="zh-CN"/>
              </w:rPr>
              <w:t>0</w:t>
            </w:r>
          </w:p>
        </w:tc>
        <w:tc>
          <w:tcPr>
            <w:tcW w:w="1292" w:type="dxa"/>
            <w:shd w:val="clear" w:color="auto" w:fill="auto"/>
            <w:noWrap w:val="0"/>
            <w:vAlign w:val="center"/>
          </w:tcPr>
          <w:p w14:paraId="3EC87C83">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shd w:val="clear" w:color="auto" w:fill="auto"/>
            <w:noWrap w:val="0"/>
            <w:vAlign w:val="center"/>
          </w:tcPr>
          <w:p w14:paraId="5B1EA8FF">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0.14</w:t>
            </w:r>
          </w:p>
        </w:tc>
        <w:tc>
          <w:tcPr>
            <w:tcW w:w="1319" w:type="dxa"/>
            <w:shd w:val="clear" w:color="auto" w:fill="auto"/>
            <w:noWrap w:val="0"/>
            <w:vAlign w:val="center"/>
          </w:tcPr>
          <w:p w14:paraId="3F8733DC">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w:t>
            </w:r>
          </w:p>
        </w:tc>
      </w:tr>
      <w:tr w14:paraId="251800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continue"/>
            <w:noWrap w:val="0"/>
            <w:vAlign w:val="center"/>
          </w:tcPr>
          <w:p w14:paraId="1C59873A">
            <w:pPr>
              <w:bidi w:val="0"/>
              <w:jc w:val="center"/>
              <w:rPr>
                <w:rFonts w:hint="eastAsia"/>
                <w:sz w:val="21"/>
                <w:szCs w:val="21"/>
              </w:rPr>
            </w:pPr>
          </w:p>
        </w:tc>
        <w:tc>
          <w:tcPr>
            <w:tcW w:w="1389" w:type="dxa"/>
            <w:noWrap w:val="0"/>
            <w:vAlign w:val="center"/>
          </w:tcPr>
          <w:p w14:paraId="17B98708">
            <w:pPr>
              <w:bidi w:val="0"/>
              <w:jc w:val="center"/>
              <w:rPr>
                <w:rFonts w:hint="eastAsia" w:eastAsia="宋体"/>
                <w:sz w:val="21"/>
                <w:szCs w:val="21"/>
                <w:lang w:val="en-US" w:eastAsia="zh-CN"/>
              </w:rPr>
            </w:pPr>
            <w:r>
              <w:rPr>
                <w:rFonts w:hint="eastAsia"/>
                <w:sz w:val="21"/>
                <w:szCs w:val="21"/>
                <w:lang w:val="en-US" w:eastAsia="zh-CN"/>
              </w:rPr>
              <w:t>二甲苯</w:t>
            </w:r>
          </w:p>
        </w:tc>
        <w:tc>
          <w:tcPr>
            <w:tcW w:w="1757" w:type="dxa"/>
            <w:noWrap w:val="0"/>
            <w:vAlign w:val="center"/>
          </w:tcPr>
          <w:p w14:paraId="2871627C">
            <w:pPr>
              <w:bidi w:val="0"/>
              <w:jc w:val="center"/>
              <w:rPr>
                <w:rFonts w:hint="default" w:eastAsia="宋体"/>
                <w:sz w:val="21"/>
                <w:szCs w:val="21"/>
                <w:lang w:val="en-US" w:eastAsia="zh-CN"/>
              </w:rPr>
            </w:pPr>
            <w:r>
              <w:rPr>
                <w:rFonts w:hint="eastAsia"/>
                <w:sz w:val="21"/>
                <w:szCs w:val="21"/>
                <w:lang w:val="en-US" w:eastAsia="zh-CN"/>
              </w:rPr>
              <w:t>0.07</w:t>
            </w:r>
          </w:p>
        </w:tc>
        <w:tc>
          <w:tcPr>
            <w:tcW w:w="1260" w:type="dxa"/>
            <w:shd w:val="clear" w:color="auto" w:fill="auto"/>
            <w:noWrap w:val="0"/>
            <w:vAlign w:val="center"/>
          </w:tcPr>
          <w:p w14:paraId="19CB7B47">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6" w:type="dxa"/>
            <w:noWrap w:val="0"/>
            <w:vAlign w:val="center"/>
          </w:tcPr>
          <w:p w14:paraId="09E26EE6">
            <w:pPr>
              <w:bidi w:val="0"/>
              <w:jc w:val="center"/>
              <w:rPr>
                <w:rFonts w:hint="eastAsia" w:eastAsia="宋体"/>
                <w:sz w:val="21"/>
                <w:szCs w:val="21"/>
                <w:lang w:val="en-US" w:eastAsia="zh-CN"/>
              </w:rPr>
            </w:pPr>
            <w:r>
              <w:rPr>
                <w:rFonts w:hint="eastAsia"/>
                <w:sz w:val="21"/>
                <w:szCs w:val="21"/>
                <w:lang w:val="en-US" w:eastAsia="zh-CN"/>
              </w:rPr>
              <w:t>/</w:t>
            </w:r>
          </w:p>
        </w:tc>
        <w:tc>
          <w:tcPr>
            <w:tcW w:w="1543" w:type="dxa"/>
            <w:noWrap w:val="0"/>
            <w:vAlign w:val="center"/>
          </w:tcPr>
          <w:p w14:paraId="118F3971">
            <w:pPr>
              <w:bidi w:val="0"/>
              <w:jc w:val="center"/>
              <w:rPr>
                <w:rFonts w:hint="default" w:eastAsia="宋体"/>
                <w:sz w:val="21"/>
                <w:szCs w:val="21"/>
                <w:lang w:val="en-US" w:eastAsia="zh-CN"/>
              </w:rPr>
            </w:pPr>
            <w:r>
              <w:rPr>
                <w:rFonts w:hint="eastAsia"/>
                <w:sz w:val="21"/>
                <w:szCs w:val="21"/>
                <w:lang w:val="en-US" w:eastAsia="zh-CN"/>
              </w:rPr>
              <w:t>0</w:t>
            </w:r>
          </w:p>
        </w:tc>
        <w:tc>
          <w:tcPr>
            <w:tcW w:w="1292" w:type="dxa"/>
            <w:shd w:val="clear" w:color="auto" w:fill="auto"/>
            <w:noWrap w:val="0"/>
            <w:vAlign w:val="center"/>
          </w:tcPr>
          <w:p w14:paraId="067301A5">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shd w:val="clear" w:color="auto" w:fill="auto"/>
            <w:noWrap w:val="0"/>
            <w:vAlign w:val="center"/>
          </w:tcPr>
          <w:p w14:paraId="173D5C60">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0.07</w:t>
            </w:r>
          </w:p>
        </w:tc>
        <w:tc>
          <w:tcPr>
            <w:tcW w:w="1319" w:type="dxa"/>
            <w:shd w:val="clear" w:color="auto" w:fill="auto"/>
            <w:noWrap w:val="0"/>
            <w:vAlign w:val="center"/>
          </w:tcPr>
          <w:p w14:paraId="63E8FF49">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w:t>
            </w:r>
          </w:p>
        </w:tc>
      </w:tr>
      <w:tr w14:paraId="40DBF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restart"/>
            <w:noWrap w:val="0"/>
            <w:vAlign w:val="center"/>
          </w:tcPr>
          <w:p w14:paraId="27241EEC">
            <w:pPr>
              <w:bidi w:val="0"/>
              <w:jc w:val="center"/>
              <w:rPr>
                <w:rFonts w:hint="eastAsia"/>
                <w:sz w:val="21"/>
                <w:szCs w:val="21"/>
              </w:rPr>
            </w:pPr>
            <w:r>
              <w:rPr>
                <w:rFonts w:hint="eastAsia"/>
                <w:sz w:val="21"/>
                <w:szCs w:val="21"/>
              </w:rPr>
              <w:t>废水</w:t>
            </w:r>
          </w:p>
        </w:tc>
        <w:tc>
          <w:tcPr>
            <w:tcW w:w="1389" w:type="dxa"/>
            <w:noWrap w:val="0"/>
            <w:vAlign w:val="center"/>
          </w:tcPr>
          <w:p w14:paraId="77D91C06">
            <w:pPr>
              <w:bidi w:val="0"/>
              <w:jc w:val="center"/>
              <w:rPr>
                <w:rFonts w:hint="default" w:eastAsia="宋体"/>
                <w:sz w:val="21"/>
                <w:szCs w:val="21"/>
                <w:lang w:val="en-US" w:eastAsia="zh-CN"/>
              </w:rPr>
            </w:pPr>
            <w:r>
              <w:rPr>
                <w:rFonts w:hint="eastAsia"/>
                <w:sz w:val="21"/>
                <w:szCs w:val="21"/>
                <w:lang w:val="en-US" w:eastAsia="zh-CN"/>
              </w:rPr>
              <w:t>COD</w:t>
            </w:r>
          </w:p>
        </w:tc>
        <w:tc>
          <w:tcPr>
            <w:tcW w:w="1757" w:type="dxa"/>
            <w:noWrap w:val="0"/>
            <w:vAlign w:val="center"/>
          </w:tcPr>
          <w:p w14:paraId="58C99DA3">
            <w:pPr>
              <w:bidi w:val="0"/>
              <w:jc w:val="center"/>
              <w:rPr>
                <w:rFonts w:hint="default" w:eastAsia="宋体"/>
                <w:sz w:val="21"/>
                <w:szCs w:val="21"/>
                <w:lang w:val="en-US" w:eastAsia="zh-CN"/>
              </w:rPr>
            </w:pPr>
            <w:r>
              <w:rPr>
                <w:rFonts w:hint="eastAsia"/>
                <w:sz w:val="21"/>
                <w:szCs w:val="21"/>
                <w:lang w:val="en-US" w:eastAsia="zh-CN"/>
              </w:rPr>
              <w:t>0.03</w:t>
            </w:r>
          </w:p>
        </w:tc>
        <w:tc>
          <w:tcPr>
            <w:tcW w:w="1260" w:type="dxa"/>
            <w:noWrap w:val="0"/>
            <w:vAlign w:val="center"/>
          </w:tcPr>
          <w:p w14:paraId="353F490C">
            <w:pPr>
              <w:bidi w:val="0"/>
              <w:jc w:val="center"/>
              <w:rPr>
                <w:rFonts w:hint="eastAsia" w:eastAsia="宋体"/>
                <w:sz w:val="21"/>
                <w:szCs w:val="21"/>
                <w:lang w:val="en-US" w:eastAsia="zh-CN"/>
              </w:rPr>
            </w:pPr>
            <w:r>
              <w:rPr>
                <w:rFonts w:hint="eastAsia"/>
                <w:sz w:val="21"/>
                <w:szCs w:val="21"/>
                <w:lang w:val="en-US" w:eastAsia="zh-CN"/>
              </w:rPr>
              <w:t>/</w:t>
            </w:r>
          </w:p>
        </w:tc>
        <w:tc>
          <w:tcPr>
            <w:tcW w:w="1706" w:type="dxa"/>
            <w:noWrap w:val="0"/>
            <w:vAlign w:val="center"/>
          </w:tcPr>
          <w:p w14:paraId="3F885B1C">
            <w:pPr>
              <w:bidi w:val="0"/>
              <w:jc w:val="center"/>
              <w:rPr>
                <w:rFonts w:hint="eastAsia" w:eastAsia="宋体"/>
                <w:sz w:val="21"/>
                <w:szCs w:val="21"/>
                <w:lang w:val="en-US" w:eastAsia="zh-CN"/>
              </w:rPr>
            </w:pPr>
            <w:r>
              <w:rPr>
                <w:rFonts w:hint="eastAsia"/>
                <w:sz w:val="21"/>
                <w:szCs w:val="21"/>
                <w:lang w:val="en-US" w:eastAsia="zh-CN"/>
              </w:rPr>
              <w:t>/</w:t>
            </w:r>
          </w:p>
        </w:tc>
        <w:tc>
          <w:tcPr>
            <w:tcW w:w="1543" w:type="dxa"/>
            <w:noWrap w:val="0"/>
            <w:vAlign w:val="center"/>
          </w:tcPr>
          <w:p w14:paraId="70A6EBE2">
            <w:pPr>
              <w:bidi w:val="0"/>
              <w:jc w:val="center"/>
              <w:rPr>
                <w:rFonts w:hint="default" w:eastAsia="宋体"/>
                <w:sz w:val="21"/>
                <w:szCs w:val="21"/>
                <w:lang w:val="en-US" w:eastAsia="zh-CN"/>
              </w:rPr>
            </w:pPr>
            <w:r>
              <w:rPr>
                <w:rFonts w:hint="eastAsia"/>
                <w:sz w:val="21"/>
                <w:szCs w:val="21"/>
                <w:lang w:val="en-US" w:eastAsia="zh-CN"/>
              </w:rPr>
              <w:t>0</w:t>
            </w:r>
          </w:p>
        </w:tc>
        <w:tc>
          <w:tcPr>
            <w:tcW w:w="1292" w:type="dxa"/>
            <w:shd w:val="clear" w:color="auto" w:fill="auto"/>
            <w:noWrap w:val="0"/>
            <w:vAlign w:val="center"/>
          </w:tcPr>
          <w:p w14:paraId="4271923E">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shd w:val="clear" w:color="auto" w:fill="auto"/>
            <w:noWrap w:val="0"/>
            <w:vAlign w:val="center"/>
          </w:tcPr>
          <w:p w14:paraId="1BECF31B">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0.03</w:t>
            </w:r>
          </w:p>
        </w:tc>
        <w:tc>
          <w:tcPr>
            <w:tcW w:w="1319" w:type="dxa"/>
            <w:shd w:val="clear" w:color="auto" w:fill="auto"/>
            <w:noWrap w:val="0"/>
            <w:vAlign w:val="center"/>
          </w:tcPr>
          <w:p w14:paraId="06003D8E">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w:t>
            </w:r>
          </w:p>
        </w:tc>
      </w:tr>
      <w:tr w14:paraId="08D2F5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continue"/>
            <w:noWrap w:val="0"/>
            <w:vAlign w:val="center"/>
          </w:tcPr>
          <w:p w14:paraId="30DA9318">
            <w:pPr>
              <w:bidi w:val="0"/>
              <w:jc w:val="center"/>
              <w:rPr>
                <w:rFonts w:hint="eastAsia"/>
                <w:sz w:val="21"/>
                <w:szCs w:val="21"/>
              </w:rPr>
            </w:pPr>
          </w:p>
        </w:tc>
        <w:tc>
          <w:tcPr>
            <w:tcW w:w="1389" w:type="dxa"/>
            <w:noWrap w:val="0"/>
            <w:vAlign w:val="center"/>
          </w:tcPr>
          <w:p w14:paraId="4BB392D2">
            <w:pPr>
              <w:bidi w:val="0"/>
              <w:jc w:val="center"/>
              <w:rPr>
                <w:rFonts w:hint="eastAsia" w:eastAsia="宋体"/>
                <w:sz w:val="21"/>
                <w:szCs w:val="21"/>
                <w:lang w:val="en-US" w:eastAsia="zh-CN"/>
              </w:rPr>
            </w:pPr>
            <w:r>
              <w:rPr>
                <w:rFonts w:hint="eastAsia"/>
                <w:sz w:val="21"/>
                <w:szCs w:val="21"/>
                <w:lang w:val="en-US" w:eastAsia="zh-CN"/>
              </w:rPr>
              <w:t>氨氮</w:t>
            </w:r>
          </w:p>
        </w:tc>
        <w:tc>
          <w:tcPr>
            <w:tcW w:w="1757" w:type="dxa"/>
            <w:noWrap w:val="0"/>
            <w:vAlign w:val="center"/>
          </w:tcPr>
          <w:p w14:paraId="0C6E32ED">
            <w:pPr>
              <w:bidi w:val="0"/>
              <w:jc w:val="center"/>
              <w:rPr>
                <w:rFonts w:hint="default" w:eastAsia="宋体"/>
                <w:sz w:val="21"/>
                <w:szCs w:val="21"/>
                <w:lang w:val="en-US" w:eastAsia="zh-CN"/>
              </w:rPr>
            </w:pPr>
            <w:r>
              <w:rPr>
                <w:rFonts w:hint="eastAsia"/>
                <w:sz w:val="21"/>
                <w:szCs w:val="21"/>
                <w:lang w:val="en-US" w:eastAsia="zh-CN"/>
              </w:rPr>
              <w:t>0.01</w:t>
            </w:r>
          </w:p>
        </w:tc>
        <w:tc>
          <w:tcPr>
            <w:tcW w:w="1260" w:type="dxa"/>
            <w:noWrap w:val="0"/>
            <w:vAlign w:val="center"/>
          </w:tcPr>
          <w:p w14:paraId="23C73E05">
            <w:pPr>
              <w:bidi w:val="0"/>
              <w:jc w:val="center"/>
              <w:rPr>
                <w:rFonts w:hint="eastAsia" w:eastAsia="宋体"/>
                <w:sz w:val="21"/>
                <w:szCs w:val="21"/>
                <w:lang w:val="en-US" w:eastAsia="zh-CN"/>
              </w:rPr>
            </w:pPr>
            <w:r>
              <w:rPr>
                <w:rFonts w:hint="eastAsia"/>
                <w:sz w:val="21"/>
                <w:szCs w:val="21"/>
                <w:lang w:val="en-US" w:eastAsia="zh-CN"/>
              </w:rPr>
              <w:t>/</w:t>
            </w:r>
          </w:p>
        </w:tc>
        <w:tc>
          <w:tcPr>
            <w:tcW w:w="1706" w:type="dxa"/>
            <w:noWrap w:val="0"/>
            <w:vAlign w:val="center"/>
          </w:tcPr>
          <w:p w14:paraId="7ADAFF66">
            <w:pPr>
              <w:bidi w:val="0"/>
              <w:jc w:val="center"/>
              <w:rPr>
                <w:rFonts w:hint="eastAsia" w:eastAsia="宋体"/>
                <w:sz w:val="21"/>
                <w:szCs w:val="21"/>
                <w:lang w:val="en-US" w:eastAsia="zh-CN"/>
              </w:rPr>
            </w:pPr>
            <w:r>
              <w:rPr>
                <w:rFonts w:hint="eastAsia"/>
                <w:sz w:val="21"/>
                <w:szCs w:val="21"/>
                <w:lang w:val="en-US" w:eastAsia="zh-CN"/>
              </w:rPr>
              <w:t>/</w:t>
            </w:r>
          </w:p>
        </w:tc>
        <w:tc>
          <w:tcPr>
            <w:tcW w:w="1543" w:type="dxa"/>
            <w:noWrap w:val="0"/>
            <w:vAlign w:val="center"/>
          </w:tcPr>
          <w:p w14:paraId="34660EFE">
            <w:pPr>
              <w:bidi w:val="0"/>
              <w:jc w:val="center"/>
              <w:rPr>
                <w:rFonts w:hint="default" w:eastAsia="宋体"/>
                <w:sz w:val="21"/>
                <w:szCs w:val="21"/>
                <w:lang w:val="en-US" w:eastAsia="zh-CN"/>
              </w:rPr>
            </w:pPr>
            <w:r>
              <w:rPr>
                <w:rFonts w:hint="eastAsia"/>
                <w:sz w:val="21"/>
                <w:szCs w:val="21"/>
                <w:lang w:val="en-US" w:eastAsia="zh-CN"/>
              </w:rPr>
              <w:t>0</w:t>
            </w:r>
          </w:p>
        </w:tc>
        <w:tc>
          <w:tcPr>
            <w:tcW w:w="1292" w:type="dxa"/>
            <w:shd w:val="clear" w:color="auto" w:fill="auto"/>
            <w:noWrap w:val="0"/>
            <w:vAlign w:val="center"/>
          </w:tcPr>
          <w:p w14:paraId="5DA40D37">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shd w:val="clear" w:color="auto" w:fill="auto"/>
            <w:noWrap w:val="0"/>
            <w:vAlign w:val="center"/>
          </w:tcPr>
          <w:p w14:paraId="743BA5AE">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0.01</w:t>
            </w:r>
          </w:p>
        </w:tc>
        <w:tc>
          <w:tcPr>
            <w:tcW w:w="1319" w:type="dxa"/>
            <w:shd w:val="clear" w:color="auto" w:fill="auto"/>
            <w:noWrap w:val="0"/>
            <w:vAlign w:val="center"/>
          </w:tcPr>
          <w:p w14:paraId="0FA5894A">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w:t>
            </w:r>
          </w:p>
        </w:tc>
      </w:tr>
      <w:tr w14:paraId="188965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restart"/>
            <w:noWrap w:val="0"/>
            <w:vAlign w:val="center"/>
          </w:tcPr>
          <w:p w14:paraId="3AEE26ED">
            <w:pPr>
              <w:bidi w:val="0"/>
              <w:jc w:val="center"/>
              <w:rPr>
                <w:rFonts w:hint="eastAsia"/>
                <w:sz w:val="21"/>
                <w:szCs w:val="21"/>
              </w:rPr>
            </w:pPr>
            <w:r>
              <w:rPr>
                <w:rFonts w:hint="eastAsia"/>
                <w:sz w:val="21"/>
                <w:szCs w:val="21"/>
              </w:rPr>
              <w:t>一般工业固体废物</w:t>
            </w:r>
          </w:p>
        </w:tc>
        <w:tc>
          <w:tcPr>
            <w:tcW w:w="1389" w:type="dxa"/>
            <w:shd w:val="clear" w:color="auto" w:fill="auto"/>
            <w:noWrap w:val="0"/>
            <w:vAlign w:val="center"/>
          </w:tcPr>
          <w:p w14:paraId="1088EE9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金属边角料</w:t>
            </w:r>
          </w:p>
        </w:tc>
        <w:tc>
          <w:tcPr>
            <w:tcW w:w="1757" w:type="dxa"/>
            <w:shd w:val="clear" w:color="auto" w:fill="auto"/>
            <w:noWrap w:val="0"/>
            <w:vAlign w:val="center"/>
          </w:tcPr>
          <w:p w14:paraId="6A619AB2">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433</w:t>
            </w:r>
          </w:p>
        </w:tc>
        <w:tc>
          <w:tcPr>
            <w:tcW w:w="1260" w:type="dxa"/>
            <w:shd w:val="clear" w:color="auto" w:fill="auto"/>
            <w:noWrap w:val="0"/>
            <w:vAlign w:val="center"/>
          </w:tcPr>
          <w:p w14:paraId="41CE8F00">
            <w:pPr>
              <w:bidi w:val="0"/>
              <w:jc w:val="center"/>
              <w:rPr>
                <w:rFonts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6" w:type="dxa"/>
            <w:shd w:val="clear" w:color="auto" w:fill="auto"/>
            <w:noWrap w:val="0"/>
            <w:vAlign w:val="center"/>
          </w:tcPr>
          <w:p w14:paraId="1EB73F27">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543" w:type="dxa"/>
            <w:shd w:val="clear" w:color="auto" w:fill="auto"/>
            <w:noWrap w:val="0"/>
            <w:vAlign w:val="center"/>
          </w:tcPr>
          <w:p w14:paraId="514C5F7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c>
          <w:tcPr>
            <w:tcW w:w="1292" w:type="dxa"/>
            <w:shd w:val="clear" w:color="auto" w:fill="auto"/>
            <w:noWrap w:val="0"/>
            <w:vAlign w:val="center"/>
          </w:tcPr>
          <w:p w14:paraId="0F4AA5D9">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shd w:val="clear" w:color="auto" w:fill="auto"/>
            <w:noWrap w:val="0"/>
            <w:vAlign w:val="center"/>
          </w:tcPr>
          <w:p w14:paraId="600B161B">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433</w:t>
            </w:r>
          </w:p>
        </w:tc>
        <w:tc>
          <w:tcPr>
            <w:tcW w:w="1319" w:type="dxa"/>
            <w:shd w:val="clear" w:color="auto" w:fill="auto"/>
            <w:noWrap w:val="0"/>
            <w:vAlign w:val="center"/>
          </w:tcPr>
          <w:p w14:paraId="0D5A4D0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r>
      <w:tr w14:paraId="716BA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continue"/>
            <w:noWrap w:val="0"/>
            <w:vAlign w:val="center"/>
          </w:tcPr>
          <w:p w14:paraId="5AD7700F">
            <w:pPr>
              <w:bidi w:val="0"/>
              <w:jc w:val="center"/>
              <w:rPr>
                <w:sz w:val="21"/>
                <w:szCs w:val="21"/>
              </w:rPr>
            </w:pPr>
          </w:p>
        </w:tc>
        <w:tc>
          <w:tcPr>
            <w:tcW w:w="1389" w:type="dxa"/>
            <w:shd w:val="clear" w:color="auto" w:fill="auto"/>
            <w:noWrap w:val="0"/>
            <w:vAlign w:val="center"/>
          </w:tcPr>
          <w:p w14:paraId="7B136605">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焊渣</w:t>
            </w:r>
          </w:p>
        </w:tc>
        <w:tc>
          <w:tcPr>
            <w:tcW w:w="1757" w:type="dxa"/>
            <w:noWrap w:val="0"/>
            <w:vAlign w:val="center"/>
          </w:tcPr>
          <w:p w14:paraId="2B565E86">
            <w:pPr>
              <w:bidi w:val="0"/>
              <w:jc w:val="center"/>
              <w:rPr>
                <w:rFonts w:hint="default"/>
                <w:sz w:val="21"/>
                <w:szCs w:val="21"/>
                <w:lang w:val="en-US"/>
              </w:rPr>
            </w:pPr>
            <w:r>
              <w:rPr>
                <w:rFonts w:hint="eastAsia"/>
                <w:sz w:val="21"/>
                <w:szCs w:val="21"/>
                <w:lang w:val="en-US" w:eastAsia="zh-CN"/>
              </w:rPr>
              <w:t>2.4</w:t>
            </w:r>
          </w:p>
        </w:tc>
        <w:tc>
          <w:tcPr>
            <w:tcW w:w="1260" w:type="dxa"/>
            <w:noWrap w:val="0"/>
            <w:vAlign w:val="center"/>
          </w:tcPr>
          <w:p w14:paraId="51B1A7CA">
            <w:pPr>
              <w:bidi w:val="0"/>
              <w:jc w:val="center"/>
              <w:rPr>
                <w:sz w:val="21"/>
                <w:szCs w:val="21"/>
              </w:rPr>
            </w:pPr>
            <w:r>
              <w:rPr>
                <w:rFonts w:hint="eastAsia"/>
                <w:sz w:val="21"/>
                <w:szCs w:val="21"/>
                <w:lang w:val="en-US" w:eastAsia="zh-CN"/>
              </w:rPr>
              <w:t>/</w:t>
            </w:r>
          </w:p>
        </w:tc>
        <w:tc>
          <w:tcPr>
            <w:tcW w:w="1706" w:type="dxa"/>
            <w:noWrap w:val="0"/>
            <w:vAlign w:val="center"/>
          </w:tcPr>
          <w:p w14:paraId="298651A6">
            <w:pPr>
              <w:bidi w:val="0"/>
              <w:jc w:val="center"/>
              <w:rPr>
                <w:rFonts w:hint="eastAsia"/>
                <w:sz w:val="21"/>
                <w:szCs w:val="21"/>
                <w:lang w:val="en-US" w:eastAsia="zh-CN"/>
              </w:rPr>
            </w:pPr>
            <w:r>
              <w:rPr>
                <w:rFonts w:hint="eastAsia"/>
                <w:sz w:val="21"/>
                <w:szCs w:val="21"/>
                <w:lang w:val="en-US" w:eastAsia="zh-CN"/>
              </w:rPr>
              <w:t>/</w:t>
            </w:r>
          </w:p>
        </w:tc>
        <w:tc>
          <w:tcPr>
            <w:tcW w:w="1543" w:type="dxa"/>
            <w:shd w:val="clear" w:color="auto" w:fill="auto"/>
            <w:noWrap w:val="0"/>
            <w:vAlign w:val="center"/>
          </w:tcPr>
          <w:p w14:paraId="558E050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c>
          <w:tcPr>
            <w:tcW w:w="1292" w:type="dxa"/>
            <w:shd w:val="clear" w:color="auto" w:fill="auto"/>
            <w:noWrap w:val="0"/>
            <w:vAlign w:val="center"/>
          </w:tcPr>
          <w:p w14:paraId="00BD1BDA">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shd w:val="clear" w:color="auto" w:fill="auto"/>
            <w:noWrap w:val="0"/>
            <w:vAlign w:val="center"/>
          </w:tcPr>
          <w:p w14:paraId="6FCCDC97">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2.4</w:t>
            </w:r>
          </w:p>
        </w:tc>
        <w:tc>
          <w:tcPr>
            <w:tcW w:w="1319" w:type="dxa"/>
            <w:shd w:val="clear" w:color="auto" w:fill="auto"/>
            <w:noWrap w:val="0"/>
            <w:vAlign w:val="center"/>
          </w:tcPr>
          <w:p w14:paraId="49BB31E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r>
      <w:tr w14:paraId="1A82D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continue"/>
            <w:noWrap w:val="0"/>
            <w:vAlign w:val="center"/>
          </w:tcPr>
          <w:p w14:paraId="7C083C77">
            <w:pPr>
              <w:bidi w:val="0"/>
              <w:jc w:val="center"/>
              <w:rPr>
                <w:sz w:val="21"/>
                <w:szCs w:val="21"/>
              </w:rPr>
            </w:pPr>
          </w:p>
        </w:tc>
        <w:tc>
          <w:tcPr>
            <w:tcW w:w="1389" w:type="dxa"/>
            <w:shd w:val="clear" w:color="auto" w:fill="auto"/>
            <w:noWrap w:val="0"/>
            <w:vAlign w:val="center"/>
          </w:tcPr>
          <w:p w14:paraId="57C532D5">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废钢丸</w:t>
            </w:r>
          </w:p>
        </w:tc>
        <w:tc>
          <w:tcPr>
            <w:tcW w:w="1757" w:type="dxa"/>
            <w:noWrap w:val="0"/>
            <w:vAlign w:val="center"/>
          </w:tcPr>
          <w:p w14:paraId="60FDAD8E">
            <w:pPr>
              <w:bidi w:val="0"/>
              <w:jc w:val="center"/>
              <w:rPr>
                <w:sz w:val="21"/>
                <w:szCs w:val="21"/>
              </w:rPr>
            </w:pPr>
            <w:r>
              <w:rPr>
                <w:rFonts w:hint="eastAsia"/>
                <w:sz w:val="21"/>
                <w:szCs w:val="21"/>
                <w:lang w:val="en-US" w:eastAsia="zh-CN"/>
              </w:rPr>
              <w:t>3</w:t>
            </w:r>
          </w:p>
        </w:tc>
        <w:tc>
          <w:tcPr>
            <w:tcW w:w="1260" w:type="dxa"/>
            <w:noWrap w:val="0"/>
            <w:vAlign w:val="center"/>
          </w:tcPr>
          <w:p w14:paraId="432667D7">
            <w:pPr>
              <w:bidi w:val="0"/>
              <w:jc w:val="center"/>
              <w:rPr>
                <w:sz w:val="21"/>
                <w:szCs w:val="21"/>
              </w:rPr>
            </w:pPr>
            <w:r>
              <w:rPr>
                <w:rFonts w:hint="eastAsia"/>
                <w:sz w:val="21"/>
                <w:szCs w:val="21"/>
                <w:lang w:val="en-US" w:eastAsia="zh-CN"/>
              </w:rPr>
              <w:t>/</w:t>
            </w:r>
          </w:p>
        </w:tc>
        <w:tc>
          <w:tcPr>
            <w:tcW w:w="1706" w:type="dxa"/>
            <w:noWrap w:val="0"/>
            <w:vAlign w:val="center"/>
          </w:tcPr>
          <w:p w14:paraId="5F1E9B16">
            <w:pPr>
              <w:bidi w:val="0"/>
              <w:jc w:val="center"/>
              <w:rPr>
                <w:rFonts w:hint="eastAsia"/>
                <w:sz w:val="21"/>
                <w:szCs w:val="21"/>
                <w:lang w:val="en-US" w:eastAsia="zh-CN"/>
              </w:rPr>
            </w:pPr>
            <w:r>
              <w:rPr>
                <w:rFonts w:hint="eastAsia"/>
                <w:sz w:val="21"/>
                <w:szCs w:val="21"/>
                <w:lang w:val="en-US" w:eastAsia="zh-CN"/>
              </w:rPr>
              <w:t>/</w:t>
            </w:r>
          </w:p>
        </w:tc>
        <w:tc>
          <w:tcPr>
            <w:tcW w:w="1543" w:type="dxa"/>
            <w:shd w:val="clear" w:color="auto" w:fill="auto"/>
            <w:noWrap w:val="0"/>
            <w:vAlign w:val="center"/>
          </w:tcPr>
          <w:p w14:paraId="465D786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c>
          <w:tcPr>
            <w:tcW w:w="1292" w:type="dxa"/>
            <w:shd w:val="clear" w:color="auto" w:fill="auto"/>
            <w:noWrap w:val="0"/>
            <w:vAlign w:val="center"/>
          </w:tcPr>
          <w:p w14:paraId="03343090">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shd w:val="clear" w:color="auto" w:fill="auto"/>
            <w:noWrap w:val="0"/>
            <w:vAlign w:val="center"/>
          </w:tcPr>
          <w:p w14:paraId="69030770">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3</w:t>
            </w:r>
          </w:p>
        </w:tc>
        <w:tc>
          <w:tcPr>
            <w:tcW w:w="1319" w:type="dxa"/>
            <w:shd w:val="clear" w:color="auto" w:fill="auto"/>
            <w:noWrap w:val="0"/>
            <w:vAlign w:val="center"/>
          </w:tcPr>
          <w:p w14:paraId="69F118C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r>
      <w:tr w14:paraId="0A5F8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continue"/>
            <w:noWrap w:val="0"/>
            <w:vAlign w:val="center"/>
          </w:tcPr>
          <w:p w14:paraId="47E33939">
            <w:pPr>
              <w:bidi w:val="0"/>
              <w:jc w:val="center"/>
              <w:rPr>
                <w:sz w:val="21"/>
                <w:szCs w:val="21"/>
              </w:rPr>
            </w:pPr>
          </w:p>
        </w:tc>
        <w:tc>
          <w:tcPr>
            <w:tcW w:w="1389" w:type="dxa"/>
            <w:shd w:val="clear" w:color="auto" w:fill="auto"/>
            <w:noWrap w:val="0"/>
            <w:vAlign w:val="center"/>
          </w:tcPr>
          <w:p w14:paraId="590691DF">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除尘器粉尘</w:t>
            </w:r>
          </w:p>
        </w:tc>
        <w:tc>
          <w:tcPr>
            <w:tcW w:w="1757" w:type="dxa"/>
            <w:noWrap w:val="0"/>
            <w:vAlign w:val="center"/>
          </w:tcPr>
          <w:p w14:paraId="33F26AAA">
            <w:pPr>
              <w:bidi w:val="0"/>
              <w:jc w:val="center"/>
              <w:rPr>
                <w:rFonts w:hint="default"/>
                <w:sz w:val="21"/>
                <w:szCs w:val="21"/>
                <w:lang w:val="en-US"/>
              </w:rPr>
            </w:pPr>
            <w:r>
              <w:rPr>
                <w:rFonts w:hint="eastAsia"/>
                <w:sz w:val="21"/>
                <w:szCs w:val="21"/>
                <w:lang w:val="en-US" w:eastAsia="zh-CN"/>
              </w:rPr>
              <w:t>12.9</w:t>
            </w:r>
          </w:p>
        </w:tc>
        <w:tc>
          <w:tcPr>
            <w:tcW w:w="1260" w:type="dxa"/>
            <w:noWrap w:val="0"/>
            <w:vAlign w:val="center"/>
          </w:tcPr>
          <w:p w14:paraId="45FD56BD">
            <w:pPr>
              <w:bidi w:val="0"/>
              <w:jc w:val="center"/>
              <w:rPr>
                <w:sz w:val="21"/>
                <w:szCs w:val="21"/>
              </w:rPr>
            </w:pPr>
            <w:r>
              <w:rPr>
                <w:rFonts w:hint="eastAsia"/>
                <w:sz w:val="21"/>
                <w:szCs w:val="21"/>
                <w:lang w:val="en-US" w:eastAsia="zh-CN"/>
              </w:rPr>
              <w:t>/</w:t>
            </w:r>
          </w:p>
        </w:tc>
        <w:tc>
          <w:tcPr>
            <w:tcW w:w="1706" w:type="dxa"/>
            <w:noWrap w:val="0"/>
            <w:vAlign w:val="center"/>
          </w:tcPr>
          <w:p w14:paraId="389FEDBA">
            <w:pPr>
              <w:bidi w:val="0"/>
              <w:jc w:val="center"/>
              <w:rPr>
                <w:rFonts w:hint="eastAsia" w:eastAsia="宋体"/>
                <w:sz w:val="21"/>
                <w:szCs w:val="21"/>
                <w:lang w:val="en-US" w:eastAsia="zh-CN"/>
              </w:rPr>
            </w:pPr>
            <w:r>
              <w:rPr>
                <w:rFonts w:hint="eastAsia"/>
                <w:sz w:val="21"/>
                <w:szCs w:val="21"/>
                <w:lang w:val="en-US" w:eastAsia="zh-CN"/>
              </w:rPr>
              <w:t>/</w:t>
            </w:r>
          </w:p>
        </w:tc>
        <w:tc>
          <w:tcPr>
            <w:tcW w:w="1543" w:type="dxa"/>
            <w:shd w:val="clear" w:color="auto" w:fill="auto"/>
            <w:noWrap w:val="0"/>
            <w:vAlign w:val="center"/>
          </w:tcPr>
          <w:p w14:paraId="50E8F62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c>
          <w:tcPr>
            <w:tcW w:w="1292" w:type="dxa"/>
            <w:shd w:val="clear" w:color="auto" w:fill="auto"/>
            <w:noWrap w:val="0"/>
            <w:vAlign w:val="center"/>
          </w:tcPr>
          <w:p w14:paraId="0E5E490B">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shd w:val="clear" w:color="auto" w:fill="auto"/>
            <w:noWrap w:val="0"/>
            <w:vAlign w:val="center"/>
          </w:tcPr>
          <w:p w14:paraId="4E45BDDA">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12.9</w:t>
            </w:r>
          </w:p>
        </w:tc>
        <w:tc>
          <w:tcPr>
            <w:tcW w:w="1319" w:type="dxa"/>
            <w:shd w:val="clear" w:color="auto" w:fill="auto"/>
            <w:noWrap w:val="0"/>
            <w:vAlign w:val="center"/>
          </w:tcPr>
          <w:p w14:paraId="1A9F0CA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r>
      <w:tr w14:paraId="6F162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restart"/>
            <w:noWrap w:val="0"/>
            <w:vAlign w:val="center"/>
          </w:tcPr>
          <w:p w14:paraId="690235B6">
            <w:pPr>
              <w:bidi w:val="0"/>
              <w:jc w:val="center"/>
              <w:rPr>
                <w:rFonts w:hint="eastAsia"/>
                <w:sz w:val="21"/>
                <w:szCs w:val="21"/>
              </w:rPr>
            </w:pPr>
            <w:r>
              <w:rPr>
                <w:rFonts w:hint="eastAsia"/>
                <w:sz w:val="21"/>
                <w:szCs w:val="21"/>
              </w:rPr>
              <w:t>危险废物</w:t>
            </w:r>
          </w:p>
        </w:tc>
        <w:tc>
          <w:tcPr>
            <w:tcW w:w="1389" w:type="dxa"/>
            <w:shd w:val="clear" w:color="auto" w:fill="auto"/>
            <w:noWrap w:val="0"/>
            <w:vAlign w:val="center"/>
          </w:tcPr>
          <w:p w14:paraId="1227E4E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废油漆桶</w:t>
            </w:r>
          </w:p>
        </w:tc>
        <w:tc>
          <w:tcPr>
            <w:tcW w:w="1757" w:type="dxa"/>
            <w:noWrap w:val="0"/>
            <w:vAlign w:val="center"/>
          </w:tcPr>
          <w:p w14:paraId="3C004CC7">
            <w:pPr>
              <w:bidi w:val="0"/>
              <w:jc w:val="center"/>
              <w:rPr>
                <w:rFonts w:hint="default"/>
                <w:sz w:val="21"/>
                <w:szCs w:val="21"/>
                <w:lang w:val="en-US"/>
              </w:rPr>
            </w:pPr>
            <w:r>
              <w:rPr>
                <w:rFonts w:hint="eastAsia"/>
                <w:sz w:val="21"/>
                <w:szCs w:val="21"/>
                <w:lang w:val="en-US" w:eastAsia="zh-CN"/>
              </w:rPr>
              <w:t>0.19</w:t>
            </w:r>
          </w:p>
        </w:tc>
        <w:tc>
          <w:tcPr>
            <w:tcW w:w="1260" w:type="dxa"/>
            <w:noWrap w:val="0"/>
            <w:vAlign w:val="center"/>
          </w:tcPr>
          <w:p w14:paraId="6E5BD80F">
            <w:pPr>
              <w:bidi w:val="0"/>
              <w:jc w:val="center"/>
              <w:rPr>
                <w:sz w:val="21"/>
                <w:szCs w:val="21"/>
              </w:rPr>
            </w:pPr>
            <w:r>
              <w:rPr>
                <w:rFonts w:hint="eastAsia"/>
                <w:sz w:val="21"/>
                <w:szCs w:val="21"/>
                <w:lang w:val="en-US" w:eastAsia="zh-CN"/>
              </w:rPr>
              <w:t>/</w:t>
            </w:r>
          </w:p>
        </w:tc>
        <w:tc>
          <w:tcPr>
            <w:tcW w:w="1706" w:type="dxa"/>
            <w:noWrap w:val="0"/>
            <w:vAlign w:val="center"/>
          </w:tcPr>
          <w:p w14:paraId="25D7DEBA">
            <w:pPr>
              <w:bidi w:val="0"/>
              <w:jc w:val="center"/>
              <w:rPr>
                <w:rFonts w:hint="eastAsia" w:eastAsia="宋体"/>
                <w:sz w:val="21"/>
                <w:szCs w:val="21"/>
                <w:lang w:val="en-US" w:eastAsia="zh-CN"/>
              </w:rPr>
            </w:pPr>
            <w:r>
              <w:rPr>
                <w:rFonts w:hint="eastAsia"/>
                <w:sz w:val="21"/>
                <w:szCs w:val="21"/>
                <w:lang w:val="en-US" w:eastAsia="zh-CN"/>
              </w:rPr>
              <w:t>/</w:t>
            </w:r>
          </w:p>
        </w:tc>
        <w:tc>
          <w:tcPr>
            <w:tcW w:w="1543" w:type="dxa"/>
            <w:shd w:val="clear" w:color="auto" w:fill="auto"/>
            <w:noWrap w:val="0"/>
            <w:vAlign w:val="center"/>
          </w:tcPr>
          <w:p w14:paraId="62BE19C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c>
          <w:tcPr>
            <w:tcW w:w="1292" w:type="dxa"/>
            <w:shd w:val="clear" w:color="auto" w:fill="auto"/>
            <w:noWrap w:val="0"/>
            <w:vAlign w:val="center"/>
          </w:tcPr>
          <w:p w14:paraId="5ACF04C9">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shd w:val="clear" w:color="auto" w:fill="auto"/>
            <w:noWrap w:val="0"/>
            <w:vAlign w:val="center"/>
          </w:tcPr>
          <w:p w14:paraId="7459A3DE">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0.19</w:t>
            </w:r>
          </w:p>
        </w:tc>
        <w:tc>
          <w:tcPr>
            <w:tcW w:w="1319" w:type="dxa"/>
            <w:shd w:val="clear" w:color="auto" w:fill="auto"/>
            <w:noWrap w:val="0"/>
            <w:vAlign w:val="center"/>
          </w:tcPr>
          <w:p w14:paraId="3162F0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r>
      <w:tr w14:paraId="1B825D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continue"/>
            <w:noWrap w:val="0"/>
            <w:vAlign w:val="center"/>
          </w:tcPr>
          <w:p w14:paraId="2D03BF62">
            <w:pPr>
              <w:bidi w:val="0"/>
              <w:jc w:val="center"/>
              <w:rPr>
                <w:sz w:val="21"/>
                <w:szCs w:val="21"/>
              </w:rPr>
            </w:pPr>
          </w:p>
        </w:tc>
        <w:tc>
          <w:tcPr>
            <w:tcW w:w="1389" w:type="dxa"/>
            <w:shd w:val="clear" w:color="auto" w:fill="auto"/>
            <w:noWrap w:val="0"/>
            <w:vAlign w:val="center"/>
          </w:tcPr>
          <w:p w14:paraId="23702614">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废矿物油</w:t>
            </w:r>
          </w:p>
        </w:tc>
        <w:tc>
          <w:tcPr>
            <w:tcW w:w="1757" w:type="dxa"/>
            <w:noWrap w:val="0"/>
            <w:vAlign w:val="center"/>
          </w:tcPr>
          <w:p w14:paraId="002D9CC0">
            <w:pPr>
              <w:bidi w:val="0"/>
              <w:jc w:val="center"/>
              <w:rPr>
                <w:rFonts w:hint="default"/>
                <w:sz w:val="21"/>
                <w:szCs w:val="21"/>
                <w:lang w:val="en-US" w:eastAsia="zh-CN"/>
              </w:rPr>
            </w:pPr>
            <w:r>
              <w:rPr>
                <w:rFonts w:hint="eastAsia"/>
                <w:sz w:val="21"/>
                <w:szCs w:val="21"/>
                <w:lang w:val="en-US" w:eastAsia="zh-CN"/>
              </w:rPr>
              <w:t>2</w:t>
            </w:r>
          </w:p>
        </w:tc>
        <w:tc>
          <w:tcPr>
            <w:tcW w:w="1260" w:type="dxa"/>
            <w:shd w:val="clear" w:color="auto" w:fill="auto"/>
            <w:noWrap w:val="0"/>
            <w:vAlign w:val="center"/>
          </w:tcPr>
          <w:p w14:paraId="5D06F4E0">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6" w:type="dxa"/>
            <w:shd w:val="clear" w:color="auto" w:fill="auto"/>
            <w:noWrap w:val="0"/>
            <w:vAlign w:val="center"/>
          </w:tcPr>
          <w:p w14:paraId="7C78C6C9">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543" w:type="dxa"/>
            <w:shd w:val="clear" w:color="auto" w:fill="auto"/>
            <w:noWrap w:val="0"/>
            <w:vAlign w:val="center"/>
          </w:tcPr>
          <w:p w14:paraId="7F5080D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0</w:t>
            </w:r>
          </w:p>
        </w:tc>
        <w:tc>
          <w:tcPr>
            <w:tcW w:w="1292" w:type="dxa"/>
            <w:shd w:val="clear" w:color="auto" w:fill="auto"/>
            <w:noWrap w:val="0"/>
            <w:vAlign w:val="center"/>
          </w:tcPr>
          <w:p w14:paraId="0A017186">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shd w:val="clear" w:color="auto" w:fill="auto"/>
            <w:noWrap w:val="0"/>
            <w:vAlign w:val="center"/>
          </w:tcPr>
          <w:p w14:paraId="71D96BA4">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w:t>
            </w:r>
          </w:p>
        </w:tc>
        <w:tc>
          <w:tcPr>
            <w:tcW w:w="1319" w:type="dxa"/>
            <w:shd w:val="clear" w:color="auto" w:fill="auto"/>
            <w:noWrap w:val="0"/>
            <w:vAlign w:val="center"/>
          </w:tcPr>
          <w:p w14:paraId="543442E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val="en-US" w:eastAsia="zh-CN"/>
              </w:rPr>
              <w:t>+0</w:t>
            </w:r>
          </w:p>
        </w:tc>
      </w:tr>
      <w:tr w14:paraId="379AB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continue"/>
            <w:noWrap w:val="0"/>
            <w:vAlign w:val="center"/>
          </w:tcPr>
          <w:p w14:paraId="0FDE58A8">
            <w:pPr>
              <w:bidi w:val="0"/>
              <w:jc w:val="center"/>
              <w:rPr>
                <w:sz w:val="21"/>
                <w:szCs w:val="21"/>
              </w:rPr>
            </w:pPr>
          </w:p>
        </w:tc>
        <w:tc>
          <w:tcPr>
            <w:tcW w:w="1389" w:type="dxa"/>
            <w:shd w:val="clear" w:color="auto" w:fill="auto"/>
            <w:noWrap w:val="0"/>
            <w:vAlign w:val="center"/>
          </w:tcPr>
          <w:p w14:paraId="027F3E76">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废切削液</w:t>
            </w:r>
          </w:p>
        </w:tc>
        <w:tc>
          <w:tcPr>
            <w:tcW w:w="1757" w:type="dxa"/>
            <w:noWrap w:val="0"/>
            <w:vAlign w:val="center"/>
          </w:tcPr>
          <w:p w14:paraId="02DFC3B0">
            <w:pPr>
              <w:bidi w:val="0"/>
              <w:jc w:val="center"/>
              <w:rPr>
                <w:rFonts w:hint="default"/>
                <w:sz w:val="21"/>
                <w:szCs w:val="21"/>
                <w:lang w:val="en-US" w:eastAsia="zh-CN"/>
              </w:rPr>
            </w:pPr>
            <w:r>
              <w:rPr>
                <w:rFonts w:hint="eastAsia"/>
                <w:sz w:val="21"/>
                <w:szCs w:val="21"/>
                <w:lang w:val="en-US" w:eastAsia="zh-CN"/>
              </w:rPr>
              <w:t>0.1</w:t>
            </w:r>
          </w:p>
        </w:tc>
        <w:tc>
          <w:tcPr>
            <w:tcW w:w="1260" w:type="dxa"/>
            <w:shd w:val="clear" w:color="auto" w:fill="auto"/>
            <w:noWrap w:val="0"/>
            <w:vAlign w:val="center"/>
          </w:tcPr>
          <w:p w14:paraId="4D55B150">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6" w:type="dxa"/>
            <w:shd w:val="clear" w:color="auto" w:fill="auto"/>
            <w:noWrap w:val="0"/>
            <w:vAlign w:val="center"/>
          </w:tcPr>
          <w:p w14:paraId="4AA45275">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543" w:type="dxa"/>
            <w:shd w:val="clear" w:color="auto" w:fill="auto"/>
            <w:noWrap w:val="0"/>
            <w:vAlign w:val="center"/>
          </w:tcPr>
          <w:p w14:paraId="7888FE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0</w:t>
            </w:r>
          </w:p>
        </w:tc>
        <w:tc>
          <w:tcPr>
            <w:tcW w:w="1292" w:type="dxa"/>
            <w:shd w:val="clear" w:color="auto" w:fill="auto"/>
            <w:noWrap w:val="0"/>
            <w:vAlign w:val="center"/>
          </w:tcPr>
          <w:p w14:paraId="5E39EB4C">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shd w:val="clear" w:color="auto" w:fill="auto"/>
            <w:noWrap w:val="0"/>
            <w:vAlign w:val="center"/>
          </w:tcPr>
          <w:p w14:paraId="5451826A">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0.1</w:t>
            </w:r>
          </w:p>
        </w:tc>
        <w:tc>
          <w:tcPr>
            <w:tcW w:w="1319" w:type="dxa"/>
            <w:shd w:val="clear" w:color="auto" w:fill="auto"/>
            <w:noWrap w:val="0"/>
            <w:vAlign w:val="center"/>
          </w:tcPr>
          <w:p w14:paraId="7C4F199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val="en-US" w:eastAsia="zh-CN"/>
              </w:rPr>
              <w:t>+0</w:t>
            </w:r>
          </w:p>
        </w:tc>
      </w:tr>
      <w:tr w14:paraId="2B5BEE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continue"/>
            <w:noWrap w:val="0"/>
            <w:vAlign w:val="center"/>
          </w:tcPr>
          <w:p w14:paraId="231CD8C5">
            <w:pPr>
              <w:bidi w:val="0"/>
              <w:jc w:val="center"/>
              <w:rPr>
                <w:sz w:val="21"/>
                <w:szCs w:val="21"/>
              </w:rPr>
            </w:pPr>
          </w:p>
        </w:tc>
        <w:tc>
          <w:tcPr>
            <w:tcW w:w="1389" w:type="dxa"/>
            <w:shd w:val="clear" w:color="auto" w:fill="auto"/>
            <w:noWrap w:val="0"/>
            <w:vAlign w:val="center"/>
          </w:tcPr>
          <w:p w14:paraId="11C5F88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废过滤棉</w:t>
            </w:r>
          </w:p>
        </w:tc>
        <w:tc>
          <w:tcPr>
            <w:tcW w:w="1757" w:type="dxa"/>
            <w:noWrap w:val="0"/>
            <w:vAlign w:val="center"/>
          </w:tcPr>
          <w:p w14:paraId="2BAFD0B7">
            <w:pPr>
              <w:bidi w:val="0"/>
              <w:jc w:val="center"/>
              <w:rPr>
                <w:rFonts w:hint="default"/>
                <w:sz w:val="21"/>
                <w:szCs w:val="21"/>
                <w:lang w:val="en-US"/>
              </w:rPr>
            </w:pPr>
            <w:r>
              <w:rPr>
                <w:rFonts w:hint="eastAsia"/>
                <w:sz w:val="21"/>
                <w:szCs w:val="21"/>
                <w:lang w:val="en-US" w:eastAsia="zh-CN"/>
              </w:rPr>
              <w:t>0.05</w:t>
            </w:r>
          </w:p>
        </w:tc>
        <w:tc>
          <w:tcPr>
            <w:tcW w:w="1260" w:type="dxa"/>
            <w:noWrap w:val="0"/>
            <w:vAlign w:val="center"/>
          </w:tcPr>
          <w:p w14:paraId="31B66E03">
            <w:pPr>
              <w:bidi w:val="0"/>
              <w:jc w:val="center"/>
              <w:rPr>
                <w:sz w:val="21"/>
                <w:szCs w:val="21"/>
              </w:rPr>
            </w:pPr>
            <w:r>
              <w:rPr>
                <w:rFonts w:hint="eastAsia"/>
                <w:sz w:val="21"/>
                <w:szCs w:val="21"/>
                <w:lang w:val="en-US" w:eastAsia="zh-CN"/>
              </w:rPr>
              <w:t>/</w:t>
            </w:r>
          </w:p>
        </w:tc>
        <w:tc>
          <w:tcPr>
            <w:tcW w:w="1706" w:type="dxa"/>
            <w:noWrap w:val="0"/>
            <w:vAlign w:val="center"/>
          </w:tcPr>
          <w:p w14:paraId="50DC9F1B">
            <w:pPr>
              <w:bidi w:val="0"/>
              <w:jc w:val="center"/>
              <w:rPr>
                <w:rFonts w:hint="eastAsia"/>
                <w:sz w:val="21"/>
                <w:szCs w:val="21"/>
                <w:lang w:val="en-US" w:eastAsia="zh-CN"/>
              </w:rPr>
            </w:pPr>
            <w:r>
              <w:rPr>
                <w:rFonts w:hint="eastAsia"/>
                <w:sz w:val="21"/>
                <w:szCs w:val="21"/>
                <w:lang w:val="en-US" w:eastAsia="zh-CN"/>
              </w:rPr>
              <w:t>/</w:t>
            </w:r>
          </w:p>
        </w:tc>
        <w:tc>
          <w:tcPr>
            <w:tcW w:w="1543" w:type="dxa"/>
            <w:shd w:val="clear" w:color="auto" w:fill="auto"/>
            <w:noWrap w:val="0"/>
            <w:vAlign w:val="center"/>
          </w:tcPr>
          <w:p w14:paraId="140BBD3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c>
          <w:tcPr>
            <w:tcW w:w="1292" w:type="dxa"/>
            <w:shd w:val="clear" w:color="auto" w:fill="auto"/>
            <w:noWrap w:val="0"/>
            <w:vAlign w:val="center"/>
          </w:tcPr>
          <w:p w14:paraId="004397EF">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shd w:val="clear" w:color="auto" w:fill="auto"/>
            <w:noWrap w:val="0"/>
            <w:vAlign w:val="center"/>
          </w:tcPr>
          <w:p w14:paraId="1FAA6911">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0.05</w:t>
            </w:r>
          </w:p>
        </w:tc>
        <w:tc>
          <w:tcPr>
            <w:tcW w:w="1319" w:type="dxa"/>
            <w:shd w:val="clear" w:color="auto" w:fill="auto"/>
            <w:noWrap w:val="0"/>
            <w:vAlign w:val="center"/>
          </w:tcPr>
          <w:p w14:paraId="0F3AE2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r>
      <w:tr w14:paraId="563F5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dxa"/>
            <w:vMerge w:val="continue"/>
            <w:noWrap w:val="0"/>
            <w:vAlign w:val="center"/>
          </w:tcPr>
          <w:p w14:paraId="21DDD991">
            <w:pPr>
              <w:bidi w:val="0"/>
              <w:jc w:val="center"/>
              <w:rPr>
                <w:sz w:val="21"/>
                <w:szCs w:val="21"/>
              </w:rPr>
            </w:pPr>
          </w:p>
        </w:tc>
        <w:tc>
          <w:tcPr>
            <w:tcW w:w="1389" w:type="dxa"/>
            <w:shd w:val="clear" w:color="auto" w:fill="auto"/>
            <w:noWrap w:val="0"/>
            <w:vAlign w:val="center"/>
          </w:tcPr>
          <w:p w14:paraId="2DD1444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废活性炭</w:t>
            </w:r>
          </w:p>
        </w:tc>
        <w:tc>
          <w:tcPr>
            <w:tcW w:w="1757" w:type="dxa"/>
            <w:noWrap w:val="0"/>
            <w:vAlign w:val="center"/>
          </w:tcPr>
          <w:p w14:paraId="4A0433CE">
            <w:pPr>
              <w:bidi w:val="0"/>
              <w:jc w:val="center"/>
              <w:rPr>
                <w:rFonts w:hint="default"/>
                <w:sz w:val="21"/>
                <w:szCs w:val="21"/>
                <w:lang w:val="en-US"/>
              </w:rPr>
            </w:pPr>
            <w:r>
              <w:rPr>
                <w:rFonts w:hint="eastAsia"/>
                <w:sz w:val="21"/>
                <w:szCs w:val="21"/>
                <w:lang w:val="en-US" w:eastAsia="zh-CN"/>
              </w:rPr>
              <w:t>5.42</w:t>
            </w:r>
          </w:p>
        </w:tc>
        <w:tc>
          <w:tcPr>
            <w:tcW w:w="1260" w:type="dxa"/>
            <w:noWrap w:val="0"/>
            <w:vAlign w:val="center"/>
          </w:tcPr>
          <w:p w14:paraId="585C4AEF">
            <w:pPr>
              <w:bidi w:val="0"/>
              <w:jc w:val="center"/>
              <w:rPr>
                <w:sz w:val="21"/>
                <w:szCs w:val="21"/>
              </w:rPr>
            </w:pPr>
            <w:r>
              <w:rPr>
                <w:rFonts w:hint="eastAsia"/>
                <w:sz w:val="21"/>
                <w:szCs w:val="21"/>
                <w:lang w:val="en-US" w:eastAsia="zh-CN"/>
              </w:rPr>
              <w:t>/</w:t>
            </w:r>
          </w:p>
        </w:tc>
        <w:tc>
          <w:tcPr>
            <w:tcW w:w="1706" w:type="dxa"/>
            <w:noWrap w:val="0"/>
            <w:vAlign w:val="center"/>
          </w:tcPr>
          <w:p w14:paraId="6611E575">
            <w:pPr>
              <w:bidi w:val="0"/>
              <w:jc w:val="center"/>
              <w:rPr>
                <w:rFonts w:hint="eastAsia" w:eastAsia="宋体"/>
                <w:sz w:val="21"/>
                <w:szCs w:val="21"/>
                <w:lang w:val="en-US" w:eastAsia="zh-CN"/>
              </w:rPr>
            </w:pPr>
            <w:r>
              <w:rPr>
                <w:rFonts w:hint="eastAsia"/>
                <w:sz w:val="21"/>
                <w:szCs w:val="21"/>
                <w:lang w:val="en-US" w:eastAsia="zh-CN"/>
              </w:rPr>
              <w:t>/</w:t>
            </w:r>
          </w:p>
        </w:tc>
        <w:tc>
          <w:tcPr>
            <w:tcW w:w="1543" w:type="dxa"/>
            <w:shd w:val="clear" w:color="auto" w:fill="auto"/>
            <w:noWrap w:val="0"/>
            <w:vAlign w:val="center"/>
          </w:tcPr>
          <w:p w14:paraId="19909E2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c>
          <w:tcPr>
            <w:tcW w:w="1292" w:type="dxa"/>
            <w:shd w:val="clear" w:color="auto" w:fill="auto"/>
            <w:noWrap w:val="0"/>
            <w:vAlign w:val="center"/>
          </w:tcPr>
          <w:p w14:paraId="454AA64E">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704" w:type="dxa"/>
            <w:shd w:val="clear" w:color="auto" w:fill="auto"/>
            <w:noWrap w:val="0"/>
            <w:vAlign w:val="center"/>
          </w:tcPr>
          <w:p w14:paraId="20661A91">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5.42</w:t>
            </w:r>
          </w:p>
        </w:tc>
        <w:tc>
          <w:tcPr>
            <w:tcW w:w="1319" w:type="dxa"/>
            <w:shd w:val="clear" w:color="auto" w:fill="auto"/>
            <w:noWrap w:val="0"/>
            <w:vAlign w:val="center"/>
          </w:tcPr>
          <w:p w14:paraId="19D505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sz w:val="21"/>
                <w:szCs w:val="21"/>
                <w:lang w:val="en-US" w:eastAsia="zh-CN"/>
              </w:rPr>
              <w:t>+0</w:t>
            </w:r>
          </w:p>
        </w:tc>
      </w:tr>
    </w:tbl>
    <w:p w14:paraId="217EE750">
      <w:pPr>
        <w:bidi w:val="0"/>
        <w:rPr>
          <w:rFonts w:hint="eastAsia"/>
        </w:rPr>
      </w:pPr>
      <w:r>
        <w:t>注：</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r>
        <w:t>+</w:t>
      </w:r>
      <w:r>
        <w:fldChar w:fldCharType="begin"/>
      </w:r>
      <w:r>
        <w:instrText xml:space="preserve"> = 3 \* GB3 \* MERGEFORMAT </w:instrText>
      </w:r>
      <w:r>
        <w:fldChar w:fldCharType="separate"/>
      </w:r>
      <w:r>
        <w:rPr>
          <w:rFonts w:hint="eastAsia"/>
        </w:rPr>
        <w:t>③</w:t>
      </w:r>
      <w:r>
        <w:fldChar w:fldCharType="end"/>
      </w:r>
      <w:r>
        <w:t>+</w:t>
      </w:r>
      <w:r>
        <w:fldChar w:fldCharType="begin"/>
      </w:r>
      <w:r>
        <w:instrText xml:space="preserve"> = 4 \* GB3 \* MERGEFORMAT </w:instrText>
      </w:r>
      <w:r>
        <w:fldChar w:fldCharType="separate"/>
      </w:r>
      <w:r>
        <w:rPr>
          <w:rFonts w:hint="eastAsia"/>
        </w:rPr>
        <w:t>④</w:t>
      </w:r>
      <w:r>
        <w:fldChar w:fldCharType="end"/>
      </w:r>
      <w:r>
        <w:t>-</w:t>
      </w:r>
      <w:r>
        <w:fldChar w:fldCharType="begin"/>
      </w:r>
      <w:r>
        <w:instrText xml:space="preserve"> = 5 \* GB3 \* MERGEFORMAT </w:instrText>
      </w:r>
      <w:r>
        <w:fldChar w:fldCharType="separate"/>
      </w:r>
      <w:r>
        <w:rPr>
          <w:rFonts w:hint="eastAsia"/>
        </w:rPr>
        <w:t>⑤</w:t>
      </w:r>
      <w:r>
        <w:fldChar w:fldCharType="end"/>
      </w:r>
      <w:r>
        <w:t>；</w:t>
      </w:r>
      <w:r>
        <w:fldChar w:fldCharType="begin"/>
      </w:r>
      <w:r>
        <w:instrText xml:space="preserve"> = 7 \* GB3 \* MERGEFORMAT </w:instrText>
      </w:r>
      <w:r>
        <w:fldChar w:fldCharType="separate"/>
      </w:r>
      <w:r>
        <w:rPr>
          <w:rFonts w:hint="eastAsia"/>
        </w:rPr>
        <w:t>⑦</w:t>
      </w:r>
      <w:r>
        <w:fldChar w:fldCharType="end"/>
      </w:r>
      <w:r>
        <w:t>=</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p>
    <w:p w14:paraId="4D062E1E">
      <w:pPr>
        <w:jc w:val="both"/>
        <w:rPr>
          <w:rFonts w:hint="eastAsia"/>
          <w:lang w:val="en-US" w:eastAsia="zh-CN"/>
        </w:rPr>
      </w:pPr>
      <w:bookmarkStart w:id="3" w:name="_GoBack"/>
      <w:bookmarkEnd w:id="3"/>
    </w:p>
    <w:sectPr>
      <w:footerReference r:id="rId8" w:type="default"/>
      <w:pgSz w:w="16838" w:h="11906" w:orient="landscape"/>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5DF0E1F-C5F8-475B-882D-938A1F86581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7CA9AA50-46D6-4D7D-BAEC-4BBA1E1B824F}"/>
  </w:font>
  <w:font w:name="楷体">
    <w:panose1 w:val="02010609060101010101"/>
    <w:charset w:val="86"/>
    <w:family w:val="auto"/>
    <w:pitch w:val="default"/>
    <w:sig w:usb0="800002BF" w:usb1="38CF7CFA" w:usb2="00000016" w:usb3="00000000" w:csb0="00040001" w:csb1="00000000"/>
  </w:font>
  <w:font w:name="PMingLiU">
    <w:altName w:val="Microsoft JhengHei"/>
    <w:panose1 w:val="02020500000000000000"/>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embedRegular r:id="rId3" w:fontKey="{D1AB5F48-7B53-47C7-A7D6-E045FFB06E23}"/>
  </w:font>
  <w:font w:name="方正小标宋_GBK">
    <w:panose1 w:val="02000000000000000000"/>
    <w:charset w:val="86"/>
    <w:family w:val="script"/>
    <w:pitch w:val="default"/>
    <w:sig w:usb0="A00002BF" w:usb1="38CF7CFA" w:usb2="00082016" w:usb3="00000000" w:csb0="00040001" w:csb1="00000000"/>
    <w:embedRegular r:id="rId4" w:fontKey="{3D6CF0D5-4DF6-4267-B24D-21126AB1FB5A}"/>
  </w:font>
  <w:font w:name="楷体_GB2312">
    <w:panose1 w:val="02010609030101010101"/>
    <w:charset w:val="86"/>
    <w:family w:val="modern"/>
    <w:pitch w:val="default"/>
    <w:sig w:usb0="00000001" w:usb1="080E0000" w:usb2="00000000" w:usb3="00000000" w:csb0="00040000" w:csb1="00000000"/>
    <w:embedRegular r:id="rId5" w:fontKey="{87BEA21B-1DD4-415F-818D-68A02C6115E6}"/>
  </w:font>
  <w:font w:name="华文仿宋">
    <w:panose1 w:val="02010600040101010101"/>
    <w:charset w:val="86"/>
    <w:family w:val="auto"/>
    <w:pitch w:val="default"/>
    <w:sig w:usb0="00000287" w:usb1="080F0000" w:usb2="00000000" w:usb3="00000000" w:csb0="0004009F" w:csb1="DFD70000"/>
    <w:embedRegular r:id="rId6" w:fontKey="{68BA773C-CA05-4A21-874D-0B985A14EF12}"/>
  </w:font>
  <w:font w:name="Cambria Math">
    <w:panose1 w:val="02040503050406030204"/>
    <w:charset w:val="00"/>
    <w:family w:val="auto"/>
    <w:pitch w:val="default"/>
    <w:sig w:usb0="E00006FF" w:usb1="420024FF" w:usb2="02000000" w:usb3="00000000" w:csb0="2000019F" w:csb1="00000000"/>
    <w:embedRegular r:id="rId7" w:fontKey="{17964B05-A34A-441B-9DB1-7DBC8BF56462}"/>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BA6E1">
    <w:pPr>
      <w:pStyle w:val="1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01140">
    <w:pPr>
      <w:pStyle w:val="10"/>
      <w:framePr w:wrap="around" w:vAnchor="text" w:hAnchor="margin" w:xAlign="center" w:y="1"/>
      <w:rPr>
        <w:rStyle w:val="18"/>
      </w:rPr>
    </w:pPr>
    <w:r>
      <w:fldChar w:fldCharType="begin"/>
    </w:r>
    <w:r>
      <w:rPr>
        <w:rStyle w:val="18"/>
      </w:rPr>
      <w:instrText xml:space="preserve">PAGE  </w:instrText>
    </w:r>
    <w:r>
      <w:fldChar w:fldCharType="end"/>
    </w:r>
  </w:p>
  <w:p w14:paraId="30D4DB62">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10760">
    <w:pPr>
      <w:pStyle w:val="1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50495" cy="113030"/>
              <wp:effectExtent l="0" t="0" r="0" b="0"/>
              <wp:wrapNone/>
              <wp:docPr id="2" name="文本框 1033"/>
              <wp:cNvGraphicFramePr/>
              <a:graphic xmlns:a="http://schemas.openxmlformats.org/drawingml/2006/main">
                <a:graphicData uri="http://schemas.microsoft.com/office/word/2010/wordprocessingShape">
                  <wps:wsp>
                    <wps:cNvSpPr txBox="1"/>
                    <wps:spPr>
                      <a:xfrm>
                        <a:off x="0" y="0"/>
                        <a:ext cx="150495" cy="113030"/>
                      </a:xfrm>
                      <a:prstGeom prst="rect">
                        <a:avLst/>
                      </a:prstGeom>
                      <a:noFill/>
                      <a:ln>
                        <a:noFill/>
                      </a:ln>
                    </wps:spPr>
                    <wps:txbx>
                      <w:txbxContent>
                        <w:p w14:paraId="7FF871B5">
                          <w:pPr>
                            <w:pStyle w:val="10"/>
                          </w:pPr>
                          <w:r>
                            <w:fldChar w:fldCharType="begin"/>
                          </w:r>
                          <w:r>
                            <w:instrText xml:space="preserve"> PAGE  \* MERGEFORMAT </w:instrText>
                          </w:r>
                          <w:r>
                            <w:fldChar w:fldCharType="separate"/>
                          </w:r>
                          <w:r>
                            <w:t>2</w:t>
                          </w:r>
                          <w:r>
                            <w:fldChar w:fldCharType="end"/>
                          </w:r>
                        </w:p>
                      </w:txbxContent>
                    </wps:txbx>
                    <wps:bodyPr vert="horz" wrap="square" lIns="0" tIns="0" rIns="0" bIns="0" anchor="t" anchorCtr="0" upright="0">
                      <a:noAutofit/>
                    </wps:bodyPr>
                  </wps:wsp>
                </a:graphicData>
              </a:graphic>
            </wp:anchor>
          </w:drawing>
        </mc:Choice>
        <mc:Fallback>
          <w:pict>
            <v:shape id="文本框 1033" o:spid="_x0000_s1026" o:spt="202" type="#_x0000_t202" style="position:absolute;left:0pt;margin-top:0pt;height:8.9pt;width:11.85pt;mso-position-horizontal:center;mso-position-horizontal-relative:margin;z-index:251659264;mso-width-relative:page;mso-height-relative:page;" filled="f" stroked="f" coordsize="21600,21600" o:gfxdata="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z5ClX1AAAAAMB&#10;AAAPAAAAAAAAAAEAIAAAACIAAABkcnMvZG93bnJldi54bWxQSwECFAAUAAAACACHTuJAJrtMWeYB&#10;AADBAwAADgAAAAAAAAABACAAAAAjAQAAZHJzL2Uyb0RvYy54bWxQSwUGAAAAAAYABgBZAQAAewUA&#10;AAAA&#10;">
              <v:fill on="f" focussize="0,0"/>
              <v:stroke on="f"/>
              <v:imagedata o:title=""/>
              <o:lock v:ext="edit" aspectratio="f"/>
              <v:textbox inset="0mm,0mm,0mm,0mm">
                <w:txbxContent>
                  <w:p w14:paraId="7FF871B5">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25DBE">
    <w:pPr>
      <w:pStyle w:val="1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2EE2E0">
                          <w:pPr>
                            <w:pStyle w:val="10"/>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W5UHu4QEAAMEDAAAOAAAA&#10;AAAAAAEAIAAAAB4BAABkcnMvZTJvRG9jLnhtbFBLBQYAAAAABgAGAFkBAABxBQAAAAA=&#10;">
              <v:fill on="f" focussize="0,0"/>
              <v:stroke on="f"/>
              <v:imagedata o:title=""/>
              <o:lock v:ext="edit" aspectratio="f"/>
              <v:textbox inset="0mm,0mm,0mm,0mm" style="mso-fit-shape-to-text:t;">
                <w:txbxContent>
                  <w:p w14:paraId="082EE2E0">
                    <w:pPr>
                      <w:pStyle w:val="10"/>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03160">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8EDA1">
    <w:pPr>
      <w:pStyle w:val="11"/>
      <w:rPr>
        <w:rFonts w:hint="eastAsia" w:eastAsia="宋体"/>
        <w:lang w:val="en-US" w:eastAsia="zh-CN"/>
      </w:rPr>
    </w:pPr>
    <w:r>
      <w:rPr>
        <w:rFonts w:hint="eastAsia"/>
        <w:lang w:eastAsia="zh-CN"/>
      </w:rPr>
      <w:t>淮北市协力重型机器有限责任公司浓缩机生产线数字化改造项目</w:t>
    </w:r>
    <w:r>
      <w:rPr>
        <w:rFonts w:hint="eastAsia"/>
        <w:lang w:val="en-US" w:eastAsia="zh-CN"/>
      </w:rPr>
      <w:t>环境影响报告表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3OTc5YWI0YTFiOWQ2MWNlNDA2ZjhiZGE3ODUxMmU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0FF"/>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4271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2E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4F4AD8"/>
    <w:rsid w:val="005039CB"/>
    <w:rsid w:val="0050558F"/>
    <w:rsid w:val="00506286"/>
    <w:rsid w:val="00510813"/>
    <w:rsid w:val="00511990"/>
    <w:rsid w:val="00511DE0"/>
    <w:rsid w:val="00514870"/>
    <w:rsid w:val="00514B9B"/>
    <w:rsid w:val="00517F02"/>
    <w:rsid w:val="00524303"/>
    <w:rsid w:val="005258A2"/>
    <w:rsid w:val="00534922"/>
    <w:rsid w:val="005401AE"/>
    <w:rsid w:val="00542E07"/>
    <w:rsid w:val="00545424"/>
    <w:rsid w:val="00554A7B"/>
    <w:rsid w:val="0055572C"/>
    <w:rsid w:val="0056106A"/>
    <w:rsid w:val="005720AE"/>
    <w:rsid w:val="00594D77"/>
    <w:rsid w:val="005969E4"/>
    <w:rsid w:val="005A06B7"/>
    <w:rsid w:val="005A1759"/>
    <w:rsid w:val="005A68A7"/>
    <w:rsid w:val="005D36AB"/>
    <w:rsid w:val="005F59FE"/>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D7392"/>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9E5AAC"/>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2F07"/>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D60CB"/>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70DF0"/>
    <w:rsid w:val="01290F7E"/>
    <w:rsid w:val="012E081F"/>
    <w:rsid w:val="01363832"/>
    <w:rsid w:val="013B4F64"/>
    <w:rsid w:val="013B65E6"/>
    <w:rsid w:val="015D1E09"/>
    <w:rsid w:val="015E4AD6"/>
    <w:rsid w:val="017052C2"/>
    <w:rsid w:val="019432BD"/>
    <w:rsid w:val="01A71FD9"/>
    <w:rsid w:val="01B97F5E"/>
    <w:rsid w:val="01D02219"/>
    <w:rsid w:val="01EA083C"/>
    <w:rsid w:val="01FF6B91"/>
    <w:rsid w:val="022C2B30"/>
    <w:rsid w:val="023B2668"/>
    <w:rsid w:val="02697903"/>
    <w:rsid w:val="027C1C3B"/>
    <w:rsid w:val="027E602E"/>
    <w:rsid w:val="02A33E06"/>
    <w:rsid w:val="02BA5D3C"/>
    <w:rsid w:val="02C90717"/>
    <w:rsid w:val="02D61F91"/>
    <w:rsid w:val="02DA4630"/>
    <w:rsid w:val="02DF4B0E"/>
    <w:rsid w:val="02F42119"/>
    <w:rsid w:val="02F96569"/>
    <w:rsid w:val="02FA3E94"/>
    <w:rsid w:val="03103BAE"/>
    <w:rsid w:val="0328539C"/>
    <w:rsid w:val="03432EF9"/>
    <w:rsid w:val="03497BC7"/>
    <w:rsid w:val="0361265C"/>
    <w:rsid w:val="03724537"/>
    <w:rsid w:val="03B42718"/>
    <w:rsid w:val="03BE117D"/>
    <w:rsid w:val="03CA0201"/>
    <w:rsid w:val="03D251BA"/>
    <w:rsid w:val="03D82945"/>
    <w:rsid w:val="03E01910"/>
    <w:rsid w:val="03EA7B21"/>
    <w:rsid w:val="03FB6424"/>
    <w:rsid w:val="03FC35CA"/>
    <w:rsid w:val="040C0819"/>
    <w:rsid w:val="041A0376"/>
    <w:rsid w:val="04263299"/>
    <w:rsid w:val="042F134C"/>
    <w:rsid w:val="042F2BF8"/>
    <w:rsid w:val="044344C0"/>
    <w:rsid w:val="0449709C"/>
    <w:rsid w:val="0462668B"/>
    <w:rsid w:val="0471448F"/>
    <w:rsid w:val="047210F8"/>
    <w:rsid w:val="04830723"/>
    <w:rsid w:val="048D195A"/>
    <w:rsid w:val="049E170D"/>
    <w:rsid w:val="04C654C7"/>
    <w:rsid w:val="04CD11CA"/>
    <w:rsid w:val="04D53FBF"/>
    <w:rsid w:val="04DA79A0"/>
    <w:rsid w:val="04DF373D"/>
    <w:rsid w:val="04E716C3"/>
    <w:rsid w:val="04F7254E"/>
    <w:rsid w:val="04F96FF0"/>
    <w:rsid w:val="04FC2660"/>
    <w:rsid w:val="04FF6D1A"/>
    <w:rsid w:val="050C52CC"/>
    <w:rsid w:val="050D7188"/>
    <w:rsid w:val="05210C77"/>
    <w:rsid w:val="05392D96"/>
    <w:rsid w:val="053E0EA6"/>
    <w:rsid w:val="05413457"/>
    <w:rsid w:val="054F6F4A"/>
    <w:rsid w:val="05614503"/>
    <w:rsid w:val="05737174"/>
    <w:rsid w:val="057E12A3"/>
    <w:rsid w:val="05A4393C"/>
    <w:rsid w:val="05A84720"/>
    <w:rsid w:val="05BA32B9"/>
    <w:rsid w:val="05BD54C5"/>
    <w:rsid w:val="05BD6418"/>
    <w:rsid w:val="05C32CC9"/>
    <w:rsid w:val="05C518FE"/>
    <w:rsid w:val="05D90BCF"/>
    <w:rsid w:val="05F20D23"/>
    <w:rsid w:val="05F83EAE"/>
    <w:rsid w:val="060F639F"/>
    <w:rsid w:val="0620529E"/>
    <w:rsid w:val="06232A84"/>
    <w:rsid w:val="0636392C"/>
    <w:rsid w:val="063E7D85"/>
    <w:rsid w:val="063F4571"/>
    <w:rsid w:val="06500586"/>
    <w:rsid w:val="06556EB0"/>
    <w:rsid w:val="06760236"/>
    <w:rsid w:val="067C0FA8"/>
    <w:rsid w:val="067D3DF4"/>
    <w:rsid w:val="069F7336"/>
    <w:rsid w:val="06A82EB5"/>
    <w:rsid w:val="06B31420"/>
    <w:rsid w:val="06C62F02"/>
    <w:rsid w:val="06CA6008"/>
    <w:rsid w:val="06DD48A3"/>
    <w:rsid w:val="06E51C97"/>
    <w:rsid w:val="06E624D6"/>
    <w:rsid w:val="06E822A2"/>
    <w:rsid w:val="07062CD0"/>
    <w:rsid w:val="071434F6"/>
    <w:rsid w:val="07293586"/>
    <w:rsid w:val="07295285"/>
    <w:rsid w:val="0732424B"/>
    <w:rsid w:val="073846D7"/>
    <w:rsid w:val="07636392"/>
    <w:rsid w:val="07647197"/>
    <w:rsid w:val="076B773D"/>
    <w:rsid w:val="076E3F95"/>
    <w:rsid w:val="07770C56"/>
    <w:rsid w:val="0794744A"/>
    <w:rsid w:val="07A61A79"/>
    <w:rsid w:val="07B21C22"/>
    <w:rsid w:val="07C5140B"/>
    <w:rsid w:val="07C71E5C"/>
    <w:rsid w:val="07D81681"/>
    <w:rsid w:val="07EA0E72"/>
    <w:rsid w:val="07EC2E3C"/>
    <w:rsid w:val="07FB0935"/>
    <w:rsid w:val="082D1E2B"/>
    <w:rsid w:val="083668D1"/>
    <w:rsid w:val="083F7C2C"/>
    <w:rsid w:val="08421A18"/>
    <w:rsid w:val="086C2AB7"/>
    <w:rsid w:val="08975BF8"/>
    <w:rsid w:val="08AA468C"/>
    <w:rsid w:val="08C87F23"/>
    <w:rsid w:val="08CE7FF1"/>
    <w:rsid w:val="08D343CC"/>
    <w:rsid w:val="08D86E25"/>
    <w:rsid w:val="08E73787"/>
    <w:rsid w:val="08E81855"/>
    <w:rsid w:val="08EF7199"/>
    <w:rsid w:val="08FE500A"/>
    <w:rsid w:val="092217DD"/>
    <w:rsid w:val="092D54BA"/>
    <w:rsid w:val="092F00F9"/>
    <w:rsid w:val="093A7294"/>
    <w:rsid w:val="093B1AB4"/>
    <w:rsid w:val="09475E50"/>
    <w:rsid w:val="094E3039"/>
    <w:rsid w:val="095F3199"/>
    <w:rsid w:val="09C4275F"/>
    <w:rsid w:val="09CC699C"/>
    <w:rsid w:val="09D55A73"/>
    <w:rsid w:val="09D7643C"/>
    <w:rsid w:val="09DF422A"/>
    <w:rsid w:val="09E2246D"/>
    <w:rsid w:val="09EF276F"/>
    <w:rsid w:val="09F74EC9"/>
    <w:rsid w:val="0A090C58"/>
    <w:rsid w:val="0A263993"/>
    <w:rsid w:val="0A2D3AC2"/>
    <w:rsid w:val="0A481E7F"/>
    <w:rsid w:val="0A496549"/>
    <w:rsid w:val="0A5D6F31"/>
    <w:rsid w:val="0A637B5A"/>
    <w:rsid w:val="0A664577"/>
    <w:rsid w:val="0A760771"/>
    <w:rsid w:val="0A82719B"/>
    <w:rsid w:val="0A8564E6"/>
    <w:rsid w:val="0A8B0590"/>
    <w:rsid w:val="0A9610CA"/>
    <w:rsid w:val="0A994948"/>
    <w:rsid w:val="0AA755DF"/>
    <w:rsid w:val="0AAB53D3"/>
    <w:rsid w:val="0AAC2EC9"/>
    <w:rsid w:val="0AB358B7"/>
    <w:rsid w:val="0AB4632A"/>
    <w:rsid w:val="0ABE51D2"/>
    <w:rsid w:val="0AD913C0"/>
    <w:rsid w:val="0AFF0B53"/>
    <w:rsid w:val="0B0E09D5"/>
    <w:rsid w:val="0B120D44"/>
    <w:rsid w:val="0B291CB1"/>
    <w:rsid w:val="0B2F20E0"/>
    <w:rsid w:val="0B2F5EE6"/>
    <w:rsid w:val="0B410768"/>
    <w:rsid w:val="0B550CF8"/>
    <w:rsid w:val="0B594A0D"/>
    <w:rsid w:val="0B744AF7"/>
    <w:rsid w:val="0B981976"/>
    <w:rsid w:val="0B9C2483"/>
    <w:rsid w:val="0BAB4DBC"/>
    <w:rsid w:val="0BB171BF"/>
    <w:rsid w:val="0BB43BEE"/>
    <w:rsid w:val="0BBD429F"/>
    <w:rsid w:val="0BD27BF6"/>
    <w:rsid w:val="0BF36448"/>
    <w:rsid w:val="0C08767E"/>
    <w:rsid w:val="0C3A566F"/>
    <w:rsid w:val="0C3B3C7D"/>
    <w:rsid w:val="0C763589"/>
    <w:rsid w:val="0C767178"/>
    <w:rsid w:val="0C8F023A"/>
    <w:rsid w:val="0C9A6C05"/>
    <w:rsid w:val="0CAB2EAE"/>
    <w:rsid w:val="0CD8566E"/>
    <w:rsid w:val="0CD93F83"/>
    <w:rsid w:val="0CE27FFD"/>
    <w:rsid w:val="0CF15653"/>
    <w:rsid w:val="0CFE2CC9"/>
    <w:rsid w:val="0D0C7508"/>
    <w:rsid w:val="0D155DAD"/>
    <w:rsid w:val="0D162709"/>
    <w:rsid w:val="0D192565"/>
    <w:rsid w:val="0D2766C4"/>
    <w:rsid w:val="0D283BA5"/>
    <w:rsid w:val="0D2B701D"/>
    <w:rsid w:val="0D430E88"/>
    <w:rsid w:val="0D4A557D"/>
    <w:rsid w:val="0D5E0D3B"/>
    <w:rsid w:val="0D621C7D"/>
    <w:rsid w:val="0D7124F2"/>
    <w:rsid w:val="0D775731"/>
    <w:rsid w:val="0D86274D"/>
    <w:rsid w:val="0DA239FF"/>
    <w:rsid w:val="0DA9341D"/>
    <w:rsid w:val="0DB074DF"/>
    <w:rsid w:val="0DDB70DA"/>
    <w:rsid w:val="0DDB7954"/>
    <w:rsid w:val="0DE227EC"/>
    <w:rsid w:val="0DE916F2"/>
    <w:rsid w:val="0DEF6C46"/>
    <w:rsid w:val="0DF37C28"/>
    <w:rsid w:val="0E221883"/>
    <w:rsid w:val="0E227EC5"/>
    <w:rsid w:val="0E574CB9"/>
    <w:rsid w:val="0E574DB9"/>
    <w:rsid w:val="0E73034D"/>
    <w:rsid w:val="0E7944AC"/>
    <w:rsid w:val="0E7A5C02"/>
    <w:rsid w:val="0E862EB6"/>
    <w:rsid w:val="0EA57C2A"/>
    <w:rsid w:val="0EC47356"/>
    <w:rsid w:val="0ECB7339"/>
    <w:rsid w:val="0ED65CAC"/>
    <w:rsid w:val="0EDB5279"/>
    <w:rsid w:val="0EEF4FBF"/>
    <w:rsid w:val="0EF96D2A"/>
    <w:rsid w:val="0F05217D"/>
    <w:rsid w:val="0F0939D2"/>
    <w:rsid w:val="0F13775A"/>
    <w:rsid w:val="0F1F2E38"/>
    <w:rsid w:val="0F274759"/>
    <w:rsid w:val="0F4D10DA"/>
    <w:rsid w:val="0F5F45FE"/>
    <w:rsid w:val="0F646F3E"/>
    <w:rsid w:val="0F7A2ADB"/>
    <w:rsid w:val="0F81259B"/>
    <w:rsid w:val="0F975D58"/>
    <w:rsid w:val="0F9A112B"/>
    <w:rsid w:val="0F9E2F23"/>
    <w:rsid w:val="0FB513D3"/>
    <w:rsid w:val="0FBB79EE"/>
    <w:rsid w:val="0FC85454"/>
    <w:rsid w:val="0FCA08AF"/>
    <w:rsid w:val="0FD113C1"/>
    <w:rsid w:val="0FE86168"/>
    <w:rsid w:val="0FF7412C"/>
    <w:rsid w:val="0FFF3594"/>
    <w:rsid w:val="10216577"/>
    <w:rsid w:val="1033566F"/>
    <w:rsid w:val="103D03A3"/>
    <w:rsid w:val="104246BE"/>
    <w:rsid w:val="10465D5C"/>
    <w:rsid w:val="104E4984"/>
    <w:rsid w:val="10660C5B"/>
    <w:rsid w:val="106678AC"/>
    <w:rsid w:val="106D2F64"/>
    <w:rsid w:val="10701ECB"/>
    <w:rsid w:val="10712901"/>
    <w:rsid w:val="109127D2"/>
    <w:rsid w:val="10A01BE0"/>
    <w:rsid w:val="10A84A5E"/>
    <w:rsid w:val="10AB04A5"/>
    <w:rsid w:val="10B63710"/>
    <w:rsid w:val="10DC1574"/>
    <w:rsid w:val="10E973FF"/>
    <w:rsid w:val="10F10820"/>
    <w:rsid w:val="10F828A9"/>
    <w:rsid w:val="10FC5772"/>
    <w:rsid w:val="11017245"/>
    <w:rsid w:val="110A1967"/>
    <w:rsid w:val="1112532F"/>
    <w:rsid w:val="111C2F7A"/>
    <w:rsid w:val="112076B2"/>
    <w:rsid w:val="113C5572"/>
    <w:rsid w:val="1143764E"/>
    <w:rsid w:val="11457119"/>
    <w:rsid w:val="11577159"/>
    <w:rsid w:val="1163119F"/>
    <w:rsid w:val="11665CA1"/>
    <w:rsid w:val="117B2B3A"/>
    <w:rsid w:val="11BD2408"/>
    <w:rsid w:val="11D30BC8"/>
    <w:rsid w:val="11D364AB"/>
    <w:rsid w:val="11E60706"/>
    <w:rsid w:val="11E710C1"/>
    <w:rsid w:val="12462F6D"/>
    <w:rsid w:val="125A100F"/>
    <w:rsid w:val="125D672A"/>
    <w:rsid w:val="12733FEE"/>
    <w:rsid w:val="12A04A0D"/>
    <w:rsid w:val="12B26A30"/>
    <w:rsid w:val="12B46304"/>
    <w:rsid w:val="12BB43A0"/>
    <w:rsid w:val="12BC340B"/>
    <w:rsid w:val="12BF622E"/>
    <w:rsid w:val="12D47F59"/>
    <w:rsid w:val="12DA4151"/>
    <w:rsid w:val="12E72FE9"/>
    <w:rsid w:val="12F62DC0"/>
    <w:rsid w:val="12F63AED"/>
    <w:rsid w:val="130A686C"/>
    <w:rsid w:val="132427F6"/>
    <w:rsid w:val="134B19D2"/>
    <w:rsid w:val="135913AD"/>
    <w:rsid w:val="135C1072"/>
    <w:rsid w:val="137D2B9A"/>
    <w:rsid w:val="13951726"/>
    <w:rsid w:val="139919B3"/>
    <w:rsid w:val="13A753DE"/>
    <w:rsid w:val="13B27D38"/>
    <w:rsid w:val="13BB4E27"/>
    <w:rsid w:val="13CE242D"/>
    <w:rsid w:val="13D36C5E"/>
    <w:rsid w:val="13DC1A8A"/>
    <w:rsid w:val="13DE142F"/>
    <w:rsid w:val="13E1610C"/>
    <w:rsid w:val="13E76BAD"/>
    <w:rsid w:val="13EE4919"/>
    <w:rsid w:val="14157FAC"/>
    <w:rsid w:val="1416687C"/>
    <w:rsid w:val="141B5B83"/>
    <w:rsid w:val="14396509"/>
    <w:rsid w:val="14411F5B"/>
    <w:rsid w:val="145002AE"/>
    <w:rsid w:val="146B333A"/>
    <w:rsid w:val="146D0E60"/>
    <w:rsid w:val="14834CF3"/>
    <w:rsid w:val="148A626B"/>
    <w:rsid w:val="149A7408"/>
    <w:rsid w:val="149E4616"/>
    <w:rsid w:val="14AE1D2C"/>
    <w:rsid w:val="14DD2C3C"/>
    <w:rsid w:val="14E730DC"/>
    <w:rsid w:val="14EB54E7"/>
    <w:rsid w:val="15041C35"/>
    <w:rsid w:val="15102B65"/>
    <w:rsid w:val="151B62E0"/>
    <w:rsid w:val="151E215B"/>
    <w:rsid w:val="15263EA7"/>
    <w:rsid w:val="152B4B95"/>
    <w:rsid w:val="153A3C54"/>
    <w:rsid w:val="15414268"/>
    <w:rsid w:val="15493681"/>
    <w:rsid w:val="15745C65"/>
    <w:rsid w:val="157E0E4B"/>
    <w:rsid w:val="158714E3"/>
    <w:rsid w:val="15A75940"/>
    <w:rsid w:val="15AD32AB"/>
    <w:rsid w:val="15C4287A"/>
    <w:rsid w:val="15C45DD7"/>
    <w:rsid w:val="15E213DA"/>
    <w:rsid w:val="16087E1D"/>
    <w:rsid w:val="16114B3E"/>
    <w:rsid w:val="16201191"/>
    <w:rsid w:val="165360F8"/>
    <w:rsid w:val="16762C44"/>
    <w:rsid w:val="168A6015"/>
    <w:rsid w:val="168D120F"/>
    <w:rsid w:val="16A13CF5"/>
    <w:rsid w:val="16AE6B2E"/>
    <w:rsid w:val="16B17116"/>
    <w:rsid w:val="16B311A4"/>
    <w:rsid w:val="16C42957"/>
    <w:rsid w:val="16C429D7"/>
    <w:rsid w:val="16C66DFC"/>
    <w:rsid w:val="16D9538A"/>
    <w:rsid w:val="16DF21CF"/>
    <w:rsid w:val="16E155FB"/>
    <w:rsid w:val="16E37C61"/>
    <w:rsid w:val="16EB2152"/>
    <w:rsid w:val="16F2191D"/>
    <w:rsid w:val="16F53A72"/>
    <w:rsid w:val="17027C18"/>
    <w:rsid w:val="1703383E"/>
    <w:rsid w:val="172144EA"/>
    <w:rsid w:val="17527320"/>
    <w:rsid w:val="17602406"/>
    <w:rsid w:val="17695229"/>
    <w:rsid w:val="17701D14"/>
    <w:rsid w:val="17735226"/>
    <w:rsid w:val="17765D92"/>
    <w:rsid w:val="1793431B"/>
    <w:rsid w:val="179C4E18"/>
    <w:rsid w:val="17A94164"/>
    <w:rsid w:val="17AB593A"/>
    <w:rsid w:val="17AB7911"/>
    <w:rsid w:val="17B2302E"/>
    <w:rsid w:val="17B40D82"/>
    <w:rsid w:val="17BE5F93"/>
    <w:rsid w:val="17EC6540"/>
    <w:rsid w:val="180271F0"/>
    <w:rsid w:val="18326240"/>
    <w:rsid w:val="18353A35"/>
    <w:rsid w:val="185457F2"/>
    <w:rsid w:val="18554231"/>
    <w:rsid w:val="18607876"/>
    <w:rsid w:val="18780DC8"/>
    <w:rsid w:val="188B119F"/>
    <w:rsid w:val="188C4A3A"/>
    <w:rsid w:val="189D38F0"/>
    <w:rsid w:val="189F624C"/>
    <w:rsid w:val="18A0226B"/>
    <w:rsid w:val="18A9390C"/>
    <w:rsid w:val="18B212FB"/>
    <w:rsid w:val="18CA19EC"/>
    <w:rsid w:val="18EB4A4A"/>
    <w:rsid w:val="18F80488"/>
    <w:rsid w:val="191566B0"/>
    <w:rsid w:val="194B7061"/>
    <w:rsid w:val="194C3354"/>
    <w:rsid w:val="195A487D"/>
    <w:rsid w:val="19896D9F"/>
    <w:rsid w:val="199A3C4D"/>
    <w:rsid w:val="19BC46CB"/>
    <w:rsid w:val="19C04C5E"/>
    <w:rsid w:val="19CC2CCF"/>
    <w:rsid w:val="19F3274F"/>
    <w:rsid w:val="19FD4D8D"/>
    <w:rsid w:val="1A02029D"/>
    <w:rsid w:val="1A0978A4"/>
    <w:rsid w:val="1A1C66C0"/>
    <w:rsid w:val="1A322050"/>
    <w:rsid w:val="1A400DC5"/>
    <w:rsid w:val="1A42393B"/>
    <w:rsid w:val="1A473F02"/>
    <w:rsid w:val="1A480A29"/>
    <w:rsid w:val="1A70514C"/>
    <w:rsid w:val="1A705206"/>
    <w:rsid w:val="1A741432"/>
    <w:rsid w:val="1A8040EC"/>
    <w:rsid w:val="1A814D54"/>
    <w:rsid w:val="1AA35E48"/>
    <w:rsid w:val="1AAD45DE"/>
    <w:rsid w:val="1AF479A2"/>
    <w:rsid w:val="1B027D5B"/>
    <w:rsid w:val="1B046F80"/>
    <w:rsid w:val="1B080B24"/>
    <w:rsid w:val="1B242D92"/>
    <w:rsid w:val="1B3267B5"/>
    <w:rsid w:val="1B40161D"/>
    <w:rsid w:val="1B433ED6"/>
    <w:rsid w:val="1B441859"/>
    <w:rsid w:val="1B4D057B"/>
    <w:rsid w:val="1B5E10C9"/>
    <w:rsid w:val="1B614831"/>
    <w:rsid w:val="1B6606B1"/>
    <w:rsid w:val="1B717BA4"/>
    <w:rsid w:val="1B730995"/>
    <w:rsid w:val="1B81084B"/>
    <w:rsid w:val="1B8F61F0"/>
    <w:rsid w:val="1B950A17"/>
    <w:rsid w:val="1BDF3069"/>
    <w:rsid w:val="1BE85270"/>
    <w:rsid w:val="1BF931CD"/>
    <w:rsid w:val="1BF93D1E"/>
    <w:rsid w:val="1C0C676C"/>
    <w:rsid w:val="1C1D3098"/>
    <w:rsid w:val="1C1F6074"/>
    <w:rsid w:val="1C216D94"/>
    <w:rsid w:val="1C294F77"/>
    <w:rsid w:val="1C362480"/>
    <w:rsid w:val="1C404D4C"/>
    <w:rsid w:val="1C554714"/>
    <w:rsid w:val="1C5E7925"/>
    <w:rsid w:val="1C8301EA"/>
    <w:rsid w:val="1C83210D"/>
    <w:rsid w:val="1C8474D8"/>
    <w:rsid w:val="1CAF5BD0"/>
    <w:rsid w:val="1CCC7E02"/>
    <w:rsid w:val="1CE8299C"/>
    <w:rsid w:val="1CF40ED1"/>
    <w:rsid w:val="1CFD070F"/>
    <w:rsid w:val="1CFF2B94"/>
    <w:rsid w:val="1D0165EA"/>
    <w:rsid w:val="1D172BC5"/>
    <w:rsid w:val="1D1C3F59"/>
    <w:rsid w:val="1D2B3667"/>
    <w:rsid w:val="1D4B0D47"/>
    <w:rsid w:val="1D4C6481"/>
    <w:rsid w:val="1D5412D8"/>
    <w:rsid w:val="1D5F6196"/>
    <w:rsid w:val="1D6132A5"/>
    <w:rsid w:val="1D666D95"/>
    <w:rsid w:val="1D703D1D"/>
    <w:rsid w:val="1D733829"/>
    <w:rsid w:val="1D752371"/>
    <w:rsid w:val="1D763948"/>
    <w:rsid w:val="1D7D680A"/>
    <w:rsid w:val="1D8411E0"/>
    <w:rsid w:val="1D8D6A1D"/>
    <w:rsid w:val="1D8E56D5"/>
    <w:rsid w:val="1D9E7E8D"/>
    <w:rsid w:val="1DA259D3"/>
    <w:rsid w:val="1DA447E8"/>
    <w:rsid w:val="1DA94E94"/>
    <w:rsid w:val="1DC14902"/>
    <w:rsid w:val="1DD81476"/>
    <w:rsid w:val="1DD87596"/>
    <w:rsid w:val="1DE33761"/>
    <w:rsid w:val="1DEA6013"/>
    <w:rsid w:val="1DF85092"/>
    <w:rsid w:val="1E232A95"/>
    <w:rsid w:val="1E24521C"/>
    <w:rsid w:val="1E324286"/>
    <w:rsid w:val="1E42335E"/>
    <w:rsid w:val="1E4806AD"/>
    <w:rsid w:val="1E5C1065"/>
    <w:rsid w:val="1E641DBE"/>
    <w:rsid w:val="1E6B6750"/>
    <w:rsid w:val="1E726847"/>
    <w:rsid w:val="1E7A43DA"/>
    <w:rsid w:val="1E8A6EAE"/>
    <w:rsid w:val="1EB3335B"/>
    <w:rsid w:val="1EC8325D"/>
    <w:rsid w:val="1EE63371"/>
    <w:rsid w:val="1EEB6A69"/>
    <w:rsid w:val="1EF27E3E"/>
    <w:rsid w:val="1F0E06C2"/>
    <w:rsid w:val="1F2E2EB4"/>
    <w:rsid w:val="1F2F2120"/>
    <w:rsid w:val="1F47464F"/>
    <w:rsid w:val="1F532874"/>
    <w:rsid w:val="1F5F12D5"/>
    <w:rsid w:val="1F8F25D3"/>
    <w:rsid w:val="1F9A0A4C"/>
    <w:rsid w:val="1F9F3F6D"/>
    <w:rsid w:val="1FB85767"/>
    <w:rsid w:val="1FC557C2"/>
    <w:rsid w:val="1FC63FA6"/>
    <w:rsid w:val="1FE7539E"/>
    <w:rsid w:val="1FEE7D1A"/>
    <w:rsid w:val="200A2D0B"/>
    <w:rsid w:val="20124236"/>
    <w:rsid w:val="20207A98"/>
    <w:rsid w:val="202C40EB"/>
    <w:rsid w:val="20322614"/>
    <w:rsid w:val="20394B23"/>
    <w:rsid w:val="204C0120"/>
    <w:rsid w:val="204E7D14"/>
    <w:rsid w:val="20671BE0"/>
    <w:rsid w:val="20711CD8"/>
    <w:rsid w:val="208433DB"/>
    <w:rsid w:val="20904AF6"/>
    <w:rsid w:val="209539A8"/>
    <w:rsid w:val="20963CB8"/>
    <w:rsid w:val="209B7C66"/>
    <w:rsid w:val="20A81A1B"/>
    <w:rsid w:val="20B07FB6"/>
    <w:rsid w:val="20B646FB"/>
    <w:rsid w:val="20C549A2"/>
    <w:rsid w:val="20DF6424"/>
    <w:rsid w:val="20E6742D"/>
    <w:rsid w:val="20EB0B9E"/>
    <w:rsid w:val="20F006D9"/>
    <w:rsid w:val="20FC0744"/>
    <w:rsid w:val="210E5779"/>
    <w:rsid w:val="211A3AD5"/>
    <w:rsid w:val="211C60E8"/>
    <w:rsid w:val="212540A0"/>
    <w:rsid w:val="212B5BE8"/>
    <w:rsid w:val="213B74B1"/>
    <w:rsid w:val="214A2FA7"/>
    <w:rsid w:val="214A43F4"/>
    <w:rsid w:val="21503B2D"/>
    <w:rsid w:val="215A2310"/>
    <w:rsid w:val="21770CEF"/>
    <w:rsid w:val="21914569"/>
    <w:rsid w:val="219914E7"/>
    <w:rsid w:val="219A09A2"/>
    <w:rsid w:val="21B45577"/>
    <w:rsid w:val="21B50629"/>
    <w:rsid w:val="21C70CEC"/>
    <w:rsid w:val="21CA1C53"/>
    <w:rsid w:val="21DE318A"/>
    <w:rsid w:val="21E16895"/>
    <w:rsid w:val="21E27646"/>
    <w:rsid w:val="21EF5B80"/>
    <w:rsid w:val="220072D6"/>
    <w:rsid w:val="2217062E"/>
    <w:rsid w:val="2223115A"/>
    <w:rsid w:val="22445DA4"/>
    <w:rsid w:val="22576990"/>
    <w:rsid w:val="22857B1C"/>
    <w:rsid w:val="228E2A57"/>
    <w:rsid w:val="22A542C0"/>
    <w:rsid w:val="22AB2DE4"/>
    <w:rsid w:val="22B533F7"/>
    <w:rsid w:val="22E211B6"/>
    <w:rsid w:val="22ED746C"/>
    <w:rsid w:val="22F47480"/>
    <w:rsid w:val="22FA43F7"/>
    <w:rsid w:val="2303571B"/>
    <w:rsid w:val="231413DD"/>
    <w:rsid w:val="2314299F"/>
    <w:rsid w:val="231A6262"/>
    <w:rsid w:val="23441587"/>
    <w:rsid w:val="234B6811"/>
    <w:rsid w:val="23550037"/>
    <w:rsid w:val="238B4A77"/>
    <w:rsid w:val="238D0766"/>
    <w:rsid w:val="239266F0"/>
    <w:rsid w:val="23936D42"/>
    <w:rsid w:val="23953D3B"/>
    <w:rsid w:val="23B917C7"/>
    <w:rsid w:val="23DE1C48"/>
    <w:rsid w:val="23EA3950"/>
    <w:rsid w:val="23ED7CD0"/>
    <w:rsid w:val="23FB1CC5"/>
    <w:rsid w:val="240210CD"/>
    <w:rsid w:val="2402517E"/>
    <w:rsid w:val="240F5DE0"/>
    <w:rsid w:val="24173977"/>
    <w:rsid w:val="244F30DE"/>
    <w:rsid w:val="245B6F27"/>
    <w:rsid w:val="246D166C"/>
    <w:rsid w:val="24915D3F"/>
    <w:rsid w:val="24973CD7"/>
    <w:rsid w:val="249C309C"/>
    <w:rsid w:val="249E0BC2"/>
    <w:rsid w:val="24A7216D"/>
    <w:rsid w:val="24B66F4E"/>
    <w:rsid w:val="24B94D07"/>
    <w:rsid w:val="24B94F26"/>
    <w:rsid w:val="24BF09F7"/>
    <w:rsid w:val="24DE1302"/>
    <w:rsid w:val="25001D9A"/>
    <w:rsid w:val="250B79AA"/>
    <w:rsid w:val="252D53FE"/>
    <w:rsid w:val="25392A67"/>
    <w:rsid w:val="254B55DF"/>
    <w:rsid w:val="258723BE"/>
    <w:rsid w:val="258A2148"/>
    <w:rsid w:val="259024C0"/>
    <w:rsid w:val="259D7DED"/>
    <w:rsid w:val="25AA354D"/>
    <w:rsid w:val="25B26AA3"/>
    <w:rsid w:val="25D21D06"/>
    <w:rsid w:val="25EC2D81"/>
    <w:rsid w:val="25F16B33"/>
    <w:rsid w:val="260D4251"/>
    <w:rsid w:val="26104E56"/>
    <w:rsid w:val="26195F98"/>
    <w:rsid w:val="26670571"/>
    <w:rsid w:val="26692100"/>
    <w:rsid w:val="26760E30"/>
    <w:rsid w:val="26816361"/>
    <w:rsid w:val="26CB6C26"/>
    <w:rsid w:val="26D11723"/>
    <w:rsid w:val="26D13F9C"/>
    <w:rsid w:val="26D70B84"/>
    <w:rsid w:val="26F1147D"/>
    <w:rsid w:val="270524A4"/>
    <w:rsid w:val="270F224B"/>
    <w:rsid w:val="27177A4E"/>
    <w:rsid w:val="27313622"/>
    <w:rsid w:val="275A07EE"/>
    <w:rsid w:val="276460F3"/>
    <w:rsid w:val="276B56FF"/>
    <w:rsid w:val="277057A2"/>
    <w:rsid w:val="27775B52"/>
    <w:rsid w:val="27B14CAF"/>
    <w:rsid w:val="27C43035"/>
    <w:rsid w:val="27DF4972"/>
    <w:rsid w:val="27E46300"/>
    <w:rsid w:val="27EA37A1"/>
    <w:rsid w:val="27FE3FB5"/>
    <w:rsid w:val="28047CF0"/>
    <w:rsid w:val="28060F58"/>
    <w:rsid w:val="2811709B"/>
    <w:rsid w:val="281875F6"/>
    <w:rsid w:val="28201C28"/>
    <w:rsid w:val="282D0DE8"/>
    <w:rsid w:val="283F3F0B"/>
    <w:rsid w:val="289A5B44"/>
    <w:rsid w:val="289F4340"/>
    <w:rsid w:val="289F721E"/>
    <w:rsid w:val="28A266E8"/>
    <w:rsid w:val="28AA24E4"/>
    <w:rsid w:val="28AC2C6F"/>
    <w:rsid w:val="28AC2F62"/>
    <w:rsid w:val="28C759C6"/>
    <w:rsid w:val="28D5287A"/>
    <w:rsid w:val="28D95CB1"/>
    <w:rsid w:val="28E026ED"/>
    <w:rsid w:val="28EA2F04"/>
    <w:rsid w:val="28F875BE"/>
    <w:rsid w:val="290F5B0A"/>
    <w:rsid w:val="29107390"/>
    <w:rsid w:val="29206EB8"/>
    <w:rsid w:val="29233095"/>
    <w:rsid w:val="29296022"/>
    <w:rsid w:val="29595666"/>
    <w:rsid w:val="296371D9"/>
    <w:rsid w:val="296C66F4"/>
    <w:rsid w:val="29874881"/>
    <w:rsid w:val="29986B4D"/>
    <w:rsid w:val="29A053DC"/>
    <w:rsid w:val="29A9603F"/>
    <w:rsid w:val="29B81274"/>
    <w:rsid w:val="29DA269C"/>
    <w:rsid w:val="29DE5DBE"/>
    <w:rsid w:val="29DF4157"/>
    <w:rsid w:val="29E325E0"/>
    <w:rsid w:val="29E74DB9"/>
    <w:rsid w:val="29EF31AE"/>
    <w:rsid w:val="29F01EC0"/>
    <w:rsid w:val="2A0E0B36"/>
    <w:rsid w:val="2A116215"/>
    <w:rsid w:val="2A2B5E5C"/>
    <w:rsid w:val="2A452503"/>
    <w:rsid w:val="2A4830A7"/>
    <w:rsid w:val="2A554419"/>
    <w:rsid w:val="2A58545F"/>
    <w:rsid w:val="2A647F86"/>
    <w:rsid w:val="2A955965"/>
    <w:rsid w:val="2AC033A1"/>
    <w:rsid w:val="2AD3623B"/>
    <w:rsid w:val="2AD90E2C"/>
    <w:rsid w:val="2AE35162"/>
    <w:rsid w:val="2AEC52A0"/>
    <w:rsid w:val="2B0C3DF0"/>
    <w:rsid w:val="2B125333"/>
    <w:rsid w:val="2B392036"/>
    <w:rsid w:val="2B3F2DCB"/>
    <w:rsid w:val="2B404781"/>
    <w:rsid w:val="2B411285"/>
    <w:rsid w:val="2B4151B3"/>
    <w:rsid w:val="2B562AA1"/>
    <w:rsid w:val="2B582A54"/>
    <w:rsid w:val="2B6A165E"/>
    <w:rsid w:val="2B922E5C"/>
    <w:rsid w:val="2B956E19"/>
    <w:rsid w:val="2BA47406"/>
    <w:rsid w:val="2BA6170E"/>
    <w:rsid w:val="2BA936A8"/>
    <w:rsid w:val="2BA94A1C"/>
    <w:rsid w:val="2BBD6012"/>
    <w:rsid w:val="2BCD402F"/>
    <w:rsid w:val="2BD70B3B"/>
    <w:rsid w:val="2BEB6DE3"/>
    <w:rsid w:val="2BF84A3E"/>
    <w:rsid w:val="2BFA7026"/>
    <w:rsid w:val="2C0D03FF"/>
    <w:rsid w:val="2C113A08"/>
    <w:rsid w:val="2C140914"/>
    <w:rsid w:val="2C1B33C6"/>
    <w:rsid w:val="2C211E66"/>
    <w:rsid w:val="2C29552E"/>
    <w:rsid w:val="2C2C5E13"/>
    <w:rsid w:val="2C315A5A"/>
    <w:rsid w:val="2C362A0D"/>
    <w:rsid w:val="2C471751"/>
    <w:rsid w:val="2C481A5E"/>
    <w:rsid w:val="2C4B1C25"/>
    <w:rsid w:val="2C5936C8"/>
    <w:rsid w:val="2C7103D8"/>
    <w:rsid w:val="2C722A93"/>
    <w:rsid w:val="2C726A68"/>
    <w:rsid w:val="2C7C1371"/>
    <w:rsid w:val="2C7E41B2"/>
    <w:rsid w:val="2CBC0D61"/>
    <w:rsid w:val="2CBC1BF3"/>
    <w:rsid w:val="2CBC7D94"/>
    <w:rsid w:val="2CC92A0A"/>
    <w:rsid w:val="2CD560C1"/>
    <w:rsid w:val="2CE10354"/>
    <w:rsid w:val="2CE915E7"/>
    <w:rsid w:val="2CF94810"/>
    <w:rsid w:val="2D030BAC"/>
    <w:rsid w:val="2D031F0A"/>
    <w:rsid w:val="2D126E0D"/>
    <w:rsid w:val="2D1A7212"/>
    <w:rsid w:val="2D437777"/>
    <w:rsid w:val="2D45009B"/>
    <w:rsid w:val="2D59798F"/>
    <w:rsid w:val="2D627230"/>
    <w:rsid w:val="2D635F72"/>
    <w:rsid w:val="2D77569E"/>
    <w:rsid w:val="2D814041"/>
    <w:rsid w:val="2D837516"/>
    <w:rsid w:val="2D9E56F5"/>
    <w:rsid w:val="2DA607DA"/>
    <w:rsid w:val="2DAB1B97"/>
    <w:rsid w:val="2DB63769"/>
    <w:rsid w:val="2DBA7D14"/>
    <w:rsid w:val="2DCB7498"/>
    <w:rsid w:val="2DCC3514"/>
    <w:rsid w:val="2DCF003E"/>
    <w:rsid w:val="2DE9470A"/>
    <w:rsid w:val="2DEA7643"/>
    <w:rsid w:val="2DF81B09"/>
    <w:rsid w:val="2E074A6D"/>
    <w:rsid w:val="2E0E7175"/>
    <w:rsid w:val="2E18757C"/>
    <w:rsid w:val="2E3A5939"/>
    <w:rsid w:val="2E4125AC"/>
    <w:rsid w:val="2E653776"/>
    <w:rsid w:val="2E667F96"/>
    <w:rsid w:val="2E6932C2"/>
    <w:rsid w:val="2E72276D"/>
    <w:rsid w:val="2E8226AB"/>
    <w:rsid w:val="2EB00F85"/>
    <w:rsid w:val="2EB30513"/>
    <w:rsid w:val="2EB52A60"/>
    <w:rsid w:val="2EE240EA"/>
    <w:rsid w:val="2F2A1763"/>
    <w:rsid w:val="2F490DD9"/>
    <w:rsid w:val="2F4A6EDA"/>
    <w:rsid w:val="2F503938"/>
    <w:rsid w:val="2F744CDB"/>
    <w:rsid w:val="2F783CF9"/>
    <w:rsid w:val="2F7E0CFF"/>
    <w:rsid w:val="2F8031A6"/>
    <w:rsid w:val="2FB0605F"/>
    <w:rsid w:val="2FB458BE"/>
    <w:rsid w:val="2FC35981"/>
    <w:rsid w:val="2FD065E6"/>
    <w:rsid w:val="2FD5351F"/>
    <w:rsid w:val="2FD96870"/>
    <w:rsid w:val="300A7BE1"/>
    <w:rsid w:val="301737B2"/>
    <w:rsid w:val="3051547D"/>
    <w:rsid w:val="30552308"/>
    <w:rsid w:val="30580BC9"/>
    <w:rsid w:val="306C3891"/>
    <w:rsid w:val="30823A8E"/>
    <w:rsid w:val="308B46F0"/>
    <w:rsid w:val="30A10AD0"/>
    <w:rsid w:val="30B60B19"/>
    <w:rsid w:val="30CB5942"/>
    <w:rsid w:val="30D65808"/>
    <w:rsid w:val="30E57BC8"/>
    <w:rsid w:val="30EC4708"/>
    <w:rsid w:val="30F71D86"/>
    <w:rsid w:val="30FD38FE"/>
    <w:rsid w:val="311E2ED7"/>
    <w:rsid w:val="312B7C81"/>
    <w:rsid w:val="312C729C"/>
    <w:rsid w:val="31461544"/>
    <w:rsid w:val="315331B0"/>
    <w:rsid w:val="315619EE"/>
    <w:rsid w:val="3159147B"/>
    <w:rsid w:val="315C449C"/>
    <w:rsid w:val="31607C0D"/>
    <w:rsid w:val="317A1902"/>
    <w:rsid w:val="317C7BCE"/>
    <w:rsid w:val="317E24A7"/>
    <w:rsid w:val="31985EE9"/>
    <w:rsid w:val="319F73AE"/>
    <w:rsid w:val="31A106E9"/>
    <w:rsid w:val="31B25CAD"/>
    <w:rsid w:val="31B82709"/>
    <w:rsid w:val="31CA30E4"/>
    <w:rsid w:val="31CD3170"/>
    <w:rsid w:val="31D05482"/>
    <w:rsid w:val="31D10829"/>
    <w:rsid w:val="31D16A7B"/>
    <w:rsid w:val="31D744B3"/>
    <w:rsid w:val="31E50689"/>
    <w:rsid w:val="31EE29E5"/>
    <w:rsid w:val="31F37D5F"/>
    <w:rsid w:val="31F462C5"/>
    <w:rsid w:val="31FF0D78"/>
    <w:rsid w:val="31FF62FD"/>
    <w:rsid w:val="32036D8B"/>
    <w:rsid w:val="321358C3"/>
    <w:rsid w:val="32400B34"/>
    <w:rsid w:val="325B03A4"/>
    <w:rsid w:val="32611E15"/>
    <w:rsid w:val="32895D0D"/>
    <w:rsid w:val="32910AC6"/>
    <w:rsid w:val="32987598"/>
    <w:rsid w:val="329E6876"/>
    <w:rsid w:val="32BA3C9C"/>
    <w:rsid w:val="32BB7F39"/>
    <w:rsid w:val="32C12605"/>
    <w:rsid w:val="32C401B9"/>
    <w:rsid w:val="32E9317E"/>
    <w:rsid w:val="32F30583"/>
    <w:rsid w:val="32FA2ADB"/>
    <w:rsid w:val="33095094"/>
    <w:rsid w:val="331123D1"/>
    <w:rsid w:val="33130F24"/>
    <w:rsid w:val="3320080C"/>
    <w:rsid w:val="333015F2"/>
    <w:rsid w:val="33481AA9"/>
    <w:rsid w:val="334B6320"/>
    <w:rsid w:val="335013B7"/>
    <w:rsid w:val="335614CA"/>
    <w:rsid w:val="33595EFA"/>
    <w:rsid w:val="33656452"/>
    <w:rsid w:val="337223AA"/>
    <w:rsid w:val="338A6D88"/>
    <w:rsid w:val="338D32F1"/>
    <w:rsid w:val="33916DBB"/>
    <w:rsid w:val="339A410C"/>
    <w:rsid w:val="33AA51E1"/>
    <w:rsid w:val="33B62074"/>
    <w:rsid w:val="33D21534"/>
    <w:rsid w:val="33D934D4"/>
    <w:rsid w:val="33F50EE7"/>
    <w:rsid w:val="33FE2F6A"/>
    <w:rsid w:val="34071CC4"/>
    <w:rsid w:val="340E07E5"/>
    <w:rsid w:val="34164676"/>
    <w:rsid w:val="341664F4"/>
    <w:rsid w:val="341F7608"/>
    <w:rsid w:val="34235BF7"/>
    <w:rsid w:val="342A06A6"/>
    <w:rsid w:val="342C02B3"/>
    <w:rsid w:val="34503A45"/>
    <w:rsid w:val="34577732"/>
    <w:rsid w:val="3468176E"/>
    <w:rsid w:val="34721F57"/>
    <w:rsid w:val="34770D42"/>
    <w:rsid w:val="348A688A"/>
    <w:rsid w:val="349202F2"/>
    <w:rsid w:val="34A065EF"/>
    <w:rsid w:val="34C1068D"/>
    <w:rsid w:val="34C34B35"/>
    <w:rsid w:val="34D06597"/>
    <w:rsid w:val="34E441AB"/>
    <w:rsid w:val="35026D29"/>
    <w:rsid w:val="35147E93"/>
    <w:rsid w:val="353510CF"/>
    <w:rsid w:val="353E3FE9"/>
    <w:rsid w:val="3553461E"/>
    <w:rsid w:val="3561073E"/>
    <w:rsid w:val="35656817"/>
    <w:rsid w:val="35683252"/>
    <w:rsid w:val="356D2D04"/>
    <w:rsid w:val="356E6D37"/>
    <w:rsid w:val="358038B4"/>
    <w:rsid w:val="358C5FA8"/>
    <w:rsid w:val="35944047"/>
    <w:rsid w:val="359C7B24"/>
    <w:rsid w:val="35A61B6B"/>
    <w:rsid w:val="35C15DF1"/>
    <w:rsid w:val="35D95452"/>
    <w:rsid w:val="35DE2256"/>
    <w:rsid w:val="35E35945"/>
    <w:rsid w:val="35F4408A"/>
    <w:rsid w:val="36074A7F"/>
    <w:rsid w:val="360D5BCB"/>
    <w:rsid w:val="363561A5"/>
    <w:rsid w:val="363D40BB"/>
    <w:rsid w:val="36501C8A"/>
    <w:rsid w:val="365E6932"/>
    <w:rsid w:val="366F53B2"/>
    <w:rsid w:val="367B15DB"/>
    <w:rsid w:val="36915277"/>
    <w:rsid w:val="36923549"/>
    <w:rsid w:val="36B75FBF"/>
    <w:rsid w:val="36B967E3"/>
    <w:rsid w:val="36BA2DEE"/>
    <w:rsid w:val="36BD0C45"/>
    <w:rsid w:val="36C701A0"/>
    <w:rsid w:val="36D7570D"/>
    <w:rsid w:val="36E45212"/>
    <w:rsid w:val="36ED6E65"/>
    <w:rsid w:val="36FC2413"/>
    <w:rsid w:val="370F16D6"/>
    <w:rsid w:val="372E1EF2"/>
    <w:rsid w:val="373636C6"/>
    <w:rsid w:val="37401FD1"/>
    <w:rsid w:val="37560400"/>
    <w:rsid w:val="37620809"/>
    <w:rsid w:val="378375B9"/>
    <w:rsid w:val="37910ABF"/>
    <w:rsid w:val="37930739"/>
    <w:rsid w:val="379950AD"/>
    <w:rsid w:val="37A53396"/>
    <w:rsid w:val="37A75B88"/>
    <w:rsid w:val="37AE6F16"/>
    <w:rsid w:val="37B35334"/>
    <w:rsid w:val="37B46665"/>
    <w:rsid w:val="37B570B1"/>
    <w:rsid w:val="37C404E8"/>
    <w:rsid w:val="37E00298"/>
    <w:rsid w:val="37E01FDC"/>
    <w:rsid w:val="37E312B6"/>
    <w:rsid w:val="38033C22"/>
    <w:rsid w:val="38386D28"/>
    <w:rsid w:val="384E4BEA"/>
    <w:rsid w:val="38A9475B"/>
    <w:rsid w:val="38B302F9"/>
    <w:rsid w:val="38C40972"/>
    <w:rsid w:val="38D86FE4"/>
    <w:rsid w:val="38E057E7"/>
    <w:rsid w:val="38F12CD3"/>
    <w:rsid w:val="38F413BC"/>
    <w:rsid w:val="38F94775"/>
    <w:rsid w:val="38FD7510"/>
    <w:rsid w:val="39050DB8"/>
    <w:rsid w:val="39147353"/>
    <w:rsid w:val="39192C38"/>
    <w:rsid w:val="39247232"/>
    <w:rsid w:val="392971ED"/>
    <w:rsid w:val="39325651"/>
    <w:rsid w:val="3934735A"/>
    <w:rsid w:val="39461AFC"/>
    <w:rsid w:val="39597976"/>
    <w:rsid w:val="39654597"/>
    <w:rsid w:val="397F6DBC"/>
    <w:rsid w:val="399D5494"/>
    <w:rsid w:val="399F73E5"/>
    <w:rsid w:val="39A97500"/>
    <w:rsid w:val="39B747A8"/>
    <w:rsid w:val="39C40F67"/>
    <w:rsid w:val="39CE35B2"/>
    <w:rsid w:val="39D710B8"/>
    <w:rsid w:val="39F9158B"/>
    <w:rsid w:val="3A274FC2"/>
    <w:rsid w:val="3A3556CD"/>
    <w:rsid w:val="3A3F4136"/>
    <w:rsid w:val="3A4F729E"/>
    <w:rsid w:val="3A542FC8"/>
    <w:rsid w:val="3A872856"/>
    <w:rsid w:val="3A96390C"/>
    <w:rsid w:val="3AA52B3F"/>
    <w:rsid w:val="3AB478A9"/>
    <w:rsid w:val="3AB60ED4"/>
    <w:rsid w:val="3ADC7B50"/>
    <w:rsid w:val="3ADD6CAC"/>
    <w:rsid w:val="3B111C96"/>
    <w:rsid w:val="3B1C66CE"/>
    <w:rsid w:val="3B303279"/>
    <w:rsid w:val="3B31479A"/>
    <w:rsid w:val="3B3763D1"/>
    <w:rsid w:val="3B397CC3"/>
    <w:rsid w:val="3B3B7E75"/>
    <w:rsid w:val="3B4F3791"/>
    <w:rsid w:val="3B5166FD"/>
    <w:rsid w:val="3B624FFE"/>
    <w:rsid w:val="3B6348FF"/>
    <w:rsid w:val="3B68689B"/>
    <w:rsid w:val="3B714A83"/>
    <w:rsid w:val="3B7578A2"/>
    <w:rsid w:val="3B783987"/>
    <w:rsid w:val="3B907B38"/>
    <w:rsid w:val="3B932AC5"/>
    <w:rsid w:val="3B993DC0"/>
    <w:rsid w:val="3BA96372"/>
    <w:rsid w:val="3BAC18AE"/>
    <w:rsid w:val="3BAE1BDB"/>
    <w:rsid w:val="3BB04E3F"/>
    <w:rsid w:val="3BC30D33"/>
    <w:rsid w:val="3BC617D8"/>
    <w:rsid w:val="3BC82C9D"/>
    <w:rsid w:val="3BC95FF1"/>
    <w:rsid w:val="3BD24A6E"/>
    <w:rsid w:val="3BDD26CA"/>
    <w:rsid w:val="3BE05509"/>
    <w:rsid w:val="3BE22044"/>
    <w:rsid w:val="3BED7911"/>
    <w:rsid w:val="3BEE5CC4"/>
    <w:rsid w:val="3BF125ED"/>
    <w:rsid w:val="3BFD2694"/>
    <w:rsid w:val="3BFE5519"/>
    <w:rsid w:val="3C24701C"/>
    <w:rsid w:val="3C2C2BC8"/>
    <w:rsid w:val="3C2F417C"/>
    <w:rsid w:val="3C2F6E1E"/>
    <w:rsid w:val="3C325AA6"/>
    <w:rsid w:val="3C3365A6"/>
    <w:rsid w:val="3C373516"/>
    <w:rsid w:val="3C4F64BA"/>
    <w:rsid w:val="3C5A5481"/>
    <w:rsid w:val="3C6F3118"/>
    <w:rsid w:val="3C750948"/>
    <w:rsid w:val="3C9951DB"/>
    <w:rsid w:val="3C9E7A7D"/>
    <w:rsid w:val="3CCF6FF7"/>
    <w:rsid w:val="3CD1121D"/>
    <w:rsid w:val="3CD341CB"/>
    <w:rsid w:val="3CDA245A"/>
    <w:rsid w:val="3CE35651"/>
    <w:rsid w:val="3CE934AF"/>
    <w:rsid w:val="3CEC18A6"/>
    <w:rsid w:val="3CFB49AC"/>
    <w:rsid w:val="3CFE6879"/>
    <w:rsid w:val="3D0E2985"/>
    <w:rsid w:val="3D1E06B7"/>
    <w:rsid w:val="3D5E1071"/>
    <w:rsid w:val="3D6E33D0"/>
    <w:rsid w:val="3D822FFB"/>
    <w:rsid w:val="3D8250CD"/>
    <w:rsid w:val="3D860D5E"/>
    <w:rsid w:val="3D9A2417"/>
    <w:rsid w:val="3D9A384D"/>
    <w:rsid w:val="3DE720D7"/>
    <w:rsid w:val="3DED7044"/>
    <w:rsid w:val="3DF80E10"/>
    <w:rsid w:val="3E1551E1"/>
    <w:rsid w:val="3E265A58"/>
    <w:rsid w:val="3E3C0D70"/>
    <w:rsid w:val="3E46739D"/>
    <w:rsid w:val="3E467648"/>
    <w:rsid w:val="3E5E1573"/>
    <w:rsid w:val="3E995288"/>
    <w:rsid w:val="3EB412B6"/>
    <w:rsid w:val="3EBA234E"/>
    <w:rsid w:val="3EC77589"/>
    <w:rsid w:val="3ECD4DB7"/>
    <w:rsid w:val="3ED731F7"/>
    <w:rsid w:val="3EDA0523"/>
    <w:rsid w:val="3EEF7613"/>
    <w:rsid w:val="3EF364AD"/>
    <w:rsid w:val="3F00274D"/>
    <w:rsid w:val="3F0D20B8"/>
    <w:rsid w:val="3F1A0EBE"/>
    <w:rsid w:val="3F3626B6"/>
    <w:rsid w:val="3F473ED8"/>
    <w:rsid w:val="3F545997"/>
    <w:rsid w:val="3F56236D"/>
    <w:rsid w:val="3F612097"/>
    <w:rsid w:val="3F724E63"/>
    <w:rsid w:val="3F8C4845"/>
    <w:rsid w:val="3FA6722E"/>
    <w:rsid w:val="3FAD15FB"/>
    <w:rsid w:val="3FE61943"/>
    <w:rsid w:val="3FF102E8"/>
    <w:rsid w:val="40175FA1"/>
    <w:rsid w:val="403708E0"/>
    <w:rsid w:val="403C7624"/>
    <w:rsid w:val="40407BAD"/>
    <w:rsid w:val="40532D51"/>
    <w:rsid w:val="40621142"/>
    <w:rsid w:val="407169F8"/>
    <w:rsid w:val="407A6407"/>
    <w:rsid w:val="40812E6F"/>
    <w:rsid w:val="40827FFF"/>
    <w:rsid w:val="40842C71"/>
    <w:rsid w:val="40C14A63"/>
    <w:rsid w:val="40D439E6"/>
    <w:rsid w:val="40DB5028"/>
    <w:rsid w:val="40E1704F"/>
    <w:rsid w:val="40E60F5B"/>
    <w:rsid w:val="40EB7C06"/>
    <w:rsid w:val="40F778EA"/>
    <w:rsid w:val="41044273"/>
    <w:rsid w:val="41091CFF"/>
    <w:rsid w:val="410B43DE"/>
    <w:rsid w:val="410F160B"/>
    <w:rsid w:val="41237A6F"/>
    <w:rsid w:val="41272330"/>
    <w:rsid w:val="415215C9"/>
    <w:rsid w:val="415723CD"/>
    <w:rsid w:val="41715182"/>
    <w:rsid w:val="417410F9"/>
    <w:rsid w:val="41786BC9"/>
    <w:rsid w:val="418C0B42"/>
    <w:rsid w:val="418F0C7B"/>
    <w:rsid w:val="41BC0306"/>
    <w:rsid w:val="41BE7823"/>
    <w:rsid w:val="41D261BD"/>
    <w:rsid w:val="41DC7BD3"/>
    <w:rsid w:val="41E57426"/>
    <w:rsid w:val="41FA176A"/>
    <w:rsid w:val="4200449D"/>
    <w:rsid w:val="420F3E95"/>
    <w:rsid w:val="421763B3"/>
    <w:rsid w:val="423A3BCC"/>
    <w:rsid w:val="423D128D"/>
    <w:rsid w:val="424E57D2"/>
    <w:rsid w:val="42606938"/>
    <w:rsid w:val="4268392D"/>
    <w:rsid w:val="42913407"/>
    <w:rsid w:val="429234D3"/>
    <w:rsid w:val="42B26C49"/>
    <w:rsid w:val="42BD7DD8"/>
    <w:rsid w:val="42DA5BA7"/>
    <w:rsid w:val="42DE1200"/>
    <w:rsid w:val="42E66E8D"/>
    <w:rsid w:val="42FA0E54"/>
    <w:rsid w:val="42FB0446"/>
    <w:rsid w:val="430D0EB0"/>
    <w:rsid w:val="43105F3B"/>
    <w:rsid w:val="43220FCC"/>
    <w:rsid w:val="432804C5"/>
    <w:rsid w:val="433A6FE6"/>
    <w:rsid w:val="43480868"/>
    <w:rsid w:val="4350713C"/>
    <w:rsid w:val="43511034"/>
    <w:rsid w:val="43635394"/>
    <w:rsid w:val="436653E0"/>
    <w:rsid w:val="437159C8"/>
    <w:rsid w:val="43722D75"/>
    <w:rsid w:val="43B70EA4"/>
    <w:rsid w:val="43C4431A"/>
    <w:rsid w:val="441427F7"/>
    <w:rsid w:val="442073EE"/>
    <w:rsid w:val="443764CD"/>
    <w:rsid w:val="444B7656"/>
    <w:rsid w:val="445305B3"/>
    <w:rsid w:val="445C130F"/>
    <w:rsid w:val="448C6889"/>
    <w:rsid w:val="449D77EA"/>
    <w:rsid w:val="44AC3B4B"/>
    <w:rsid w:val="44B951CC"/>
    <w:rsid w:val="44CD14E0"/>
    <w:rsid w:val="44D26100"/>
    <w:rsid w:val="44D570FB"/>
    <w:rsid w:val="44D63D53"/>
    <w:rsid w:val="44DD57B5"/>
    <w:rsid w:val="44E977E0"/>
    <w:rsid w:val="44F20B0B"/>
    <w:rsid w:val="44F52628"/>
    <w:rsid w:val="45286E8F"/>
    <w:rsid w:val="452E5F4C"/>
    <w:rsid w:val="45355AD5"/>
    <w:rsid w:val="45402A0F"/>
    <w:rsid w:val="455B2EFF"/>
    <w:rsid w:val="45612018"/>
    <w:rsid w:val="457D260A"/>
    <w:rsid w:val="458946E9"/>
    <w:rsid w:val="45A47C0E"/>
    <w:rsid w:val="45BB0BBE"/>
    <w:rsid w:val="45CC116E"/>
    <w:rsid w:val="45CE3AEE"/>
    <w:rsid w:val="45DD6E5F"/>
    <w:rsid w:val="45DF1F82"/>
    <w:rsid w:val="462258C2"/>
    <w:rsid w:val="462A7747"/>
    <w:rsid w:val="462B72C0"/>
    <w:rsid w:val="463F5A77"/>
    <w:rsid w:val="464674CF"/>
    <w:rsid w:val="46481CEF"/>
    <w:rsid w:val="46577FD6"/>
    <w:rsid w:val="46585C31"/>
    <w:rsid w:val="46741871"/>
    <w:rsid w:val="46850941"/>
    <w:rsid w:val="468A344A"/>
    <w:rsid w:val="468F6972"/>
    <w:rsid w:val="469A50E5"/>
    <w:rsid w:val="46B13674"/>
    <w:rsid w:val="46B406CC"/>
    <w:rsid w:val="46B979D4"/>
    <w:rsid w:val="46BD3EEF"/>
    <w:rsid w:val="46BE75D7"/>
    <w:rsid w:val="46BF4007"/>
    <w:rsid w:val="46D955A7"/>
    <w:rsid w:val="46EB1F0E"/>
    <w:rsid w:val="46F506BE"/>
    <w:rsid w:val="4700217B"/>
    <w:rsid w:val="47133957"/>
    <w:rsid w:val="47431D24"/>
    <w:rsid w:val="474727A7"/>
    <w:rsid w:val="474D5BB1"/>
    <w:rsid w:val="475A6773"/>
    <w:rsid w:val="475C1EAD"/>
    <w:rsid w:val="477517FF"/>
    <w:rsid w:val="477908C9"/>
    <w:rsid w:val="47833F1C"/>
    <w:rsid w:val="47A07E0C"/>
    <w:rsid w:val="47D43722"/>
    <w:rsid w:val="47E240EF"/>
    <w:rsid w:val="4809415A"/>
    <w:rsid w:val="480B14E3"/>
    <w:rsid w:val="480F57AF"/>
    <w:rsid w:val="4811545D"/>
    <w:rsid w:val="481532D2"/>
    <w:rsid w:val="482335F2"/>
    <w:rsid w:val="483F614C"/>
    <w:rsid w:val="48417B29"/>
    <w:rsid w:val="48615F8E"/>
    <w:rsid w:val="48641732"/>
    <w:rsid w:val="4870272E"/>
    <w:rsid w:val="48870C9A"/>
    <w:rsid w:val="488C32A4"/>
    <w:rsid w:val="48961F11"/>
    <w:rsid w:val="48AE3BA5"/>
    <w:rsid w:val="48B22206"/>
    <w:rsid w:val="48D1562A"/>
    <w:rsid w:val="48D84C69"/>
    <w:rsid w:val="48EF6DA2"/>
    <w:rsid w:val="48F80295"/>
    <w:rsid w:val="48FE7550"/>
    <w:rsid w:val="49060960"/>
    <w:rsid w:val="49093E01"/>
    <w:rsid w:val="490A020D"/>
    <w:rsid w:val="49217C44"/>
    <w:rsid w:val="4924274A"/>
    <w:rsid w:val="4925221B"/>
    <w:rsid w:val="49264851"/>
    <w:rsid w:val="49311708"/>
    <w:rsid w:val="49313E63"/>
    <w:rsid w:val="493F20C4"/>
    <w:rsid w:val="494D6D05"/>
    <w:rsid w:val="49580977"/>
    <w:rsid w:val="49695393"/>
    <w:rsid w:val="496B2C55"/>
    <w:rsid w:val="497F578F"/>
    <w:rsid w:val="49BE2782"/>
    <w:rsid w:val="49DC5F7B"/>
    <w:rsid w:val="49DC7715"/>
    <w:rsid w:val="4A023139"/>
    <w:rsid w:val="4A7B576F"/>
    <w:rsid w:val="4A9D5699"/>
    <w:rsid w:val="4AB64A28"/>
    <w:rsid w:val="4AC00FE3"/>
    <w:rsid w:val="4ADB69E7"/>
    <w:rsid w:val="4AEE2A71"/>
    <w:rsid w:val="4AF561A9"/>
    <w:rsid w:val="4B080CDF"/>
    <w:rsid w:val="4B1C614B"/>
    <w:rsid w:val="4B2D2BAA"/>
    <w:rsid w:val="4B3612A5"/>
    <w:rsid w:val="4B39191B"/>
    <w:rsid w:val="4B410375"/>
    <w:rsid w:val="4B461E8C"/>
    <w:rsid w:val="4B513063"/>
    <w:rsid w:val="4B5B19AA"/>
    <w:rsid w:val="4B665390"/>
    <w:rsid w:val="4B69379D"/>
    <w:rsid w:val="4B74644D"/>
    <w:rsid w:val="4B7705FB"/>
    <w:rsid w:val="4B916B26"/>
    <w:rsid w:val="4B9524C0"/>
    <w:rsid w:val="4BA00141"/>
    <w:rsid w:val="4BAC7E66"/>
    <w:rsid w:val="4BC43438"/>
    <w:rsid w:val="4BD96800"/>
    <w:rsid w:val="4BDF68E4"/>
    <w:rsid w:val="4BF821A9"/>
    <w:rsid w:val="4C082F4C"/>
    <w:rsid w:val="4C4905C7"/>
    <w:rsid w:val="4C4A0649"/>
    <w:rsid w:val="4C6D0CF6"/>
    <w:rsid w:val="4C73448F"/>
    <w:rsid w:val="4C742072"/>
    <w:rsid w:val="4C7E5ECA"/>
    <w:rsid w:val="4C863FF4"/>
    <w:rsid w:val="4C876AA5"/>
    <w:rsid w:val="4C956FE6"/>
    <w:rsid w:val="4CA833FC"/>
    <w:rsid w:val="4CB1386B"/>
    <w:rsid w:val="4CC44899"/>
    <w:rsid w:val="4CC748AA"/>
    <w:rsid w:val="4CDB30E2"/>
    <w:rsid w:val="4CE527B0"/>
    <w:rsid w:val="4CE8402F"/>
    <w:rsid w:val="4D023B34"/>
    <w:rsid w:val="4D0478AD"/>
    <w:rsid w:val="4D0D3AAC"/>
    <w:rsid w:val="4D0E00FB"/>
    <w:rsid w:val="4D176606"/>
    <w:rsid w:val="4D1F6494"/>
    <w:rsid w:val="4D2C7C07"/>
    <w:rsid w:val="4D6E1E99"/>
    <w:rsid w:val="4D9E745E"/>
    <w:rsid w:val="4DAD6F40"/>
    <w:rsid w:val="4DD42FC0"/>
    <w:rsid w:val="4DD921D3"/>
    <w:rsid w:val="4DEC4FB0"/>
    <w:rsid w:val="4E075D8A"/>
    <w:rsid w:val="4E0764A5"/>
    <w:rsid w:val="4E0824B1"/>
    <w:rsid w:val="4E113688"/>
    <w:rsid w:val="4E192EE4"/>
    <w:rsid w:val="4E1F107E"/>
    <w:rsid w:val="4E31577A"/>
    <w:rsid w:val="4E330FB7"/>
    <w:rsid w:val="4E332649"/>
    <w:rsid w:val="4E4E43AD"/>
    <w:rsid w:val="4E5100A8"/>
    <w:rsid w:val="4E6B2BD4"/>
    <w:rsid w:val="4E7C6663"/>
    <w:rsid w:val="4E84293E"/>
    <w:rsid w:val="4E8535F7"/>
    <w:rsid w:val="4E876DE8"/>
    <w:rsid w:val="4EAD6A4D"/>
    <w:rsid w:val="4EB33E79"/>
    <w:rsid w:val="4EBA414E"/>
    <w:rsid w:val="4EC00FAD"/>
    <w:rsid w:val="4EC30F22"/>
    <w:rsid w:val="4ED162B3"/>
    <w:rsid w:val="4ED75EF1"/>
    <w:rsid w:val="4EDA4027"/>
    <w:rsid w:val="4EF70D4B"/>
    <w:rsid w:val="4F20650C"/>
    <w:rsid w:val="4F330476"/>
    <w:rsid w:val="4F3514CB"/>
    <w:rsid w:val="4F377C27"/>
    <w:rsid w:val="4F492F13"/>
    <w:rsid w:val="4F4F2935"/>
    <w:rsid w:val="4F6B6B86"/>
    <w:rsid w:val="4F847C5D"/>
    <w:rsid w:val="4F9843DC"/>
    <w:rsid w:val="4F997A3A"/>
    <w:rsid w:val="4FAD7B83"/>
    <w:rsid w:val="4FB04055"/>
    <w:rsid w:val="4FB474C5"/>
    <w:rsid w:val="4FB96E6B"/>
    <w:rsid w:val="4FC40ECE"/>
    <w:rsid w:val="4FC62A8C"/>
    <w:rsid w:val="4FCC59A5"/>
    <w:rsid w:val="4FD051AF"/>
    <w:rsid w:val="4FE20F0D"/>
    <w:rsid w:val="4FE51552"/>
    <w:rsid w:val="4FEF3074"/>
    <w:rsid w:val="500C7478"/>
    <w:rsid w:val="502A3F5D"/>
    <w:rsid w:val="503F29AA"/>
    <w:rsid w:val="50487AB0"/>
    <w:rsid w:val="50504C4B"/>
    <w:rsid w:val="505100A9"/>
    <w:rsid w:val="50527605"/>
    <w:rsid w:val="506863A4"/>
    <w:rsid w:val="506F2BCA"/>
    <w:rsid w:val="509C6E7C"/>
    <w:rsid w:val="509E6DA8"/>
    <w:rsid w:val="50B23EE5"/>
    <w:rsid w:val="50EA2AF2"/>
    <w:rsid w:val="50F20DA1"/>
    <w:rsid w:val="50F84A83"/>
    <w:rsid w:val="50FA6453"/>
    <w:rsid w:val="50FE4DE6"/>
    <w:rsid w:val="5107796B"/>
    <w:rsid w:val="5124051D"/>
    <w:rsid w:val="512D6CA6"/>
    <w:rsid w:val="512E091C"/>
    <w:rsid w:val="514C35D0"/>
    <w:rsid w:val="51591DAD"/>
    <w:rsid w:val="5162104E"/>
    <w:rsid w:val="516E13D9"/>
    <w:rsid w:val="51B9465D"/>
    <w:rsid w:val="51BE6C2A"/>
    <w:rsid w:val="51D36A20"/>
    <w:rsid w:val="51D839FC"/>
    <w:rsid w:val="520431F4"/>
    <w:rsid w:val="52183896"/>
    <w:rsid w:val="521A722A"/>
    <w:rsid w:val="522107D2"/>
    <w:rsid w:val="522D0BD4"/>
    <w:rsid w:val="52344790"/>
    <w:rsid w:val="52400DAB"/>
    <w:rsid w:val="524758F6"/>
    <w:rsid w:val="526C1DC5"/>
    <w:rsid w:val="52706D8F"/>
    <w:rsid w:val="5293556C"/>
    <w:rsid w:val="529D32B0"/>
    <w:rsid w:val="52B21F3C"/>
    <w:rsid w:val="52CA5F13"/>
    <w:rsid w:val="52D526DA"/>
    <w:rsid w:val="52E53D8C"/>
    <w:rsid w:val="533662E6"/>
    <w:rsid w:val="53400683"/>
    <w:rsid w:val="535B1FF7"/>
    <w:rsid w:val="535F37EB"/>
    <w:rsid w:val="536F00AC"/>
    <w:rsid w:val="537D2167"/>
    <w:rsid w:val="5388359A"/>
    <w:rsid w:val="538A51CD"/>
    <w:rsid w:val="539508FE"/>
    <w:rsid w:val="53A039CC"/>
    <w:rsid w:val="53A1505A"/>
    <w:rsid w:val="53A46C86"/>
    <w:rsid w:val="53B166CE"/>
    <w:rsid w:val="53F407C3"/>
    <w:rsid w:val="53FA37B7"/>
    <w:rsid w:val="54063E08"/>
    <w:rsid w:val="540E2C36"/>
    <w:rsid w:val="543437E8"/>
    <w:rsid w:val="545C3524"/>
    <w:rsid w:val="54612518"/>
    <w:rsid w:val="54734F46"/>
    <w:rsid w:val="548B38CE"/>
    <w:rsid w:val="548F459C"/>
    <w:rsid w:val="549E4143"/>
    <w:rsid w:val="54C34F7A"/>
    <w:rsid w:val="54C96164"/>
    <w:rsid w:val="54DA0C5D"/>
    <w:rsid w:val="54F73313"/>
    <w:rsid w:val="54F80955"/>
    <w:rsid w:val="54FF6203"/>
    <w:rsid w:val="55447A7D"/>
    <w:rsid w:val="555170A7"/>
    <w:rsid w:val="55592415"/>
    <w:rsid w:val="555D77E7"/>
    <w:rsid w:val="55604465"/>
    <w:rsid w:val="5566535B"/>
    <w:rsid w:val="556E4C3C"/>
    <w:rsid w:val="557D2E23"/>
    <w:rsid w:val="5587536D"/>
    <w:rsid w:val="559B174B"/>
    <w:rsid w:val="559F0FBF"/>
    <w:rsid w:val="55A25EB5"/>
    <w:rsid w:val="55CE0CF4"/>
    <w:rsid w:val="55D46736"/>
    <w:rsid w:val="55EF6A1D"/>
    <w:rsid w:val="55F14746"/>
    <w:rsid w:val="55F8497D"/>
    <w:rsid w:val="560E1E5F"/>
    <w:rsid w:val="560F096B"/>
    <w:rsid w:val="561444E9"/>
    <w:rsid w:val="561464E1"/>
    <w:rsid w:val="561E5E56"/>
    <w:rsid w:val="561F3FB8"/>
    <w:rsid w:val="56226FF5"/>
    <w:rsid w:val="56322436"/>
    <w:rsid w:val="564D18B9"/>
    <w:rsid w:val="56752A85"/>
    <w:rsid w:val="569E3615"/>
    <w:rsid w:val="56B07C36"/>
    <w:rsid w:val="56B22A9C"/>
    <w:rsid w:val="56B81AEB"/>
    <w:rsid w:val="56E61DC6"/>
    <w:rsid w:val="56E91829"/>
    <w:rsid w:val="570E09BF"/>
    <w:rsid w:val="57195DA5"/>
    <w:rsid w:val="57210CDB"/>
    <w:rsid w:val="5727673D"/>
    <w:rsid w:val="572826FA"/>
    <w:rsid w:val="576E2539"/>
    <w:rsid w:val="578148DF"/>
    <w:rsid w:val="57834C3F"/>
    <w:rsid w:val="5784401A"/>
    <w:rsid w:val="578F4175"/>
    <w:rsid w:val="57A33496"/>
    <w:rsid w:val="57AD2C49"/>
    <w:rsid w:val="57B72A76"/>
    <w:rsid w:val="57BE6706"/>
    <w:rsid w:val="57C3426C"/>
    <w:rsid w:val="57C660AD"/>
    <w:rsid w:val="57CE1F93"/>
    <w:rsid w:val="57E77125"/>
    <w:rsid w:val="57EE5377"/>
    <w:rsid w:val="57F154B9"/>
    <w:rsid w:val="57F64254"/>
    <w:rsid w:val="5809257F"/>
    <w:rsid w:val="580F3147"/>
    <w:rsid w:val="581666E6"/>
    <w:rsid w:val="58202531"/>
    <w:rsid w:val="584A7C78"/>
    <w:rsid w:val="585D5314"/>
    <w:rsid w:val="585E4FD2"/>
    <w:rsid w:val="588743D1"/>
    <w:rsid w:val="5887701A"/>
    <w:rsid w:val="588968C2"/>
    <w:rsid w:val="5890244E"/>
    <w:rsid w:val="58C26DA6"/>
    <w:rsid w:val="58D63D1E"/>
    <w:rsid w:val="58E02605"/>
    <w:rsid w:val="58E30CBE"/>
    <w:rsid w:val="58EB1921"/>
    <w:rsid w:val="58EB3CDA"/>
    <w:rsid w:val="58EE5E92"/>
    <w:rsid w:val="58F06F37"/>
    <w:rsid w:val="58F203EA"/>
    <w:rsid w:val="58F26D01"/>
    <w:rsid w:val="58FF64E8"/>
    <w:rsid w:val="59023DE6"/>
    <w:rsid w:val="590E2F7B"/>
    <w:rsid w:val="592D09C5"/>
    <w:rsid w:val="594828CF"/>
    <w:rsid w:val="596B4552"/>
    <w:rsid w:val="59853B23"/>
    <w:rsid w:val="59A0324D"/>
    <w:rsid w:val="59A40C08"/>
    <w:rsid w:val="59C0439F"/>
    <w:rsid w:val="59F65F60"/>
    <w:rsid w:val="59FD2047"/>
    <w:rsid w:val="5A0233C6"/>
    <w:rsid w:val="5A0C67B3"/>
    <w:rsid w:val="5A156CBD"/>
    <w:rsid w:val="5A295D82"/>
    <w:rsid w:val="5A2D0192"/>
    <w:rsid w:val="5A3532E5"/>
    <w:rsid w:val="5A67192E"/>
    <w:rsid w:val="5A84202D"/>
    <w:rsid w:val="5A893F5C"/>
    <w:rsid w:val="5AAC6D30"/>
    <w:rsid w:val="5AB04BD0"/>
    <w:rsid w:val="5ABB0BE1"/>
    <w:rsid w:val="5ABE2233"/>
    <w:rsid w:val="5AF76A39"/>
    <w:rsid w:val="5B060C94"/>
    <w:rsid w:val="5B076D96"/>
    <w:rsid w:val="5B0D6BCF"/>
    <w:rsid w:val="5B320CE2"/>
    <w:rsid w:val="5B4C1EBB"/>
    <w:rsid w:val="5B8D6CBF"/>
    <w:rsid w:val="5BB95D06"/>
    <w:rsid w:val="5BDF5D95"/>
    <w:rsid w:val="5BF2476E"/>
    <w:rsid w:val="5BF815F3"/>
    <w:rsid w:val="5BFD3E45"/>
    <w:rsid w:val="5BFE2505"/>
    <w:rsid w:val="5BFE7528"/>
    <w:rsid w:val="5C0D7769"/>
    <w:rsid w:val="5C1E158C"/>
    <w:rsid w:val="5C204F63"/>
    <w:rsid w:val="5C220057"/>
    <w:rsid w:val="5C227AEB"/>
    <w:rsid w:val="5C2A2760"/>
    <w:rsid w:val="5C395892"/>
    <w:rsid w:val="5C4725F5"/>
    <w:rsid w:val="5C494943"/>
    <w:rsid w:val="5C5D6F1E"/>
    <w:rsid w:val="5C6A108D"/>
    <w:rsid w:val="5C6E0A64"/>
    <w:rsid w:val="5C714173"/>
    <w:rsid w:val="5C76078E"/>
    <w:rsid w:val="5C9964B7"/>
    <w:rsid w:val="5CB945CC"/>
    <w:rsid w:val="5CBC1A0A"/>
    <w:rsid w:val="5CC60F2F"/>
    <w:rsid w:val="5CCB7A9F"/>
    <w:rsid w:val="5CEE4305"/>
    <w:rsid w:val="5CF4729D"/>
    <w:rsid w:val="5D105DFA"/>
    <w:rsid w:val="5D106C02"/>
    <w:rsid w:val="5D1F3E08"/>
    <w:rsid w:val="5D2A2A1E"/>
    <w:rsid w:val="5D2B7A96"/>
    <w:rsid w:val="5D3E0EDA"/>
    <w:rsid w:val="5D3F4BF0"/>
    <w:rsid w:val="5D714325"/>
    <w:rsid w:val="5D7C14AE"/>
    <w:rsid w:val="5D870C6B"/>
    <w:rsid w:val="5D913F28"/>
    <w:rsid w:val="5D9A4AE2"/>
    <w:rsid w:val="5D9E1657"/>
    <w:rsid w:val="5DA36C6E"/>
    <w:rsid w:val="5DA43B7E"/>
    <w:rsid w:val="5DCF35BF"/>
    <w:rsid w:val="5DFF5CC4"/>
    <w:rsid w:val="5E0E0FFA"/>
    <w:rsid w:val="5E1769CD"/>
    <w:rsid w:val="5E2467F1"/>
    <w:rsid w:val="5E2F2C60"/>
    <w:rsid w:val="5E52659B"/>
    <w:rsid w:val="5E8E0B78"/>
    <w:rsid w:val="5EAE702F"/>
    <w:rsid w:val="5EAF6029"/>
    <w:rsid w:val="5ECE5EF7"/>
    <w:rsid w:val="5ED55326"/>
    <w:rsid w:val="5EEB3C16"/>
    <w:rsid w:val="5EF00A9F"/>
    <w:rsid w:val="5EFC4888"/>
    <w:rsid w:val="5F011E9E"/>
    <w:rsid w:val="5F053F00"/>
    <w:rsid w:val="5F13397F"/>
    <w:rsid w:val="5F1A2B43"/>
    <w:rsid w:val="5F2D43A4"/>
    <w:rsid w:val="5F446C03"/>
    <w:rsid w:val="5F4960DA"/>
    <w:rsid w:val="5F5741F1"/>
    <w:rsid w:val="5F5C5FB8"/>
    <w:rsid w:val="5F604A4E"/>
    <w:rsid w:val="5F697B29"/>
    <w:rsid w:val="5F6B72EB"/>
    <w:rsid w:val="5F7B64AE"/>
    <w:rsid w:val="5F8521A5"/>
    <w:rsid w:val="5FA2171D"/>
    <w:rsid w:val="5FA71E70"/>
    <w:rsid w:val="5FA812FD"/>
    <w:rsid w:val="5FB837BB"/>
    <w:rsid w:val="5FDA3AB3"/>
    <w:rsid w:val="5FDE62FC"/>
    <w:rsid w:val="5FE80968"/>
    <w:rsid w:val="600C6122"/>
    <w:rsid w:val="601367AA"/>
    <w:rsid w:val="60186E4B"/>
    <w:rsid w:val="60547DD2"/>
    <w:rsid w:val="605B1F45"/>
    <w:rsid w:val="60681248"/>
    <w:rsid w:val="606D6601"/>
    <w:rsid w:val="608C2D21"/>
    <w:rsid w:val="608D59B2"/>
    <w:rsid w:val="60A1169D"/>
    <w:rsid w:val="60A60192"/>
    <w:rsid w:val="60AA0CC9"/>
    <w:rsid w:val="60CC405A"/>
    <w:rsid w:val="60D1332A"/>
    <w:rsid w:val="60DE1CCF"/>
    <w:rsid w:val="60EB23E6"/>
    <w:rsid w:val="610619ED"/>
    <w:rsid w:val="61132E41"/>
    <w:rsid w:val="611F03B9"/>
    <w:rsid w:val="613D101B"/>
    <w:rsid w:val="61400F1A"/>
    <w:rsid w:val="614154B0"/>
    <w:rsid w:val="6146522D"/>
    <w:rsid w:val="615D2DE9"/>
    <w:rsid w:val="616E622B"/>
    <w:rsid w:val="616F5493"/>
    <w:rsid w:val="619F62BB"/>
    <w:rsid w:val="61AC7872"/>
    <w:rsid w:val="61B77E54"/>
    <w:rsid w:val="61B94FDB"/>
    <w:rsid w:val="61BB3CD2"/>
    <w:rsid w:val="61D75CC5"/>
    <w:rsid w:val="61E07230"/>
    <w:rsid w:val="61E215D8"/>
    <w:rsid w:val="61E812D9"/>
    <w:rsid w:val="621B3775"/>
    <w:rsid w:val="62364782"/>
    <w:rsid w:val="623F32A9"/>
    <w:rsid w:val="625E246B"/>
    <w:rsid w:val="628F3C05"/>
    <w:rsid w:val="62A410FC"/>
    <w:rsid w:val="62A66906"/>
    <w:rsid w:val="62B06858"/>
    <w:rsid w:val="62B15461"/>
    <w:rsid w:val="62B56ACB"/>
    <w:rsid w:val="6311185F"/>
    <w:rsid w:val="63131322"/>
    <w:rsid w:val="631A2E2B"/>
    <w:rsid w:val="63224077"/>
    <w:rsid w:val="63316ACA"/>
    <w:rsid w:val="6357614B"/>
    <w:rsid w:val="63696969"/>
    <w:rsid w:val="638D4845"/>
    <w:rsid w:val="6394356A"/>
    <w:rsid w:val="63971582"/>
    <w:rsid w:val="63972DD1"/>
    <w:rsid w:val="639E1A37"/>
    <w:rsid w:val="63AC5443"/>
    <w:rsid w:val="63B5388E"/>
    <w:rsid w:val="63C07D16"/>
    <w:rsid w:val="63C61B2C"/>
    <w:rsid w:val="63D40BE9"/>
    <w:rsid w:val="63D97E2C"/>
    <w:rsid w:val="63DC345F"/>
    <w:rsid w:val="63EA75B7"/>
    <w:rsid w:val="63ED6DD1"/>
    <w:rsid w:val="64020817"/>
    <w:rsid w:val="64102431"/>
    <w:rsid w:val="64151F48"/>
    <w:rsid w:val="64175CC0"/>
    <w:rsid w:val="64335CC5"/>
    <w:rsid w:val="6437105F"/>
    <w:rsid w:val="647B3721"/>
    <w:rsid w:val="64833DB4"/>
    <w:rsid w:val="64840FED"/>
    <w:rsid w:val="64990EA1"/>
    <w:rsid w:val="64A5243A"/>
    <w:rsid w:val="64B96D77"/>
    <w:rsid w:val="64C17ACE"/>
    <w:rsid w:val="64C3025B"/>
    <w:rsid w:val="64CE1FAB"/>
    <w:rsid w:val="64D12873"/>
    <w:rsid w:val="64D143E1"/>
    <w:rsid w:val="64E82E74"/>
    <w:rsid w:val="64F531DE"/>
    <w:rsid w:val="64FA6655"/>
    <w:rsid w:val="65015F9B"/>
    <w:rsid w:val="65047CF3"/>
    <w:rsid w:val="65254446"/>
    <w:rsid w:val="65373578"/>
    <w:rsid w:val="655A40B6"/>
    <w:rsid w:val="655C235B"/>
    <w:rsid w:val="656C0368"/>
    <w:rsid w:val="65703D85"/>
    <w:rsid w:val="65902071"/>
    <w:rsid w:val="65977C4C"/>
    <w:rsid w:val="65B07EE9"/>
    <w:rsid w:val="65C100F8"/>
    <w:rsid w:val="65D22F9D"/>
    <w:rsid w:val="65D93CD9"/>
    <w:rsid w:val="65DD6A95"/>
    <w:rsid w:val="65F862AB"/>
    <w:rsid w:val="661478F9"/>
    <w:rsid w:val="661B018A"/>
    <w:rsid w:val="6623094C"/>
    <w:rsid w:val="66261761"/>
    <w:rsid w:val="665D2381"/>
    <w:rsid w:val="668313EA"/>
    <w:rsid w:val="668E1A07"/>
    <w:rsid w:val="66BC0DD1"/>
    <w:rsid w:val="66FF68B0"/>
    <w:rsid w:val="670B40A9"/>
    <w:rsid w:val="67183C96"/>
    <w:rsid w:val="671F124A"/>
    <w:rsid w:val="67275606"/>
    <w:rsid w:val="6737039B"/>
    <w:rsid w:val="67495924"/>
    <w:rsid w:val="677A33C6"/>
    <w:rsid w:val="678F6F26"/>
    <w:rsid w:val="67BA03C8"/>
    <w:rsid w:val="67C863FA"/>
    <w:rsid w:val="67CC4CA5"/>
    <w:rsid w:val="67DC107E"/>
    <w:rsid w:val="67DF6AF4"/>
    <w:rsid w:val="67EB3AC7"/>
    <w:rsid w:val="67F16E4D"/>
    <w:rsid w:val="68097404"/>
    <w:rsid w:val="680E3314"/>
    <w:rsid w:val="681F6961"/>
    <w:rsid w:val="68251AF2"/>
    <w:rsid w:val="682F0F8D"/>
    <w:rsid w:val="683A3C08"/>
    <w:rsid w:val="683F63B3"/>
    <w:rsid w:val="68435CC2"/>
    <w:rsid w:val="68610A2F"/>
    <w:rsid w:val="686B46FF"/>
    <w:rsid w:val="68805514"/>
    <w:rsid w:val="688B27D8"/>
    <w:rsid w:val="68A613ED"/>
    <w:rsid w:val="68BC416A"/>
    <w:rsid w:val="68C50699"/>
    <w:rsid w:val="68D45F8A"/>
    <w:rsid w:val="68ED3E84"/>
    <w:rsid w:val="68F863E8"/>
    <w:rsid w:val="68FF3F18"/>
    <w:rsid w:val="68FF5095"/>
    <w:rsid w:val="691F4252"/>
    <w:rsid w:val="692A62C2"/>
    <w:rsid w:val="692F296C"/>
    <w:rsid w:val="69316E2F"/>
    <w:rsid w:val="694E2071"/>
    <w:rsid w:val="69766163"/>
    <w:rsid w:val="6979233F"/>
    <w:rsid w:val="697A3B33"/>
    <w:rsid w:val="697F52C6"/>
    <w:rsid w:val="69913E1E"/>
    <w:rsid w:val="6994010B"/>
    <w:rsid w:val="699C6FC8"/>
    <w:rsid w:val="69C22963"/>
    <w:rsid w:val="69C758BE"/>
    <w:rsid w:val="69C949D0"/>
    <w:rsid w:val="69CB3F2A"/>
    <w:rsid w:val="69D44760"/>
    <w:rsid w:val="69E71229"/>
    <w:rsid w:val="69F85BB3"/>
    <w:rsid w:val="6A1C3809"/>
    <w:rsid w:val="6A234CFD"/>
    <w:rsid w:val="6A250730"/>
    <w:rsid w:val="6A430A98"/>
    <w:rsid w:val="6A460108"/>
    <w:rsid w:val="6A520EC7"/>
    <w:rsid w:val="6A5419B1"/>
    <w:rsid w:val="6A565CEF"/>
    <w:rsid w:val="6A5F6D81"/>
    <w:rsid w:val="6A6424FA"/>
    <w:rsid w:val="6A7024CB"/>
    <w:rsid w:val="6A84533B"/>
    <w:rsid w:val="6A9C6F59"/>
    <w:rsid w:val="6AA3205B"/>
    <w:rsid w:val="6AA95198"/>
    <w:rsid w:val="6AAF4BF9"/>
    <w:rsid w:val="6AB06781"/>
    <w:rsid w:val="6ACB04D9"/>
    <w:rsid w:val="6AD006D1"/>
    <w:rsid w:val="6AE32D62"/>
    <w:rsid w:val="6AE619AD"/>
    <w:rsid w:val="6AE848BB"/>
    <w:rsid w:val="6AF87E20"/>
    <w:rsid w:val="6AF91C7B"/>
    <w:rsid w:val="6AFF55D9"/>
    <w:rsid w:val="6B1638BD"/>
    <w:rsid w:val="6B322639"/>
    <w:rsid w:val="6B3929BF"/>
    <w:rsid w:val="6B4A4684"/>
    <w:rsid w:val="6B9B3216"/>
    <w:rsid w:val="6BA50273"/>
    <w:rsid w:val="6BBC7DF7"/>
    <w:rsid w:val="6C0B610A"/>
    <w:rsid w:val="6C164AAF"/>
    <w:rsid w:val="6C1D4C30"/>
    <w:rsid w:val="6C2363F6"/>
    <w:rsid w:val="6C2439BF"/>
    <w:rsid w:val="6C2C7F47"/>
    <w:rsid w:val="6C3134F5"/>
    <w:rsid w:val="6C492FF0"/>
    <w:rsid w:val="6C636C38"/>
    <w:rsid w:val="6C646D57"/>
    <w:rsid w:val="6C737504"/>
    <w:rsid w:val="6C774A8C"/>
    <w:rsid w:val="6C9351D0"/>
    <w:rsid w:val="6CD22B0F"/>
    <w:rsid w:val="6CD92D39"/>
    <w:rsid w:val="6CE02939"/>
    <w:rsid w:val="6CE9291E"/>
    <w:rsid w:val="6CFC18CA"/>
    <w:rsid w:val="6D101F46"/>
    <w:rsid w:val="6D1D12AB"/>
    <w:rsid w:val="6D233D41"/>
    <w:rsid w:val="6D2D3E5E"/>
    <w:rsid w:val="6D3179D4"/>
    <w:rsid w:val="6D3277F3"/>
    <w:rsid w:val="6D4551AE"/>
    <w:rsid w:val="6D4B647B"/>
    <w:rsid w:val="6D9E09A9"/>
    <w:rsid w:val="6DA742DF"/>
    <w:rsid w:val="6DB34098"/>
    <w:rsid w:val="6DB545B6"/>
    <w:rsid w:val="6DC86CAB"/>
    <w:rsid w:val="6DCC7B1B"/>
    <w:rsid w:val="6DCF39CF"/>
    <w:rsid w:val="6DDD1E55"/>
    <w:rsid w:val="6DE02FB4"/>
    <w:rsid w:val="6DE24C48"/>
    <w:rsid w:val="6DEA177B"/>
    <w:rsid w:val="6DEF3E64"/>
    <w:rsid w:val="6DF547A8"/>
    <w:rsid w:val="6E2D5B05"/>
    <w:rsid w:val="6E341A44"/>
    <w:rsid w:val="6E514CED"/>
    <w:rsid w:val="6E5E27AB"/>
    <w:rsid w:val="6E631E72"/>
    <w:rsid w:val="6E637175"/>
    <w:rsid w:val="6E666DDB"/>
    <w:rsid w:val="6E71421E"/>
    <w:rsid w:val="6E7902D7"/>
    <w:rsid w:val="6E7A30D3"/>
    <w:rsid w:val="6E8300C9"/>
    <w:rsid w:val="6E8574C0"/>
    <w:rsid w:val="6E96470B"/>
    <w:rsid w:val="6E970129"/>
    <w:rsid w:val="6E9D3265"/>
    <w:rsid w:val="6EB563D5"/>
    <w:rsid w:val="6EC9421A"/>
    <w:rsid w:val="6ED92677"/>
    <w:rsid w:val="6F0F157E"/>
    <w:rsid w:val="6F12155D"/>
    <w:rsid w:val="6F162398"/>
    <w:rsid w:val="6F225983"/>
    <w:rsid w:val="6F255ED2"/>
    <w:rsid w:val="6F264569"/>
    <w:rsid w:val="6F3A63C7"/>
    <w:rsid w:val="6F4B3AC3"/>
    <w:rsid w:val="6F5967E1"/>
    <w:rsid w:val="6F600988"/>
    <w:rsid w:val="6F6C19EE"/>
    <w:rsid w:val="6F775864"/>
    <w:rsid w:val="6F7F185B"/>
    <w:rsid w:val="6F91234A"/>
    <w:rsid w:val="6FA63BE8"/>
    <w:rsid w:val="6FC35501"/>
    <w:rsid w:val="6FCE0F08"/>
    <w:rsid w:val="6FD74555"/>
    <w:rsid w:val="6FD94F65"/>
    <w:rsid w:val="6FE961F8"/>
    <w:rsid w:val="6FFC5590"/>
    <w:rsid w:val="70075490"/>
    <w:rsid w:val="7013634B"/>
    <w:rsid w:val="702A1C8F"/>
    <w:rsid w:val="702B4F67"/>
    <w:rsid w:val="702C10EB"/>
    <w:rsid w:val="703C0F1C"/>
    <w:rsid w:val="704B6997"/>
    <w:rsid w:val="706D1DD0"/>
    <w:rsid w:val="70856B87"/>
    <w:rsid w:val="70960D72"/>
    <w:rsid w:val="70A07951"/>
    <w:rsid w:val="70B653AE"/>
    <w:rsid w:val="70BC1BFE"/>
    <w:rsid w:val="70C37D8E"/>
    <w:rsid w:val="70CB5E68"/>
    <w:rsid w:val="70D01E70"/>
    <w:rsid w:val="70D05B50"/>
    <w:rsid w:val="70D07922"/>
    <w:rsid w:val="70D527EE"/>
    <w:rsid w:val="70E231B1"/>
    <w:rsid w:val="70E92792"/>
    <w:rsid w:val="70F84F64"/>
    <w:rsid w:val="70F962D7"/>
    <w:rsid w:val="71102095"/>
    <w:rsid w:val="71156879"/>
    <w:rsid w:val="71226CE3"/>
    <w:rsid w:val="71305263"/>
    <w:rsid w:val="71344540"/>
    <w:rsid w:val="713D384E"/>
    <w:rsid w:val="714477D0"/>
    <w:rsid w:val="71456DC6"/>
    <w:rsid w:val="714F4CEB"/>
    <w:rsid w:val="7153575D"/>
    <w:rsid w:val="71535E5D"/>
    <w:rsid w:val="715840B6"/>
    <w:rsid w:val="715B5300"/>
    <w:rsid w:val="715E0F62"/>
    <w:rsid w:val="71654EC8"/>
    <w:rsid w:val="716D6B7F"/>
    <w:rsid w:val="7187726E"/>
    <w:rsid w:val="71B55C26"/>
    <w:rsid w:val="71BA1B10"/>
    <w:rsid w:val="71C073E9"/>
    <w:rsid w:val="71D27F8A"/>
    <w:rsid w:val="72171306"/>
    <w:rsid w:val="722138CE"/>
    <w:rsid w:val="7225252B"/>
    <w:rsid w:val="72495B34"/>
    <w:rsid w:val="72553024"/>
    <w:rsid w:val="72620A4E"/>
    <w:rsid w:val="72647FFA"/>
    <w:rsid w:val="727D4719"/>
    <w:rsid w:val="72936221"/>
    <w:rsid w:val="72C67C96"/>
    <w:rsid w:val="72D92404"/>
    <w:rsid w:val="72D93E4F"/>
    <w:rsid w:val="72E30B3F"/>
    <w:rsid w:val="72EC05C3"/>
    <w:rsid w:val="72ED7411"/>
    <w:rsid w:val="72F50B06"/>
    <w:rsid w:val="72F62992"/>
    <w:rsid w:val="72FA4BB4"/>
    <w:rsid w:val="73102258"/>
    <w:rsid w:val="73122968"/>
    <w:rsid w:val="731331B8"/>
    <w:rsid w:val="731A674F"/>
    <w:rsid w:val="731D4C51"/>
    <w:rsid w:val="731F5D5E"/>
    <w:rsid w:val="73303DC0"/>
    <w:rsid w:val="73357F10"/>
    <w:rsid w:val="734D529E"/>
    <w:rsid w:val="736B3932"/>
    <w:rsid w:val="73743676"/>
    <w:rsid w:val="737A5827"/>
    <w:rsid w:val="7386076C"/>
    <w:rsid w:val="73BB50C6"/>
    <w:rsid w:val="73C51AD5"/>
    <w:rsid w:val="73EE5366"/>
    <w:rsid w:val="73FF1C70"/>
    <w:rsid w:val="740C1C44"/>
    <w:rsid w:val="740F6565"/>
    <w:rsid w:val="741953E8"/>
    <w:rsid w:val="741E0D33"/>
    <w:rsid w:val="741E793C"/>
    <w:rsid w:val="74237D69"/>
    <w:rsid w:val="742854E3"/>
    <w:rsid w:val="74286010"/>
    <w:rsid w:val="743D7533"/>
    <w:rsid w:val="744F581B"/>
    <w:rsid w:val="745A776B"/>
    <w:rsid w:val="745E3944"/>
    <w:rsid w:val="746523A3"/>
    <w:rsid w:val="746C7002"/>
    <w:rsid w:val="74830598"/>
    <w:rsid w:val="749A0A75"/>
    <w:rsid w:val="74A14641"/>
    <w:rsid w:val="74A73931"/>
    <w:rsid w:val="74B21F34"/>
    <w:rsid w:val="74B72109"/>
    <w:rsid w:val="74BF3F35"/>
    <w:rsid w:val="74C34A5E"/>
    <w:rsid w:val="74C66F5F"/>
    <w:rsid w:val="74DA6563"/>
    <w:rsid w:val="74DC61CD"/>
    <w:rsid w:val="74E90C95"/>
    <w:rsid w:val="74F75E16"/>
    <w:rsid w:val="74FA5C9F"/>
    <w:rsid w:val="7500185C"/>
    <w:rsid w:val="7505614F"/>
    <w:rsid w:val="751122B7"/>
    <w:rsid w:val="751D2F20"/>
    <w:rsid w:val="752426F6"/>
    <w:rsid w:val="75526713"/>
    <w:rsid w:val="756D3991"/>
    <w:rsid w:val="756D7F19"/>
    <w:rsid w:val="756E10B3"/>
    <w:rsid w:val="758C5AB9"/>
    <w:rsid w:val="75935D10"/>
    <w:rsid w:val="75966CC0"/>
    <w:rsid w:val="75A77C79"/>
    <w:rsid w:val="75AC4499"/>
    <w:rsid w:val="75D1752F"/>
    <w:rsid w:val="75D27C98"/>
    <w:rsid w:val="75E02E27"/>
    <w:rsid w:val="75E90C93"/>
    <w:rsid w:val="75F97950"/>
    <w:rsid w:val="760360A4"/>
    <w:rsid w:val="76057121"/>
    <w:rsid w:val="76127EB1"/>
    <w:rsid w:val="76133AED"/>
    <w:rsid w:val="761F282C"/>
    <w:rsid w:val="7635099D"/>
    <w:rsid w:val="7641097A"/>
    <w:rsid w:val="764A4A9E"/>
    <w:rsid w:val="76516E0F"/>
    <w:rsid w:val="76562678"/>
    <w:rsid w:val="765D1E03"/>
    <w:rsid w:val="76677430"/>
    <w:rsid w:val="76731450"/>
    <w:rsid w:val="768548BB"/>
    <w:rsid w:val="769A2923"/>
    <w:rsid w:val="769A6D64"/>
    <w:rsid w:val="76C22F2E"/>
    <w:rsid w:val="76DA1F47"/>
    <w:rsid w:val="76E0349D"/>
    <w:rsid w:val="76F14F42"/>
    <w:rsid w:val="76F957E9"/>
    <w:rsid w:val="770972D5"/>
    <w:rsid w:val="77216DE1"/>
    <w:rsid w:val="7727273A"/>
    <w:rsid w:val="7732348B"/>
    <w:rsid w:val="77432BB2"/>
    <w:rsid w:val="77672B54"/>
    <w:rsid w:val="7771703D"/>
    <w:rsid w:val="77762421"/>
    <w:rsid w:val="77987055"/>
    <w:rsid w:val="77A33167"/>
    <w:rsid w:val="77A86016"/>
    <w:rsid w:val="77B56B1F"/>
    <w:rsid w:val="77BD722F"/>
    <w:rsid w:val="77CA3DF5"/>
    <w:rsid w:val="77CC3983"/>
    <w:rsid w:val="77DC2962"/>
    <w:rsid w:val="780E5DBD"/>
    <w:rsid w:val="780F09F4"/>
    <w:rsid w:val="781520BE"/>
    <w:rsid w:val="7821320F"/>
    <w:rsid w:val="78405FDD"/>
    <w:rsid w:val="784E2637"/>
    <w:rsid w:val="78563426"/>
    <w:rsid w:val="7856695F"/>
    <w:rsid w:val="78730464"/>
    <w:rsid w:val="787D5A56"/>
    <w:rsid w:val="7896363E"/>
    <w:rsid w:val="789860D5"/>
    <w:rsid w:val="78992CEF"/>
    <w:rsid w:val="78A16E69"/>
    <w:rsid w:val="78A90480"/>
    <w:rsid w:val="78A96B7D"/>
    <w:rsid w:val="78C6499F"/>
    <w:rsid w:val="78DF3977"/>
    <w:rsid w:val="78F50EA9"/>
    <w:rsid w:val="79054BBA"/>
    <w:rsid w:val="790E496D"/>
    <w:rsid w:val="792B2F79"/>
    <w:rsid w:val="793416EF"/>
    <w:rsid w:val="79427F27"/>
    <w:rsid w:val="794C74FB"/>
    <w:rsid w:val="7976537A"/>
    <w:rsid w:val="797A06C3"/>
    <w:rsid w:val="797B6E75"/>
    <w:rsid w:val="79817A0B"/>
    <w:rsid w:val="79906780"/>
    <w:rsid w:val="799352BF"/>
    <w:rsid w:val="79A9372A"/>
    <w:rsid w:val="79AF1EA3"/>
    <w:rsid w:val="79B0209F"/>
    <w:rsid w:val="79CB4E23"/>
    <w:rsid w:val="79E76C06"/>
    <w:rsid w:val="79F0240B"/>
    <w:rsid w:val="79F17607"/>
    <w:rsid w:val="79F5362E"/>
    <w:rsid w:val="7A0539F1"/>
    <w:rsid w:val="7A1E4078"/>
    <w:rsid w:val="7A2A0BE5"/>
    <w:rsid w:val="7A364017"/>
    <w:rsid w:val="7A496506"/>
    <w:rsid w:val="7A4D1BC9"/>
    <w:rsid w:val="7A50759E"/>
    <w:rsid w:val="7A520411"/>
    <w:rsid w:val="7A627536"/>
    <w:rsid w:val="7A6730A5"/>
    <w:rsid w:val="7A6E45E2"/>
    <w:rsid w:val="7A8265E1"/>
    <w:rsid w:val="7A9B7494"/>
    <w:rsid w:val="7AA00424"/>
    <w:rsid w:val="7AAA5D17"/>
    <w:rsid w:val="7AAA73AD"/>
    <w:rsid w:val="7AAB48FF"/>
    <w:rsid w:val="7AB30815"/>
    <w:rsid w:val="7AB414D0"/>
    <w:rsid w:val="7ABA1650"/>
    <w:rsid w:val="7AFF3C89"/>
    <w:rsid w:val="7B0B73CA"/>
    <w:rsid w:val="7B16338B"/>
    <w:rsid w:val="7B2A5CC1"/>
    <w:rsid w:val="7B396640"/>
    <w:rsid w:val="7B554315"/>
    <w:rsid w:val="7B587916"/>
    <w:rsid w:val="7B5C2B62"/>
    <w:rsid w:val="7B686D42"/>
    <w:rsid w:val="7B841746"/>
    <w:rsid w:val="7B874528"/>
    <w:rsid w:val="7BAF24BE"/>
    <w:rsid w:val="7BCF624B"/>
    <w:rsid w:val="7BDF4398"/>
    <w:rsid w:val="7BE00601"/>
    <w:rsid w:val="7BEC339E"/>
    <w:rsid w:val="7BF74E3B"/>
    <w:rsid w:val="7BFC781D"/>
    <w:rsid w:val="7C071D88"/>
    <w:rsid w:val="7C181694"/>
    <w:rsid w:val="7C4A4921"/>
    <w:rsid w:val="7C6C5AC7"/>
    <w:rsid w:val="7C6D4C11"/>
    <w:rsid w:val="7C757158"/>
    <w:rsid w:val="7C7879A8"/>
    <w:rsid w:val="7C8143F3"/>
    <w:rsid w:val="7C9B1CDA"/>
    <w:rsid w:val="7CA06C8D"/>
    <w:rsid w:val="7CA91BA5"/>
    <w:rsid w:val="7CB4772E"/>
    <w:rsid w:val="7CB51FE7"/>
    <w:rsid w:val="7CC04B01"/>
    <w:rsid w:val="7CC13AEF"/>
    <w:rsid w:val="7CC52305"/>
    <w:rsid w:val="7CC6544B"/>
    <w:rsid w:val="7CD222E6"/>
    <w:rsid w:val="7CDA3245"/>
    <w:rsid w:val="7CE06C3C"/>
    <w:rsid w:val="7D0239FF"/>
    <w:rsid w:val="7D025EB6"/>
    <w:rsid w:val="7D111E0F"/>
    <w:rsid w:val="7D216B0E"/>
    <w:rsid w:val="7D2F777E"/>
    <w:rsid w:val="7D3461CD"/>
    <w:rsid w:val="7D364FB1"/>
    <w:rsid w:val="7D441E80"/>
    <w:rsid w:val="7D5E40CD"/>
    <w:rsid w:val="7D7A67F6"/>
    <w:rsid w:val="7D996C87"/>
    <w:rsid w:val="7DBC56C4"/>
    <w:rsid w:val="7DCA6A8C"/>
    <w:rsid w:val="7DCD56F2"/>
    <w:rsid w:val="7DE35D0B"/>
    <w:rsid w:val="7DF444BD"/>
    <w:rsid w:val="7E1B5633"/>
    <w:rsid w:val="7E357016"/>
    <w:rsid w:val="7E4D25B2"/>
    <w:rsid w:val="7E6566F1"/>
    <w:rsid w:val="7E6C43A2"/>
    <w:rsid w:val="7E754C2A"/>
    <w:rsid w:val="7E846403"/>
    <w:rsid w:val="7E8F5543"/>
    <w:rsid w:val="7E9F03E0"/>
    <w:rsid w:val="7EB025C7"/>
    <w:rsid w:val="7F001CE7"/>
    <w:rsid w:val="7F404055"/>
    <w:rsid w:val="7F721BA4"/>
    <w:rsid w:val="7F88098F"/>
    <w:rsid w:val="7FA07302"/>
    <w:rsid w:val="7FD05B83"/>
    <w:rsid w:val="7FD743D9"/>
    <w:rsid w:val="7FE47E50"/>
    <w:rsid w:val="7FEE56CF"/>
    <w:rsid w:val="7FF04EE9"/>
    <w:rsid w:val="7FF72EC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0"/>
    <w:qFormat/>
    <w:locked/>
    <w:uiPriority w:val="99"/>
    <w:pPr>
      <w:keepNext/>
      <w:overflowPunct w:val="0"/>
      <w:snapToGrid w:val="0"/>
      <w:spacing w:before="120" w:after="160" w:line="259" w:lineRule="auto"/>
      <w:ind w:left="432" w:hanging="432"/>
      <w:jc w:val="left"/>
      <w:outlineLvl w:val="0"/>
    </w:pPr>
    <w:rPr>
      <w:rFonts w:eastAsia="黑体"/>
      <w:b/>
      <w:bCs/>
      <w:color w:val="000000"/>
      <w:kern w:val="44"/>
      <w:sz w:val="30"/>
      <w:szCs w:val="30"/>
    </w:rPr>
  </w:style>
  <w:style w:type="paragraph" w:styleId="3">
    <w:name w:val="heading 2"/>
    <w:basedOn w:val="1"/>
    <w:next w:val="1"/>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annotation text"/>
    <w:basedOn w:val="1"/>
    <w:link w:val="21"/>
    <w:semiHidden/>
    <w:qFormat/>
    <w:uiPriority w:val="0"/>
    <w:pPr>
      <w:jc w:val="left"/>
    </w:pPr>
    <w:rPr>
      <w:kern w:val="0"/>
      <w:sz w:val="24"/>
      <w:szCs w:val="20"/>
    </w:rPr>
  </w:style>
  <w:style w:type="paragraph" w:styleId="5">
    <w:name w:val="Body Text"/>
    <w:basedOn w:val="1"/>
    <w:next w:val="6"/>
    <w:link w:val="22"/>
    <w:qFormat/>
    <w:uiPriority w:val="0"/>
    <w:pPr>
      <w:widowControl/>
      <w:snapToGrid w:val="0"/>
      <w:spacing w:before="60" w:after="160" w:line="259" w:lineRule="auto"/>
      <w:ind w:right="113"/>
    </w:pPr>
    <w:rPr>
      <w:kern w:val="0"/>
      <w:sz w:val="18"/>
      <w:szCs w:val="20"/>
    </w:rPr>
  </w:style>
  <w:style w:type="paragraph" w:customStyle="1" w:styleId="6">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cs="Times New Roman"/>
      <w:kern w:val="0"/>
      <w:sz w:val="16"/>
      <w:szCs w:val="16"/>
      <w:lang w:eastAsia="zh-TW"/>
    </w:rPr>
  </w:style>
  <w:style w:type="paragraph" w:styleId="7">
    <w:name w:val="Body Text Indent"/>
    <w:basedOn w:val="1"/>
    <w:link w:val="23"/>
    <w:qFormat/>
    <w:uiPriority w:val="0"/>
    <w:pPr>
      <w:spacing w:after="120"/>
      <w:ind w:left="420" w:leftChars="200"/>
    </w:pPr>
    <w:rPr>
      <w:kern w:val="0"/>
      <w:sz w:val="24"/>
      <w:szCs w:val="20"/>
    </w:rPr>
  </w:style>
  <w:style w:type="paragraph" w:styleId="8">
    <w:name w:val="Date"/>
    <w:basedOn w:val="1"/>
    <w:next w:val="1"/>
    <w:link w:val="24"/>
    <w:qFormat/>
    <w:uiPriority w:val="0"/>
    <w:pPr>
      <w:ind w:left="100" w:leftChars="2500"/>
    </w:pPr>
    <w:rPr>
      <w:kern w:val="0"/>
      <w:sz w:val="24"/>
      <w:szCs w:val="20"/>
    </w:rPr>
  </w:style>
  <w:style w:type="paragraph" w:styleId="9">
    <w:name w:val="Balloon Text"/>
    <w:basedOn w:val="1"/>
    <w:link w:val="25"/>
    <w:semiHidden/>
    <w:qFormat/>
    <w:uiPriority w:val="0"/>
    <w:rPr>
      <w:kern w:val="0"/>
      <w:sz w:val="18"/>
      <w:szCs w:val="20"/>
    </w:rPr>
  </w:style>
  <w:style w:type="paragraph" w:styleId="10">
    <w:name w:val="footer"/>
    <w:basedOn w:val="1"/>
    <w:link w:val="26"/>
    <w:qFormat/>
    <w:uiPriority w:val="99"/>
    <w:pPr>
      <w:tabs>
        <w:tab w:val="center" w:pos="4153"/>
        <w:tab w:val="right" w:pos="8306"/>
      </w:tabs>
      <w:snapToGrid w:val="0"/>
      <w:jc w:val="left"/>
    </w:pPr>
    <w:rPr>
      <w:kern w:val="0"/>
      <w:sz w:val="18"/>
      <w:szCs w:val="20"/>
    </w:rPr>
  </w:style>
  <w:style w:type="paragraph" w:styleId="11">
    <w:name w:val="header"/>
    <w:basedOn w:val="1"/>
    <w:next w:val="5"/>
    <w:link w:val="27"/>
    <w:qFormat/>
    <w:uiPriority w:val="0"/>
    <w:pPr>
      <w:pBdr>
        <w:bottom w:val="single" w:color="auto" w:sz="6" w:space="1"/>
      </w:pBdr>
      <w:tabs>
        <w:tab w:val="center" w:pos="4153"/>
        <w:tab w:val="right" w:pos="8306"/>
      </w:tabs>
      <w:snapToGrid w:val="0"/>
      <w:jc w:val="center"/>
    </w:pPr>
    <w:rPr>
      <w:kern w:val="0"/>
      <w:sz w:val="18"/>
      <w:szCs w:val="20"/>
    </w:rPr>
  </w:style>
  <w:style w:type="paragraph" w:styleId="12">
    <w:name w:val="Body Text 2"/>
    <w:basedOn w:val="1"/>
    <w:qFormat/>
    <w:locked/>
    <w:uiPriority w:val="0"/>
    <w:rPr>
      <w:sz w:val="28"/>
      <w:szCs w:val="20"/>
    </w:rPr>
  </w:style>
  <w:style w:type="paragraph" w:styleId="13">
    <w:name w:val="Normal (Web)"/>
    <w:basedOn w:val="1"/>
    <w:link w:val="28"/>
    <w:qFormat/>
    <w:uiPriority w:val="0"/>
    <w:pPr>
      <w:widowControl/>
      <w:spacing w:before="100" w:beforeAutospacing="1" w:after="100" w:afterAutospacing="1"/>
      <w:jc w:val="left"/>
    </w:pPr>
    <w:rPr>
      <w:rFonts w:ascii="宋体" w:hAnsi="宋体"/>
      <w:kern w:val="0"/>
      <w:sz w:val="24"/>
      <w:szCs w:val="20"/>
    </w:rPr>
  </w:style>
  <w:style w:type="paragraph" w:styleId="14">
    <w:name w:val="annotation subject"/>
    <w:basedOn w:val="4"/>
    <w:next w:val="4"/>
    <w:link w:val="29"/>
    <w:semiHidden/>
    <w:qFormat/>
    <w:uiPriority w:val="0"/>
    <w:rPr>
      <w:b/>
      <w:sz w:val="24"/>
      <w:szCs w:val="20"/>
    </w:rPr>
  </w:style>
  <w:style w:type="table" w:styleId="16">
    <w:name w:val="Table Grid"/>
    <w:basedOn w:val="1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locked/>
    <w:uiPriority w:val="0"/>
  </w:style>
  <w:style w:type="character" w:styleId="19">
    <w:name w:val="annotation reference"/>
    <w:semiHidden/>
    <w:qFormat/>
    <w:uiPriority w:val="0"/>
    <w:rPr>
      <w:sz w:val="21"/>
    </w:rPr>
  </w:style>
  <w:style w:type="character" w:customStyle="1" w:styleId="20">
    <w:name w:val="标题 1 Char"/>
    <w:link w:val="2"/>
    <w:qFormat/>
    <w:uiPriority w:val="99"/>
    <w:rPr>
      <w:rFonts w:eastAsia="黑体"/>
      <w:b/>
      <w:bCs/>
      <w:color w:val="000000"/>
      <w:kern w:val="44"/>
      <w:sz w:val="30"/>
      <w:szCs w:val="30"/>
    </w:rPr>
  </w:style>
  <w:style w:type="character" w:customStyle="1" w:styleId="21">
    <w:name w:val="批注文字 Char"/>
    <w:link w:val="4"/>
    <w:qFormat/>
    <w:locked/>
    <w:uiPriority w:val="0"/>
    <w:rPr>
      <w:rFonts w:ascii="Times New Roman" w:hAnsi="Times New Roman" w:eastAsia="宋体"/>
      <w:sz w:val="24"/>
    </w:rPr>
  </w:style>
  <w:style w:type="character" w:customStyle="1" w:styleId="22">
    <w:name w:val="正文文本 Char"/>
    <w:link w:val="5"/>
    <w:qFormat/>
    <w:locked/>
    <w:uiPriority w:val="0"/>
    <w:rPr>
      <w:sz w:val="18"/>
    </w:rPr>
  </w:style>
  <w:style w:type="character" w:customStyle="1" w:styleId="23">
    <w:name w:val="正文文本缩进 Char"/>
    <w:link w:val="7"/>
    <w:semiHidden/>
    <w:qFormat/>
    <w:locked/>
    <w:uiPriority w:val="0"/>
    <w:rPr>
      <w:rFonts w:ascii="Times New Roman" w:hAnsi="Times New Roman" w:eastAsia="宋体"/>
      <w:sz w:val="24"/>
    </w:rPr>
  </w:style>
  <w:style w:type="character" w:customStyle="1" w:styleId="24">
    <w:name w:val="日期 Char"/>
    <w:link w:val="8"/>
    <w:qFormat/>
    <w:locked/>
    <w:uiPriority w:val="0"/>
    <w:rPr>
      <w:rFonts w:ascii="Times New Roman" w:hAnsi="Times New Roman" w:eastAsia="宋体"/>
      <w:sz w:val="24"/>
    </w:rPr>
  </w:style>
  <w:style w:type="character" w:customStyle="1" w:styleId="25">
    <w:name w:val="批注框文本 Char"/>
    <w:link w:val="9"/>
    <w:semiHidden/>
    <w:qFormat/>
    <w:locked/>
    <w:uiPriority w:val="0"/>
    <w:rPr>
      <w:rFonts w:ascii="Times New Roman" w:hAnsi="Times New Roman" w:eastAsia="宋体"/>
      <w:sz w:val="18"/>
    </w:rPr>
  </w:style>
  <w:style w:type="character" w:customStyle="1" w:styleId="26">
    <w:name w:val="页脚 Char"/>
    <w:link w:val="10"/>
    <w:qFormat/>
    <w:locked/>
    <w:uiPriority w:val="99"/>
    <w:rPr>
      <w:sz w:val="18"/>
    </w:rPr>
  </w:style>
  <w:style w:type="character" w:customStyle="1" w:styleId="27">
    <w:name w:val="页眉 Char"/>
    <w:link w:val="11"/>
    <w:qFormat/>
    <w:locked/>
    <w:uiPriority w:val="0"/>
    <w:rPr>
      <w:sz w:val="18"/>
    </w:rPr>
  </w:style>
  <w:style w:type="character" w:customStyle="1" w:styleId="28">
    <w:name w:val="普通(网站) Char"/>
    <w:link w:val="13"/>
    <w:qFormat/>
    <w:locked/>
    <w:uiPriority w:val="0"/>
    <w:rPr>
      <w:rFonts w:ascii="宋体" w:hAnsi="宋体" w:eastAsia="宋体"/>
      <w:sz w:val="24"/>
    </w:rPr>
  </w:style>
  <w:style w:type="character" w:customStyle="1" w:styleId="29">
    <w:name w:val="批注主题 Char"/>
    <w:link w:val="14"/>
    <w:semiHidden/>
    <w:qFormat/>
    <w:locked/>
    <w:uiPriority w:val="0"/>
    <w:rPr>
      <w:rFonts w:ascii="Times New Roman" w:hAnsi="Times New Roman" w:eastAsia="宋体"/>
      <w:b/>
      <w:kern w:val="2"/>
      <w:sz w:val="24"/>
    </w:rPr>
  </w:style>
  <w:style w:type="character" w:customStyle="1" w:styleId="30">
    <w:name w:val="页脚 字符"/>
    <w:basedOn w:val="17"/>
    <w:qFormat/>
    <w:uiPriority w:val="99"/>
  </w:style>
  <w:style w:type="character" w:customStyle="1" w:styleId="31">
    <w:name w:val="正文文本 字符1"/>
    <w:semiHidden/>
    <w:qFormat/>
    <w:uiPriority w:val="0"/>
    <w:rPr>
      <w:rFonts w:ascii="Times New Roman" w:hAnsi="Times New Roman" w:eastAsia="宋体"/>
      <w:sz w:val="24"/>
    </w:rPr>
  </w:style>
  <w:style w:type="character" w:customStyle="1" w:styleId="32">
    <w:name w:val="表格 Char"/>
    <w:link w:val="33"/>
    <w:qFormat/>
    <w:locked/>
    <w:uiPriority w:val="0"/>
    <w:rPr>
      <w:rFonts w:ascii="宋体"/>
      <w:sz w:val="21"/>
    </w:rPr>
  </w:style>
  <w:style w:type="paragraph" w:customStyle="1" w:styleId="33">
    <w:name w:val="表格"/>
    <w:basedOn w:val="1"/>
    <w:next w:val="1"/>
    <w:link w:val="32"/>
    <w:qFormat/>
    <w:uiPriority w:val="0"/>
    <w:pPr>
      <w:adjustRightInd w:val="0"/>
      <w:snapToGrid w:val="0"/>
      <w:spacing w:beforeLines="10" w:afterLines="10" w:line="259" w:lineRule="auto"/>
      <w:jc w:val="center"/>
    </w:pPr>
    <w:rPr>
      <w:rFonts w:ascii="宋体"/>
      <w:kern w:val="0"/>
      <w:szCs w:val="20"/>
    </w:rPr>
  </w:style>
  <w:style w:type="character" w:customStyle="1" w:styleId="34">
    <w:name w:val="日期 字符"/>
    <w:semiHidden/>
    <w:qFormat/>
    <w:uiPriority w:val="0"/>
    <w:rPr>
      <w:rFonts w:ascii="Times New Roman" w:hAnsi="Times New Roman" w:eastAsia="宋体"/>
      <w:sz w:val="24"/>
    </w:rPr>
  </w:style>
  <w:style w:type="character" w:customStyle="1" w:styleId="35">
    <w:name w:val="批注文字 字符1"/>
    <w:semiHidden/>
    <w:qFormat/>
    <w:uiPriority w:val="0"/>
    <w:rPr>
      <w:rFonts w:ascii="Times New Roman" w:hAnsi="Times New Roman" w:eastAsia="宋体"/>
      <w:sz w:val="24"/>
    </w:rPr>
  </w:style>
  <w:style w:type="paragraph" w:customStyle="1" w:styleId="3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38">
    <w:name w:val="Table Text"/>
    <w:basedOn w:val="1"/>
    <w:semiHidden/>
    <w:qFormat/>
    <w:uiPriority w:val="0"/>
    <w:rPr>
      <w:rFonts w:ascii="宋体" w:hAnsi="宋体" w:eastAsia="宋体" w:cs="宋体"/>
      <w:sz w:val="24"/>
      <w:szCs w:val="24"/>
      <w:lang w:val="en-US" w:eastAsia="en-US" w:bidi="ar-SA"/>
    </w:rPr>
  </w:style>
  <w:style w:type="table" w:customStyle="1" w:styleId="39">
    <w:name w:val="Table Normal"/>
    <w:semiHidden/>
    <w:unhideWhenUsed/>
    <w:qFormat/>
    <w:uiPriority w:val="0"/>
    <w:tblPr>
      <w:tblCellMar>
        <w:top w:w="0" w:type="dxa"/>
        <w:left w:w="0" w:type="dxa"/>
        <w:bottom w:w="0" w:type="dxa"/>
        <w:right w:w="0" w:type="dxa"/>
      </w:tblCellMar>
    </w:tblPr>
  </w:style>
  <w:style w:type="character" w:customStyle="1" w:styleId="40">
    <w:name w:val="font11"/>
    <w:basedOn w:val="17"/>
    <w:qFormat/>
    <w:uiPriority w:val="0"/>
    <w:rPr>
      <w:rFonts w:hint="eastAsia" w:ascii="宋体" w:hAnsi="宋体" w:eastAsia="宋体" w:cs="宋体"/>
      <w:color w:val="000000"/>
      <w:sz w:val="21"/>
      <w:szCs w:val="21"/>
      <w:u w:val="none"/>
    </w:rPr>
  </w:style>
  <w:style w:type="character" w:customStyle="1" w:styleId="41">
    <w:name w:val="font21"/>
    <w:basedOn w:val="17"/>
    <w:qFormat/>
    <w:uiPriority w:val="0"/>
    <w:rPr>
      <w:rFonts w:hint="default" w:ascii="Times New Roman" w:hAnsi="Times New Roman" w:cs="Times New Roman"/>
      <w:color w:val="000000"/>
      <w:sz w:val="21"/>
      <w:szCs w:val="21"/>
      <w:u w:val="none"/>
    </w:rPr>
  </w:style>
  <w:style w:type="character" w:customStyle="1" w:styleId="42">
    <w:name w:val="font41"/>
    <w:basedOn w:val="17"/>
    <w:qFormat/>
    <w:uiPriority w:val="0"/>
    <w:rPr>
      <w:rFonts w:hint="default" w:ascii="Times New Roman" w:hAnsi="Times New Roman" w:cs="Times New Roman"/>
      <w:b/>
      <w:bCs/>
      <w:color w:val="000000"/>
      <w:sz w:val="24"/>
      <w:szCs w:val="24"/>
      <w:u w:val="none"/>
    </w:rPr>
  </w:style>
  <w:style w:type="paragraph" w:customStyle="1" w:styleId="43">
    <w:name w:val="表格12"/>
    <w:basedOn w:val="1"/>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92</Pages>
  <Words>21336</Words>
  <Characters>22335</Characters>
  <Lines>13</Lines>
  <Paragraphs>3</Paragraphs>
  <TotalTime>5</TotalTime>
  <ScaleCrop>false</ScaleCrop>
  <LinksUpToDate>false</LinksUpToDate>
  <CharactersWithSpaces>22454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鄭梓敬</cp:lastModifiedBy>
  <cp:lastPrinted>2025-09-07T07:16:00Z</cp:lastPrinted>
  <dcterms:modified xsi:type="dcterms:W3CDTF">2025-10-22T01:54:58Z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CD05C667B9F74C148A654F78AE3A8466_13</vt:lpwstr>
  </property>
  <property fmtid="{D5CDD505-2E9C-101B-9397-08002B2CF9AE}" pid="4" name="KSOTemplateDocerSaveRecord">
    <vt:lpwstr>eyJoZGlkIjoiYTQ2ODVmYzhlYTMyNTgyMDgwMzQ3MWZiZDJjMzc2ZGIiLCJ1c2VySWQiOiIxMTUzNjkxMDkzIn0=</vt:lpwstr>
  </property>
</Properties>
</file>